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2B3FC8E">
      <w:pPr>
        <w:outlineLvl w:val="0"/>
        <w:rPr>
          <w:rFonts w:hint="default" w:ascii="Times New Roman" w:hAnsi="Times New Roman" w:cs="Times New Roman"/>
          <w:color w:val="000000" w:themeColor="text1"/>
          <w14:textFill>
            <w14:solidFill>
              <w14:schemeClr w14:val="tx1"/>
            </w14:solidFill>
          </w14:textFill>
        </w:rPr>
      </w:pPr>
      <w:bookmarkStart w:id="609" w:name="_GoBack"/>
    </w:p>
    <w:p w14:paraId="7C4221C3">
      <w:pPr>
        <w:ind w:firstLine="181"/>
        <w:rPr>
          <w:rFonts w:hint="default" w:ascii="Times New Roman" w:hAnsi="Times New Roman" w:cs="Times New Roman"/>
          <w:b/>
          <w:color w:val="000000" w:themeColor="text1"/>
          <w:sz w:val="72"/>
          <w14:textFill>
            <w14:solidFill>
              <w14:schemeClr w14:val="tx1"/>
            </w14:solidFill>
          </w14:textFill>
        </w:rPr>
      </w:pPr>
    </w:p>
    <w:p w14:paraId="6AF2FAB0">
      <w:pPr>
        <w:rPr>
          <w:rFonts w:hint="default" w:ascii="Times New Roman" w:hAnsi="Times New Roman" w:cs="Times New Roman"/>
          <w:b/>
          <w:color w:val="000000" w:themeColor="text1"/>
          <w:sz w:val="21"/>
          <w14:textFill>
            <w14:solidFill>
              <w14:schemeClr w14:val="tx1"/>
            </w14:solidFill>
          </w14:textFill>
        </w:rPr>
      </w:pPr>
    </w:p>
    <w:p w14:paraId="4C0357B4">
      <w:pPr>
        <w:rPr>
          <w:rFonts w:hint="default" w:ascii="Times New Roman" w:hAnsi="Times New Roman" w:cs="Times New Roman"/>
          <w:b/>
          <w:color w:val="000000" w:themeColor="text1"/>
          <w:sz w:val="21"/>
          <w14:textFill>
            <w14:solidFill>
              <w14:schemeClr w14:val="tx1"/>
            </w14:solidFill>
          </w14:textFill>
        </w:rPr>
      </w:pPr>
    </w:p>
    <w:p w14:paraId="47C0BC14">
      <w:pPr>
        <w:rPr>
          <w:rFonts w:hint="default" w:ascii="Times New Roman" w:hAnsi="Times New Roman" w:cs="Times New Roman"/>
          <w:b/>
          <w:color w:val="000000" w:themeColor="text1"/>
          <w:sz w:val="21"/>
          <w14:textFill>
            <w14:solidFill>
              <w14:schemeClr w14:val="tx1"/>
            </w14:solidFill>
          </w14:textFill>
        </w:rPr>
      </w:pPr>
    </w:p>
    <w:p w14:paraId="294C2383">
      <w:pPr>
        <w:rPr>
          <w:rFonts w:hint="default" w:ascii="Times New Roman" w:hAnsi="Times New Roman" w:cs="Times New Roman"/>
          <w:b/>
          <w:color w:val="000000" w:themeColor="text1"/>
          <w:sz w:val="72"/>
          <w14:textFill>
            <w14:solidFill>
              <w14:schemeClr w14:val="tx1"/>
            </w14:solidFill>
          </w14:textFill>
        </w:rPr>
      </w:pPr>
    </w:p>
    <w:p w14:paraId="75590B1E">
      <w:pPr>
        <w:adjustRightInd w:val="0"/>
        <w:jc w:val="center"/>
        <w:rPr>
          <w:rFonts w:hint="default" w:ascii="Times New Roman" w:hAnsi="Times New Roman" w:eastAsia="宋体" w:cs="Times New Roman"/>
          <w:b/>
          <w:color w:val="000000" w:themeColor="text1"/>
          <w:spacing w:val="-4"/>
          <w:sz w:val="40"/>
          <w:szCs w:val="44"/>
          <w:lang w:eastAsia="zh-CN"/>
          <w14:textFill>
            <w14:solidFill>
              <w14:schemeClr w14:val="tx1"/>
            </w14:solidFill>
          </w14:textFill>
        </w:rPr>
      </w:pPr>
      <w:r>
        <w:rPr>
          <w:rFonts w:hint="default" w:ascii="Times New Roman" w:hAnsi="Times New Roman" w:cs="Times New Roman"/>
          <w:b/>
          <w:color w:val="000000" w:themeColor="text1"/>
          <w:spacing w:val="-4"/>
          <w:sz w:val="40"/>
          <w:szCs w:val="44"/>
          <w:lang w:eastAsia="zh-CN"/>
          <w14:textFill>
            <w14:solidFill>
              <w14:schemeClr w14:val="tx1"/>
            </w14:solidFill>
          </w14:textFill>
        </w:rPr>
        <w:t>安徽楹聚环保科技有限公司</w:t>
      </w:r>
    </w:p>
    <w:p w14:paraId="743AA241">
      <w:pPr>
        <w:adjustRightInd w:val="0"/>
        <w:jc w:val="center"/>
        <w:rPr>
          <w:rFonts w:hint="default" w:ascii="Times New Roman" w:hAnsi="Times New Roman" w:eastAsia="宋体" w:cs="Times New Roman"/>
          <w:b/>
          <w:color w:val="000000" w:themeColor="text1"/>
          <w:spacing w:val="-4"/>
          <w:sz w:val="40"/>
          <w:szCs w:val="44"/>
          <w:lang w:eastAsia="zh-CN"/>
          <w14:textFill>
            <w14:solidFill>
              <w14:schemeClr w14:val="tx1"/>
            </w14:solidFill>
          </w14:textFill>
        </w:rPr>
      </w:pPr>
      <w:r>
        <w:rPr>
          <w:rFonts w:hint="default" w:ascii="Times New Roman" w:hAnsi="Times New Roman" w:cs="Times New Roman"/>
          <w:b/>
          <w:color w:val="000000" w:themeColor="text1"/>
          <w:spacing w:val="-4"/>
          <w:sz w:val="40"/>
          <w:szCs w:val="44"/>
          <w:lang w:eastAsia="zh-CN"/>
          <w14:textFill>
            <w14:solidFill>
              <w14:schemeClr w14:val="tx1"/>
            </w14:solidFill>
          </w14:textFill>
        </w:rPr>
        <w:t>PET再生资源综合利用项目</w:t>
      </w:r>
    </w:p>
    <w:p w14:paraId="4BC01E2D">
      <w:pPr>
        <w:adjustRightInd w:val="0"/>
        <w:jc w:val="center"/>
        <w:rPr>
          <w:rFonts w:hint="default" w:ascii="Times New Roman" w:hAnsi="Times New Roman" w:eastAsia="黑体" w:cs="Times New Roman"/>
          <w:bCs/>
          <w:color w:val="000000" w:themeColor="text1"/>
          <w:sz w:val="72"/>
          <w:szCs w:val="72"/>
          <w14:textFill>
            <w14:solidFill>
              <w14:schemeClr w14:val="tx1"/>
            </w14:solidFill>
          </w14:textFill>
        </w:rPr>
      </w:pPr>
      <w:r>
        <w:rPr>
          <w:rFonts w:hint="default" w:ascii="Times New Roman" w:hAnsi="Times New Roman" w:eastAsia="隶书" w:cs="Times New Roman"/>
          <w:bCs/>
          <w:color w:val="000000" w:themeColor="text1"/>
          <w:sz w:val="72"/>
          <w:szCs w:val="72"/>
          <w14:textFill>
            <w14:solidFill>
              <w14:schemeClr w14:val="tx1"/>
            </w14:solidFill>
          </w14:textFill>
        </w:rPr>
        <w:t>环境影响报告书</w:t>
      </w:r>
    </w:p>
    <w:p w14:paraId="4AB9A91B">
      <w:pPr>
        <w:adjustRightInd w:val="0"/>
        <w:jc w:val="center"/>
        <w:rPr>
          <w:rFonts w:hint="default" w:ascii="Times New Roman" w:hAnsi="Times New Roman" w:eastAsia="黑体" w:cs="Times New Roman"/>
          <w:color w:val="000000" w:themeColor="text1"/>
          <w:sz w:val="30"/>
          <w:szCs w:val="30"/>
          <w14:textFill>
            <w14:solidFill>
              <w14:schemeClr w14:val="tx1"/>
            </w14:solidFill>
          </w14:textFill>
        </w:rPr>
      </w:pPr>
      <w:r>
        <w:rPr>
          <w:rFonts w:hint="default" w:ascii="Times New Roman" w:hAnsi="Times New Roman" w:eastAsia="黑体" w:cs="Times New Roman"/>
          <w:color w:val="000000" w:themeColor="text1"/>
          <w:sz w:val="30"/>
          <w:szCs w:val="30"/>
          <w14:textFill>
            <w14:solidFill>
              <w14:schemeClr w14:val="tx1"/>
            </w14:solidFill>
          </w14:textFill>
        </w:rPr>
        <w:t>（送审</w:t>
      </w:r>
      <w:r>
        <w:rPr>
          <w:rFonts w:hint="eastAsia" w:eastAsia="黑体" w:cs="Times New Roman"/>
          <w:color w:val="000000" w:themeColor="text1"/>
          <w:sz w:val="30"/>
          <w:szCs w:val="30"/>
          <w:lang w:eastAsia="zh-CN"/>
          <w14:textFill>
            <w14:solidFill>
              <w14:schemeClr w14:val="tx1"/>
            </w14:solidFill>
          </w14:textFill>
        </w:rPr>
        <w:t>稿</w:t>
      </w:r>
      <w:r>
        <w:rPr>
          <w:rFonts w:hint="default" w:ascii="Times New Roman" w:hAnsi="Times New Roman" w:eastAsia="黑体" w:cs="Times New Roman"/>
          <w:color w:val="000000" w:themeColor="text1"/>
          <w:sz w:val="30"/>
          <w:szCs w:val="30"/>
          <w14:textFill>
            <w14:solidFill>
              <w14:schemeClr w14:val="tx1"/>
            </w14:solidFill>
          </w14:textFill>
        </w:rPr>
        <w:t>）</w:t>
      </w:r>
    </w:p>
    <w:p w14:paraId="52002173">
      <w:pPr>
        <w:jc w:val="center"/>
        <w:rPr>
          <w:rFonts w:hint="default" w:ascii="Times New Roman" w:hAnsi="Times New Roman" w:eastAsia="黑体" w:cs="Times New Roman"/>
          <w:b/>
          <w:color w:val="000000" w:themeColor="text1"/>
          <w14:textFill>
            <w14:solidFill>
              <w14:schemeClr w14:val="tx1"/>
            </w14:solidFill>
          </w14:textFill>
        </w:rPr>
      </w:pPr>
    </w:p>
    <w:p w14:paraId="7B104B5C">
      <w:pPr>
        <w:jc w:val="center"/>
        <w:rPr>
          <w:rFonts w:hint="default" w:ascii="Times New Roman" w:hAnsi="Times New Roman" w:eastAsia="黑体" w:cs="Times New Roman"/>
          <w:b/>
          <w:color w:val="000000" w:themeColor="text1"/>
          <w14:textFill>
            <w14:solidFill>
              <w14:schemeClr w14:val="tx1"/>
            </w14:solidFill>
          </w14:textFill>
        </w:rPr>
      </w:pPr>
    </w:p>
    <w:p w14:paraId="04A79B31">
      <w:pPr>
        <w:jc w:val="center"/>
        <w:rPr>
          <w:rFonts w:hint="default" w:ascii="Times New Roman" w:hAnsi="Times New Roman" w:eastAsia="黑体" w:cs="Times New Roman"/>
          <w:b/>
          <w:color w:val="000000" w:themeColor="text1"/>
          <w14:textFill>
            <w14:solidFill>
              <w14:schemeClr w14:val="tx1"/>
            </w14:solidFill>
          </w14:textFill>
        </w:rPr>
      </w:pPr>
    </w:p>
    <w:p w14:paraId="0A1B70A7">
      <w:pPr>
        <w:jc w:val="center"/>
        <w:rPr>
          <w:rFonts w:hint="default" w:ascii="Times New Roman" w:hAnsi="Times New Roman" w:eastAsia="黑体" w:cs="Times New Roman"/>
          <w:b/>
          <w:color w:val="000000" w:themeColor="text1"/>
          <w14:textFill>
            <w14:solidFill>
              <w14:schemeClr w14:val="tx1"/>
            </w14:solidFill>
          </w14:textFill>
        </w:rPr>
      </w:pPr>
    </w:p>
    <w:p w14:paraId="076272ED">
      <w:pPr>
        <w:jc w:val="center"/>
        <w:rPr>
          <w:rFonts w:hint="default" w:ascii="Times New Roman" w:hAnsi="Times New Roman" w:eastAsia="黑体" w:cs="Times New Roman"/>
          <w:b/>
          <w:color w:val="000000" w:themeColor="text1"/>
          <w14:textFill>
            <w14:solidFill>
              <w14:schemeClr w14:val="tx1"/>
            </w14:solidFill>
          </w14:textFill>
        </w:rPr>
      </w:pPr>
    </w:p>
    <w:p w14:paraId="3BF43B90">
      <w:pPr>
        <w:jc w:val="center"/>
        <w:rPr>
          <w:rFonts w:hint="default" w:ascii="Times New Roman" w:hAnsi="Times New Roman" w:eastAsia="黑体" w:cs="Times New Roman"/>
          <w:b/>
          <w:color w:val="000000" w:themeColor="text1"/>
          <w14:textFill>
            <w14:solidFill>
              <w14:schemeClr w14:val="tx1"/>
            </w14:solidFill>
          </w14:textFill>
        </w:rPr>
      </w:pPr>
    </w:p>
    <w:p w14:paraId="1A2C6EC0">
      <w:pPr>
        <w:jc w:val="center"/>
        <w:rPr>
          <w:rFonts w:hint="default" w:ascii="Times New Roman" w:hAnsi="Times New Roman" w:eastAsia="黑体" w:cs="Times New Roman"/>
          <w:b/>
          <w:color w:val="000000" w:themeColor="text1"/>
          <w14:textFill>
            <w14:solidFill>
              <w14:schemeClr w14:val="tx1"/>
            </w14:solidFill>
          </w14:textFill>
        </w:rPr>
      </w:pPr>
    </w:p>
    <w:p w14:paraId="222D201E">
      <w:pPr>
        <w:jc w:val="center"/>
        <w:rPr>
          <w:rFonts w:hint="default" w:ascii="Times New Roman" w:hAnsi="Times New Roman" w:eastAsia="黑体" w:cs="Times New Roman"/>
          <w:b/>
          <w:color w:val="000000" w:themeColor="text1"/>
          <w14:textFill>
            <w14:solidFill>
              <w14:schemeClr w14:val="tx1"/>
            </w14:solidFill>
          </w14:textFill>
        </w:rPr>
      </w:pPr>
    </w:p>
    <w:p w14:paraId="6983104F">
      <w:pPr>
        <w:jc w:val="center"/>
        <w:rPr>
          <w:rFonts w:hint="default" w:ascii="Times New Roman" w:hAnsi="Times New Roman" w:eastAsia="黑体" w:cs="Times New Roman"/>
          <w:b/>
          <w:color w:val="000000" w:themeColor="text1"/>
          <w14:textFill>
            <w14:solidFill>
              <w14:schemeClr w14:val="tx1"/>
            </w14:solidFill>
          </w14:textFill>
        </w:rPr>
      </w:pPr>
    </w:p>
    <w:p w14:paraId="511A0715">
      <w:pPr>
        <w:jc w:val="center"/>
        <w:rPr>
          <w:rFonts w:hint="default" w:ascii="Times New Roman" w:hAnsi="Times New Roman" w:eastAsia="黑体" w:cs="Times New Roman"/>
          <w:b/>
          <w:color w:val="000000" w:themeColor="text1"/>
          <w14:textFill>
            <w14:solidFill>
              <w14:schemeClr w14:val="tx1"/>
            </w14:solidFill>
          </w14:textFill>
        </w:rPr>
      </w:pPr>
    </w:p>
    <w:p w14:paraId="109E4FE9">
      <w:pPr>
        <w:jc w:val="center"/>
        <w:rPr>
          <w:rFonts w:hint="default" w:ascii="Times New Roman" w:hAnsi="Times New Roman" w:eastAsia="黑体" w:cs="Times New Roman"/>
          <w:b/>
          <w:color w:val="000000" w:themeColor="text1"/>
          <w14:textFill>
            <w14:solidFill>
              <w14:schemeClr w14:val="tx1"/>
            </w14:solidFill>
          </w14:textFill>
        </w:rPr>
      </w:pPr>
    </w:p>
    <w:p w14:paraId="0286EF1A">
      <w:pPr>
        <w:jc w:val="center"/>
        <w:rPr>
          <w:rFonts w:hint="default" w:ascii="Times New Roman" w:hAnsi="Times New Roman" w:eastAsia="黑体" w:cs="Times New Roman"/>
          <w:b/>
          <w:color w:val="000000" w:themeColor="text1"/>
          <w14:textFill>
            <w14:solidFill>
              <w14:schemeClr w14:val="tx1"/>
            </w14:solidFill>
          </w14:textFill>
        </w:rPr>
      </w:pPr>
    </w:p>
    <w:p w14:paraId="7B1E40E9">
      <w:pPr>
        <w:jc w:val="center"/>
        <w:rPr>
          <w:rFonts w:hint="default" w:ascii="Times New Roman" w:hAnsi="Times New Roman" w:eastAsia="黑体" w:cs="Times New Roman"/>
          <w:b/>
          <w:color w:val="000000" w:themeColor="text1"/>
          <w14:textFill>
            <w14:solidFill>
              <w14:schemeClr w14:val="tx1"/>
            </w14:solidFill>
          </w14:textFill>
        </w:rPr>
      </w:pPr>
    </w:p>
    <w:p w14:paraId="2FA097DF">
      <w:pPr>
        <w:jc w:val="center"/>
        <w:rPr>
          <w:rFonts w:hint="default" w:ascii="Times New Roman" w:hAnsi="Times New Roman" w:eastAsia="黑体" w:cs="Times New Roman"/>
          <w:b/>
          <w:color w:val="000000" w:themeColor="text1"/>
          <w14:textFill>
            <w14:solidFill>
              <w14:schemeClr w14:val="tx1"/>
            </w14:solidFill>
          </w14:textFill>
        </w:rPr>
      </w:pPr>
    </w:p>
    <w:tbl>
      <w:tblPr>
        <w:tblStyle w:val="88"/>
        <w:tblW w:w="0" w:type="auto"/>
        <w:tblInd w:w="0" w:type="dxa"/>
        <w:tblLayout w:type="autofit"/>
        <w:tblCellMar>
          <w:top w:w="0" w:type="dxa"/>
          <w:left w:w="108" w:type="dxa"/>
          <w:bottom w:w="0" w:type="dxa"/>
          <w:right w:w="108" w:type="dxa"/>
        </w:tblCellMar>
      </w:tblPr>
      <w:tblGrid>
        <w:gridCol w:w="3085"/>
        <w:gridCol w:w="5444"/>
      </w:tblGrid>
      <w:tr w14:paraId="6ED5A4CF">
        <w:tblPrEx>
          <w:tblCellMar>
            <w:top w:w="0" w:type="dxa"/>
            <w:left w:w="108" w:type="dxa"/>
            <w:bottom w:w="0" w:type="dxa"/>
            <w:right w:w="108" w:type="dxa"/>
          </w:tblCellMar>
        </w:tblPrEx>
        <w:tc>
          <w:tcPr>
            <w:tcW w:w="3085" w:type="dxa"/>
          </w:tcPr>
          <w:p w14:paraId="56E3E4D0">
            <w:pPr>
              <w:spacing w:line="220" w:lineRule="atLeast"/>
              <w:jc w:val="right"/>
              <w:rPr>
                <w:rFonts w:hint="default" w:ascii="Times New Roman" w:hAnsi="Times New Roman" w:eastAsia="黑体" w:cs="Times New Roman"/>
                <w:color w:val="000000" w:themeColor="text1"/>
                <w:sz w:val="28"/>
                <w14:textFill>
                  <w14:solidFill>
                    <w14:schemeClr w14:val="tx1"/>
                  </w14:solidFill>
                </w14:textFill>
              </w:rPr>
            </w:pPr>
            <w:r>
              <w:rPr>
                <w:rFonts w:hint="default" w:ascii="Times New Roman" w:hAnsi="Times New Roman" w:eastAsia="黑体" w:cs="Times New Roman"/>
                <w:color w:val="000000" w:themeColor="text1"/>
                <w:sz w:val="28"/>
                <w:szCs w:val="32"/>
                <w14:textFill>
                  <w14:solidFill>
                    <w14:schemeClr w14:val="tx1"/>
                  </w14:solidFill>
                </w14:textFill>
              </w:rPr>
              <w:t>建设单位：</w:t>
            </w:r>
          </w:p>
        </w:tc>
        <w:tc>
          <w:tcPr>
            <w:tcW w:w="5444" w:type="dxa"/>
          </w:tcPr>
          <w:p w14:paraId="066C05EC">
            <w:pPr>
              <w:spacing w:line="220" w:lineRule="atLeast"/>
              <w:ind w:firstLine="276" w:firstLineChars="100"/>
              <w:rPr>
                <w:rFonts w:hint="default" w:ascii="Times New Roman" w:hAnsi="Times New Roman" w:eastAsia="黑体" w:cs="Times New Roman"/>
                <w:color w:val="000000" w:themeColor="text1"/>
                <w:sz w:val="28"/>
                <w:lang w:eastAsia="zh-CN"/>
                <w14:textFill>
                  <w14:solidFill>
                    <w14:schemeClr w14:val="tx1"/>
                  </w14:solidFill>
                </w14:textFill>
              </w:rPr>
            </w:pPr>
            <w:r>
              <w:rPr>
                <w:rFonts w:hint="default" w:ascii="Times New Roman" w:hAnsi="Times New Roman" w:eastAsia="黑体" w:cs="Times New Roman"/>
                <w:color w:val="000000" w:themeColor="text1"/>
                <w:sz w:val="28"/>
                <w:szCs w:val="44"/>
                <w:lang w:eastAsia="zh-CN"/>
                <w14:textFill>
                  <w14:solidFill>
                    <w14:schemeClr w14:val="tx1"/>
                  </w14:solidFill>
                </w14:textFill>
              </w:rPr>
              <w:t>安徽楹聚环保科技有限公司</w:t>
            </w:r>
          </w:p>
        </w:tc>
      </w:tr>
      <w:tr w14:paraId="693069CD">
        <w:tblPrEx>
          <w:tblCellMar>
            <w:top w:w="0" w:type="dxa"/>
            <w:left w:w="108" w:type="dxa"/>
            <w:bottom w:w="0" w:type="dxa"/>
            <w:right w:w="108" w:type="dxa"/>
          </w:tblCellMar>
        </w:tblPrEx>
        <w:tc>
          <w:tcPr>
            <w:tcW w:w="3085" w:type="dxa"/>
          </w:tcPr>
          <w:p w14:paraId="6263279B">
            <w:pPr>
              <w:spacing w:line="220" w:lineRule="atLeast"/>
              <w:jc w:val="right"/>
              <w:rPr>
                <w:rFonts w:hint="default" w:ascii="Times New Roman" w:hAnsi="Times New Roman" w:eastAsia="黑体" w:cs="Times New Roman"/>
                <w:color w:val="000000" w:themeColor="text1"/>
                <w:sz w:val="28"/>
                <w14:textFill>
                  <w14:solidFill>
                    <w14:schemeClr w14:val="tx1"/>
                  </w14:solidFill>
                </w14:textFill>
              </w:rPr>
            </w:pPr>
            <w:r>
              <w:rPr>
                <w:rFonts w:hint="default" w:ascii="Times New Roman" w:hAnsi="Times New Roman" w:eastAsia="黑体" w:cs="Times New Roman"/>
                <w:color w:val="000000" w:themeColor="text1"/>
                <w:sz w:val="28"/>
                <w:szCs w:val="32"/>
                <w14:textFill>
                  <w14:solidFill>
                    <w14:schemeClr w14:val="tx1"/>
                  </w14:solidFill>
                </w14:textFill>
              </w:rPr>
              <w:t>编制单位：</w:t>
            </w:r>
          </w:p>
        </w:tc>
        <w:tc>
          <w:tcPr>
            <w:tcW w:w="5444" w:type="dxa"/>
          </w:tcPr>
          <w:p w14:paraId="4C898F7B">
            <w:pPr>
              <w:spacing w:line="220" w:lineRule="atLeast"/>
              <w:ind w:firstLine="276" w:firstLineChars="100"/>
              <w:rPr>
                <w:rFonts w:hint="default" w:ascii="Times New Roman" w:hAnsi="Times New Roman" w:eastAsia="黑体" w:cs="Times New Roman"/>
                <w:color w:val="000000" w:themeColor="text1"/>
                <w:sz w:val="28"/>
                <w:lang w:eastAsia="zh-CN"/>
                <w14:textFill>
                  <w14:solidFill>
                    <w14:schemeClr w14:val="tx1"/>
                  </w14:solidFill>
                </w14:textFill>
              </w:rPr>
            </w:pPr>
            <w:r>
              <w:rPr>
                <w:rFonts w:hint="default" w:ascii="Times New Roman" w:hAnsi="Times New Roman" w:eastAsia="黑体" w:cs="Times New Roman"/>
                <w:color w:val="000000" w:themeColor="text1"/>
                <w:sz w:val="28"/>
                <w:szCs w:val="32"/>
                <w:lang w:eastAsia="zh-CN"/>
                <w14:textFill>
                  <w14:solidFill>
                    <w14:schemeClr w14:val="tx1"/>
                  </w14:solidFill>
                </w14:textFill>
              </w:rPr>
              <w:t>安徽应天环保科技咨询有限公司</w:t>
            </w:r>
          </w:p>
        </w:tc>
      </w:tr>
      <w:tr w14:paraId="48A8E08A">
        <w:tblPrEx>
          <w:tblCellMar>
            <w:top w:w="0" w:type="dxa"/>
            <w:left w:w="108" w:type="dxa"/>
            <w:bottom w:w="0" w:type="dxa"/>
            <w:right w:w="108" w:type="dxa"/>
          </w:tblCellMar>
        </w:tblPrEx>
        <w:tc>
          <w:tcPr>
            <w:tcW w:w="8529" w:type="dxa"/>
            <w:gridSpan w:val="2"/>
          </w:tcPr>
          <w:p w14:paraId="390D2EDF">
            <w:pPr>
              <w:spacing w:line="220" w:lineRule="atLeast"/>
              <w:jc w:val="center"/>
              <w:rPr>
                <w:rFonts w:hint="default" w:ascii="Times New Roman" w:hAnsi="Times New Roman" w:eastAsia="黑体" w:cs="Times New Roman"/>
                <w:color w:val="000000" w:themeColor="text1"/>
                <w:sz w:val="28"/>
                <w:lang w:val="en-US" w:eastAsia="zh-CN"/>
                <w14:textFill>
                  <w14:solidFill>
                    <w14:schemeClr w14:val="tx1"/>
                  </w14:solidFill>
                </w14:textFill>
              </w:rPr>
            </w:pPr>
            <w:r>
              <w:rPr>
                <w:rFonts w:hint="default" w:ascii="Times New Roman" w:hAnsi="Times New Roman" w:eastAsia="黑体" w:cs="Times New Roman"/>
                <w:color w:val="000000" w:themeColor="text1"/>
                <w:sz w:val="28"/>
                <w14:textFill>
                  <w14:solidFill>
                    <w14:schemeClr w14:val="tx1"/>
                  </w14:solidFill>
                </w14:textFill>
              </w:rPr>
              <w:t>二</w:t>
            </w:r>
            <w:r>
              <w:rPr>
                <w:rFonts w:hint="eastAsia" w:ascii="Times New Roman" w:hAnsi="Times New Roman" w:eastAsia="黑体" w:cs="Times New Roman"/>
                <w:color w:val="000000" w:themeColor="text1"/>
                <w:sz w:val="28"/>
                <w:lang w:val="en-US" w:eastAsia="zh-CN"/>
                <w14:textFill>
                  <w14:solidFill>
                    <w14:schemeClr w14:val="tx1"/>
                  </w14:solidFill>
                </w14:textFill>
              </w:rPr>
              <w:t>O</w:t>
            </w:r>
            <w:r>
              <w:rPr>
                <w:rFonts w:hint="default" w:ascii="Times New Roman" w:hAnsi="Times New Roman" w:eastAsia="黑体" w:cs="Times New Roman"/>
                <w:color w:val="000000" w:themeColor="text1"/>
                <w:sz w:val="28"/>
                <w14:textFill>
                  <w14:solidFill>
                    <w14:schemeClr w14:val="tx1"/>
                  </w14:solidFill>
                </w14:textFill>
              </w:rPr>
              <w:t>二</w:t>
            </w:r>
            <w:r>
              <w:rPr>
                <w:rFonts w:hint="default" w:ascii="Times New Roman" w:hAnsi="Times New Roman" w:eastAsia="黑体" w:cs="Times New Roman"/>
                <w:color w:val="000000" w:themeColor="text1"/>
                <w:sz w:val="28"/>
                <w:lang w:eastAsia="zh-CN"/>
                <w14:textFill>
                  <w14:solidFill>
                    <w14:schemeClr w14:val="tx1"/>
                  </w14:solidFill>
                </w14:textFill>
              </w:rPr>
              <w:t>六</w:t>
            </w:r>
            <w:r>
              <w:rPr>
                <w:rFonts w:hint="default" w:ascii="Times New Roman" w:hAnsi="Times New Roman" w:eastAsia="黑体" w:cs="Times New Roman"/>
                <w:color w:val="000000" w:themeColor="text1"/>
                <w:sz w:val="28"/>
                <w14:textFill>
                  <w14:solidFill>
                    <w14:schemeClr w14:val="tx1"/>
                  </w14:solidFill>
                </w14:textFill>
              </w:rPr>
              <w:t>年</w:t>
            </w:r>
            <w:r>
              <w:rPr>
                <w:rFonts w:hint="default" w:ascii="Times New Roman" w:hAnsi="Times New Roman" w:eastAsia="黑体" w:cs="Times New Roman"/>
                <w:color w:val="000000" w:themeColor="text1"/>
                <w:sz w:val="28"/>
                <w:lang w:val="en-US" w:eastAsia="zh-CN"/>
                <w14:textFill>
                  <w14:solidFill>
                    <w14:schemeClr w14:val="tx1"/>
                  </w14:solidFill>
                </w14:textFill>
              </w:rPr>
              <w:t>一月</w:t>
            </w:r>
          </w:p>
        </w:tc>
      </w:tr>
    </w:tbl>
    <w:p w14:paraId="058DBFC6">
      <w:pPr>
        <w:rPr>
          <w:rFonts w:hint="default" w:ascii="Times New Roman" w:hAnsi="Times New Roman" w:cs="Times New Roman"/>
          <w:color w:val="000000" w:themeColor="text1"/>
          <w14:textFill>
            <w14:solidFill>
              <w14:schemeClr w14:val="tx1"/>
            </w14:solidFill>
          </w14:textFill>
        </w:rPr>
        <w:sectPr>
          <w:headerReference r:id="rId4" w:type="first"/>
          <w:headerReference r:id="rId3" w:type="default"/>
          <w:footerReference r:id="rId5" w:type="default"/>
          <w:pgSz w:w="11907" w:h="16839"/>
          <w:pgMar w:top="1440" w:right="1797" w:bottom="1440" w:left="1797" w:header="680" w:footer="680" w:gutter="0"/>
          <w:pgBorders>
            <w:top w:val="none" w:sz="0" w:space="0"/>
            <w:left w:val="none" w:sz="0" w:space="0"/>
            <w:bottom w:val="none" w:sz="0" w:space="0"/>
            <w:right w:val="none" w:sz="0" w:space="0"/>
          </w:pgBorders>
          <w:pgNumType w:fmt="lowerRoman" w:start="1"/>
          <w:cols w:space="425" w:num="1"/>
          <w:titlePg/>
          <w:docGrid w:type="lines" w:linePitch="312" w:charSpace="0"/>
        </w:sectPr>
      </w:pPr>
    </w:p>
    <w:p w14:paraId="111CF9EF">
      <w:pPr>
        <w:jc w:val="center"/>
        <w:rPr>
          <w:rFonts w:hint="default" w:ascii="Times New Roman" w:hAnsi="Times New Roman" w:eastAsia="黑体" w:cs="Times New Roman"/>
          <w:b/>
          <w:color w:val="000000" w:themeColor="text1"/>
          <w14:textFill>
            <w14:solidFill>
              <w14:schemeClr w14:val="tx1"/>
            </w14:solidFill>
          </w14:textFill>
        </w:rPr>
      </w:pPr>
      <w:r>
        <w:rPr>
          <w:rFonts w:hint="default" w:ascii="Times New Roman" w:hAnsi="Times New Roman" w:eastAsia="黑体" w:cs="Times New Roman"/>
          <w:b/>
          <w:color w:val="000000" w:themeColor="text1"/>
          <w:sz w:val="30"/>
          <w:szCs w:val="30"/>
          <w:lang w:val="zh-CN"/>
          <w14:textFill>
            <w14:solidFill>
              <w14:schemeClr w14:val="tx1"/>
            </w14:solidFill>
          </w14:textFill>
        </w:rPr>
        <w:t>目录</w:t>
      </w:r>
    </w:p>
    <w:p w14:paraId="300CC22F">
      <w:pPr>
        <w:pStyle w:val="60"/>
        <w:tabs>
          <w:tab w:val="right" w:leader="dot" w:pos="8303"/>
        </w:tabs>
        <w:rPr>
          <w:rStyle w:val="101"/>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TOC \o "1-3" \h \z \u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HYPERLINK \l "_Toc173837591" </w:instrText>
      </w:r>
      <w:r>
        <w:rPr>
          <w:rFonts w:hint="default" w:ascii="Times New Roman" w:hAnsi="Times New Roman" w:cs="Times New Roman"/>
          <w:color w:val="000000" w:themeColor="text1"/>
          <w14:textFill>
            <w14:solidFill>
              <w14:schemeClr w14:val="tx1"/>
            </w14:solidFill>
          </w14:textFill>
        </w:rPr>
        <w:fldChar w:fldCharType="separate"/>
      </w:r>
      <w:r>
        <w:rPr>
          <w:rStyle w:val="101"/>
          <w:rFonts w:hint="default" w:ascii="Times New Roman" w:hAnsi="Times New Roman" w:cs="Times New Roman"/>
          <w:color w:val="000000" w:themeColor="text1"/>
          <w:sz w:val="24"/>
          <w:szCs w:val="24"/>
          <w14:textFill>
            <w14:solidFill>
              <w14:schemeClr w14:val="tx1"/>
            </w14:solidFill>
          </w14:textFill>
        </w:rPr>
        <w:t>1概述</w:t>
      </w:r>
      <w:r>
        <w:rPr>
          <w:rStyle w:val="101"/>
          <w:rFonts w:hint="default" w:ascii="Times New Roman" w:hAnsi="Times New Roman" w:cs="Times New Roman"/>
          <w:color w:val="000000" w:themeColor="text1"/>
          <w:sz w:val="24"/>
          <w:szCs w:val="24"/>
          <w14:textFill>
            <w14:solidFill>
              <w14:schemeClr w14:val="tx1"/>
            </w14:solidFill>
          </w14:textFill>
        </w:rPr>
        <w:tab/>
      </w:r>
      <w:r>
        <w:rPr>
          <w:rStyle w:val="101"/>
          <w:rFonts w:hint="default" w:ascii="Times New Roman" w:hAnsi="Times New Roman" w:cs="Times New Roman"/>
          <w:color w:val="000000" w:themeColor="text1"/>
          <w:sz w:val="24"/>
          <w:szCs w:val="24"/>
          <w14:textFill>
            <w14:solidFill>
              <w14:schemeClr w14:val="tx1"/>
            </w14:solidFill>
          </w14:textFill>
        </w:rPr>
        <w:fldChar w:fldCharType="begin"/>
      </w:r>
      <w:r>
        <w:rPr>
          <w:rStyle w:val="101"/>
          <w:rFonts w:hint="default" w:ascii="Times New Roman" w:hAnsi="Times New Roman" w:cs="Times New Roman"/>
          <w:color w:val="000000" w:themeColor="text1"/>
          <w:sz w:val="24"/>
          <w:szCs w:val="24"/>
          <w14:textFill>
            <w14:solidFill>
              <w14:schemeClr w14:val="tx1"/>
            </w14:solidFill>
          </w14:textFill>
        </w:rPr>
        <w:instrText xml:space="preserve"> PAGEREF _Toc173837591 \h </w:instrText>
      </w:r>
      <w:r>
        <w:rPr>
          <w:rStyle w:val="101"/>
          <w:rFonts w:hint="default" w:ascii="Times New Roman" w:hAnsi="Times New Roman" w:cs="Times New Roman"/>
          <w:color w:val="000000" w:themeColor="text1"/>
          <w:sz w:val="24"/>
          <w:szCs w:val="24"/>
          <w14:textFill>
            <w14:solidFill>
              <w14:schemeClr w14:val="tx1"/>
            </w14:solidFill>
          </w14:textFill>
        </w:rPr>
        <w:fldChar w:fldCharType="separate"/>
      </w:r>
      <w:r>
        <w:rPr>
          <w:rStyle w:val="101"/>
          <w:rFonts w:hint="default" w:ascii="Times New Roman" w:hAnsi="Times New Roman" w:cs="Times New Roman"/>
          <w:color w:val="000000" w:themeColor="text1"/>
          <w:sz w:val="24"/>
          <w:szCs w:val="24"/>
          <w14:textFill>
            <w14:solidFill>
              <w14:schemeClr w14:val="tx1"/>
            </w14:solidFill>
          </w14:textFill>
        </w:rPr>
        <w:t>1</w:t>
      </w:r>
      <w:r>
        <w:rPr>
          <w:rStyle w:val="101"/>
          <w:rFonts w:hint="default" w:ascii="Times New Roman" w:hAnsi="Times New Roman" w:cs="Times New Roman"/>
          <w:color w:val="000000" w:themeColor="text1"/>
          <w:sz w:val="24"/>
          <w:szCs w:val="24"/>
          <w14:textFill>
            <w14:solidFill>
              <w14:schemeClr w14:val="tx1"/>
            </w14:solidFill>
          </w14:textFill>
        </w:rPr>
        <w:fldChar w:fldCharType="end"/>
      </w:r>
      <w:r>
        <w:rPr>
          <w:rStyle w:val="101"/>
          <w:rFonts w:hint="default" w:ascii="Times New Roman" w:hAnsi="Times New Roman" w:cs="Times New Roman"/>
          <w:color w:val="000000" w:themeColor="text1"/>
          <w:sz w:val="24"/>
          <w:szCs w:val="24"/>
          <w14:textFill>
            <w14:solidFill>
              <w14:schemeClr w14:val="tx1"/>
            </w14:solidFill>
          </w14:textFill>
        </w:rPr>
        <w:fldChar w:fldCharType="end"/>
      </w:r>
    </w:p>
    <w:p w14:paraId="0FADED1F">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"_Toc173837592"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1.1建设项目概况</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_Toc173837592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1</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17CB2E68">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"_Toc173837593"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1.2项目特点</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_Toc173837593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2</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5793092B">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"_Toc173837594"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1.3项目相关符合性分析判定</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3</w:t>
      </w:r>
      <w:r>
        <w:rPr>
          <w:rFonts w:hint="default" w:ascii="Times New Roman" w:hAnsi="Times New Roman" w:eastAsia="黑体" w:cs="Times New Roman"/>
          <w:color w:val="000000" w:themeColor="text1"/>
          <w14:textFill>
            <w14:solidFill>
              <w14:schemeClr w14:val="tx1"/>
            </w14:solidFill>
          </w14:textFill>
        </w:rPr>
        <w:fldChar w:fldCharType="end"/>
      </w:r>
    </w:p>
    <w:p w14:paraId="19AFF641">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"_Toc173837600"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1.4环境影响评价过程</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_Toc173837600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5</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181E3526">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"_Toc173837601"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1.5本项目主要关注的问题</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6</w:t>
      </w:r>
      <w:r>
        <w:rPr>
          <w:rFonts w:hint="default" w:ascii="Times New Roman" w:hAnsi="Times New Roman" w:eastAsia="黑体" w:cs="Times New Roman"/>
          <w:color w:val="000000" w:themeColor="text1"/>
          <w14:textFill>
            <w14:solidFill>
              <w14:schemeClr w14:val="tx1"/>
            </w14:solidFill>
          </w14:textFill>
        </w:rPr>
        <w:fldChar w:fldCharType="end"/>
      </w:r>
    </w:p>
    <w:p w14:paraId="40813FEB">
      <w:pPr>
        <w:pStyle w:val="75"/>
        <w:rPr>
          <w:rFonts w:hint="default" w:ascii="Times New Roman" w:hAnsi="Times New Roman" w:cs="Times New Roman" w:eastAsiaTheme="minorEastAsia"/>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"_Toc173837602"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1.6环境影响报告书主要结论</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_Toc173837602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6</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287F572E">
      <w:pPr>
        <w:pStyle w:val="60"/>
        <w:tabs>
          <w:tab w:val="right" w:leader="dot" w:pos="8303"/>
        </w:tabs>
        <w:rPr>
          <w:rFonts w:hint="default" w:ascii="Times New Roman" w:hAnsi="Times New Roman" w:cs="Times New Roman" w:eastAsiaTheme="minorEastAsia"/>
          <w:smallCaps w:val="0"/>
          <w:color w:val="000000" w:themeColor="text1"/>
          <w:spacing w:val="0"/>
          <w:kern w:val="2"/>
          <w:sz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HYPERLINK \l "_Toc173837603" </w:instrText>
      </w:r>
      <w:r>
        <w:rPr>
          <w:rFonts w:hint="default" w:ascii="Times New Roman" w:hAnsi="Times New Roman" w:cs="Times New Roman"/>
          <w:color w:val="000000" w:themeColor="text1"/>
          <w14:textFill>
            <w14:solidFill>
              <w14:schemeClr w14:val="tx1"/>
            </w14:solidFill>
          </w14:textFill>
        </w:rPr>
        <w:fldChar w:fldCharType="separate"/>
      </w:r>
      <w:r>
        <w:rPr>
          <w:rStyle w:val="101"/>
          <w:rFonts w:hint="default" w:ascii="Times New Roman" w:hAnsi="Times New Roman" w:cs="Times New Roman"/>
          <w:color w:val="000000" w:themeColor="text1"/>
          <w:sz w:val="24"/>
          <w:szCs w:val="24"/>
          <w14:textFill>
            <w14:solidFill>
              <w14:schemeClr w14:val="tx1"/>
            </w14:solidFill>
          </w14:textFill>
        </w:rPr>
        <w:t>2总则</w:t>
      </w:r>
      <w:r>
        <w:rPr>
          <w:rStyle w:val="101"/>
          <w:rFonts w:hint="default" w:ascii="Times New Roman" w:hAnsi="Times New Roman" w:cs="Times New Roman"/>
          <w:color w:val="000000" w:themeColor="text1"/>
          <w:sz w:val="24"/>
          <w:szCs w:val="24"/>
          <w14:textFill>
            <w14:solidFill>
              <w14:schemeClr w14:val="tx1"/>
            </w14:solidFill>
          </w14:textFill>
        </w:rPr>
        <w:tab/>
      </w:r>
      <w:r>
        <w:rPr>
          <w:rStyle w:val="101"/>
          <w:rFonts w:hint="default" w:ascii="Times New Roman" w:hAnsi="Times New Roman" w:cs="Times New Roman"/>
          <w:color w:val="000000" w:themeColor="text1"/>
          <w:sz w:val="24"/>
          <w:szCs w:val="24"/>
          <w14:textFill>
            <w14:solidFill>
              <w14:schemeClr w14:val="tx1"/>
            </w14:solidFill>
          </w14:textFill>
        </w:rPr>
        <w:fldChar w:fldCharType="begin"/>
      </w:r>
      <w:r>
        <w:rPr>
          <w:rStyle w:val="101"/>
          <w:rFonts w:hint="default" w:ascii="Times New Roman" w:hAnsi="Times New Roman" w:cs="Times New Roman"/>
          <w:color w:val="000000" w:themeColor="text1"/>
          <w:sz w:val="24"/>
          <w:szCs w:val="24"/>
          <w14:textFill>
            <w14:solidFill>
              <w14:schemeClr w14:val="tx1"/>
            </w14:solidFill>
          </w14:textFill>
        </w:rPr>
        <w:instrText xml:space="preserve"> PAGEREF _Toc173837603 \h </w:instrText>
      </w:r>
      <w:r>
        <w:rPr>
          <w:rStyle w:val="101"/>
          <w:rFonts w:hint="default" w:ascii="Times New Roman" w:hAnsi="Times New Roman" w:cs="Times New Roman"/>
          <w:color w:val="000000" w:themeColor="text1"/>
          <w:sz w:val="24"/>
          <w:szCs w:val="24"/>
          <w14:textFill>
            <w14:solidFill>
              <w14:schemeClr w14:val="tx1"/>
            </w14:solidFill>
          </w14:textFill>
        </w:rPr>
        <w:fldChar w:fldCharType="separate"/>
      </w:r>
      <w:r>
        <w:rPr>
          <w:rStyle w:val="101"/>
          <w:rFonts w:hint="default" w:ascii="Times New Roman" w:hAnsi="Times New Roman" w:cs="Times New Roman"/>
          <w:color w:val="000000" w:themeColor="text1"/>
          <w:sz w:val="24"/>
          <w:szCs w:val="24"/>
          <w14:textFill>
            <w14:solidFill>
              <w14:schemeClr w14:val="tx1"/>
            </w14:solidFill>
          </w14:textFill>
        </w:rPr>
        <w:t>8</w:t>
      </w:r>
      <w:r>
        <w:rPr>
          <w:rStyle w:val="101"/>
          <w:rFonts w:hint="default" w:ascii="Times New Roman" w:hAnsi="Times New Roman" w:cs="Times New Roman"/>
          <w:color w:val="000000" w:themeColor="text1"/>
          <w:sz w:val="24"/>
          <w:szCs w:val="24"/>
          <w14:textFill>
            <w14:solidFill>
              <w14:schemeClr w14:val="tx1"/>
            </w14:solidFill>
          </w14:textFill>
        </w:rPr>
        <w:fldChar w:fldCharType="end"/>
      </w:r>
      <w:r>
        <w:rPr>
          <w:rStyle w:val="101"/>
          <w:rFonts w:hint="default" w:ascii="Times New Roman" w:hAnsi="Times New Roman" w:cs="Times New Roman"/>
          <w:color w:val="000000" w:themeColor="text1"/>
          <w:sz w:val="24"/>
          <w:szCs w:val="24"/>
          <w14:textFill>
            <w14:solidFill>
              <w14:schemeClr w14:val="tx1"/>
            </w14:solidFill>
          </w14:textFill>
        </w:rPr>
        <w:fldChar w:fldCharType="end"/>
      </w:r>
    </w:p>
    <w:p w14:paraId="3DC8C9B8">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"_Toc173837609"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2.</w:t>
      </w:r>
      <w:r>
        <w:rPr>
          <w:rStyle w:val="101"/>
          <w:rFonts w:hint="default" w:ascii="Times New Roman" w:hAnsi="Times New Roman" w:eastAsia="黑体" w:cs="Times New Roman"/>
          <w:color w:val="000000" w:themeColor="text1"/>
          <w:lang w:val="en-US" w:eastAsia="zh-CN"/>
          <w14:textFill>
            <w14:solidFill>
              <w14:schemeClr w14:val="tx1"/>
            </w14:solidFill>
          </w14:textFill>
        </w:rPr>
        <w:t>1</w:t>
      </w:r>
      <w:r>
        <w:rPr>
          <w:rStyle w:val="101"/>
          <w:rFonts w:hint="default" w:ascii="Times New Roman" w:hAnsi="Times New Roman" w:eastAsia="黑体" w:cs="Times New Roman"/>
          <w:color w:val="000000" w:themeColor="text1"/>
          <w14:textFill>
            <w14:solidFill>
              <w14:schemeClr w14:val="tx1"/>
            </w14:solidFill>
          </w14:textFill>
        </w:rPr>
        <w:t>编制依据</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8</w:t>
      </w:r>
    </w:p>
    <w:p w14:paraId="413494EE">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"_Toc173837614"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2.</w:t>
      </w:r>
      <w:r>
        <w:rPr>
          <w:rStyle w:val="101"/>
          <w:rFonts w:hint="default" w:ascii="Times New Roman" w:hAnsi="Times New Roman" w:eastAsia="黑体" w:cs="Times New Roman"/>
          <w:color w:val="000000" w:themeColor="text1"/>
          <w:lang w:val="en-US" w:eastAsia="zh-CN"/>
          <w14:textFill>
            <w14:solidFill>
              <w14:schemeClr w14:val="tx1"/>
            </w14:solidFill>
          </w14:textFill>
        </w:rPr>
        <w:t>2</w:t>
      </w:r>
      <w:r>
        <w:rPr>
          <w:rStyle w:val="101"/>
          <w:rFonts w:hint="default" w:ascii="Times New Roman" w:hAnsi="Times New Roman" w:eastAsia="黑体" w:cs="Times New Roman"/>
          <w:color w:val="000000" w:themeColor="text1"/>
          <w14:textFill>
            <w14:solidFill>
              <w14:schemeClr w14:val="tx1"/>
            </w14:solidFill>
          </w14:textFill>
        </w:rPr>
        <w:t>评价因子与评价标准</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_Toc173837614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11</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3103594E">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"_Toc173837617"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2.</w:t>
      </w:r>
      <w:r>
        <w:rPr>
          <w:rStyle w:val="101"/>
          <w:rFonts w:hint="default" w:ascii="Times New Roman" w:hAnsi="Times New Roman" w:eastAsia="黑体" w:cs="Times New Roman"/>
          <w:color w:val="000000" w:themeColor="text1"/>
          <w:lang w:val="en-US" w:eastAsia="zh-CN"/>
          <w14:textFill>
            <w14:solidFill>
              <w14:schemeClr w14:val="tx1"/>
            </w14:solidFill>
          </w14:textFill>
        </w:rPr>
        <w:t>3</w:t>
      </w:r>
      <w:r>
        <w:rPr>
          <w:rStyle w:val="101"/>
          <w:rFonts w:hint="default" w:ascii="Times New Roman" w:hAnsi="Times New Roman" w:eastAsia="黑体" w:cs="Times New Roman"/>
          <w:color w:val="000000" w:themeColor="text1"/>
          <w14:textFill>
            <w14:solidFill>
              <w14:schemeClr w14:val="tx1"/>
            </w14:solidFill>
          </w14:textFill>
        </w:rPr>
        <w:t>评价工作等级</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_Toc173837617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12</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7DFCDB3F">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"_Toc173837625"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2.</w:t>
      </w:r>
      <w:r>
        <w:rPr>
          <w:rStyle w:val="101"/>
          <w:rFonts w:hint="default" w:ascii="Times New Roman" w:hAnsi="Times New Roman" w:eastAsia="黑体" w:cs="Times New Roman"/>
          <w:color w:val="000000" w:themeColor="text1"/>
          <w:lang w:val="en-US" w:eastAsia="zh-CN"/>
          <w14:textFill>
            <w14:solidFill>
              <w14:schemeClr w14:val="tx1"/>
            </w14:solidFill>
          </w14:textFill>
        </w:rPr>
        <w:t>4</w:t>
      </w:r>
      <w:r>
        <w:rPr>
          <w:rStyle w:val="101"/>
          <w:rFonts w:hint="default" w:ascii="Times New Roman" w:hAnsi="Times New Roman" w:eastAsia="黑体" w:cs="Times New Roman"/>
          <w:color w:val="000000" w:themeColor="text1"/>
          <w14:textFill>
            <w14:solidFill>
              <w14:schemeClr w14:val="tx1"/>
            </w14:solidFill>
          </w14:textFill>
        </w:rPr>
        <w:t>评价范围</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_Toc173837625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18</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57B4B4A2">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"_Toc173837627"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2.</w:t>
      </w:r>
      <w:r>
        <w:rPr>
          <w:rStyle w:val="101"/>
          <w:rFonts w:hint="default" w:ascii="Times New Roman" w:hAnsi="Times New Roman" w:eastAsia="黑体" w:cs="Times New Roman"/>
          <w:color w:val="000000" w:themeColor="text1"/>
          <w:lang w:val="en-US" w:eastAsia="zh-CN"/>
          <w14:textFill>
            <w14:solidFill>
              <w14:schemeClr w14:val="tx1"/>
            </w14:solidFill>
          </w14:textFill>
        </w:rPr>
        <w:t>5</w:t>
      </w:r>
      <w:r>
        <w:rPr>
          <w:rStyle w:val="101"/>
          <w:rFonts w:hint="default" w:ascii="Times New Roman" w:hAnsi="Times New Roman" w:eastAsia="黑体" w:cs="Times New Roman"/>
          <w:color w:val="000000" w:themeColor="text1"/>
          <w14:textFill>
            <w14:solidFill>
              <w14:schemeClr w14:val="tx1"/>
            </w14:solidFill>
          </w14:textFill>
        </w:rPr>
        <w:t>评价标准</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_Toc173837627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19</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6E2A2147">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"_Toc173837630"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2.</w:t>
      </w:r>
      <w:r>
        <w:rPr>
          <w:rStyle w:val="101"/>
          <w:rFonts w:hint="default" w:ascii="Times New Roman" w:hAnsi="Times New Roman" w:eastAsia="黑体" w:cs="Times New Roman"/>
          <w:color w:val="000000" w:themeColor="text1"/>
          <w:lang w:val="en-US" w:eastAsia="zh-CN"/>
          <w14:textFill>
            <w14:solidFill>
              <w14:schemeClr w14:val="tx1"/>
            </w14:solidFill>
          </w14:textFill>
        </w:rPr>
        <w:t>6</w:t>
      </w:r>
      <w:r>
        <w:rPr>
          <w:rStyle w:val="101"/>
          <w:rFonts w:hint="default" w:ascii="Times New Roman" w:hAnsi="Times New Roman" w:eastAsia="黑体" w:cs="Times New Roman"/>
          <w:color w:val="000000" w:themeColor="text1"/>
          <w14:textFill>
            <w14:solidFill>
              <w14:schemeClr w14:val="tx1"/>
            </w14:solidFill>
          </w14:textFill>
        </w:rPr>
        <w:t>项目相关政策符合性分析</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_Toc173837630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25</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0730ED9C">
      <w:pPr>
        <w:pStyle w:val="75"/>
        <w:rPr>
          <w:rFonts w:hint="default" w:ascii="Times New Roman" w:hAnsi="Times New Roman" w:cs="Times New Roman" w:eastAsiaTheme="minorEastAsia"/>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"_Toc173837635"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2.</w:t>
      </w:r>
      <w:r>
        <w:rPr>
          <w:rStyle w:val="101"/>
          <w:rFonts w:hint="default" w:ascii="Times New Roman" w:hAnsi="Times New Roman" w:eastAsia="黑体" w:cs="Times New Roman"/>
          <w:color w:val="000000" w:themeColor="text1"/>
          <w:lang w:val="en-US" w:eastAsia="zh-CN"/>
          <w14:textFill>
            <w14:solidFill>
              <w14:schemeClr w14:val="tx1"/>
            </w14:solidFill>
          </w14:textFill>
        </w:rPr>
        <w:t>7</w:t>
      </w:r>
      <w:r>
        <w:rPr>
          <w:rStyle w:val="101"/>
          <w:rFonts w:hint="default" w:ascii="Times New Roman" w:hAnsi="Times New Roman" w:eastAsia="黑体" w:cs="Times New Roman"/>
          <w:color w:val="000000" w:themeColor="text1"/>
          <w14:textFill>
            <w14:solidFill>
              <w14:schemeClr w14:val="tx1"/>
            </w14:solidFill>
          </w14:textFill>
        </w:rPr>
        <w:t>环境保护目标</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_Toc173837635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106</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1D20426F">
      <w:pPr>
        <w:pStyle w:val="60"/>
        <w:tabs>
          <w:tab w:val="right" w:leader="dot" w:pos="8303"/>
        </w:tabs>
        <w:rPr>
          <w:rStyle w:val="101"/>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HYPERLINK \l "_Toc173837636" </w:instrText>
      </w:r>
      <w:r>
        <w:rPr>
          <w:rFonts w:hint="default" w:ascii="Times New Roman" w:hAnsi="Times New Roman" w:cs="Times New Roman"/>
          <w:color w:val="000000" w:themeColor="text1"/>
          <w14:textFill>
            <w14:solidFill>
              <w14:schemeClr w14:val="tx1"/>
            </w14:solidFill>
          </w14:textFill>
        </w:rPr>
        <w:fldChar w:fldCharType="separate"/>
      </w:r>
      <w:r>
        <w:rPr>
          <w:rStyle w:val="101"/>
          <w:rFonts w:hint="default" w:ascii="Times New Roman" w:hAnsi="Times New Roman" w:cs="Times New Roman"/>
          <w:color w:val="000000" w:themeColor="text1"/>
          <w:sz w:val="24"/>
          <w:szCs w:val="24"/>
          <w14:textFill>
            <w14:solidFill>
              <w14:schemeClr w14:val="tx1"/>
            </w14:solidFill>
          </w14:textFill>
        </w:rPr>
        <w:t>3建设项目工程分析</w:t>
      </w:r>
      <w:r>
        <w:rPr>
          <w:rStyle w:val="101"/>
          <w:rFonts w:hint="default" w:ascii="Times New Roman" w:hAnsi="Times New Roman" w:cs="Times New Roman"/>
          <w:color w:val="000000" w:themeColor="text1"/>
          <w:sz w:val="24"/>
          <w:szCs w:val="24"/>
          <w14:textFill>
            <w14:solidFill>
              <w14:schemeClr w14:val="tx1"/>
            </w14:solidFill>
          </w14:textFill>
        </w:rPr>
        <w:tab/>
      </w:r>
      <w:r>
        <w:rPr>
          <w:rStyle w:val="101"/>
          <w:rFonts w:hint="default" w:ascii="Times New Roman" w:hAnsi="Times New Roman" w:cs="Times New Roman"/>
          <w:color w:val="000000" w:themeColor="text1"/>
          <w:sz w:val="24"/>
          <w:szCs w:val="24"/>
          <w14:textFill>
            <w14:solidFill>
              <w14:schemeClr w14:val="tx1"/>
            </w14:solidFill>
          </w14:textFill>
        </w:rPr>
        <w:fldChar w:fldCharType="begin"/>
      </w:r>
      <w:r>
        <w:rPr>
          <w:rStyle w:val="101"/>
          <w:rFonts w:hint="default" w:ascii="Times New Roman" w:hAnsi="Times New Roman" w:cs="Times New Roman"/>
          <w:color w:val="000000" w:themeColor="text1"/>
          <w:sz w:val="24"/>
          <w:szCs w:val="24"/>
          <w14:textFill>
            <w14:solidFill>
              <w14:schemeClr w14:val="tx1"/>
            </w14:solidFill>
          </w14:textFill>
        </w:rPr>
        <w:instrText xml:space="preserve"> PAGEREF _Toc173837636 \h </w:instrText>
      </w:r>
      <w:r>
        <w:rPr>
          <w:rStyle w:val="101"/>
          <w:rFonts w:hint="default" w:ascii="Times New Roman" w:hAnsi="Times New Roman" w:cs="Times New Roman"/>
          <w:color w:val="000000" w:themeColor="text1"/>
          <w:sz w:val="24"/>
          <w:szCs w:val="24"/>
          <w14:textFill>
            <w14:solidFill>
              <w14:schemeClr w14:val="tx1"/>
            </w14:solidFill>
          </w14:textFill>
        </w:rPr>
        <w:fldChar w:fldCharType="separate"/>
      </w:r>
      <w:r>
        <w:rPr>
          <w:rStyle w:val="101"/>
          <w:rFonts w:hint="default" w:ascii="Times New Roman" w:hAnsi="Times New Roman" w:cs="Times New Roman"/>
          <w:color w:val="000000" w:themeColor="text1"/>
          <w:sz w:val="24"/>
          <w:szCs w:val="24"/>
          <w14:textFill>
            <w14:solidFill>
              <w14:schemeClr w14:val="tx1"/>
            </w14:solidFill>
          </w14:textFill>
        </w:rPr>
        <w:t>110</w:t>
      </w:r>
      <w:r>
        <w:rPr>
          <w:rStyle w:val="101"/>
          <w:rFonts w:hint="default" w:ascii="Times New Roman" w:hAnsi="Times New Roman" w:cs="Times New Roman"/>
          <w:color w:val="000000" w:themeColor="text1"/>
          <w:sz w:val="24"/>
          <w:szCs w:val="24"/>
          <w14:textFill>
            <w14:solidFill>
              <w14:schemeClr w14:val="tx1"/>
            </w14:solidFill>
          </w14:textFill>
        </w:rPr>
        <w:fldChar w:fldCharType="end"/>
      </w:r>
      <w:r>
        <w:rPr>
          <w:rStyle w:val="101"/>
          <w:rFonts w:hint="default" w:ascii="Times New Roman" w:hAnsi="Times New Roman" w:cs="Times New Roman"/>
          <w:color w:val="000000" w:themeColor="text1"/>
          <w:sz w:val="24"/>
          <w:szCs w:val="24"/>
          <w14:textFill>
            <w14:solidFill>
              <w14:schemeClr w14:val="tx1"/>
            </w14:solidFill>
          </w14:textFill>
        </w:rPr>
        <w:fldChar w:fldCharType="end"/>
      </w:r>
    </w:p>
    <w:p w14:paraId="4F866357">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"_Toc173837637"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3.1工程概况</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_Toc173837637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110</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784CA0EE">
      <w:pPr>
        <w:pStyle w:val="75"/>
        <w:rPr>
          <w:rFonts w:hint="default" w:ascii="Times New Roman" w:hAnsi="Times New Roman" w:eastAsia="黑体" w:cs="Times New Roman"/>
          <w:color w:val="000000" w:themeColor="text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"_Toc173837646"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3.2生产工艺流程及产污环节分析</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_Toc173837646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121</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61B5FF10">
      <w:pPr>
        <w:pStyle w:val="75"/>
        <w:rPr>
          <w:rFonts w:hint="eastAsia" w:ascii="Times New Roman" w:hAnsi="Times New Roman" w:eastAsia="黑体" w:cs="Times New Roman"/>
          <w:color w:val="000000" w:themeColor="text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"_Toc173837653"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3.3营运期污染源强分析及核算</w:t>
      </w:r>
      <w:r>
        <w:rPr>
          <w:rFonts w:hint="default" w:ascii="Times New Roman" w:hAnsi="Times New Roman" w:eastAsia="黑体" w:cs="Times New Roman"/>
          <w:color w:val="000000" w:themeColor="text1"/>
          <w14:textFill>
            <w14:solidFill>
              <w14:schemeClr w14:val="tx1"/>
            </w14:solidFill>
          </w14:textFill>
        </w:rPr>
        <w:tab/>
      </w:r>
      <w:r>
        <w:rPr>
          <w:rFonts w:hint="eastAsia" w:ascii="Times New Roman" w:hAnsi="Times New Roman" w:eastAsia="黑体" w:cs="Times New Roman"/>
          <w:color w:val="000000" w:themeColor="text1"/>
          <w:lang w:val="en-US" w:eastAsia="zh-CN"/>
          <w14:textFill>
            <w14:solidFill>
              <w14:schemeClr w14:val="tx1"/>
            </w14:solidFill>
          </w14:textFill>
        </w:rPr>
        <w:t>9</w:t>
      </w:r>
      <w:r>
        <w:rPr>
          <w:rFonts w:hint="default" w:ascii="Times New Roman" w:hAnsi="Times New Roman" w:eastAsia="黑体" w:cs="Times New Roman"/>
          <w:color w:val="000000" w:themeColor="text1"/>
          <w14:textFill>
            <w14:solidFill>
              <w14:schemeClr w14:val="tx1"/>
            </w14:solidFill>
          </w14:textFill>
        </w:rPr>
        <w:fldChar w:fldCharType="end"/>
      </w:r>
      <w:r>
        <w:rPr>
          <w:rFonts w:hint="eastAsia" w:ascii="Times New Roman" w:hAnsi="Times New Roman" w:eastAsia="黑体" w:cs="Times New Roman"/>
          <w:color w:val="000000" w:themeColor="text1"/>
          <w:lang w:val="en-US" w:eastAsia="zh-CN"/>
          <w14:textFill>
            <w14:solidFill>
              <w14:schemeClr w14:val="tx1"/>
            </w14:solidFill>
          </w14:textFill>
        </w:rPr>
        <w:t>4</w:t>
      </w:r>
    </w:p>
    <w:p w14:paraId="5501F4D5">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"_Toc173837661"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3.</w:t>
      </w:r>
      <w:r>
        <w:rPr>
          <w:rFonts w:hint="default" w:ascii="Times New Roman" w:hAnsi="Times New Roman" w:eastAsia="黑体" w:cs="Times New Roman"/>
          <w:color w:val="000000" w:themeColor="text1"/>
          <w:lang w:val="en-US" w:eastAsia="zh-CN"/>
          <w14:textFill>
            <w14:solidFill>
              <w14:schemeClr w14:val="tx1"/>
            </w14:solidFill>
          </w14:textFill>
        </w:rPr>
        <w:t>4</w:t>
      </w:r>
      <w:r>
        <w:rPr>
          <w:rFonts w:hint="default" w:ascii="Times New Roman" w:hAnsi="Times New Roman" w:eastAsia="黑体" w:cs="Times New Roman"/>
          <w:color w:val="000000" w:themeColor="text1"/>
          <w14:textFill>
            <w14:solidFill>
              <w14:schemeClr w14:val="tx1"/>
            </w14:solidFill>
          </w14:textFill>
        </w:rPr>
        <w:t>清洁生产</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end"/>
      </w:r>
      <w:r>
        <w:rPr>
          <w:rFonts w:hint="eastAsia" w:ascii="Times New Roman" w:hAnsi="Times New Roman" w:eastAsia="黑体" w:cs="Times New Roman"/>
          <w:color w:val="000000" w:themeColor="text1"/>
          <w:lang w:val="en-US" w:eastAsia="zh-CN"/>
          <w14:textFill>
            <w14:solidFill>
              <w14:schemeClr w14:val="tx1"/>
            </w14:solidFill>
          </w14:textFill>
        </w:rPr>
        <w:t>111</w:t>
      </w:r>
    </w:p>
    <w:p w14:paraId="5DFE7B33">
      <w:pPr>
        <w:pStyle w:val="60"/>
        <w:tabs>
          <w:tab w:val="right" w:leader="dot" w:pos="8303"/>
        </w:tabs>
        <w:rPr>
          <w:rStyle w:val="101"/>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HYPERLINK \l "_Toc173837669" </w:instrText>
      </w:r>
      <w:r>
        <w:rPr>
          <w:rFonts w:hint="default" w:ascii="Times New Roman" w:hAnsi="Times New Roman" w:cs="Times New Roman"/>
          <w:color w:val="000000" w:themeColor="text1"/>
          <w14:textFill>
            <w14:solidFill>
              <w14:schemeClr w14:val="tx1"/>
            </w14:solidFill>
          </w14:textFill>
        </w:rPr>
        <w:fldChar w:fldCharType="separate"/>
      </w:r>
      <w:r>
        <w:rPr>
          <w:rStyle w:val="101"/>
          <w:rFonts w:hint="default" w:ascii="Times New Roman" w:hAnsi="Times New Roman" w:cs="Times New Roman"/>
          <w:color w:val="000000" w:themeColor="text1"/>
          <w:sz w:val="24"/>
          <w:szCs w:val="24"/>
          <w14:textFill>
            <w14:solidFill>
              <w14:schemeClr w14:val="tx1"/>
            </w14:solidFill>
          </w14:textFill>
        </w:rPr>
        <w:t>4环境现状调查与评价</w:t>
      </w:r>
      <w:r>
        <w:rPr>
          <w:rStyle w:val="101"/>
          <w:rFonts w:hint="default" w:ascii="Times New Roman" w:hAnsi="Times New Roman" w:cs="Times New Roman"/>
          <w:color w:val="000000" w:themeColor="text1"/>
          <w:sz w:val="24"/>
          <w:szCs w:val="24"/>
          <w14:textFill>
            <w14:solidFill>
              <w14:schemeClr w14:val="tx1"/>
            </w14:solidFill>
          </w14:textFill>
        </w:rPr>
        <w:tab/>
      </w:r>
      <w:r>
        <w:rPr>
          <w:rStyle w:val="101"/>
          <w:rFonts w:hint="default" w:ascii="Times New Roman" w:hAnsi="Times New Roman" w:cs="Times New Roman"/>
          <w:color w:val="000000" w:themeColor="text1"/>
          <w:sz w:val="24"/>
          <w:szCs w:val="24"/>
          <w14:textFill>
            <w14:solidFill>
              <w14:schemeClr w14:val="tx1"/>
            </w14:solidFill>
          </w14:textFill>
        </w:rPr>
        <w:fldChar w:fldCharType="end"/>
      </w:r>
      <w:r>
        <w:rPr>
          <w:rStyle w:val="101"/>
          <w:rFonts w:hint="eastAsia" w:cs="Times New Roman"/>
          <w:color w:val="000000" w:themeColor="text1"/>
          <w:sz w:val="24"/>
          <w:szCs w:val="24"/>
          <w:lang w:val="en-US" w:eastAsia="zh-CN"/>
          <w14:textFill>
            <w14:solidFill>
              <w14:schemeClr w14:val="tx1"/>
            </w14:solidFill>
          </w14:textFill>
        </w:rPr>
        <w:t>114</w:t>
      </w:r>
    </w:p>
    <w:p w14:paraId="5692D105">
      <w:pPr>
        <w:pStyle w:val="75"/>
        <w:rPr>
          <w:rFonts w:hint="default" w:ascii="Times New Roman" w:hAnsi="Times New Roman" w:eastAsia="黑体" w:cs="Times New Roman"/>
          <w:color w:val="000000" w:themeColor="text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"_Toc173837670"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4.1自然环境概况</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end"/>
      </w:r>
      <w:r>
        <w:rPr>
          <w:rFonts w:hint="eastAsia" w:ascii="Times New Roman" w:hAnsi="Times New Roman" w:eastAsia="黑体" w:cs="Times New Roman"/>
          <w:color w:val="000000" w:themeColor="text1"/>
          <w:lang w:val="en-US" w:eastAsia="zh-CN"/>
          <w14:textFill>
            <w14:solidFill>
              <w14:schemeClr w14:val="tx1"/>
            </w14:solidFill>
          </w14:textFill>
        </w:rPr>
        <w:t>114</w:t>
      </w:r>
    </w:p>
    <w:p w14:paraId="65D5F837">
      <w:pPr>
        <w:pStyle w:val="75"/>
        <w:rPr>
          <w:rFonts w:hint="default" w:ascii="Times New Roman" w:hAnsi="Times New Roman" w:eastAsia="黑体" w:cs="Times New Roman"/>
          <w:color w:val="000000" w:themeColor="text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"_Toc173837677"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4.2环境空气质量现状监测与评价</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end"/>
      </w:r>
      <w:r>
        <w:rPr>
          <w:rFonts w:hint="eastAsia" w:ascii="Times New Roman" w:hAnsi="Times New Roman" w:eastAsia="黑体" w:cs="Times New Roman"/>
          <w:color w:val="000000" w:themeColor="text1"/>
          <w:lang w:val="en-US" w:eastAsia="zh-CN"/>
          <w14:textFill>
            <w14:solidFill>
              <w14:schemeClr w14:val="tx1"/>
            </w14:solidFill>
          </w14:textFill>
        </w:rPr>
        <w:t>118</w:t>
      </w:r>
    </w:p>
    <w:p w14:paraId="78ECF3FD">
      <w:pPr>
        <w:pStyle w:val="75"/>
        <w:rPr>
          <w:rFonts w:hint="default" w:ascii="Times New Roman" w:hAnsi="Times New Roman" w:eastAsia="黑体" w:cs="Times New Roman"/>
          <w:color w:val="000000" w:themeColor="text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"_Toc173837680"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4.3地表水环境质量现状监测与评价</w:t>
      </w:r>
      <w:r>
        <w:rPr>
          <w:rFonts w:hint="default" w:ascii="Times New Roman" w:hAnsi="Times New Roman" w:eastAsia="黑体" w:cs="Times New Roman"/>
          <w:color w:val="000000" w:themeColor="text1"/>
          <w14:textFill>
            <w14:solidFill>
              <w14:schemeClr w14:val="tx1"/>
            </w14:solidFill>
          </w14:textFill>
        </w:rPr>
        <w:tab/>
      </w:r>
      <w:r>
        <w:rPr>
          <w:rFonts w:hint="eastAsia" w:ascii="Times New Roman" w:hAnsi="Times New Roman" w:eastAsia="黑体" w:cs="Times New Roman"/>
          <w:color w:val="000000" w:themeColor="text1"/>
          <w:lang w:val="en-US" w:eastAsia="zh-CN"/>
          <w14:textFill>
            <w14:solidFill>
              <w14:schemeClr w14:val="tx1"/>
            </w14:solidFill>
          </w14:textFill>
        </w:rPr>
        <w:t>1</w:t>
      </w:r>
      <w:r>
        <w:rPr>
          <w:rFonts w:hint="default" w:ascii="Times New Roman" w:hAnsi="Times New Roman" w:eastAsia="黑体" w:cs="Times New Roman"/>
          <w:color w:val="000000" w:themeColor="text1"/>
          <w14:textFill>
            <w14:solidFill>
              <w14:schemeClr w14:val="tx1"/>
            </w14:solidFill>
          </w14:textFill>
        </w:rPr>
        <w:fldChar w:fldCharType="end"/>
      </w:r>
      <w:r>
        <w:rPr>
          <w:rFonts w:hint="eastAsia" w:ascii="Times New Roman" w:hAnsi="Times New Roman" w:eastAsia="黑体" w:cs="Times New Roman"/>
          <w:color w:val="000000" w:themeColor="text1"/>
          <w:lang w:val="en-US" w:eastAsia="zh-CN"/>
          <w14:textFill>
            <w14:solidFill>
              <w14:schemeClr w14:val="tx1"/>
            </w14:solidFill>
          </w14:textFill>
        </w:rPr>
        <w:t>2</w:t>
      </w:r>
      <w:r>
        <w:rPr>
          <w:rFonts w:hint="default" w:ascii="Times New Roman" w:hAnsi="Times New Roman" w:eastAsia="黑体" w:cs="Times New Roman"/>
          <w:color w:val="000000" w:themeColor="text1"/>
          <w:lang w:val="en-US" w:eastAsia="zh-CN"/>
          <w14:textFill>
            <w14:solidFill>
              <w14:schemeClr w14:val="tx1"/>
            </w14:solidFill>
          </w14:textFill>
        </w:rPr>
        <w:t>3</w:t>
      </w:r>
    </w:p>
    <w:p w14:paraId="0BD1BCFE">
      <w:pPr>
        <w:pStyle w:val="75"/>
        <w:rPr>
          <w:rFonts w:hint="default" w:ascii="Times New Roman" w:hAnsi="Times New Roman" w:eastAsia="黑体" w:cs="Times New Roman"/>
          <w:color w:val="000000" w:themeColor="text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"_Toc173837681"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4.4地下水环境质量现状监测与评价</w:t>
      </w:r>
      <w:r>
        <w:rPr>
          <w:rFonts w:hint="default" w:ascii="Times New Roman" w:hAnsi="Times New Roman" w:eastAsia="黑体" w:cs="Times New Roman"/>
          <w:color w:val="000000" w:themeColor="text1"/>
          <w14:textFill>
            <w14:solidFill>
              <w14:schemeClr w14:val="tx1"/>
            </w14:solidFill>
          </w14:textFill>
        </w:rPr>
        <w:tab/>
      </w:r>
      <w:r>
        <w:rPr>
          <w:rFonts w:hint="eastAsia" w:ascii="Times New Roman" w:hAnsi="Times New Roman" w:eastAsia="黑体" w:cs="Times New Roman"/>
          <w:color w:val="000000" w:themeColor="text1"/>
          <w:lang w:val="en-US" w:eastAsia="zh-CN"/>
          <w14:textFill>
            <w14:solidFill>
              <w14:schemeClr w14:val="tx1"/>
            </w14:solidFill>
          </w14:textFill>
        </w:rPr>
        <w:t>1</w:t>
      </w:r>
      <w:r>
        <w:rPr>
          <w:rFonts w:hint="default" w:ascii="Times New Roman" w:hAnsi="Times New Roman" w:eastAsia="黑体" w:cs="Times New Roman"/>
          <w:color w:val="000000" w:themeColor="text1"/>
          <w14:textFill>
            <w14:solidFill>
              <w14:schemeClr w14:val="tx1"/>
            </w14:solidFill>
          </w14:textFill>
        </w:rPr>
        <w:fldChar w:fldCharType="end"/>
      </w:r>
      <w:r>
        <w:rPr>
          <w:rFonts w:hint="eastAsia" w:ascii="Times New Roman" w:hAnsi="Times New Roman" w:eastAsia="黑体" w:cs="Times New Roman"/>
          <w:color w:val="000000" w:themeColor="text1"/>
          <w:lang w:val="en-US" w:eastAsia="zh-CN"/>
          <w14:textFill>
            <w14:solidFill>
              <w14:schemeClr w14:val="tx1"/>
            </w14:solidFill>
          </w14:textFill>
        </w:rPr>
        <w:t>2</w:t>
      </w:r>
      <w:r>
        <w:rPr>
          <w:rFonts w:hint="default" w:ascii="Times New Roman" w:hAnsi="Times New Roman" w:eastAsia="黑体" w:cs="Times New Roman"/>
          <w:color w:val="000000" w:themeColor="text1"/>
          <w:lang w:val="en-US" w:eastAsia="zh-CN"/>
          <w14:textFill>
            <w14:solidFill>
              <w14:schemeClr w14:val="tx1"/>
            </w14:solidFill>
          </w14:textFill>
        </w:rPr>
        <w:t>3</w:t>
      </w:r>
    </w:p>
    <w:p w14:paraId="236DEA60">
      <w:pPr>
        <w:pStyle w:val="75"/>
        <w:rPr>
          <w:rFonts w:hint="default" w:ascii="Times New Roman" w:hAnsi="Times New Roman" w:eastAsia="黑体" w:cs="Times New Roman"/>
          <w:color w:val="000000" w:themeColor="text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"_Toc173837682"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4.5声环境质量现状监测与评价</w:t>
      </w:r>
      <w:r>
        <w:rPr>
          <w:rFonts w:hint="default" w:ascii="Times New Roman" w:hAnsi="Times New Roman" w:eastAsia="黑体" w:cs="Times New Roman"/>
          <w:color w:val="000000" w:themeColor="text1"/>
          <w14:textFill>
            <w14:solidFill>
              <w14:schemeClr w14:val="tx1"/>
            </w14:solidFill>
          </w14:textFill>
        </w:rPr>
        <w:tab/>
      </w:r>
      <w:r>
        <w:rPr>
          <w:rFonts w:hint="eastAsia" w:ascii="Times New Roman" w:hAnsi="Times New Roman" w:eastAsia="黑体" w:cs="Times New Roman"/>
          <w:color w:val="000000" w:themeColor="text1"/>
          <w:lang w:val="en-US" w:eastAsia="zh-CN"/>
          <w14:textFill>
            <w14:solidFill>
              <w14:schemeClr w14:val="tx1"/>
            </w14:solidFill>
          </w14:textFill>
        </w:rPr>
        <w:t>1</w:t>
      </w:r>
      <w:r>
        <w:rPr>
          <w:rFonts w:hint="default" w:ascii="Times New Roman" w:hAnsi="Times New Roman" w:eastAsia="黑体" w:cs="Times New Roman"/>
          <w:color w:val="000000" w:themeColor="text1"/>
          <w14:textFill>
            <w14:solidFill>
              <w14:schemeClr w14:val="tx1"/>
            </w14:solidFill>
          </w14:textFill>
        </w:rPr>
        <w:fldChar w:fldCharType="end"/>
      </w:r>
      <w:r>
        <w:rPr>
          <w:rFonts w:hint="eastAsia" w:ascii="Times New Roman" w:hAnsi="Times New Roman" w:eastAsia="黑体" w:cs="Times New Roman"/>
          <w:color w:val="000000" w:themeColor="text1"/>
          <w:lang w:val="en-US" w:eastAsia="zh-CN"/>
          <w14:textFill>
            <w14:solidFill>
              <w14:schemeClr w14:val="tx1"/>
            </w14:solidFill>
          </w14:textFill>
        </w:rPr>
        <w:t>2</w:t>
      </w:r>
      <w:r>
        <w:rPr>
          <w:rFonts w:hint="default" w:ascii="Times New Roman" w:hAnsi="Times New Roman" w:eastAsia="黑体" w:cs="Times New Roman"/>
          <w:color w:val="000000" w:themeColor="text1"/>
          <w:lang w:val="en-US" w:eastAsia="zh-CN"/>
          <w14:textFill>
            <w14:solidFill>
              <w14:schemeClr w14:val="tx1"/>
            </w14:solidFill>
          </w14:textFill>
        </w:rPr>
        <w:t>9</w:t>
      </w:r>
    </w:p>
    <w:p w14:paraId="7FB1EB25">
      <w:pPr>
        <w:pStyle w:val="75"/>
        <w:rPr>
          <w:rFonts w:hint="default" w:ascii="Times New Roman" w:hAnsi="Times New Roman" w:cs="Times New Roman" w:eastAsiaTheme="minorEastAsia"/>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"_Toc173837688"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4.6土壤环境质量监测与评价</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_Toc173837688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165</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627C544E">
      <w:pPr>
        <w:pStyle w:val="60"/>
        <w:tabs>
          <w:tab w:val="right" w:leader="dot" w:pos="8303"/>
        </w:tabs>
        <w:rPr>
          <w:rStyle w:val="101"/>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HYPERLINK \l "_Toc173837690" </w:instrText>
      </w:r>
      <w:r>
        <w:rPr>
          <w:rFonts w:hint="default" w:ascii="Times New Roman" w:hAnsi="Times New Roman" w:cs="Times New Roman"/>
          <w:color w:val="000000" w:themeColor="text1"/>
          <w14:textFill>
            <w14:solidFill>
              <w14:schemeClr w14:val="tx1"/>
            </w14:solidFill>
          </w14:textFill>
        </w:rPr>
        <w:fldChar w:fldCharType="separate"/>
      </w:r>
      <w:r>
        <w:rPr>
          <w:rStyle w:val="101"/>
          <w:rFonts w:hint="default" w:ascii="Times New Roman" w:hAnsi="Times New Roman" w:cs="Times New Roman"/>
          <w:color w:val="000000" w:themeColor="text1"/>
          <w:sz w:val="24"/>
          <w:szCs w:val="24"/>
          <w14:textFill>
            <w14:solidFill>
              <w14:schemeClr w14:val="tx1"/>
            </w14:solidFill>
          </w14:textFill>
        </w:rPr>
        <w:t>5环境影响预测与评价</w:t>
      </w:r>
      <w:r>
        <w:rPr>
          <w:rStyle w:val="101"/>
          <w:rFonts w:hint="default" w:ascii="Times New Roman" w:hAnsi="Times New Roman" w:cs="Times New Roman"/>
          <w:color w:val="000000" w:themeColor="text1"/>
          <w:sz w:val="24"/>
          <w:szCs w:val="24"/>
          <w14:textFill>
            <w14:solidFill>
              <w14:schemeClr w14:val="tx1"/>
            </w14:solidFill>
          </w14:textFill>
        </w:rPr>
        <w:tab/>
      </w:r>
      <w:r>
        <w:rPr>
          <w:rStyle w:val="101"/>
          <w:rFonts w:hint="eastAsia" w:cs="Times New Roman"/>
          <w:color w:val="000000" w:themeColor="text1"/>
          <w:sz w:val="24"/>
          <w:szCs w:val="24"/>
          <w:lang w:val="en-US" w:eastAsia="zh-CN"/>
          <w14:textFill>
            <w14:solidFill>
              <w14:schemeClr w14:val="tx1"/>
            </w14:solidFill>
          </w14:textFill>
        </w:rPr>
        <w:t>1</w:t>
      </w:r>
      <w:r>
        <w:rPr>
          <w:rStyle w:val="101"/>
          <w:rFonts w:hint="default" w:ascii="Times New Roman" w:hAnsi="Times New Roman" w:cs="Times New Roman"/>
          <w:color w:val="000000" w:themeColor="text1"/>
          <w:sz w:val="24"/>
          <w:szCs w:val="24"/>
          <w14:textFill>
            <w14:solidFill>
              <w14:schemeClr w14:val="tx1"/>
            </w14:solidFill>
          </w14:textFill>
        </w:rPr>
        <w:fldChar w:fldCharType="end"/>
      </w:r>
      <w:r>
        <w:rPr>
          <w:rStyle w:val="101"/>
          <w:rFonts w:hint="eastAsia" w:cs="Times New Roman"/>
          <w:color w:val="000000" w:themeColor="text1"/>
          <w:sz w:val="24"/>
          <w:szCs w:val="24"/>
          <w:lang w:val="en-US" w:eastAsia="zh-CN"/>
          <w14:textFill>
            <w14:solidFill>
              <w14:schemeClr w14:val="tx1"/>
            </w14:solidFill>
          </w14:textFill>
        </w:rPr>
        <w:t>35</w:t>
      </w:r>
    </w:p>
    <w:p w14:paraId="11E14836">
      <w:pPr>
        <w:pStyle w:val="75"/>
        <w:rPr>
          <w:rFonts w:hint="default" w:ascii="Times New Roman" w:hAnsi="Times New Roman" w:eastAsia="黑体" w:cs="Times New Roman"/>
          <w:color w:val="000000" w:themeColor="text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"_Toc173837691"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5.1施工期环境影响分析</w:t>
      </w:r>
      <w:r>
        <w:rPr>
          <w:rFonts w:hint="default" w:ascii="Times New Roman" w:hAnsi="Times New Roman" w:eastAsia="黑体" w:cs="Times New Roman"/>
          <w:color w:val="000000" w:themeColor="text1"/>
          <w14:textFill>
            <w14:solidFill>
              <w14:schemeClr w14:val="tx1"/>
            </w14:solidFill>
          </w14:textFill>
        </w:rPr>
        <w:tab/>
      </w:r>
      <w:r>
        <w:rPr>
          <w:rFonts w:hint="eastAsia" w:ascii="Times New Roman" w:hAnsi="Times New Roman" w:eastAsia="黑体" w:cs="Times New Roman"/>
          <w:color w:val="000000" w:themeColor="text1"/>
          <w:lang w:val="en-US" w:eastAsia="zh-CN"/>
          <w14:textFill>
            <w14:solidFill>
              <w14:schemeClr w14:val="tx1"/>
            </w14:solidFill>
          </w14:textFill>
        </w:rPr>
        <w:t>1</w:t>
      </w:r>
      <w:r>
        <w:rPr>
          <w:rFonts w:hint="default" w:ascii="Times New Roman" w:hAnsi="Times New Roman" w:eastAsia="黑体" w:cs="Times New Roman"/>
          <w:color w:val="000000" w:themeColor="text1"/>
          <w14:textFill>
            <w14:solidFill>
              <w14:schemeClr w14:val="tx1"/>
            </w14:solidFill>
          </w14:textFill>
        </w:rPr>
        <w:fldChar w:fldCharType="end"/>
      </w:r>
      <w:r>
        <w:rPr>
          <w:rFonts w:hint="eastAsia" w:ascii="Times New Roman" w:hAnsi="Times New Roman" w:eastAsia="黑体" w:cs="Times New Roman"/>
          <w:color w:val="000000" w:themeColor="text1"/>
          <w:lang w:val="en-US" w:eastAsia="zh-CN"/>
          <w14:textFill>
            <w14:solidFill>
              <w14:schemeClr w14:val="tx1"/>
            </w14:solidFill>
          </w14:textFill>
        </w:rPr>
        <w:t>3</w:t>
      </w:r>
      <w:r>
        <w:rPr>
          <w:rFonts w:hint="default" w:ascii="Times New Roman" w:hAnsi="Times New Roman" w:eastAsia="黑体" w:cs="Times New Roman"/>
          <w:color w:val="000000" w:themeColor="text1"/>
          <w:lang w:val="en-US" w:eastAsia="zh-CN"/>
          <w14:textFill>
            <w14:solidFill>
              <w14:schemeClr w14:val="tx1"/>
            </w14:solidFill>
          </w14:textFill>
        </w:rPr>
        <w:t>5</w:t>
      </w:r>
    </w:p>
    <w:p w14:paraId="72BFED1A">
      <w:pPr>
        <w:pStyle w:val="75"/>
        <w:rPr>
          <w:rFonts w:hint="default" w:ascii="Times New Roman" w:hAnsi="Times New Roman" w:eastAsia="黑体" w:cs="Times New Roman"/>
          <w:color w:val="000000" w:themeColor="text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"_Toc173837696"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5.2运营期大气环境影响分析</w:t>
      </w:r>
      <w:r>
        <w:rPr>
          <w:rFonts w:hint="default" w:ascii="Times New Roman" w:hAnsi="Times New Roman" w:eastAsia="黑体" w:cs="Times New Roman"/>
          <w:color w:val="000000" w:themeColor="text1"/>
          <w14:textFill>
            <w14:solidFill>
              <w14:schemeClr w14:val="tx1"/>
            </w14:solidFill>
          </w14:textFill>
        </w:rPr>
        <w:tab/>
      </w:r>
      <w:r>
        <w:rPr>
          <w:rFonts w:hint="eastAsia" w:ascii="Times New Roman" w:hAnsi="Times New Roman" w:eastAsia="黑体" w:cs="Times New Roman"/>
          <w:color w:val="000000" w:themeColor="text1"/>
          <w:lang w:val="en-US" w:eastAsia="zh-CN"/>
          <w14:textFill>
            <w14:solidFill>
              <w14:schemeClr w14:val="tx1"/>
            </w14:solidFill>
          </w14:textFill>
        </w:rPr>
        <w:t>1</w:t>
      </w:r>
      <w:r>
        <w:rPr>
          <w:rFonts w:hint="default" w:ascii="Times New Roman" w:hAnsi="Times New Roman" w:eastAsia="黑体" w:cs="Times New Roman"/>
          <w:color w:val="000000" w:themeColor="text1"/>
          <w14:textFill>
            <w14:solidFill>
              <w14:schemeClr w14:val="tx1"/>
            </w14:solidFill>
          </w14:textFill>
        </w:rPr>
        <w:fldChar w:fldCharType="end"/>
      </w:r>
      <w:r>
        <w:rPr>
          <w:rFonts w:hint="eastAsia" w:ascii="Times New Roman" w:hAnsi="Times New Roman" w:eastAsia="黑体" w:cs="Times New Roman"/>
          <w:color w:val="000000" w:themeColor="text1"/>
          <w:lang w:val="en-US" w:eastAsia="zh-CN"/>
          <w14:textFill>
            <w14:solidFill>
              <w14:schemeClr w14:val="tx1"/>
            </w14:solidFill>
          </w14:textFill>
        </w:rPr>
        <w:t>3</w:t>
      </w:r>
      <w:r>
        <w:rPr>
          <w:rFonts w:hint="default" w:ascii="Times New Roman" w:hAnsi="Times New Roman" w:eastAsia="黑体" w:cs="Times New Roman"/>
          <w:color w:val="000000" w:themeColor="text1"/>
          <w:lang w:val="en-US" w:eastAsia="zh-CN"/>
          <w14:textFill>
            <w14:solidFill>
              <w14:schemeClr w14:val="tx1"/>
            </w14:solidFill>
          </w14:textFill>
        </w:rPr>
        <w:t>5</w:t>
      </w:r>
    </w:p>
    <w:p w14:paraId="4B9F5550">
      <w:pPr>
        <w:pStyle w:val="75"/>
        <w:rPr>
          <w:rFonts w:hint="default" w:ascii="Times New Roman" w:hAnsi="Times New Roman" w:eastAsia="黑体" w:cs="Times New Roman"/>
          <w:color w:val="000000" w:themeColor="text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"_Toc173837705"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5.3地表水环境影响分析</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1</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48</w:t>
      </w:r>
    </w:p>
    <w:p w14:paraId="6C5DED9C">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"_Toc173837706"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5.4运行期地下水环境影响分析</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1</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53</w:t>
      </w:r>
    </w:p>
    <w:p w14:paraId="03BA2EF0">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"_Toc173837712"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5.5土壤环境影响评价</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1</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59</w:t>
      </w:r>
    </w:p>
    <w:p w14:paraId="238E1152">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"_Toc173837716"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5.6固体废物影响分析</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1</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62</w:t>
      </w:r>
    </w:p>
    <w:p w14:paraId="64642B37">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"_Toc173837719"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5.7噪声环境影响评价</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1</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65</w:t>
      </w:r>
    </w:p>
    <w:p w14:paraId="10B98A4B">
      <w:pPr>
        <w:pStyle w:val="75"/>
        <w:rPr>
          <w:rFonts w:hint="default" w:ascii="Times New Roman" w:hAnsi="Times New Roman" w:eastAsia="黑体" w:cs="Times New Roman"/>
          <w:color w:val="000000" w:themeColor="text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"_Toc173837719"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5.</w:t>
      </w:r>
      <w:r>
        <w:rPr>
          <w:rStyle w:val="101"/>
          <w:rFonts w:hint="default" w:ascii="Times New Roman" w:hAnsi="Times New Roman" w:eastAsia="黑体" w:cs="Times New Roman"/>
          <w:color w:val="000000" w:themeColor="text1"/>
          <w:lang w:val="en-US" w:eastAsia="zh-CN"/>
          <w14:textFill>
            <w14:solidFill>
              <w14:schemeClr w14:val="tx1"/>
            </w14:solidFill>
          </w14:textFill>
        </w:rPr>
        <w:t>8</w:t>
      </w:r>
      <w:r>
        <w:rPr>
          <w:rStyle w:val="101"/>
          <w:rFonts w:hint="default" w:ascii="Times New Roman" w:hAnsi="Times New Roman" w:eastAsia="黑体" w:cs="Times New Roman"/>
          <w:color w:val="000000" w:themeColor="text1"/>
          <w14:textFill>
            <w14:solidFill>
              <w14:schemeClr w14:val="tx1"/>
            </w14:solidFill>
          </w14:textFill>
        </w:rPr>
        <w:t>营运期环境风险分析与评价</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1</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69</w:t>
      </w:r>
    </w:p>
    <w:p w14:paraId="325FA06F">
      <w:pPr>
        <w:pStyle w:val="75"/>
        <w:rPr>
          <w:rFonts w:hint="default" w:ascii="Times New Roman" w:hAnsi="Times New Roman" w:cs="Times New Roman" w:eastAsiaTheme="minorEastAsia"/>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"_Toc173837724"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14:textFill>
            <w14:solidFill>
              <w14:schemeClr w14:val="tx1"/>
            </w14:solidFill>
          </w14:textFill>
        </w:rPr>
        <w:t>5.</w:t>
      </w:r>
      <w:r>
        <w:rPr>
          <w:rStyle w:val="101"/>
          <w:rFonts w:hint="default" w:ascii="Times New Roman" w:hAnsi="Times New Roman" w:eastAsia="黑体" w:cs="Times New Roman"/>
          <w:color w:val="000000" w:themeColor="text1"/>
          <w:lang w:val="en-US" w:eastAsia="zh-CN"/>
          <w14:textFill>
            <w14:solidFill>
              <w14:schemeClr w14:val="tx1"/>
            </w14:solidFill>
          </w14:textFill>
        </w:rPr>
        <w:t>9</w:t>
      </w:r>
      <w:r>
        <w:rPr>
          <w:rStyle w:val="101"/>
          <w:rFonts w:hint="default" w:ascii="Times New Roman" w:hAnsi="Times New Roman" w:eastAsia="黑体" w:cs="Times New Roman"/>
          <w:color w:val="000000" w:themeColor="text1"/>
          <w14:textFill>
            <w14:solidFill>
              <w14:schemeClr w14:val="tx1"/>
            </w14:solidFill>
          </w14:textFill>
        </w:rPr>
        <w:t>生态环境影响评价</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1</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86</w:t>
      </w:r>
    </w:p>
    <w:p w14:paraId="2385E1A5">
      <w:pPr>
        <w:pStyle w:val="60"/>
        <w:tabs>
          <w:tab w:val="right" w:leader="dot" w:pos="8303"/>
        </w:tabs>
        <w:rPr>
          <w:rStyle w:val="101"/>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HYPERLINK \l "_Toc173837753" </w:instrText>
      </w:r>
      <w:r>
        <w:rPr>
          <w:rFonts w:hint="default" w:ascii="Times New Roman" w:hAnsi="Times New Roman" w:cs="Times New Roman"/>
          <w:color w:val="000000" w:themeColor="text1"/>
          <w14:textFill>
            <w14:solidFill>
              <w14:schemeClr w14:val="tx1"/>
            </w14:solidFill>
          </w14:textFill>
        </w:rPr>
        <w:fldChar w:fldCharType="separate"/>
      </w:r>
      <w:r>
        <w:rPr>
          <w:rStyle w:val="101"/>
          <w:rFonts w:hint="eastAsia" w:cs="Times New Roman"/>
          <w:color w:val="000000" w:themeColor="text1"/>
          <w:sz w:val="24"/>
          <w:szCs w:val="24"/>
          <w:lang w:val="en-US" w:eastAsia="zh-CN"/>
          <w14:textFill>
            <w14:solidFill>
              <w14:schemeClr w14:val="tx1"/>
            </w14:solidFill>
          </w14:textFill>
        </w:rPr>
        <w:t>6</w:t>
      </w:r>
      <w:r>
        <w:rPr>
          <w:rStyle w:val="101"/>
          <w:rFonts w:hint="default" w:ascii="Times New Roman" w:hAnsi="Times New Roman" w:cs="Times New Roman"/>
          <w:color w:val="000000" w:themeColor="text1"/>
          <w:sz w:val="24"/>
          <w:szCs w:val="24"/>
          <w14:textFill>
            <w14:solidFill>
              <w14:schemeClr w14:val="tx1"/>
            </w14:solidFill>
          </w14:textFill>
        </w:rPr>
        <w:t>环境保护措施及其可行性论证</w:t>
      </w:r>
      <w:r>
        <w:rPr>
          <w:rStyle w:val="101"/>
          <w:rFonts w:hint="default" w:ascii="Times New Roman" w:hAnsi="Times New Roman" w:cs="Times New Roman"/>
          <w:color w:val="000000" w:themeColor="text1"/>
          <w:sz w:val="24"/>
          <w:szCs w:val="24"/>
          <w14:textFill>
            <w14:solidFill>
              <w14:schemeClr w14:val="tx1"/>
            </w14:solidFill>
          </w14:textFill>
        </w:rPr>
        <w:tab/>
      </w:r>
      <w:r>
        <w:rPr>
          <w:rStyle w:val="101"/>
          <w:rFonts w:hint="eastAsia" w:cs="Times New Roman"/>
          <w:color w:val="000000" w:themeColor="text1"/>
          <w:sz w:val="24"/>
          <w:szCs w:val="24"/>
          <w:lang w:val="en-US" w:eastAsia="zh-CN"/>
          <w14:textFill>
            <w14:solidFill>
              <w14:schemeClr w14:val="tx1"/>
            </w14:solidFill>
          </w14:textFill>
        </w:rPr>
        <w:t>1</w:t>
      </w:r>
      <w:r>
        <w:rPr>
          <w:rStyle w:val="101"/>
          <w:rFonts w:hint="default" w:ascii="Times New Roman" w:hAnsi="Times New Roman" w:cs="Times New Roman"/>
          <w:color w:val="000000" w:themeColor="text1"/>
          <w:sz w:val="24"/>
          <w:szCs w:val="24"/>
          <w14:textFill>
            <w14:solidFill>
              <w14:schemeClr w14:val="tx1"/>
            </w14:solidFill>
          </w14:textFill>
        </w:rPr>
        <w:fldChar w:fldCharType="end"/>
      </w:r>
      <w:r>
        <w:rPr>
          <w:rStyle w:val="101"/>
          <w:rFonts w:hint="eastAsia" w:cs="Times New Roman"/>
          <w:color w:val="000000" w:themeColor="text1"/>
          <w:sz w:val="24"/>
          <w:szCs w:val="24"/>
          <w:lang w:val="en-US" w:eastAsia="zh-CN"/>
          <w14:textFill>
            <w14:solidFill>
              <w14:schemeClr w14:val="tx1"/>
            </w14:solidFill>
          </w14:textFill>
        </w:rPr>
        <w:t>88</w:t>
      </w:r>
    </w:p>
    <w:p w14:paraId="17A8FB11">
      <w:pPr>
        <w:pStyle w:val="75"/>
        <w:rPr>
          <w:rFonts w:hint="default" w:ascii="Times New Roman" w:hAnsi="Times New Roman" w:eastAsia="宋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"_Toc173837759"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6</w:t>
      </w:r>
      <w:r>
        <w:rPr>
          <w:rStyle w:val="101"/>
          <w:rFonts w:hint="default" w:ascii="Times New Roman" w:hAnsi="Times New Roman" w:eastAsia="黑体" w:cs="Times New Roman"/>
          <w:color w:val="000000" w:themeColor="text1"/>
          <w14:textFill>
            <w14:solidFill>
              <w14:schemeClr w14:val="tx1"/>
            </w14:solidFill>
          </w14:textFill>
        </w:rPr>
        <w:t>.</w:t>
      </w:r>
      <w:r>
        <w:rPr>
          <w:rStyle w:val="101"/>
          <w:rFonts w:hint="default" w:ascii="Times New Roman" w:hAnsi="Times New Roman" w:eastAsia="黑体" w:cs="Times New Roman"/>
          <w:color w:val="000000" w:themeColor="text1"/>
          <w:lang w:val="en-US" w:eastAsia="zh-CN"/>
          <w14:textFill>
            <w14:solidFill>
              <w14:schemeClr w14:val="tx1"/>
            </w14:solidFill>
          </w14:textFill>
        </w:rPr>
        <w:t>1</w:t>
      </w:r>
      <w:r>
        <w:rPr>
          <w:rStyle w:val="101"/>
          <w:rFonts w:hint="default" w:ascii="Times New Roman" w:hAnsi="Times New Roman" w:eastAsia="黑体" w:cs="Times New Roman"/>
          <w:color w:val="000000" w:themeColor="text1"/>
          <w14:textFill>
            <w14:solidFill>
              <w14:schemeClr w14:val="tx1"/>
            </w14:solidFill>
          </w14:textFill>
        </w:rPr>
        <w:t>运营期污染防治措施及可行性分析</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1</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88</w:t>
      </w:r>
    </w:p>
    <w:p w14:paraId="4BD62817">
      <w:pPr>
        <w:pStyle w:val="60"/>
        <w:tabs>
          <w:tab w:val="right" w:leader="dot" w:pos="8303"/>
        </w:tabs>
        <w:rPr>
          <w:rStyle w:val="101"/>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HYPERLINK \l "_Toc173837768" </w:instrText>
      </w:r>
      <w:r>
        <w:rPr>
          <w:rFonts w:hint="default" w:ascii="Times New Roman" w:hAnsi="Times New Roman" w:cs="Times New Roman"/>
          <w:color w:val="000000" w:themeColor="text1"/>
          <w14:textFill>
            <w14:solidFill>
              <w14:schemeClr w14:val="tx1"/>
            </w14:solidFill>
          </w14:textFill>
        </w:rPr>
        <w:fldChar w:fldCharType="separate"/>
      </w:r>
      <w:r>
        <w:rPr>
          <w:rStyle w:val="101"/>
          <w:rFonts w:hint="eastAsia" w:cs="Times New Roman"/>
          <w:color w:val="000000" w:themeColor="text1"/>
          <w:sz w:val="24"/>
          <w:szCs w:val="24"/>
          <w:lang w:val="en-US" w:eastAsia="zh-CN"/>
          <w14:textFill>
            <w14:solidFill>
              <w14:schemeClr w14:val="tx1"/>
            </w14:solidFill>
          </w14:textFill>
        </w:rPr>
        <w:t>7</w:t>
      </w:r>
      <w:r>
        <w:rPr>
          <w:rStyle w:val="101"/>
          <w:rFonts w:hint="default" w:ascii="Times New Roman" w:hAnsi="Times New Roman" w:cs="Times New Roman"/>
          <w:color w:val="000000" w:themeColor="text1"/>
          <w:sz w:val="24"/>
          <w:szCs w:val="24"/>
          <w14:textFill>
            <w14:solidFill>
              <w14:schemeClr w14:val="tx1"/>
            </w14:solidFill>
          </w14:textFill>
        </w:rPr>
        <w:t>环境影响经济损益分析</w:t>
      </w:r>
      <w:r>
        <w:rPr>
          <w:rStyle w:val="101"/>
          <w:rFonts w:hint="default" w:ascii="Times New Roman" w:hAnsi="Times New Roman" w:cs="Times New Roman"/>
          <w:color w:val="000000" w:themeColor="text1"/>
          <w:sz w:val="24"/>
          <w:szCs w:val="24"/>
          <w14:textFill>
            <w14:solidFill>
              <w14:schemeClr w14:val="tx1"/>
            </w14:solidFill>
          </w14:textFill>
        </w:rPr>
        <w:tab/>
      </w:r>
      <w:r>
        <w:rPr>
          <w:rStyle w:val="101"/>
          <w:rFonts w:hint="default" w:ascii="Times New Roman" w:hAnsi="Times New Roman" w:cs="Times New Roman"/>
          <w:color w:val="000000" w:themeColor="text1"/>
          <w:sz w:val="24"/>
          <w:szCs w:val="24"/>
          <w14:textFill>
            <w14:solidFill>
              <w14:schemeClr w14:val="tx1"/>
            </w14:solidFill>
          </w14:textFill>
        </w:rPr>
        <w:fldChar w:fldCharType="begin"/>
      </w:r>
      <w:r>
        <w:rPr>
          <w:rStyle w:val="101"/>
          <w:rFonts w:hint="default" w:ascii="Times New Roman" w:hAnsi="Times New Roman" w:cs="Times New Roman"/>
          <w:color w:val="000000" w:themeColor="text1"/>
          <w:sz w:val="24"/>
          <w:szCs w:val="24"/>
          <w14:textFill>
            <w14:solidFill>
              <w14:schemeClr w14:val="tx1"/>
            </w14:solidFill>
          </w14:textFill>
        </w:rPr>
        <w:instrText xml:space="preserve"> PAGEREF _Toc173837768 \h </w:instrText>
      </w:r>
      <w:r>
        <w:rPr>
          <w:rStyle w:val="101"/>
          <w:rFonts w:hint="default" w:ascii="Times New Roman" w:hAnsi="Times New Roman" w:cs="Times New Roman"/>
          <w:color w:val="000000" w:themeColor="text1"/>
          <w:sz w:val="24"/>
          <w:szCs w:val="24"/>
          <w14:textFill>
            <w14:solidFill>
              <w14:schemeClr w14:val="tx1"/>
            </w14:solidFill>
          </w14:textFill>
        </w:rPr>
        <w:fldChar w:fldCharType="separate"/>
      </w:r>
      <w:r>
        <w:rPr>
          <w:rStyle w:val="101"/>
          <w:rFonts w:hint="default" w:ascii="Times New Roman" w:hAnsi="Times New Roman" w:cs="Times New Roman"/>
          <w:color w:val="000000" w:themeColor="text1"/>
          <w:sz w:val="24"/>
          <w:szCs w:val="24"/>
          <w14:textFill>
            <w14:solidFill>
              <w14:schemeClr w14:val="tx1"/>
            </w14:solidFill>
          </w14:textFill>
        </w:rPr>
        <w:t>241</w:t>
      </w:r>
      <w:r>
        <w:rPr>
          <w:rStyle w:val="101"/>
          <w:rFonts w:hint="default" w:ascii="Times New Roman" w:hAnsi="Times New Roman" w:cs="Times New Roman"/>
          <w:color w:val="000000" w:themeColor="text1"/>
          <w:sz w:val="24"/>
          <w:szCs w:val="24"/>
          <w14:textFill>
            <w14:solidFill>
              <w14:schemeClr w14:val="tx1"/>
            </w14:solidFill>
          </w14:textFill>
        </w:rPr>
        <w:fldChar w:fldCharType="end"/>
      </w:r>
      <w:r>
        <w:rPr>
          <w:rStyle w:val="101"/>
          <w:rFonts w:hint="default" w:ascii="Times New Roman" w:hAnsi="Times New Roman" w:cs="Times New Roman"/>
          <w:color w:val="000000" w:themeColor="text1"/>
          <w:sz w:val="24"/>
          <w:szCs w:val="24"/>
          <w14:textFill>
            <w14:solidFill>
              <w14:schemeClr w14:val="tx1"/>
            </w14:solidFill>
          </w14:textFill>
        </w:rPr>
        <w:fldChar w:fldCharType="end"/>
      </w:r>
    </w:p>
    <w:p w14:paraId="16C44543">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"_Toc173837769"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7</w:t>
      </w:r>
      <w:r>
        <w:rPr>
          <w:rStyle w:val="101"/>
          <w:rFonts w:hint="default" w:ascii="Times New Roman" w:hAnsi="Times New Roman" w:eastAsia="黑体" w:cs="Times New Roman"/>
          <w:color w:val="000000" w:themeColor="text1"/>
          <w14:textFill>
            <w14:solidFill>
              <w14:schemeClr w14:val="tx1"/>
            </w14:solidFill>
          </w14:textFill>
        </w:rPr>
        <w:t>.1环保投资估算</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_Toc173837769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241</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3E4D97A3">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"_Toc173837770"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7</w:t>
      </w:r>
      <w:r>
        <w:rPr>
          <w:rStyle w:val="101"/>
          <w:rFonts w:hint="default" w:ascii="Times New Roman" w:hAnsi="Times New Roman" w:eastAsia="黑体" w:cs="Times New Roman"/>
          <w:color w:val="000000" w:themeColor="text1"/>
          <w14:textFill>
            <w14:solidFill>
              <w14:schemeClr w14:val="tx1"/>
            </w14:solidFill>
          </w14:textFill>
        </w:rPr>
        <w:t>.2环保效益分析</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_Toc173837770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242</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34CD101E">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"_Toc173837773"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7</w:t>
      </w:r>
      <w:r>
        <w:rPr>
          <w:rStyle w:val="101"/>
          <w:rFonts w:hint="default" w:ascii="Times New Roman" w:hAnsi="Times New Roman" w:eastAsia="黑体" w:cs="Times New Roman"/>
          <w:color w:val="000000" w:themeColor="text1"/>
          <w14:textFill>
            <w14:solidFill>
              <w14:schemeClr w14:val="tx1"/>
            </w14:solidFill>
          </w14:textFill>
        </w:rPr>
        <w:t>.3环保运行费用估算</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_Toc173837773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242</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0B3E1D68">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"_Toc173837774"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7</w:t>
      </w:r>
      <w:r>
        <w:rPr>
          <w:rStyle w:val="101"/>
          <w:rFonts w:hint="default" w:ascii="Times New Roman" w:hAnsi="Times New Roman" w:eastAsia="黑体" w:cs="Times New Roman"/>
          <w:color w:val="000000" w:themeColor="text1"/>
          <w14:textFill>
            <w14:solidFill>
              <w14:schemeClr w14:val="tx1"/>
            </w14:solidFill>
          </w14:textFill>
        </w:rPr>
        <w:t>.4环境经济损益指标分析</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2</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07</w:t>
      </w:r>
    </w:p>
    <w:p w14:paraId="6F5B9F03">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"_Toc173837779"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7</w:t>
      </w:r>
      <w:r>
        <w:rPr>
          <w:rStyle w:val="101"/>
          <w:rFonts w:hint="default" w:ascii="Times New Roman" w:hAnsi="Times New Roman" w:eastAsia="黑体" w:cs="Times New Roman"/>
          <w:color w:val="000000" w:themeColor="text1"/>
          <w14:textFill>
            <w14:solidFill>
              <w14:schemeClr w14:val="tx1"/>
            </w14:solidFill>
          </w14:textFill>
        </w:rPr>
        <w:t>.5项目社会效益分析</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_Toc173837779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244</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36996596">
      <w:pPr>
        <w:pStyle w:val="75"/>
        <w:rPr>
          <w:rFonts w:hint="default" w:ascii="Times New Roman" w:hAnsi="Times New Roman" w:eastAsia="宋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"_Toc173837782"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7</w:t>
      </w:r>
      <w:r>
        <w:rPr>
          <w:rStyle w:val="101"/>
          <w:rFonts w:hint="default" w:ascii="Times New Roman" w:hAnsi="Times New Roman" w:eastAsia="黑体" w:cs="Times New Roman"/>
          <w:color w:val="000000" w:themeColor="text1"/>
          <w14:textFill>
            <w14:solidFill>
              <w14:schemeClr w14:val="tx1"/>
            </w14:solidFill>
          </w14:textFill>
        </w:rPr>
        <w:t>.6小结</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2</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09</w:t>
      </w:r>
    </w:p>
    <w:p w14:paraId="33CFFC58">
      <w:pPr>
        <w:pStyle w:val="60"/>
        <w:tabs>
          <w:tab w:val="right" w:leader="dot" w:pos="8303"/>
        </w:tabs>
        <w:rPr>
          <w:rStyle w:val="101"/>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HYPERLINK \l "_Toc173837783" </w:instrText>
      </w:r>
      <w:r>
        <w:rPr>
          <w:rFonts w:hint="default" w:ascii="Times New Roman" w:hAnsi="Times New Roman" w:cs="Times New Roman"/>
          <w:color w:val="000000" w:themeColor="text1"/>
          <w14:textFill>
            <w14:solidFill>
              <w14:schemeClr w14:val="tx1"/>
            </w14:solidFill>
          </w14:textFill>
        </w:rPr>
        <w:fldChar w:fldCharType="separate"/>
      </w:r>
      <w:r>
        <w:rPr>
          <w:rStyle w:val="101"/>
          <w:rFonts w:hint="eastAsia" w:cs="Times New Roman"/>
          <w:color w:val="000000" w:themeColor="text1"/>
          <w:sz w:val="24"/>
          <w:szCs w:val="24"/>
          <w:lang w:val="en-US" w:eastAsia="zh-CN"/>
          <w14:textFill>
            <w14:solidFill>
              <w14:schemeClr w14:val="tx1"/>
            </w14:solidFill>
          </w14:textFill>
        </w:rPr>
        <w:t>8</w:t>
      </w:r>
      <w:r>
        <w:rPr>
          <w:rStyle w:val="101"/>
          <w:rFonts w:hint="default" w:ascii="Times New Roman" w:hAnsi="Times New Roman" w:cs="Times New Roman"/>
          <w:color w:val="000000" w:themeColor="text1"/>
          <w:sz w:val="24"/>
          <w:szCs w:val="24"/>
          <w14:textFill>
            <w14:solidFill>
              <w14:schemeClr w14:val="tx1"/>
            </w14:solidFill>
          </w14:textFill>
        </w:rPr>
        <w:t>环境管理与监测计划</w:t>
      </w:r>
      <w:r>
        <w:rPr>
          <w:rStyle w:val="101"/>
          <w:rFonts w:hint="default" w:ascii="Times New Roman" w:hAnsi="Times New Roman" w:cs="Times New Roman"/>
          <w:color w:val="000000" w:themeColor="text1"/>
          <w:sz w:val="24"/>
          <w:szCs w:val="24"/>
          <w14:textFill>
            <w14:solidFill>
              <w14:schemeClr w14:val="tx1"/>
            </w14:solidFill>
          </w14:textFill>
        </w:rPr>
        <w:tab/>
      </w:r>
      <w:r>
        <w:rPr>
          <w:rStyle w:val="101"/>
          <w:rFonts w:hint="default" w:ascii="Times New Roman" w:hAnsi="Times New Roman" w:cs="Times New Roman"/>
          <w:color w:val="000000" w:themeColor="text1"/>
          <w:sz w:val="24"/>
          <w:szCs w:val="24"/>
          <w14:textFill>
            <w14:solidFill>
              <w14:schemeClr w14:val="tx1"/>
            </w14:solidFill>
          </w14:textFill>
        </w:rPr>
        <w:fldChar w:fldCharType="begin"/>
      </w:r>
      <w:r>
        <w:rPr>
          <w:rStyle w:val="101"/>
          <w:rFonts w:hint="default" w:ascii="Times New Roman" w:hAnsi="Times New Roman" w:cs="Times New Roman"/>
          <w:color w:val="000000" w:themeColor="text1"/>
          <w:sz w:val="24"/>
          <w:szCs w:val="24"/>
          <w14:textFill>
            <w14:solidFill>
              <w14:schemeClr w14:val="tx1"/>
            </w14:solidFill>
          </w14:textFill>
        </w:rPr>
        <w:instrText xml:space="preserve"> PAGEREF _Toc173837783 \h </w:instrText>
      </w:r>
      <w:r>
        <w:rPr>
          <w:rStyle w:val="101"/>
          <w:rFonts w:hint="default" w:ascii="Times New Roman" w:hAnsi="Times New Roman" w:cs="Times New Roman"/>
          <w:color w:val="000000" w:themeColor="text1"/>
          <w:sz w:val="24"/>
          <w:szCs w:val="24"/>
          <w14:textFill>
            <w14:solidFill>
              <w14:schemeClr w14:val="tx1"/>
            </w14:solidFill>
          </w14:textFill>
        </w:rPr>
        <w:fldChar w:fldCharType="separate"/>
      </w:r>
      <w:r>
        <w:rPr>
          <w:rStyle w:val="101"/>
          <w:rFonts w:hint="default" w:ascii="Times New Roman" w:hAnsi="Times New Roman" w:cs="Times New Roman"/>
          <w:color w:val="000000" w:themeColor="text1"/>
          <w:sz w:val="24"/>
          <w:szCs w:val="24"/>
          <w14:textFill>
            <w14:solidFill>
              <w14:schemeClr w14:val="tx1"/>
            </w14:solidFill>
          </w14:textFill>
        </w:rPr>
        <w:t>246</w:t>
      </w:r>
      <w:r>
        <w:rPr>
          <w:rStyle w:val="101"/>
          <w:rFonts w:hint="default" w:ascii="Times New Roman" w:hAnsi="Times New Roman" w:cs="Times New Roman"/>
          <w:color w:val="000000" w:themeColor="text1"/>
          <w:sz w:val="24"/>
          <w:szCs w:val="24"/>
          <w14:textFill>
            <w14:solidFill>
              <w14:schemeClr w14:val="tx1"/>
            </w14:solidFill>
          </w14:textFill>
        </w:rPr>
        <w:fldChar w:fldCharType="end"/>
      </w:r>
      <w:r>
        <w:rPr>
          <w:rStyle w:val="101"/>
          <w:rFonts w:hint="default" w:ascii="Times New Roman" w:hAnsi="Times New Roman" w:cs="Times New Roman"/>
          <w:color w:val="000000" w:themeColor="text1"/>
          <w:sz w:val="24"/>
          <w:szCs w:val="24"/>
          <w14:textFill>
            <w14:solidFill>
              <w14:schemeClr w14:val="tx1"/>
            </w14:solidFill>
          </w14:textFill>
        </w:rPr>
        <w:fldChar w:fldCharType="end"/>
      </w:r>
    </w:p>
    <w:p w14:paraId="449860B2">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"_Toc173837784"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8</w:t>
      </w:r>
      <w:r>
        <w:rPr>
          <w:rStyle w:val="101"/>
          <w:rFonts w:hint="default" w:ascii="Times New Roman" w:hAnsi="Times New Roman" w:eastAsia="黑体" w:cs="Times New Roman"/>
          <w:color w:val="000000" w:themeColor="text1"/>
          <w14:textFill>
            <w14:solidFill>
              <w14:schemeClr w14:val="tx1"/>
            </w14:solidFill>
          </w14:textFill>
        </w:rPr>
        <w:t>.1环境管理</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_Toc173837784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246</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7E543E7D">
      <w:pPr>
        <w:pStyle w:val="75"/>
        <w:rPr>
          <w:rFonts w:hint="default" w:ascii="Times New Roman" w:hAnsi="Times New Roman" w:eastAsia="黑体" w:cs="Times New Roman"/>
          <w:smallCaps w:val="0"/>
          <w:color w:val="000000" w:themeColor="text1"/>
          <w:spacing w:val="0"/>
          <w:kern w:val="2"/>
          <w:sz w:val="2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"_Toc173837789"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8</w:t>
      </w:r>
      <w:r>
        <w:rPr>
          <w:rStyle w:val="101"/>
          <w:rFonts w:hint="default" w:ascii="Times New Roman" w:hAnsi="Times New Roman" w:eastAsia="黑体" w:cs="Times New Roman"/>
          <w:color w:val="000000" w:themeColor="text1"/>
          <w14:textFill>
            <w14:solidFill>
              <w14:schemeClr w14:val="tx1"/>
            </w14:solidFill>
          </w14:textFill>
        </w:rPr>
        <w:t>.2建设单位污染物排放基本情况</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PAGEREF _Toc173837789 \h </w:instrText>
      </w:r>
      <w:r>
        <w:rPr>
          <w:rFonts w:hint="default" w:ascii="Times New Roman" w:hAnsi="Times New Roman" w:eastAsia="黑体" w:cs="Times New Roman"/>
          <w:color w:val="000000" w:themeColor="text1"/>
          <w14:textFill>
            <w14:solidFill>
              <w14:schemeClr w14:val="tx1"/>
            </w14:solidFill>
          </w14:textFill>
        </w:rPr>
        <w:fldChar w:fldCharType="separate"/>
      </w:r>
      <w:r>
        <w:rPr>
          <w:rFonts w:hint="default" w:ascii="Times New Roman" w:hAnsi="Times New Roman" w:eastAsia="黑体" w:cs="Times New Roman"/>
          <w:color w:val="000000" w:themeColor="text1"/>
          <w14:textFill>
            <w14:solidFill>
              <w14:schemeClr w14:val="tx1"/>
            </w14:solidFill>
          </w14:textFill>
        </w:rPr>
        <w:t>248</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14:textFill>
            <w14:solidFill>
              <w14:schemeClr w14:val="tx1"/>
            </w14:solidFill>
          </w14:textFill>
        </w:rPr>
        <w:fldChar w:fldCharType="end"/>
      </w:r>
    </w:p>
    <w:p w14:paraId="677EF1B3">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"_Toc173837792"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8</w:t>
      </w:r>
      <w:r>
        <w:rPr>
          <w:rStyle w:val="101"/>
          <w:rFonts w:hint="default" w:ascii="Times New Roman" w:hAnsi="Times New Roman" w:eastAsia="黑体" w:cs="Times New Roman"/>
          <w:color w:val="000000" w:themeColor="text1"/>
          <w14:textFill>
            <w14:solidFill>
              <w14:schemeClr w14:val="tx1"/>
            </w14:solidFill>
          </w14:textFill>
        </w:rPr>
        <w:t>.3环境监测</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2</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16</w:t>
      </w:r>
    </w:p>
    <w:p w14:paraId="32194C13">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"_Toc173837798"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8</w:t>
      </w:r>
      <w:r>
        <w:rPr>
          <w:rStyle w:val="101"/>
          <w:rFonts w:hint="default" w:ascii="Times New Roman" w:hAnsi="Times New Roman" w:eastAsia="黑体" w:cs="Times New Roman"/>
          <w:color w:val="000000" w:themeColor="text1"/>
          <w14:textFill>
            <w14:solidFill>
              <w14:schemeClr w14:val="tx1"/>
            </w14:solidFill>
          </w14:textFill>
        </w:rPr>
        <w:t>.4总量控制</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2</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18</w:t>
      </w:r>
    </w:p>
    <w:p w14:paraId="6A5704C2">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"_Toc173837801"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8</w:t>
      </w:r>
      <w:r>
        <w:rPr>
          <w:rStyle w:val="101"/>
          <w:rFonts w:hint="default" w:ascii="Times New Roman" w:hAnsi="Times New Roman" w:eastAsia="黑体" w:cs="Times New Roman"/>
          <w:color w:val="000000" w:themeColor="text1"/>
          <w14:textFill>
            <w14:solidFill>
              <w14:schemeClr w14:val="tx1"/>
            </w14:solidFill>
          </w14:textFill>
        </w:rPr>
        <w:t>.5排污口规范化</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2</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19</w:t>
      </w:r>
    </w:p>
    <w:p w14:paraId="3F8614D8">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"_Toc173837806"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8</w:t>
      </w:r>
      <w:r>
        <w:rPr>
          <w:rStyle w:val="101"/>
          <w:rFonts w:hint="default" w:ascii="Times New Roman" w:hAnsi="Times New Roman" w:eastAsia="黑体" w:cs="Times New Roman"/>
          <w:color w:val="000000" w:themeColor="text1"/>
          <w14:textFill>
            <w14:solidFill>
              <w14:schemeClr w14:val="tx1"/>
            </w14:solidFill>
          </w14:textFill>
        </w:rPr>
        <w:t>.6项目排污许可衔接与判定</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2</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20</w:t>
      </w:r>
    </w:p>
    <w:p w14:paraId="31C830F8">
      <w:pPr>
        <w:pStyle w:val="60"/>
        <w:tabs>
          <w:tab w:val="right" w:leader="dot" w:pos="8303"/>
        </w:tabs>
        <w:rPr>
          <w:rFonts w:hint="default" w:ascii="Times New Roman" w:hAnsi="Times New Roman" w:eastAsia="宋体" w:cs="Times New Roman"/>
          <w:bCs w:val="0"/>
          <w:caps w:val="0"/>
          <w:color w:val="000000" w:themeColor="text1"/>
          <w:spacing w:val="0"/>
          <w:kern w:val="2"/>
          <w:sz w:val="24"/>
          <w:szCs w:val="24"/>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HYPERLINK \l "_Toc173837807" </w:instrText>
      </w:r>
      <w:r>
        <w:rPr>
          <w:rFonts w:hint="default" w:ascii="Times New Roman" w:hAnsi="Times New Roman" w:cs="Times New Roman"/>
          <w:color w:val="000000" w:themeColor="text1"/>
          <w14:textFill>
            <w14:solidFill>
              <w14:schemeClr w14:val="tx1"/>
            </w14:solidFill>
          </w14:textFill>
        </w:rPr>
        <w:fldChar w:fldCharType="separate"/>
      </w:r>
      <w:r>
        <w:rPr>
          <w:rStyle w:val="101"/>
          <w:rFonts w:hint="eastAsia" w:cs="Times New Roman"/>
          <w:color w:val="000000" w:themeColor="text1"/>
          <w:sz w:val="24"/>
          <w:szCs w:val="24"/>
          <w:lang w:val="en-US" w:eastAsia="zh-CN"/>
          <w14:textFill>
            <w14:solidFill>
              <w14:schemeClr w14:val="tx1"/>
            </w14:solidFill>
          </w14:textFill>
        </w:rPr>
        <w:t>9</w:t>
      </w:r>
      <w:r>
        <w:rPr>
          <w:rStyle w:val="101"/>
          <w:rFonts w:hint="default" w:ascii="Times New Roman" w:hAnsi="Times New Roman" w:cs="Times New Roman"/>
          <w:color w:val="000000" w:themeColor="text1"/>
          <w:sz w:val="24"/>
          <w:szCs w:val="24"/>
          <w14:textFill>
            <w14:solidFill>
              <w14:schemeClr w14:val="tx1"/>
            </w14:solidFill>
          </w14:textFill>
        </w:rPr>
        <w:t>环境影响评价结论</w:t>
      </w:r>
      <w:r>
        <w:rPr>
          <w:rFonts w:hint="default" w:ascii="Times New Roman" w:hAnsi="Times New Roman" w:cs="Times New Roman"/>
          <w:color w:val="000000" w:themeColor="text1"/>
          <w:sz w:val="24"/>
          <w:szCs w:val="24"/>
          <w14:textFill>
            <w14:solidFill>
              <w14:schemeClr w14:val="tx1"/>
            </w14:solidFill>
          </w14:textFill>
        </w:rPr>
        <w:tab/>
      </w:r>
      <w:r>
        <w:rPr>
          <w:rFonts w:hint="eastAsia" w:cs="Times New Roman"/>
          <w:color w:val="000000" w:themeColor="text1"/>
          <w:sz w:val="24"/>
          <w:szCs w:val="24"/>
          <w:lang w:val="en-US" w:eastAsia="zh-CN"/>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fldChar w:fldCharType="end"/>
      </w:r>
      <w:r>
        <w:rPr>
          <w:rFonts w:hint="eastAsia" w:cs="Times New Roman"/>
          <w:color w:val="000000" w:themeColor="text1"/>
          <w:sz w:val="24"/>
          <w:szCs w:val="24"/>
          <w:lang w:val="en-US" w:eastAsia="zh-CN"/>
          <w14:textFill>
            <w14:solidFill>
              <w14:schemeClr w14:val="tx1"/>
            </w14:solidFill>
          </w14:textFill>
        </w:rPr>
        <w:t>22</w:t>
      </w:r>
    </w:p>
    <w:p w14:paraId="080C3F82">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"_Toc173837808"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9</w:t>
      </w:r>
      <w:r>
        <w:rPr>
          <w:rStyle w:val="101"/>
          <w:rFonts w:hint="default" w:ascii="Times New Roman" w:hAnsi="Times New Roman" w:eastAsia="黑体" w:cs="Times New Roman"/>
          <w:color w:val="000000" w:themeColor="text1"/>
          <w14:textFill>
            <w14:solidFill>
              <w14:schemeClr w14:val="tx1"/>
            </w14:solidFill>
          </w14:textFill>
        </w:rPr>
        <w:t>.1项目概况</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2</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22</w:t>
      </w:r>
    </w:p>
    <w:p w14:paraId="2005BCF1">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"_Toc173837809"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9</w:t>
      </w:r>
      <w:r>
        <w:rPr>
          <w:rStyle w:val="101"/>
          <w:rFonts w:hint="default" w:ascii="Times New Roman" w:hAnsi="Times New Roman" w:eastAsia="黑体" w:cs="Times New Roman"/>
          <w:color w:val="000000" w:themeColor="text1"/>
          <w14:textFill>
            <w14:solidFill>
              <w14:schemeClr w14:val="tx1"/>
            </w14:solidFill>
          </w14:textFill>
        </w:rPr>
        <w:t>.2产业政策相符性</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2</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22</w:t>
      </w:r>
    </w:p>
    <w:p w14:paraId="661E6A0B">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"_Toc173837810"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9</w:t>
      </w:r>
      <w:r>
        <w:rPr>
          <w:rStyle w:val="101"/>
          <w:rFonts w:hint="default" w:ascii="Times New Roman" w:hAnsi="Times New Roman" w:eastAsia="黑体" w:cs="Times New Roman"/>
          <w:color w:val="000000" w:themeColor="text1"/>
          <w14:textFill>
            <w14:solidFill>
              <w14:schemeClr w14:val="tx1"/>
            </w14:solidFill>
          </w14:textFill>
        </w:rPr>
        <w:t>.3环境质量现状</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2</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23</w:t>
      </w:r>
    </w:p>
    <w:p w14:paraId="673339DC">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"_Toc173837816"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9</w:t>
      </w:r>
      <w:r>
        <w:rPr>
          <w:rStyle w:val="101"/>
          <w:rFonts w:hint="default" w:ascii="Times New Roman" w:hAnsi="Times New Roman" w:eastAsia="黑体" w:cs="Times New Roman"/>
          <w:color w:val="000000" w:themeColor="text1"/>
          <w14:textFill>
            <w14:solidFill>
              <w14:schemeClr w14:val="tx1"/>
            </w14:solidFill>
          </w14:textFill>
        </w:rPr>
        <w:t>.4主要环境影响</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2</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23</w:t>
      </w:r>
    </w:p>
    <w:p w14:paraId="2FC561B7">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"_Toc173837823"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9</w:t>
      </w:r>
      <w:r>
        <w:rPr>
          <w:rStyle w:val="101"/>
          <w:rFonts w:hint="default" w:ascii="Times New Roman" w:hAnsi="Times New Roman" w:eastAsia="黑体" w:cs="Times New Roman"/>
          <w:color w:val="000000" w:themeColor="text1"/>
          <w14:textFill>
            <w14:solidFill>
              <w14:schemeClr w14:val="tx1"/>
            </w14:solidFill>
          </w14:textFill>
        </w:rPr>
        <w:t>.5环境保护措施</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2</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25</w:t>
      </w:r>
    </w:p>
    <w:p w14:paraId="736AC537">
      <w:pPr>
        <w:pStyle w:val="75"/>
        <w:rPr>
          <w:rFonts w:hint="default" w:ascii="Times New Roman" w:hAnsi="Times New Roman" w:eastAsia="黑体" w:cs="Times New Roman"/>
          <w:smallCaps w:val="0"/>
          <w:color w:val="000000" w:themeColor="text1"/>
          <w:spacing w:val="0"/>
          <w:kern w:val="2"/>
          <w:sz w:val="2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fldChar w:fldCharType="begin"/>
      </w:r>
      <w:r>
        <w:rPr>
          <w:rFonts w:hint="default" w:ascii="Times New Roman" w:hAnsi="Times New Roman" w:eastAsia="黑体" w:cs="Times New Roman"/>
          <w:color w:val="000000" w:themeColor="text1"/>
          <w14:textFill>
            <w14:solidFill>
              <w14:schemeClr w14:val="tx1"/>
            </w14:solidFill>
          </w14:textFill>
        </w:rPr>
        <w:instrText xml:space="preserve"> HYPERLINK \l "_Toc173837824" </w:instrText>
      </w:r>
      <w:r>
        <w:rPr>
          <w:rFonts w:hint="default" w:ascii="Times New Roman" w:hAnsi="Times New Roman" w:eastAsia="黑体" w:cs="Times New Roman"/>
          <w:color w:val="000000" w:themeColor="text1"/>
          <w14:textFill>
            <w14:solidFill>
              <w14:schemeClr w14:val="tx1"/>
            </w14:solidFill>
          </w14:textFill>
        </w:rPr>
        <w:fldChar w:fldCharType="separate"/>
      </w:r>
      <w:r>
        <w:rPr>
          <w:rStyle w:val="101"/>
          <w:rFonts w:hint="default" w:ascii="Times New Roman" w:hAnsi="Times New Roman" w:eastAsia="黑体" w:cs="Times New Roman"/>
          <w:color w:val="000000" w:themeColor="text1"/>
          <w:lang w:val="en-US" w:eastAsia="zh-CN"/>
          <w14:textFill>
            <w14:solidFill>
              <w14:schemeClr w14:val="tx1"/>
            </w14:solidFill>
          </w14:textFill>
        </w:rPr>
        <w:t>9</w:t>
      </w:r>
      <w:r>
        <w:rPr>
          <w:rStyle w:val="101"/>
          <w:rFonts w:hint="default" w:ascii="Times New Roman" w:hAnsi="Times New Roman" w:eastAsia="黑体" w:cs="Times New Roman"/>
          <w:color w:val="000000" w:themeColor="text1"/>
          <w14:textFill>
            <w14:solidFill>
              <w14:schemeClr w14:val="tx1"/>
            </w14:solidFill>
          </w14:textFill>
        </w:rPr>
        <w:t>.6总体结论</w:t>
      </w:r>
      <w:r>
        <w:rPr>
          <w:rFonts w:hint="default" w:ascii="Times New Roman" w:hAnsi="Times New Roman" w:eastAsia="黑体" w:cs="Times New Roman"/>
          <w:color w:val="000000" w:themeColor="text1"/>
          <w14:textFill>
            <w14:solidFill>
              <w14:schemeClr w14:val="tx1"/>
            </w14:solidFill>
          </w14:textFill>
        </w:rPr>
        <w:tab/>
      </w:r>
      <w:r>
        <w:rPr>
          <w:rFonts w:hint="default" w:ascii="Times New Roman" w:hAnsi="Times New Roman" w:eastAsia="黑体" w:cs="Times New Roman"/>
          <w:color w:val="000000" w:themeColor="text1"/>
          <w:lang w:val="en-US" w:eastAsia="zh-CN"/>
          <w14:textFill>
            <w14:solidFill>
              <w14:schemeClr w14:val="tx1"/>
            </w14:solidFill>
          </w14:textFill>
        </w:rPr>
        <w:t>2</w:t>
      </w:r>
      <w:r>
        <w:rPr>
          <w:rFonts w:hint="default" w:ascii="Times New Roman" w:hAnsi="Times New Roman" w:eastAsia="黑体" w:cs="Times New Roman"/>
          <w:color w:val="000000" w:themeColor="text1"/>
          <w14:textFill>
            <w14:solidFill>
              <w14:schemeClr w14:val="tx1"/>
            </w14:solidFill>
          </w14:textFill>
        </w:rPr>
        <w:fldChar w:fldCharType="end"/>
      </w:r>
      <w:r>
        <w:rPr>
          <w:rFonts w:hint="default" w:ascii="Times New Roman" w:hAnsi="Times New Roman" w:eastAsia="黑体" w:cs="Times New Roman"/>
          <w:color w:val="000000" w:themeColor="text1"/>
          <w:lang w:val="en-US" w:eastAsia="zh-CN"/>
          <w14:textFill>
            <w14:solidFill>
              <w14:schemeClr w14:val="tx1"/>
            </w14:solidFill>
          </w14:textFill>
        </w:rPr>
        <w:t>28</w:t>
      </w:r>
    </w:p>
    <w:p w14:paraId="6F207C8B">
      <w:pP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fldChar w:fldCharType="end"/>
      </w:r>
    </w:p>
    <w:p w14:paraId="0AD3547D">
      <w:pPr>
        <w:rPr>
          <w:rFonts w:hint="default" w:ascii="Times New Roman" w:hAnsi="Times New Roman" w:cs="Times New Roman"/>
          <w:color w:val="000000" w:themeColor="text1"/>
          <w14:textFill>
            <w14:solidFill>
              <w14:schemeClr w14:val="tx1"/>
            </w14:solidFill>
          </w14:textFill>
        </w:rPr>
      </w:pPr>
    </w:p>
    <w:p w14:paraId="732AFE3B">
      <w:pPr>
        <w:rPr>
          <w:rFonts w:hint="default" w:ascii="Times New Roman" w:hAnsi="Times New Roman" w:cs="Times New Roman"/>
          <w:color w:val="000000" w:themeColor="text1"/>
          <w14:textFill>
            <w14:solidFill>
              <w14:schemeClr w14:val="tx1"/>
            </w14:solidFill>
          </w14:textFill>
        </w:rPr>
      </w:pPr>
    </w:p>
    <w:p w14:paraId="483234DA">
      <w:pPr>
        <w:rPr>
          <w:rFonts w:hint="default" w:ascii="Times New Roman" w:hAnsi="Times New Roman" w:cs="Times New Roman"/>
          <w:color w:val="000000" w:themeColor="text1"/>
          <w14:textFill>
            <w14:solidFill>
              <w14:schemeClr w14:val="tx1"/>
            </w14:solidFill>
          </w14:textFill>
        </w:rPr>
      </w:pPr>
    </w:p>
    <w:p w14:paraId="1A3C5D69">
      <w:pPr>
        <w:rPr>
          <w:rFonts w:hint="default" w:ascii="Times New Roman" w:hAnsi="Times New Roman" w:cs="Times New Roman"/>
          <w:color w:val="000000" w:themeColor="text1"/>
          <w14:textFill>
            <w14:solidFill>
              <w14:schemeClr w14:val="tx1"/>
            </w14:solidFill>
          </w14:textFill>
        </w:rPr>
      </w:pPr>
    </w:p>
    <w:p w14:paraId="3DC48486">
      <w:pPr>
        <w:rPr>
          <w:rFonts w:hint="default" w:ascii="Times New Roman" w:hAnsi="Times New Roman" w:cs="Times New Roman"/>
          <w:color w:val="000000" w:themeColor="text1"/>
          <w14:textFill>
            <w14:solidFill>
              <w14:schemeClr w14:val="tx1"/>
            </w14:solidFill>
          </w14:textFill>
        </w:rPr>
      </w:pPr>
    </w:p>
    <w:p w14:paraId="1BC25ADD">
      <w:pPr>
        <w:rPr>
          <w:rFonts w:hint="default" w:ascii="Times New Roman" w:hAnsi="Times New Roman" w:cs="Times New Roman"/>
          <w:color w:val="000000" w:themeColor="text1"/>
          <w14:textFill>
            <w14:solidFill>
              <w14:schemeClr w14:val="tx1"/>
            </w14:solidFill>
          </w14:textFill>
        </w:rPr>
      </w:pPr>
    </w:p>
    <w:p w14:paraId="1ADA2A63">
      <w:pPr>
        <w:rPr>
          <w:rFonts w:hint="default" w:ascii="Times New Roman" w:hAnsi="Times New Roman" w:cs="Times New Roman"/>
          <w:color w:val="000000" w:themeColor="text1"/>
          <w14:textFill>
            <w14:solidFill>
              <w14:schemeClr w14:val="tx1"/>
            </w14:solidFill>
          </w14:textFill>
        </w:rPr>
      </w:pPr>
    </w:p>
    <w:p w14:paraId="6C20C93D">
      <w:pPr>
        <w:rPr>
          <w:rFonts w:hint="default" w:ascii="Times New Roman" w:hAnsi="Times New Roman" w:cs="Times New Roman"/>
          <w:color w:val="000000" w:themeColor="text1"/>
          <w14:textFill>
            <w14:solidFill>
              <w14:schemeClr w14:val="tx1"/>
            </w14:solidFill>
          </w14:textFill>
        </w:rPr>
      </w:pPr>
    </w:p>
    <w:p w14:paraId="3834A1B5">
      <w:pPr>
        <w:rPr>
          <w:rFonts w:hint="default" w:ascii="Times New Roman" w:hAnsi="Times New Roman" w:cs="Times New Roman"/>
          <w:color w:val="000000" w:themeColor="text1"/>
          <w14:textFill>
            <w14:solidFill>
              <w14:schemeClr w14:val="tx1"/>
            </w14:solidFill>
          </w14:textFill>
        </w:rPr>
      </w:pPr>
    </w:p>
    <w:p w14:paraId="3E9E2950">
      <w:pPr>
        <w:rPr>
          <w:rFonts w:hint="default" w:ascii="Times New Roman" w:hAnsi="Times New Roman" w:cs="Times New Roman"/>
          <w:color w:val="000000" w:themeColor="text1"/>
          <w14:textFill>
            <w14:solidFill>
              <w14:schemeClr w14:val="tx1"/>
            </w14:solidFill>
          </w14:textFill>
        </w:rPr>
      </w:pPr>
    </w:p>
    <w:p w14:paraId="28F38052">
      <w:pPr>
        <w:rPr>
          <w:rFonts w:hint="default" w:ascii="Times New Roman" w:hAnsi="Times New Roman" w:cs="Times New Roman"/>
          <w:color w:val="000000" w:themeColor="text1"/>
          <w14:textFill>
            <w14:solidFill>
              <w14:schemeClr w14:val="tx1"/>
            </w14:solidFill>
          </w14:textFill>
        </w:rPr>
      </w:pPr>
    </w:p>
    <w:p w14:paraId="5DA3B9D3">
      <w:pPr>
        <w:rPr>
          <w:rFonts w:hint="default" w:ascii="Times New Roman" w:hAnsi="Times New Roman" w:cs="Times New Roman"/>
          <w:color w:val="000000" w:themeColor="text1"/>
          <w14:textFill>
            <w14:solidFill>
              <w14:schemeClr w14:val="tx1"/>
            </w14:solidFill>
          </w14:textFill>
        </w:rPr>
      </w:pPr>
    </w:p>
    <w:p w14:paraId="555A237E">
      <w:pPr>
        <w:rPr>
          <w:rFonts w:hint="default" w:ascii="Times New Roman" w:hAnsi="Times New Roman" w:cs="Times New Roman"/>
          <w:color w:val="000000" w:themeColor="text1"/>
          <w14:textFill>
            <w14:solidFill>
              <w14:schemeClr w14:val="tx1"/>
            </w14:solidFill>
          </w14:textFill>
        </w:rPr>
      </w:pPr>
    </w:p>
    <w:p w14:paraId="7EAFF3D1">
      <w:pPr>
        <w:rPr>
          <w:rFonts w:hint="default" w:ascii="Times New Roman" w:hAnsi="Times New Roman" w:cs="Times New Roman"/>
          <w:color w:val="000000" w:themeColor="text1"/>
          <w14:textFill>
            <w14:solidFill>
              <w14:schemeClr w14:val="tx1"/>
            </w14:solidFill>
          </w14:textFill>
        </w:rPr>
      </w:pPr>
    </w:p>
    <w:p w14:paraId="1107DE44">
      <w:pPr>
        <w:rPr>
          <w:rFonts w:hint="default" w:ascii="Times New Roman" w:hAnsi="Times New Roman" w:cs="Times New Roman"/>
          <w:color w:val="000000" w:themeColor="text1"/>
          <w14:textFill>
            <w14:solidFill>
              <w14:schemeClr w14:val="tx1"/>
            </w14:solidFill>
          </w14:textFill>
        </w:rPr>
      </w:pPr>
    </w:p>
    <w:p w14:paraId="3979B4C1">
      <w:pPr>
        <w:rPr>
          <w:rFonts w:hint="default" w:ascii="Times New Roman" w:hAnsi="Times New Roman" w:cs="Times New Roman"/>
          <w:color w:val="000000" w:themeColor="text1"/>
          <w14:textFill>
            <w14:solidFill>
              <w14:schemeClr w14:val="tx1"/>
            </w14:solidFill>
          </w14:textFill>
        </w:rPr>
      </w:pPr>
    </w:p>
    <w:p w14:paraId="7273EBE5">
      <w:pPr>
        <w:rPr>
          <w:rFonts w:hint="default" w:ascii="Times New Roman" w:hAnsi="Times New Roman" w:cs="Times New Roman"/>
          <w:color w:val="000000" w:themeColor="text1"/>
          <w14:textFill>
            <w14:solidFill>
              <w14:schemeClr w14:val="tx1"/>
            </w14:solidFill>
          </w14:textFill>
        </w:rPr>
      </w:pPr>
    </w:p>
    <w:p w14:paraId="4755F4C8">
      <w:pPr>
        <w:rPr>
          <w:rFonts w:hint="default" w:ascii="Times New Roman" w:hAnsi="Times New Roman" w:cs="Times New Roman"/>
          <w:color w:val="000000" w:themeColor="text1"/>
          <w14:textFill>
            <w14:solidFill>
              <w14:schemeClr w14:val="tx1"/>
            </w14:solidFill>
          </w14:textFill>
        </w:rPr>
      </w:pPr>
    </w:p>
    <w:p w14:paraId="00321A98">
      <w:pPr>
        <w:rPr>
          <w:rFonts w:hint="default" w:ascii="Times New Roman" w:hAnsi="Times New Roman" w:eastAsia="黑体" w:cs="Times New Roman"/>
          <w:color w:val="000000" w:themeColor="text1"/>
          <w:sz w:val="28"/>
          <w:szCs w:val="24"/>
          <w14:textFill>
            <w14:solidFill>
              <w14:schemeClr w14:val="tx1"/>
            </w14:solidFill>
          </w14:textFill>
        </w:rPr>
      </w:pPr>
      <w:r>
        <w:rPr>
          <w:rFonts w:hint="default" w:ascii="Times New Roman" w:hAnsi="Times New Roman" w:eastAsia="黑体" w:cs="Times New Roman"/>
          <w:color w:val="000000" w:themeColor="text1"/>
          <w:sz w:val="28"/>
          <w:szCs w:val="24"/>
          <w14:textFill>
            <w14:solidFill>
              <w14:schemeClr w14:val="tx1"/>
            </w14:solidFill>
          </w14:textFill>
        </w:rPr>
        <w:t>附件</w:t>
      </w:r>
    </w:p>
    <w:p w14:paraId="378B6224">
      <w:pPr>
        <w:spacing w:line="36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附件</w:t>
      </w:r>
      <w:r>
        <w:rPr>
          <w:rFonts w:hint="eastAsia" w:cs="Times New Roman"/>
          <w:color w:val="000000" w:themeColor="text1"/>
          <w:sz w:val="24"/>
          <w:szCs w:val="24"/>
          <w:lang w:val="en-US" w:eastAsia="zh-CN"/>
          <w14:textFill>
            <w14:solidFill>
              <w14:schemeClr w14:val="tx1"/>
            </w14:solidFill>
          </w14:textFill>
        </w:rPr>
        <w:t>一</w:t>
      </w:r>
      <w:r>
        <w:rPr>
          <w:rFonts w:hint="default" w:ascii="Times New Roman" w:hAnsi="Times New Roman" w:cs="Times New Roman"/>
          <w:color w:val="000000" w:themeColor="text1"/>
          <w:sz w:val="24"/>
          <w:szCs w:val="24"/>
          <w14:textFill>
            <w14:solidFill>
              <w14:schemeClr w14:val="tx1"/>
            </w14:solidFill>
          </w14:textFill>
        </w:rPr>
        <w:t>委托书</w:t>
      </w:r>
    </w:p>
    <w:p w14:paraId="0C001E93">
      <w:pPr>
        <w:spacing w:line="36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附件</w:t>
      </w:r>
      <w:r>
        <w:rPr>
          <w:rFonts w:hint="eastAsia" w:cs="Times New Roman"/>
          <w:color w:val="000000" w:themeColor="text1"/>
          <w:sz w:val="24"/>
          <w:szCs w:val="24"/>
          <w:lang w:val="en-US" w:eastAsia="zh-CN"/>
          <w14:textFill>
            <w14:solidFill>
              <w14:schemeClr w14:val="tx1"/>
            </w14:solidFill>
          </w14:textFill>
        </w:rPr>
        <w:t>二</w:t>
      </w:r>
      <w:r>
        <w:rPr>
          <w:rFonts w:hint="default" w:ascii="Times New Roman" w:hAnsi="Times New Roman" w:cs="Times New Roman"/>
          <w:color w:val="000000" w:themeColor="text1"/>
          <w:sz w:val="24"/>
          <w:szCs w:val="24"/>
          <w14:textFill>
            <w14:solidFill>
              <w14:schemeClr w14:val="tx1"/>
            </w14:solidFill>
          </w14:textFill>
        </w:rPr>
        <w:t>备案表</w:t>
      </w:r>
    </w:p>
    <w:p w14:paraId="60B97C5A">
      <w:pPr>
        <w:spacing w:line="360" w:lineRule="auto"/>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附件</w:t>
      </w:r>
      <w:r>
        <w:rPr>
          <w:rFonts w:hint="eastAsia" w:cs="Times New Roman"/>
          <w:color w:val="000000" w:themeColor="text1"/>
          <w:sz w:val="24"/>
          <w:szCs w:val="24"/>
          <w:lang w:val="en-US" w:eastAsia="zh-CN"/>
          <w14:textFill>
            <w14:solidFill>
              <w14:schemeClr w14:val="tx1"/>
            </w14:solidFill>
          </w14:textFill>
        </w:rPr>
        <w:t>三土地证明文件</w:t>
      </w:r>
    </w:p>
    <w:p w14:paraId="7427F059">
      <w:pPr>
        <w:spacing w:line="360" w:lineRule="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附件</w:t>
      </w:r>
      <w:r>
        <w:rPr>
          <w:rFonts w:hint="eastAsia" w:cs="Times New Roman"/>
          <w:color w:val="000000" w:themeColor="text1"/>
          <w:sz w:val="24"/>
          <w:szCs w:val="24"/>
          <w:lang w:val="en-US" w:eastAsia="zh-CN"/>
          <w14:textFill>
            <w14:solidFill>
              <w14:schemeClr w14:val="tx1"/>
            </w14:solidFill>
          </w14:textFill>
        </w:rPr>
        <w:t>四租赁合同</w:t>
      </w:r>
    </w:p>
    <w:p w14:paraId="1487959F">
      <w:pPr>
        <w:spacing w:line="360" w:lineRule="auto"/>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附件</w:t>
      </w:r>
      <w:r>
        <w:rPr>
          <w:rFonts w:hint="eastAsia" w:cs="Times New Roman"/>
          <w:color w:val="000000" w:themeColor="text1"/>
          <w:sz w:val="24"/>
          <w:szCs w:val="24"/>
          <w:lang w:val="en-US" w:eastAsia="zh-CN"/>
          <w14:textFill>
            <w14:solidFill>
              <w14:schemeClr w14:val="tx1"/>
            </w14:solidFill>
          </w14:textFill>
        </w:rPr>
        <w:t>五规划环评批复</w:t>
      </w:r>
    </w:p>
    <w:p w14:paraId="0C135B86">
      <w:pPr>
        <w:spacing w:line="360" w:lineRule="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附件</w:t>
      </w:r>
      <w:r>
        <w:rPr>
          <w:rFonts w:hint="eastAsia" w:cs="Times New Roman"/>
          <w:color w:val="000000" w:themeColor="text1"/>
          <w:sz w:val="24"/>
          <w:szCs w:val="24"/>
          <w:lang w:val="en-US" w:eastAsia="zh-CN"/>
          <w14:textFill>
            <w14:solidFill>
              <w14:schemeClr w14:val="tx1"/>
            </w14:solidFill>
          </w14:textFill>
        </w:rPr>
        <w:t>六现状监测报告</w:t>
      </w:r>
    </w:p>
    <w:p w14:paraId="5AD22E4D">
      <w:pPr>
        <w:spacing w:line="36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附件</w:t>
      </w:r>
      <w:r>
        <w:rPr>
          <w:rFonts w:hint="eastAsia" w:cs="Times New Roman"/>
          <w:color w:val="000000" w:themeColor="text1"/>
          <w:sz w:val="24"/>
          <w:szCs w:val="24"/>
          <w:lang w:val="en-US" w:eastAsia="zh-CN"/>
          <w14:textFill>
            <w14:solidFill>
              <w14:schemeClr w14:val="tx1"/>
            </w14:solidFill>
          </w14:textFill>
        </w:rPr>
        <w:t>七引用</w:t>
      </w:r>
      <w:r>
        <w:rPr>
          <w:rFonts w:hint="default" w:ascii="Times New Roman" w:hAnsi="Times New Roman" w:cs="Times New Roman"/>
          <w:color w:val="000000" w:themeColor="text1"/>
          <w:sz w:val="24"/>
          <w:szCs w:val="24"/>
          <w14:textFill>
            <w14:solidFill>
              <w14:schemeClr w14:val="tx1"/>
            </w14:solidFill>
          </w14:textFill>
        </w:rPr>
        <w:t>监测报告</w:t>
      </w:r>
    </w:p>
    <w:p w14:paraId="09A414F4">
      <w:pPr>
        <w:spacing w:line="360" w:lineRule="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附件</w:t>
      </w:r>
      <w:r>
        <w:rPr>
          <w:rFonts w:hint="eastAsia" w:cs="Times New Roman"/>
          <w:color w:val="000000" w:themeColor="text1"/>
          <w:sz w:val="24"/>
          <w:szCs w:val="24"/>
          <w:lang w:val="en-US" w:eastAsia="zh-CN"/>
          <w14:textFill>
            <w14:solidFill>
              <w14:schemeClr w14:val="tx1"/>
            </w14:solidFill>
          </w14:textFill>
        </w:rPr>
        <w:t>八营业执照</w:t>
      </w:r>
    </w:p>
    <w:p w14:paraId="367BDF52">
      <w:pPr>
        <w:spacing w:line="360" w:lineRule="auto"/>
        <w:rPr>
          <w:rFonts w:hint="default" w:ascii="Times New Roman" w:hAnsi="Times New Roman" w:cs="Times New Roman"/>
          <w:color w:val="000000" w:themeColor="text1"/>
          <w:sz w:val="24"/>
          <w:szCs w:val="24"/>
          <w14:textFill>
            <w14:solidFill>
              <w14:schemeClr w14:val="tx1"/>
            </w14:solidFill>
          </w14:textFill>
        </w:rPr>
      </w:pPr>
    </w:p>
    <w:p w14:paraId="355CF1EE">
      <w:pPr>
        <w:spacing w:line="360" w:lineRule="auto"/>
        <w:rPr>
          <w:rFonts w:hint="default" w:ascii="Times New Roman" w:hAnsi="Times New Roman" w:cs="Times New Roman"/>
          <w:color w:val="000000" w:themeColor="text1"/>
          <w:sz w:val="24"/>
          <w:szCs w:val="24"/>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附表1</w:t>
      </w:r>
      <w:r>
        <w:rPr>
          <w:rFonts w:hint="default" w:ascii="Times New Roman" w:hAnsi="Times New Roman" w:cs="Times New Roman"/>
          <w:color w:val="000000" w:themeColor="text1"/>
          <w:sz w:val="24"/>
          <w:szCs w:val="24"/>
          <w14:textFill>
            <w14:solidFill>
              <w14:schemeClr w14:val="tx1"/>
            </w14:solidFill>
          </w14:textFill>
        </w:rPr>
        <w:t>排污许可证联动表</w:t>
      </w:r>
    </w:p>
    <w:p w14:paraId="62382F85">
      <w:pPr>
        <w:spacing w:line="360" w:lineRule="auto"/>
        <w:rPr>
          <w:rFonts w:hint="default" w:ascii="Times New Roman" w:hAnsi="Times New Roman" w:cs="Times New Roman"/>
          <w:color w:val="000000" w:themeColor="text1"/>
          <w:sz w:val="24"/>
          <w:szCs w:val="24"/>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附表2</w:t>
      </w:r>
      <w:r>
        <w:rPr>
          <w:rFonts w:hint="default" w:ascii="Times New Roman" w:hAnsi="Times New Roman" w:cs="Times New Roman"/>
          <w:color w:val="000000" w:themeColor="text1"/>
          <w:sz w:val="24"/>
          <w:szCs w:val="24"/>
          <w14:textFill>
            <w14:solidFill>
              <w14:schemeClr w14:val="tx1"/>
            </w14:solidFill>
          </w14:textFill>
        </w:rPr>
        <w:t>建设项目环境影响报告书审批基础信息表</w:t>
      </w:r>
    </w:p>
    <w:p w14:paraId="7557F4B0">
      <w:pPr>
        <w:rPr>
          <w:rFonts w:hint="default" w:ascii="Times New Roman" w:hAnsi="Times New Roman" w:cs="Times New Roman"/>
          <w:color w:val="000000" w:themeColor="text1"/>
          <w14:textFill>
            <w14:solidFill>
              <w14:schemeClr w14:val="tx1"/>
            </w14:solidFill>
          </w14:textFill>
        </w:rPr>
      </w:pPr>
    </w:p>
    <w:p w14:paraId="628E5804">
      <w:pPr>
        <w:rPr>
          <w:rFonts w:hint="default" w:ascii="Times New Roman" w:hAnsi="Times New Roman" w:cs="Times New Roman"/>
          <w:color w:val="000000" w:themeColor="text1"/>
          <w14:textFill>
            <w14:solidFill>
              <w14:schemeClr w14:val="tx1"/>
            </w14:solidFill>
          </w14:textFill>
        </w:rPr>
        <w:sectPr>
          <w:headerReference r:id="rId6" w:type="first"/>
          <w:footerReference r:id="rId7" w:type="first"/>
          <w:pgSz w:w="11907" w:h="16839"/>
          <w:pgMar w:top="1440" w:right="1797" w:bottom="1440" w:left="1797" w:header="680" w:footer="680" w:gutter="0"/>
          <w:pgBorders>
            <w:top w:val="none" w:sz="0" w:space="0"/>
            <w:left w:val="none" w:sz="0" w:space="0"/>
            <w:bottom w:val="none" w:sz="0" w:space="0"/>
            <w:right w:val="none" w:sz="0" w:space="0"/>
          </w:pgBorders>
          <w:pgNumType w:fmt="lowerRoman" w:start="1"/>
          <w:cols w:space="425" w:num="1"/>
          <w:titlePg/>
          <w:docGrid w:type="lines" w:linePitch="312" w:charSpace="0"/>
        </w:sectPr>
      </w:pPr>
    </w:p>
    <w:p w14:paraId="4F4D654F">
      <w:pPr>
        <w:pStyle w:val="2855"/>
        <w:rPr>
          <w:rFonts w:hint="default" w:ascii="Times New Roman" w:hAnsi="Times New Roman" w:eastAsia="黑体" w:cs="Times New Roman"/>
          <w:b w:val="0"/>
          <w:color w:val="000000" w:themeColor="text1"/>
          <w14:textFill>
            <w14:solidFill>
              <w14:schemeClr w14:val="tx1"/>
            </w14:solidFill>
          </w14:textFill>
        </w:rPr>
      </w:pPr>
      <w:bookmarkStart w:id="0" w:name="_Toc173837591"/>
      <w:r>
        <w:rPr>
          <w:rFonts w:hint="default" w:ascii="Times New Roman" w:hAnsi="Times New Roman" w:eastAsia="黑体" w:cs="Times New Roman"/>
          <w:b w:val="0"/>
          <w:color w:val="000000" w:themeColor="text1"/>
          <w14:textFill>
            <w14:solidFill>
              <w14:schemeClr w14:val="tx1"/>
            </w14:solidFill>
          </w14:textFill>
        </w:rPr>
        <w:t>1概述</w:t>
      </w:r>
      <w:bookmarkEnd w:id="0"/>
    </w:p>
    <w:p w14:paraId="7003AB7E">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1" w:name="_Toc173837592"/>
      <w:r>
        <w:rPr>
          <w:rFonts w:hint="default" w:ascii="Times New Roman" w:hAnsi="Times New Roman" w:eastAsia="黑体" w:cs="Times New Roman"/>
          <w:b w:val="0"/>
          <w:color w:val="000000" w:themeColor="text1"/>
          <w14:textFill>
            <w14:solidFill>
              <w14:schemeClr w14:val="tx1"/>
            </w14:solidFill>
          </w14:textFill>
        </w:rPr>
        <w:t>1.1建设项目概况</w:t>
      </w:r>
      <w:bookmarkEnd w:id="1"/>
    </w:p>
    <w:p w14:paraId="0AB141F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随着人口不断增长和消费水平的不断提高，全球对纤维的需求量不断增加。由于天然纤维发展受耕地、天气等自然条件限制，大力发展化学纤维是解决纤维总量不足的唯一途径。在众多合成树脂中，</w:t>
      </w:r>
      <w:r>
        <w:rPr>
          <w:rFonts w:hint="default" w:ascii="Times New Roman" w:hAnsi="Times New Roman" w:cs="Times New Roman"/>
          <w:color w:val="000000" w:themeColor="text1"/>
          <w:highlight w:val="yellow"/>
          <w14:textFill>
            <w14:solidFill>
              <w14:schemeClr w14:val="tx1"/>
            </w14:solidFill>
          </w14:textFill>
        </w:rPr>
        <w:t>聚对苯二甲酸乙二醇酯(PET)</w:t>
      </w:r>
      <w:r>
        <w:rPr>
          <w:rFonts w:hint="default" w:ascii="Times New Roman" w:hAnsi="Times New Roman" w:cs="Times New Roman"/>
          <w:color w:val="000000" w:themeColor="text1"/>
          <w14:textFill>
            <w14:solidFill>
              <w14:schemeClr w14:val="tx1"/>
            </w14:solidFill>
          </w14:textFill>
        </w:rPr>
        <w:t>是聚酯家族中应用最广泛、产量最大的一类产品，它原料来源丰富，具有多种优良特性，特别是聚酯纤维具有极佳的可纺性，能够很好地替代天然纤维，使得以聚酯为原料生产的涤纶纤维的产量快速增长，主导着化学纤维市场。此外，因PET具有良好的可回收性利于保护环境，在非纤领域的用途也非常广泛，需求日益上升。按聚酯产品用途分类，可划分为纤维用、瓶</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容器</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用和薄膜用等。因此，随着世界经济的不断发展对聚酯产品的需求将同步稳定增长，它们具有更大的发展空间和应用前景。</w:t>
      </w:r>
    </w:p>
    <w:p w14:paraId="4A321486">
      <w:pPr>
        <w:spacing w:line="360" w:lineRule="auto"/>
        <w:ind w:firstLine="480" w:firstLineChars="200"/>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为促进资源再生循环使用，</w:t>
      </w:r>
      <w:r>
        <w:rPr>
          <w:rFonts w:hint="default" w:ascii="Times New Roman" w:hAnsi="Times New Roman" w:cs="Times New Roman"/>
          <w:color w:val="000000" w:themeColor="text1"/>
          <w:spacing w:val="0"/>
          <w:kern w:val="2"/>
          <w:sz w:val="24"/>
          <w:szCs w:val="28"/>
          <w:lang w:val="en-US" w:eastAsia="zh-CN" w:bidi="ar-SA"/>
          <w14:textFill>
            <w14:solidFill>
              <w14:schemeClr w14:val="tx1"/>
            </w14:solidFill>
          </w14:textFill>
        </w:rPr>
        <w:t>安徽楹聚环保科技有限公司</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投资</w:t>
      </w:r>
      <w:r>
        <w:rPr>
          <w:rFonts w:hint="default" w:ascii="Times New Roman" w:hAnsi="Times New Roman" w:cs="Times New Roman"/>
          <w:color w:val="000000" w:themeColor="text1"/>
          <w:spacing w:val="0"/>
          <w:kern w:val="2"/>
          <w:sz w:val="24"/>
          <w:szCs w:val="28"/>
          <w:lang w:val="en-US" w:eastAsia="zh-CN" w:bidi="ar-SA"/>
          <w14:textFill>
            <w14:solidFill>
              <w14:schemeClr w14:val="tx1"/>
            </w14:solidFill>
          </w14:textFill>
        </w:rPr>
        <w:t>4197万元</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在</w:t>
      </w:r>
      <w:r>
        <w:rPr>
          <w:rFonts w:hint="default" w:ascii="Times New Roman" w:hAnsi="Times New Roman" w:cs="Times New Roman"/>
          <w:color w:val="000000" w:themeColor="text1"/>
          <w:spacing w:val="0"/>
          <w:kern w:val="2"/>
          <w:sz w:val="24"/>
          <w:szCs w:val="28"/>
          <w:lang w:val="en-US" w:eastAsia="zh-CN" w:bidi="ar-SA"/>
          <w14:textFill>
            <w14:solidFill>
              <w14:schemeClr w14:val="tx1"/>
            </w14:solidFill>
          </w14:textFill>
        </w:rPr>
        <w:t>淮南市毛集社会发展综合实验区</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建设“</w:t>
      </w:r>
      <w:r>
        <w:rPr>
          <w:rFonts w:hint="default" w:ascii="Times New Roman" w:hAnsi="Times New Roman" w:cs="Times New Roman"/>
          <w:color w:val="000000" w:themeColor="text1"/>
          <w:spacing w:val="0"/>
          <w:kern w:val="2"/>
          <w:sz w:val="24"/>
          <w:szCs w:val="28"/>
          <w:lang w:val="en-US" w:eastAsia="zh-CN" w:bidi="ar-SA"/>
          <w14:textFill>
            <w14:solidFill>
              <w14:schemeClr w14:val="tx1"/>
            </w14:solidFill>
          </w14:textFill>
        </w:rPr>
        <w:t>PET再生资源综合利用项目</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”，本项目占地面积约</w:t>
      </w:r>
      <w:r>
        <w:rPr>
          <w:rFonts w:hint="default" w:ascii="Times New Roman" w:hAnsi="Times New Roman" w:cs="Times New Roman"/>
          <w:color w:val="000000" w:themeColor="text1"/>
          <w:spacing w:val="0"/>
          <w:kern w:val="2"/>
          <w:sz w:val="24"/>
          <w:szCs w:val="28"/>
          <w:lang w:val="en-US" w:eastAsia="zh-CN" w:bidi="ar-SA"/>
          <w14:textFill>
            <w14:solidFill>
              <w14:schemeClr w14:val="tx1"/>
            </w14:solidFill>
          </w14:textFill>
        </w:rPr>
        <w:t>21亩，</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租赁并</w:t>
      </w:r>
      <w:r>
        <w:rPr>
          <w:rFonts w:hint="default" w:ascii="Times New Roman" w:hAnsi="Times New Roman" w:eastAsia="宋体" w:cs="Times New Roman"/>
          <w:color w:val="000000" w:themeColor="text1"/>
          <w:spacing w:val="0"/>
          <w:kern w:val="2"/>
          <w:sz w:val="24"/>
          <w:szCs w:val="28"/>
          <w:highlight w:val="yellow"/>
          <w:lang w:val="en-US" w:eastAsia="zh-CN" w:bidi="ar-SA"/>
          <w14:textFill>
            <w14:solidFill>
              <w14:schemeClr w14:val="tx1"/>
            </w14:solidFill>
          </w14:textFill>
        </w:rPr>
        <w:t>改造</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钢构厂房及办公楼约9600平方米，购置整瓶处理设备、瓶片清洗设备、色选、粉碎及造粒等设备，新建PET再生切片生产线6条，改性颗粒生产线2条，并配套建设消防、给排水、供配电、节能环保等附属设施。项目</w:t>
      </w:r>
      <w:r>
        <w:rPr>
          <w:rFonts w:hint="default" w:ascii="Times New Roman" w:hAnsi="Times New Roman" w:cs="Times New Roman"/>
          <w:color w:val="000000" w:themeColor="text1"/>
          <w:spacing w:val="0"/>
          <w:kern w:val="2"/>
          <w:sz w:val="24"/>
          <w:szCs w:val="28"/>
          <w:lang w:val="en-US" w:eastAsia="zh-CN" w:bidi="ar-SA"/>
          <w14:textFill>
            <w14:solidFill>
              <w14:schemeClr w14:val="tx1"/>
            </w14:solidFill>
          </w14:textFill>
        </w:rPr>
        <w:t>建成</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后可实现年产瓶片6.3万吨、标签纸0.7万吨、瓶盖0.7万吨、瓶沫0.3万吨、改性塑料粒子2万吨。</w:t>
      </w:r>
    </w:p>
    <w:p w14:paraId="549D564D">
      <w:pPr>
        <w:spacing w:line="360" w:lineRule="auto"/>
        <w:ind w:firstLine="480" w:firstLineChars="200"/>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该项目已于20</w:t>
      </w:r>
      <w:r>
        <w:rPr>
          <w:rFonts w:hint="default" w:ascii="Times New Roman" w:hAnsi="Times New Roman" w:cs="Times New Roman"/>
          <w:color w:val="000000" w:themeColor="text1"/>
          <w:spacing w:val="0"/>
          <w:kern w:val="2"/>
          <w:sz w:val="24"/>
          <w:szCs w:val="28"/>
          <w:lang w:val="en-US" w:eastAsia="zh-CN" w:bidi="ar-SA"/>
          <w14:textFill>
            <w14:solidFill>
              <w14:schemeClr w14:val="tx1"/>
            </w14:solidFill>
          </w14:textFill>
        </w:rPr>
        <w:t>25</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年</w:t>
      </w:r>
      <w:r>
        <w:rPr>
          <w:rFonts w:hint="default" w:ascii="Times New Roman" w:hAnsi="Times New Roman" w:cs="Times New Roman"/>
          <w:color w:val="000000" w:themeColor="text1"/>
          <w:spacing w:val="0"/>
          <w:kern w:val="2"/>
          <w:sz w:val="24"/>
          <w:szCs w:val="28"/>
          <w:lang w:val="en-US" w:eastAsia="zh-CN" w:bidi="ar-SA"/>
          <w14:textFill>
            <w14:solidFill>
              <w14:schemeClr w14:val="tx1"/>
            </w14:solidFill>
          </w14:textFill>
        </w:rPr>
        <w:t>10</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月2</w:t>
      </w:r>
      <w:r>
        <w:rPr>
          <w:rFonts w:hint="default" w:ascii="Times New Roman" w:hAnsi="Times New Roman" w:cs="Times New Roman"/>
          <w:color w:val="000000" w:themeColor="text1"/>
          <w:spacing w:val="0"/>
          <w:kern w:val="2"/>
          <w:sz w:val="24"/>
          <w:szCs w:val="28"/>
          <w:lang w:val="en-US" w:eastAsia="zh-CN" w:bidi="ar-SA"/>
          <w14:textFill>
            <w14:solidFill>
              <w14:schemeClr w14:val="tx1"/>
            </w14:solidFill>
          </w14:textFill>
        </w:rPr>
        <w:t>8</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日在</w:t>
      </w:r>
      <w:r>
        <w:rPr>
          <w:rFonts w:hint="eastAsia" w:cs="Times New Roman"/>
          <w:color w:val="000000" w:themeColor="text1"/>
          <w:spacing w:val="0"/>
          <w:kern w:val="2"/>
          <w:sz w:val="24"/>
          <w:szCs w:val="28"/>
          <w:lang w:val="en-US" w:eastAsia="zh-CN" w:bidi="ar-SA"/>
          <w14:textFill>
            <w14:solidFill>
              <w14:schemeClr w14:val="tx1"/>
            </w14:solidFill>
          </w14:textFill>
        </w:rPr>
        <w:t>淮南市毛集社会发展综合实验区发展改革局</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备案</w:t>
      </w:r>
      <w:r>
        <w:rPr>
          <w:rFonts w:hint="default" w:ascii="Times New Roman" w:hAnsi="Times New Roman" w:cs="Times New Roman"/>
          <w:color w:val="000000" w:themeColor="text1"/>
          <w:spacing w:val="0"/>
          <w:kern w:val="2"/>
          <w:sz w:val="24"/>
          <w:szCs w:val="28"/>
          <w:lang w:val="en-US" w:eastAsia="zh-CN" w:bidi="ar-SA"/>
          <w14:textFill>
            <w14:solidFill>
              <w14:schemeClr w14:val="tx1"/>
            </w14:solidFill>
          </w14:textFill>
        </w:rPr>
        <w:t>，</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项目代码</w:t>
      </w:r>
      <w:r>
        <w:rPr>
          <w:rFonts w:hint="default" w:ascii="Times New Roman" w:hAnsi="Times New Roman" w:cs="Times New Roman"/>
          <w:color w:val="000000" w:themeColor="text1"/>
          <w:spacing w:val="0"/>
          <w:kern w:val="2"/>
          <w:sz w:val="24"/>
          <w:szCs w:val="28"/>
          <w:lang w:val="en-US" w:eastAsia="zh-CN" w:bidi="ar-SA"/>
          <w14:textFill>
            <w14:solidFill>
              <w14:schemeClr w14:val="tx1"/>
            </w14:solidFill>
          </w14:textFill>
        </w:rPr>
        <w:t>为2507-340407-04-01-650055</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w:t>
      </w:r>
    </w:p>
    <w:p w14:paraId="5970AB5C">
      <w:pPr>
        <w:spacing w:line="360" w:lineRule="auto"/>
        <w:ind w:firstLine="480" w:firstLineChars="200"/>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根据《中华人民共和国环境保护法》、《建设项目环境保护管理条例》、《中华人民共和国环境影响评价法》等国家有关法律法规的要求</w:t>
      </w:r>
      <w:r>
        <w:rPr>
          <w:rFonts w:hint="default" w:ascii="Times New Roman" w:hAnsi="Times New Roman" w:cs="Times New Roman"/>
          <w:color w:val="000000" w:themeColor="text1"/>
          <w:spacing w:val="0"/>
          <w:kern w:val="2"/>
          <w:sz w:val="24"/>
          <w:szCs w:val="28"/>
          <w:lang w:val="en-US" w:eastAsia="zh-CN" w:bidi="ar-SA"/>
          <w14:textFill>
            <w14:solidFill>
              <w14:schemeClr w14:val="tx1"/>
            </w14:solidFill>
          </w14:textFill>
        </w:rPr>
        <w:t>，</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建设过程中或者建成投产后可能对环境产生影响的新建、扩建、迁建、技术改造项目及区域开发建设项目，必须进行环境影响评价。根据《建设项目环境影响评价分类管理名录》中“三十九、废弃资源综合利用业 42”中第8</w:t>
      </w:r>
      <w:r>
        <w:rPr>
          <w:rFonts w:hint="eastAsia" w:cs="Times New Roman"/>
          <w:color w:val="000000" w:themeColor="text1"/>
          <w:spacing w:val="0"/>
          <w:kern w:val="2"/>
          <w:sz w:val="24"/>
          <w:szCs w:val="28"/>
          <w:lang w:val="en-US" w:eastAsia="zh-CN" w:bidi="ar-SA"/>
          <w14:textFill>
            <w14:solidFill>
              <w14:schemeClr w14:val="tx1"/>
            </w14:solidFill>
          </w14:textFill>
        </w:rPr>
        <w:t>5</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项“金属废料和碎屑加工处理 421；非金属废料和碎屑加工处理422（421和422均不含原料为危险废物的，均不含仅分拣、破碎的）”，其中“废弃电器电子产品、废机动车、废电机、废电线电缆、废钢、废铁、金属和金属化合物矿灰及残渣、有色金属废料与碎屑、</w:t>
      </w:r>
      <w:r>
        <w:rPr>
          <w:rFonts w:hint="default" w:ascii="Times New Roman" w:hAnsi="Times New Roman" w:eastAsia="宋体" w:cs="Times New Roman"/>
          <w:b/>
          <w:bCs/>
          <w:color w:val="000000" w:themeColor="text1"/>
          <w:spacing w:val="0"/>
          <w:kern w:val="2"/>
          <w:sz w:val="24"/>
          <w:szCs w:val="28"/>
          <w:lang w:val="en-US" w:eastAsia="zh-CN" w:bidi="ar-SA"/>
          <w14:textFill>
            <w14:solidFill>
              <w14:schemeClr w14:val="tx1"/>
            </w14:solidFill>
          </w14:textFill>
        </w:rPr>
        <w:t>废塑料</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、废轮胎、废船、含水洗工艺的其他废料和碎屑加工处理（农业生产产生的废旧秧盘、薄膜破碎和清洗工艺的除外）”需编制建设项目环境影响报告</w:t>
      </w:r>
      <w:r>
        <w:rPr>
          <w:rFonts w:hint="eastAsia" w:cs="Times New Roman"/>
          <w:color w:val="000000" w:themeColor="text1"/>
          <w:spacing w:val="0"/>
          <w:kern w:val="2"/>
          <w:sz w:val="24"/>
          <w:szCs w:val="28"/>
          <w:lang w:val="en-US" w:eastAsia="zh-CN" w:bidi="ar-SA"/>
          <w14:textFill>
            <w14:solidFill>
              <w14:schemeClr w14:val="tx1"/>
            </w14:solidFill>
          </w14:textFill>
        </w:rPr>
        <w:t>表；同时项目涉及改性粒子造粒，</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根据《建设项目环境影响评价分类管理名录》中“二十六、橡胶和塑料制品业 29”中第</w:t>
      </w:r>
      <w:r>
        <w:rPr>
          <w:rFonts w:hint="eastAsia" w:cs="Times New Roman"/>
          <w:color w:val="000000" w:themeColor="text1"/>
          <w:spacing w:val="0"/>
          <w:kern w:val="2"/>
          <w:sz w:val="24"/>
          <w:szCs w:val="28"/>
          <w:lang w:val="en-US" w:eastAsia="zh-CN" w:bidi="ar-SA"/>
          <w14:textFill>
            <w14:solidFill>
              <w14:schemeClr w14:val="tx1"/>
            </w14:solidFill>
          </w14:textFill>
        </w:rPr>
        <w:t>53</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项“塑料制品业 292”，其中“</w:t>
      </w:r>
      <w:r>
        <w:rPr>
          <w:rFonts w:hint="default" w:ascii="Times New Roman" w:hAnsi="Times New Roman" w:eastAsia="宋体" w:cs="Times New Roman"/>
          <w:b/>
          <w:bCs/>
          <w:color w:val="000000" w:themeColor="text1"/>
          <w:spacing w:val="0"/>
          <w:kern w:val="2"/>
          <w:sz w:val="24"/>
          <w:szCs w:val="28"/>
          <w:lang w:val="en-US" w:eastAsia="zh-CN" w:bidi="ar-SA"/>
          <w14:textFill>
            <w14:solidFill>
              <w14:schemeClr w14:val="tx1"/>
            </w14:solidFill>
          </w14:textFill>
        </w:rPr>
        <w:t>以再生塑料为原料生产的</w:t>
      </w:r>
      <w:r>
        <w:rPr>
          <w:rFonts w:hint="eastAsia" w:cs="Times New Roman"/>
          <w:b w:val="0"/>
          <w:bCs w:val="0"/>
          <w:color w:val="000000" w:themeColor="text1"/>
          <w:spacing w:val="0"/>
          <w:kern w:val="2"/>
          <w:sz w:val="24"/>
          <w:szCs w:val="28"/>
          <w:lang w:val="en-US" w:eastAsia="zh-CN" w:bidi="ar-SA"/>
          <w14:textFill>
            <w14:solidFill>
              <w14:schemeClr w14:val="tx1"/>
            </w14:solidFill>
          </w14:textFill>
        </w:rPr>
        <w:t>；</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有电镀工艺的；年用溶剂型胶粘剂10吨及以上的；年用溶剂型涂料（含稀释剂）10吨及以上的”需编制建设项目环境影响报告</w:t>
      </w:r>
      <w:r>
        <w:rPr>
          <w:rFonts w:hint="eastAsia" w:cs="Times New Roman"/>
          <w:color w:val="000000" w:themeColor="text1"/>
          <w:spacing w:val="0"/>
          <w:kern w:val="2"/>
          <w:sz w:val="24"/>
          <w:szCs w:val="28"/>
          <w:lang w:val="en-US" w:eastAsia="zh-CN" w:bidi="ar-SA"/>
          <w14:textFill>
            <w14:solidFill>
              <w14:schemeClr w14:val="tx1"/>
            </w14:solidFill>
          </w14:textFill>
        </w:rPr>
        <w:t>书</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w:t>
      </w:r>
      <w:r>
        <w:rPr>
          <w:rFonts w:hint="eastAsia" w:cs="Times New Roman"/>
          <w:color w:val="000000" w:themeColor="text1"/>
          <w:spacing w:val="0"/>
          <w:kern w:val="2"/>
          <w:sz w:val="24"/>
          <w:szCs w:val="28"/>
          <w:lang w:val="en-US" w:eastAsia="zh-CN" w:bidi="ar-SA"/>
          <w14:textFill>
            <w14:solidFill>
              <w14:schemeClr w14:val="tx1"/>
            </w14:solidFill>
          </w14:textFill>
        </w:rPr>
        <w:t>综上所述，</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本项目主要以</w:t>
      </w:r>
      <w:r>
        <w:rPr>
          <w:rFonts w:hint="default" w:ascii="Times New Roman" w:hAnsi="Times New Roman" w:cs="Times New Roman"/>
          <w:color w:val="000000" w:themeColor="text1"/>
          <w:spacing w:val="0"/>
          <w:kern w:val="2"/>
          <w:sz w:val="24"/>
          <w:szCs w:val="28"/>
          <w:lang w:val="en-US" w:eastAsia="zh-CN" w:bidi="ar-SA"/>
          <w14:textFill>
            <w14:solidFill>
              <w14:schemeClr w14:val="tx1"/>
            </w14:solidFill>
          </w14:textFill>
        </w:rPr>
        <w:t>废塑料瓶</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为原料，根据管理名录要求需编制建设项目环境影响报告书。为此，</w:t>
      </w:r>
      <w:r>
        <w:rPr>
          <w:rFonts w:hint="default" w:ascii="Times New Roman" w:hAnsi="Times New Roman" w:cs="Times New Roman"/>
          <w:color w:val="000000" w:themeColor="text1"/>
          <w:spacing w:val="0"/>
          <w:kern w:val="2"/>
          <w:sz w:val="24"/>
          <w:szCs w:val="28"/>
          <w:lang w:val="en-US" w:eastAsia="zh-CN" w:bidi="ar-SA"/>
          <w14:textFill>
            <w14:solidFill>
              <w14:schemeClr w14:val="tx1"/>
            </w14:solidFill>
          </w14:textFill>
        </w:rPr>
        <w:t>安徽楹聚环保科技有限公司</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委托</w:t>
      </w:r>
      <w:r>
        <w:rPr>
          <w:rFonts w:hint="default" w:ascii="Times New Roman" w:hAnsi="Times New Roman" w:cs="Times New Roman"/>
          <w:color w:val="000000" w:themeColor="text1"/>
          <w:spacing w:val="0"/>
          <w:kern w:val="2"/>
          <w:sz w:val="24"/>
          <w:szCs w:val="28"/>
          <w:lang w:val="en-US" w:eastAsia="zh-CN" w:bidi="ar-SA"/>
          <w14:textFill>
            <w14:solidFill>
              <w14:schemeClr w14:val="tx1"/>
            </w14:solidFill>
          </w14:textFill>
        </w:rPr>
        <w:t>安徽应天环保科技咨询有限公司</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承担本项目的环境影响评价工作。接到委托后，我公司组织了有关人员对该项目进行现场踏勘，收集有关资料，并对该项目的有关文件进行研究，在此基础上，编制了本项目的环境影响评价报告书，提交给建设单位，供环保部门审批。</w:t>
      </w:r>
    </w:p>
    <w:p w14:paraId="326E33D0">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2" w:name="_Toc173837593"/>
      <w:r>
        <w:rPr>
          <w:rFonts w:hint="default" w:ascii="Times New Roman" w:hAnsi="Times New Roman" w:eastAsia="黑体" w:cs="Times New Roman"/>
          <w:b w:val="0"/>
          <w:color w:val="000000" w:themeColor="text1"/>
          <w14:textFill>
            <w14:solidFill>
              <w14:schemeClr w14:val="tx1"/>
            </w14:solidFill>
          </w14:textFill>
        </w:rPr>
        <w:t>1.2项目特点</w:t>
      </w:r>
      <w:bookmarkEnd w:id="2"/>
    </w:p>
    <w:p w14:paraId="11C51E37">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本项目主要特点有：</w:t>
      </w:r>
    </w:p>
    <w:p w14:paraId="2FC46C81">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（1）本项目为新建项目。</w:t>
      </w:r>
    </w:p>
    <w:p w14:paraId="4B9CDBE3">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（2）本项目</w:t>
      </w:r>
      <w:r>
        <w:rPr>
          <w:rFonts w:hint="default" w:ascii="Times New Roman" w:hAnsi="Times New Roman" w:cs="Times New Roman"/>
          <w:color w:val="000000" w:themeColor="text1"/>
          <w:sz w:val="24"/>
          <w:highlight w:val="yellow"/>
          <w14:textFill>
            <w14:solidFill>
              <w14:schemeClr w14:val="tx1"/>
            </w14:solidFill>
          </w14:textFill>
        </w:rPr>
        <w:t>清洗的</w:t>
      </w:r>
      <w:r>
        <w:rPr>
          <w:rFonts w:hint="default" w:ascii="Times New Roman" w:hAnsi="Times New Roman" w:cs="Times New Roman"/>
          <w:color w:val="000000" w:themeColor="text1"/>
          <w:sz w:val="24"/>
          <w14:textFill>
            <w14:solidFill>
              <w14:schemeClr w14:val="tx1"/>
            </w14:solidFill>
          </w14:textFill>
        </w:rPr>
        <w:t>瓶片主要为可再生PET瓶片，清洗好的瓶片</w:t>
      </w:r>
      <w:r>
        <w:rPr>
          <w:rFonts w:hint="default" w:ascii="Times New Roman" w:hAnsi="Times New Roman" w:cs="Times New Roman"/>
          <w:color w:val="000000" w:themeColor="text1"/>
          <w:sz w:val="24"/>
          <w:lang w:val="en-US" w:eastAsia="zh-CN"/>
          <w14:textFill>
            <w14:solidFill>
              <w14:schemeClr w14:val="tx1"/>
            </w14:solidFill>
          </w14:textFill>
        </w:rPr>
        <w:t>作为产品</w:t>
      </w:r>
      <w:r>
        <w:rPr>
          <w:rFonts w:hint="default" w:ascii="Times New Roman" w:hAnsi="Times New Roman" w:cs="Times New Roman"/>
          <w:color w:val="000000" w:themeColor="text1"/>
          <w:sz w:val="24"/>
          <w14:textFill>
            <w14:solidFill>
              <w14:schemeClr w14:val="tx1"/>
            </w14:solidFill>
          </w14:textFill>
        </w:rPr>
        <w:t>及改性粒子加工，主要采购</w:t>
      </w:r>
      <w:r>
        <w:rPr>
          <w:rFonts w:hint="default" w:ascii="Times New Roman" w:hAnsi="Times New Roman" w:cs="Times New Roman"/>
          <w:color w:val="000000" w:themeColor="text1"/>
          <w:sz w:val="24"/>
          <w:lang w:val="en-US" w:eastAsia="zh-CN"/>
          <w14:textFill>
            <w14:solidFill>
              <w14:schemeClr w14:val="tx1"/>
            </w14:solidFill>
          </w14:textFill>
        </w:rPr>
        <w:t>淮南市</w:t>
      </w:r>
      <w:r>
        <w:rPr>
          <w:rFonts w:hint="default" w:ascii="Times New Roman" w:hAnsi="Times New Roman" w:cs="Times New Roman"/>
          <w:color w:val="000000" w:themeColor="text1"/>
          <w:sz w:val="24"/>
          <w14:textFill>
            <w14:solidFill>
              <w14:schemeClr w14:val="tx1"/>
            </w14:solidFill>
          </w14:textFill>
        </w:rPr>
        <w:t>县周边再生资源相关企业已清洗干净的</w:t>
      </w:r>
      <w:r>
        <w:rPr>
          <w:rFonts w:hint="default" w:ascii="Times New Roman" w:hAnsi="Times New Roman" w:cs="Times New Roman"/>
          <w:color w:val="000000" w:themeColor="text1"/>
          <w:sz w:val="24"/>
          <w:lang w:val="en-US" w:eastAsia="zh-CN"/>
          <w14:textFill>
            <w14:solidFill>
              <w14:schemeClr w14:val="tx1"/>
            </w14:solidFill>
          </w14:textFill>
        </w:rPr>
        <w:t>饮料瓶及矿泉水瓶等</w:t>
      </w:r>
      <w:r>
        <w:rPr>
          <w:rFonts w:hint="default" w:ascii="Times New Roman" w:hAnsi="Times New Roman" w:cs="Times New Roman"/>
          <w:color w:val="000000" w:themeColor="text1"/>
          <w:sz w:val="24"/>
          <w14:textFill>
            <w14:solidFill>
              <w14:schemeClr w14:val="tx1"/>
            </w14:solidFill>
          </w14:textFill>
        </w:rPr>
        <w:t>，不</w:t>
      </w:r>
      <w:r>
        <w:rPr>
          <w:rFonts w:hint="eastAsia" w:cs="Times New Roman"/>
          <w:color w:val="000000" w:themeColor="text1"/>
          <w:sz w:val="24"/>
          <w:lang w:eastAsia="zh-CN"/>
          <w14:textFill>
            <w14:solidFill>
              <w14:schemeClr w14:val="tx1"/>
            </w14:solidFill>
          </w14:textFill>
        </w:rPr>
        <w:t>涉及</w:t>
      </w:r>
      <w:r>
        <w:rPr>
          <w:rFonts w:hint="default" w:ascii="Times New Roman" w:hAnsi="Times New Roman" w:cs="Times New Roman"/>
          <w:color w:val="000000" w:themeColor="text1"/>
          <w:sz w:val="24"/>
          <w14:textFill>
            <w14:solidFill>
              <w14:schemeClr w14:val="tx1"/>
            </w14:solidFill>
          </w14:textFill>
        </w:rPr>
        <w:t>受到危险化学品、农药等污染的废弃塑料包装物</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医疗废物和危险废物的废塑料以及氟塑料等特种工程塑料。</w:t>
      </w:r>
    </w:p>
    <w:p w14:paraId="67725EE4">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）项目工艺产生的非甲烷总烃经</w:t>
      </w:r>
      <w:r>
        <w:rPr>
          <w:rFonts w:hint="default" w:ascii="Times New Roman" w:hAnsi="Times New Roman" w:cs="Times New Roman"/>
          <w:color w:val="000000" w:themeColor="text1"/>
          <w:sz w:val="24"/>
          <w:lang w:val="en-US" w:eastAsia="zh-CN"/>
          <w14:textFill>
            <w14:solidFill>
              <w14:schemeClr w14:val="tx1"/>
            </w14:solidFill>
          </w14:textFill>
        </w:rPr>
        <w:t>区域封闭+</w:t>
      </w:r>
      <w:r>
        <w:rPr>
          <w:rFonts w:hint="default" w:ascii="Times New Roman" w:hAnsi="Times New Roman" w:cs="Times New Roman"/>
          <w:color w:val="000000" w:themeColor="text1"/>
          <w:sz w:val="24"/>
          <w14:textFill>
            <w14:solidFill>
              <w14:schemeClr w14:val="tx1"/>
            </w14:solidFill>
          </w14:textFill>
        </w:rPr>
        <w:t>集气罩+</w:t>
      </w:r>
      <w:r>
        <w:rPr>
          <w:rFonts w:hint="eastAsia" w:cs="Times New Roman"/>
          <w:color w:val="000000" w:themeColor="text1"/>
          <w:sz w:val="24"/>
          <w:lang w:eastAsia="zh-CN"/>
          <w14:textFill>
            <w14:solidFill>
              <w14:schemeClr w14:val="tx1"/>
            </w14:solidFill>
          </w14:textFill>
        </w:rPr>
        <w:t>油烟净化器</w:t>
      </w:r>
      <w:r>
        <w:rPr>
          <w:rFonts w:hint="eastAsia" w:cs="Times New Roman"/>
          <w:color w:val="000000" w:themeColor="text1"/>
          <w:sz w:val="24"/>
          <w:lang w:val="en-US" w:eastAsia="zh-CN"/>
          <w14:textFill>
            <w14:solidFill>
              <w14:schemeClr w14:val="tx1"/>
            </w14:solidFill>
          </w14:textFill>
        </w:rPr>
        <w:t>+两级活性炭吸附</w:t>
      </w:r>
      <w:r>
        <w:rPr>
          <w:rFonts w:hint="default" w:ascii="Times New Roman" w:hAnsi="Times New Roman" w:cs="Times New Roman"/>
          <w:color w:val="000000" w:themeColor="text1"/>
          <w:sz w:val="24"/>
          <w14:textFill>
            <w14:solidFill>
              <w14:schemeClr w14:val="tx1"/>
            </w14:solidFill>
          </w14:textFill>
        </w:rPr>
        <w:t>装置+15m排气筒达标排放，产生的粉尘经集气罩+布袋除尘器+15m排气筒达标排放，污水处理站恶臭密闭收集+</w:t>
      </w:r>
      <w:r>
        <w:rPr>
          <w:rFonts w:hint="eastAsia" w:cs="Times New Roman"/>
          <w:color w:val="000000" w:themeColor="text1"/>
          <w:sz w:val="24"/>
          <w:lang w:eastAsia="zh-CN"/>
          <w14:textFill>
            <w14:solidFill>
              <w14:schemeClr w14:val="tx1"/>
            </w14:solidFill>
          </w14:textFill>
        </w:rPr>
        <w:t>两级活性炭吸附装置</w:t>
      </w:r>
      <w:r>
        <w:rPr>
          <w:rFonts w:hint="default" w:ascii="Times New Roman" w:hAnsi="Times New Roman" w:cs="Times New Roman"/>
          <w:color w:val="000000" w:themeColor="text1"/>
          <w:sz w:val="24"/>
          <w14:textFill>
            <w14:solidFill>
              <w14:schemeClr w14:val="tx1"/>
            </w14:solidFill>
          </w14:textFill>
        </w:rPr>
        <w:t>除臭+15m排气筒；瓶片清洗产生的</w:t>
      </w:r>
      <w:r>
        <w:rPr>
          <w:rFonts w:hint="eastAsia" w:cs="Times New Roman"/>
          <w:color w:val="000000" w:themeColor="text1"/>
          <w:sz w:val="24"/>
          <w:lang w:eastAsia="zh-CN"/>
          <w14:textFill>
            <w14:solidFill>
              <w14:schemeClr w14:val="tx1"/>
            </w14:solidFill>
          </w14:textFill>
        </w:rPr>
        <w:t>固体</w:t>
      </w:r>
      <w:r>
        <w:rPr>
          <w:rFonts w:hint="default" w:ascii="Times New Roman" w:hAnsi="Times New Roman" w:cs="Times New Roman"/>
          <w:color w:val="000000" w:themeColor="text1"/>
          <w:sz w:val="24"/>
          <w14:textFill>
            <w14:solidFill>
              <w14:schemeClr w14:val="tx1"/>
            </w14:solidFill>
          </w14:textFill>
        </w:rPr>
        <w:t>杂质</w:t>
      </w:r>
      <w:r>
        <w:rPr>
          <w:rFonts w:hint="eastAsia" w:cs="Times New Roman"/>
          <w:color w:val="000000" w:themeColor="text1"/>
          <w:sz w:val="24"/>
          <w:lang w:eastAsia="zh-CN"/>
          <w14:textFill>
            <w14:solidFill>
              <w14:schemeClr w14:val="tx1"/>
            </w14:solidFill>
          </w14:textFill>
        </w:rPr>
        <w:t>外售综合利用，</w:t>
      </w:r>
      <w:r>
        <w:rPr>
          <w:rFonts w:hint="default" w:ascii="Times New Roman" w:hAnsi="Times New Roman" w:cs="Times New Roman"/>
          <w:color w:val="000000" w:themeColor="text1"/>
          <w:sz w:val="24"/>
          <w14:textFill>
            <w14:solidFill>
              <w14:schemeClr w14:val="tx1"/>
            </w14:solidFill>
          </w14:textFill>
        </w:rPr>
        <w:t>生活垃圾交由环卫部门处理</w:t>
      </w:r>
      <w:r>
        <w:rPr>
          <w:rFonts w:hint="default"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瓶盖和</w:t>
      </w:r>
      <w:r>
        <w:rPr>
          <w:rFonts w:hint="default" w:ascii="Times New Roman" w:hAnsi="Times New Roman" w:cs="Times New Roman"/>
          <w:color w:val="000000" w:themeColor="text1"/>
          <w:sz w:val="24"/>
          <w14:textFill>
            <w14:solidFill>
              <w14:schemeClr w14:val="tx1"/>
            </w14:solidFill>
          </w14:textFill>
        </w:rPr>
        <w:t>标签</w:t>
      </w:r>
      <w:r>
        <w:rPr>
          <w:rFonts w:hint="default" w:ascii="Times New Roman" w:hAnsi="Times New Roman" w:cs="Times New Roman"/>
          <w:color w:val="000000" w:themeColor="text1"/>
          <w:sz w:val="24"/>
          <w:lang w:val="en-US" w:eastAsia="zh-CN"/>
          <w14:textFill>
            <w14:solidFill>
              <w14:schemeClr w14:val="tx1"/>
            </w14:solidFill>
          </w14:textFill>
        </w:rPr>
        <w:t>破碎后作为产品</w:t>
      </w:r>
      <w:r>
        <w:rPr>
          <w:rFonts w:hint="default" w:ascii="Times New Roman" w:hAnsi="Times New Roman" w:cs="Times New Roman"/>
          <w:color w:val="000000" w:themeColor="text1"/>
          <w:sz w:val="24"/>
          <w14:textFill>
            <w14:solidFill>
              <w14:schemeClr w14:val="tx1"/>
            </w14:solidFill>
          </w14:textFill>
        </w:rPr>
        <w:t>外售</w:t>
      </w:r>
      <w:r>
        <w:rPr>
          <w:rFonts w:hint="eastAsia" w:cs="Times New Roman"/>
          <w:color w:val="000000" w:themeColor="text1"/>
          <w:sz w:val="24"/>
          <w:lang w:eastAsia="zh-CN"/>
          <w14:textFill>
            <w14:solidFill>
              <w14:schemeClr w14:val="tx1"/>
            </w14:solidFill>
          </w14:textFill>
        </w:rPr>
        <w:t>，危险废物交由有资质单位处理</w:t>
      </w:r>
      <w:r>
        <w:rPr>
          <w:rFonts w:hint="default" w:ascii="Times New Roman" w:hAnsi="Times New Roman" w:cs="Times New Roman"/>
          <w:color w:val="000000" w:themeColor="text1"/>
          <w:sz w:val="24"/>
          <w14:textFill>
            <w14:solidFill>
              <w14:schemeClr w14:val="tx1"/>
            </w14:solidFill>
          </w14:textFill>
        </w:rPr>
        <w:t>。本项目采取雨污分流；生活污水经化粪池处理后排入市政污水管网送至</w:t>
      </w:r>
      <w:r>
        <w:rPr>
          <w:rFonts w:hint="eastAsia" w:cs="Times New Roman"/>
          <w:color w:val="000000" w:themeColor="text1"/>
          <w:sz w:val="24"/>
          <w:lang w:eastAsia="zh-CN"/>
          <w14:textFill>
            <w14:solidFill>
              <w14:schemeClr w14:val="tx1"/>
            </w14:solidFill>
          </w14:textFill>
        </w:rPr>
        <w:t>毛集实验区</w:t>
      </w:r>
      <w:r>
        <w:rPr>
          <w:rFonts w:hint="default" w:ascii="Times New Roman" w:hAnsi="Times New Roman" w:cs="Times New Roman"/>
          <w:color w:val="000000" w:themeColor="text1"/>
          <w:sz w:val="24"/>
          <w14:textFill>
            <w14:solidFill>
              <w14:schemeClr w14:val="tx1"/>
            </w14:solidFill>
          </w14:textFill>
        </w:rPr>
        <w:t>污水处理厂进行处理；冷却水循环使用</w:t>
      </w:r>
      <w:r>
        <w:rPr>
          <w:rFonts w:hint="eastAsia" w:cs="Times New Roman"/>
          <w:color w:val="000000" w:themeColor="text1"/>
          <w:sz w:val="24"/>
          <w:lang w:eastAsia="zh-CN"/>
          <w14:textFill>
            <w14:solidFill>
              <w14:schemeClr w14:val="tx1"/>
            </w14:solidFill>
          </w14:textFill>
        </w:rPr>
        <w:t>，定期外排水用于物料清洗；</w:t>
      </w:r>
      <w:r>
        <w:rPr>
          <w:rFonts w:hint="default" w:ascii="Times New Roman" w:hAnsi="Times New Roman" w:cs="Times New Roman"/>
          <w:color w:val="000000" w:themeColor="text1"/>
          <w:sz w:val="24"/>
          <w14:textFill>
            <w14:solidFill>
              <w14:schemeClr w14:val="tx1"/>
            </w14:solidFill>
          </w14:textFill>
        </w:rPr>
        <w:t>瓶片清洗废水经厂区自建污水处理站处理后</w:t>
      </w:r>
      <w:r>
        <w:rPr>
          <w:rFonts w:hint="default" w:ascii="Times New Roman" w:hAnsi="Times New Roman" w:cs="Times New Roman"/>
          <w:color w:val="000000" w:themeColor="text1"/>
          <w:sz w:val="24"/>
          <w14:textFill>
            <w14:solidFill>
              <w14:schemeClr w14:val="tx1"/>
            </w14:solidFill>
          </w14:textFill>
        </w:rPr>
        <w:t>90%循环使用，10%</w:t>
      </w:r>
      <w:r>
        <w:rPr>
          <w:rFonts w:hint="eastAsia" w:cs="Times New Roman"/>
          <w:color w:val="000000" w:themeColor="text1"/>
          <w:sz w:val="24"/>
          <w:lang w:eastAsia="zh-CN"/>
          <w14:textFill>
            <w14:solidFill>
              <w14:schemeClr w14:val="tx1"/>
            </w14:solidFill>
          </w14:textFill>
        </w:rPr>
        <w:t>通过</w:t>
      </w:r>
      <w:r>
        <w:rPr>
          <w:rFonts w:hint="default" w:ascii="Times New Roman" w:hAnsi="Times New Roman" w:cs="Times New Roman"/>
          <w:color w:val="000000" w:themeColor="text1"/>
          <w:sz w:val="24"/>
          <w14:textFill>
            <w14:solidFill>
              <w14:schemeClr w14:val="tx1"/>
            </w14:solidFill>
          </w14:textFill>
        </w:rPr>
        <w:t>市政污水管网送至</w:t>
      </w:r>
      <w:r>
        <w:rPr>
          <w:rFonts w:hint="eastAsia" w:cs="Times New Roman"/>
          <w:color w:val="000000" w:themeColor="text1"/>
          <w:sz w:val="24"/>
          <w:lang w:eastAsia="zh-CN"/>
          <w14:textFill>
            <w14:solidFill>
              <w14:schemeClr w14:val="tx1"/>
            </w14:solidFill>
          </w14:textFill>
        </w:rPr>
        <w:t>毛集实验区</w:t>
      </w:r>
      <w:r>
        <w:rPr>
          <w:rFonts w:hint="default" w:ascii="Times New Roman" w:hAnsi="Times New Roman" w:cs="Times New Roman"/>
          <w:color w:val="000000" w:themeColor="text1"/>
          <w:sz w:val="24"/>
          <w14:textFill>
            <w14:solidFill>
              <w14:schemeClr w14:val="tx1"/>
            </w14:solidFill>
          </w14:textFill>
        </w:rPr>
        <w:t>污水处理厂进行</w:t>
      </w:r>
      <w:r>
        <w:rPr>
          <w:rFonts w:hint="eastAsia" w:cs="Times New Roman"/>
          <w:color w:val="000000" w:themeColor="text1"/>
          <w:sz w:val="24"/>
          <w:lang w:eastAsia="zh-CN"/>
          <w14:textFill>
            <w14:solidFill>
              <w14:schemeClr w14:val="tx1"/>
            </w14:solidFill>
          </w14:textFill>
        </w:rPr>
        <w:t>深度</w:t>
      </w:r>
      <w:r>
        <w:rPr>
          <w:rFonts w:hint="default" w:ascii="Times New Roman" w:hAnsi="Times New Roman" w:cs="Times New Roman"/>
          <w:color w:val="000000" w:themeColor="text1"/>
          <w:sz w:val="24"/>
          <w14:textFill>
            <w14:solidFill>
              <w14:schemeClr w14:val="tx1"/>
            </w14:solidFill>
          </w14:textFill>
        </w:rPr>
        <w:t>处理。</w:t>
      </w:r>
    </w:p>
    <w:p w14:paraId="2853D431">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4</w:t>
      </w:r>
      <w:r>
        <w:rPr>
          <w:rFonts w:hint="default"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对照《产业结构调整指导目录（2024年本）》，本项目属于其中的鼓励类</w:t>
      </w:r>
      <w:r>
        <w:rPr>
          <w:rFonts w:hint="default" w:ascii="Times New Roman" w:hAnsi="Times New Roman" w:cs="Times New Roman"/>
          <w:bCs/>
          <w:color w:val="000000" w:themeColor="text1"/>
          <w:sz w:val="24"/>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因此，本项目的建设符合国家产业政策。</w:t>
      </w:r>
    </w:p>
    <w:p w14:paraId="6E583C70">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5</w:t>
      </w:r>
      <w:r>
        <w:rPr>
          <w:rFonts w:hint="default"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本项目选址于</w:t>
      </w:r>
      <w:r>
        <w:rPr>
          <w:rFonts w:hint="default" w:ascii="Times New Roman" w:hAnsi="Times New Roman" w:cs="Times New Roman"/>
          <w:color w:val="000000" w:themeColor="text1"/>
          <w:sz w:val="24"/>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sz w:val="24"/>
          <w14:textFill>
            <w14:solidFill>
              <w14:schemeClr w14:val="tx1"/>
            </w14:solidFill>
          </w14:textFill>
        </w:rPr>
        <w:t>，项目用地性质为工业用地，符合用地规划。</w:t>
      </w:r>
    </w:p>
    <w:p w14:paraId="23873C15">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3" w:name="_Toc173837594"/>
      <w:r>
        <w:rPr>
          <w:rFonts w:hint="default" w:ascii="Times New Roman" w:hAnsi="Times New Roman" w:eastAsia="黑体" w:cs="Times New Roman"/>
          <w:b w:val="0"/>
          <w:color w:val="000000" w:themeColor="text1"/>
          <w14:textFill>
            <w14:solidFill>
              <w14:schemeClr w14:val="tx1"/>
            </w14:solidFill>
          </w14:textFill>
        </w:rPr>
        <w:t>1.3项目相关符合性分析判定</w:t>
      </w:r>
      <w:bookmarkEnd w:id="3"/>
    </w:p>
    <w:p w14:paraId="2D3813B3">
      <w:pPr>
        <w:pStyle w:val="3159"/>
        <w:rPr>
          <w:rFonts w:hint="default" w:ascii="Times New Roman" w:hAnsi="Times New Roman" w:eastAsia="黑体" w:cs="Times New Roman"/>
          <w:b w:val="0"/>
          <w:color w:val="000000" w:themeColor="text1"/>
          <w14:textFill>
            <w14:solidFill>
              <w14:schemeClr w14:val="tx1"/>
            </w14:solidFill>
          </w14:textFill>
        </w:rPr>
      </w:pPr>
      <w:bookmarkStart w:id="4" w:name="_Toc173837595"/>
      <w:r>
        <w:rPr>
          <w:rFonts w:hint="default" w:ascii="Times New Roman" w:hAnsi="Times New Roman" w:eastAsia="黑体" w:cs="Times New Roman"/>
          <w:b w:val="0"/>
          <w:color w:val="000000" w:themeColor="text1"/>
          <w14:textFill>
            <w14:solidFill>
              <w14:schemeClr w14:val="tx1"/>
            </w14:solidFill>
          </w14:textFill>
        </w:rPr>
        <w:t>1.3.1产业政策符合性分析</w:t>
      </w:r>
      <w:bookmarkEnd w:id="4"/>
    </w:p>
    <w:p w14:paraId="628FC98C">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本项目为</w:t>
      </w:r>
      <w:r>
        <w:rPr>
          <w:rFonts w:hint="default" w:ascii="Times New Roman" w:hAnsi="Times New Roman" w:cs="Times New Roman"/>
          <w:color w:val="000000" w:themeColor="text1"/>
          <w:sz w:val="24"/>
          <w:lang w:eastAsia="zh-CN"/>
          <w14:textFill>
            <w14:solidFill>
              <w14:schemeClr w14:val="tx1"/>
            </w14:solidFill>
          </w14:textFill>
        </w:rPr>
        <w:t>C4220 非金属废料和碎屑加工处理</w:t>
      </w:r>
      <w:r>
        <w:rPr>
          <w:rFonts w:hint="default" w:ascii="Times New Roman" w:hAnsi="Times New Roman" w:cs="Times New Roman"/>
          <w:color w:val="000000" w:themeColor="text1"/>
          <w:sz w:val="24"/>
          <w14:textFill>
            <w14:solidFill>
              <w14:schemeClr w14:val="tx1"/>
            </w14:solidFill>
          </w14:textFill>
        </w:rPr>
        <w:t>，对照国家《产业结构调整指导目录（2024年本）》，项目属于“废弃物循环利用：废钢铁、</w:t>
      </w:r>
      <w:r>
        <w:rPr>
          <w:rFonts w:hint="default" w:ascii="Times New Roman" w:hAnsi="Times New Roman" w:cs="Times New Roman"/>
          <w:b w:val="0"/>
          <w:bCs/>
          <w:color w:val="000000" w:themeColor="text1"/>
          <w:sz w:val="24"/>
          <w14:textFill>
            <w14:solidFill>
              <w14:schemeClr w14:val="tx1"/>
            </w14:solidFill>
          </w14:textFill>
        </w:rPr>
        <w:t>废有色金属</w:t>
      </w:r>
      <w:r>
        <w:rPr>
          <w:rFonts w:hint="default" w:ascii="Times New Roman" w:hAnsi="Times New Roman" w:cs="Times New Roman"/>
          <w:color w:val="000000" w:themeColor="text1"/>
          <w:sz w:val="24"/>
          <w14:textFill>
            <w14:solidFill>
              <w14:schemeClr w14:val="tx1"/>
            </w14:solidFill>
          </w14:textFill>
        </w:rPr>
        <w:t>、废纸、废橡胶、废玻璃、</w:t>
      </w:r>
      <w:r>
        <w:rPr>
          <w:rFonts w:hint="default" w:ascii="Times New Roman" w:hAnsi="Times New Roman" w:cs="Times New Roman"/>
          <w:b/>
          <w:bCs/>
          <w:color w:val="000000" w:themeColor="text1"/>
          <w:sz w:val="24"/>
          <w14:textFill>
            <w14:solidFill>
              <w14:schemeClr w14:val="tx1"/>
            </w14:solidFill>
          </w14:textFill>
        </w:rPr>
        <w:t>废塑料</w:t>
      </w:r>
      <w:r>
        <w:rPr>
          <w:rFonts w:hint="default" w:ascii="Times New Roman" w:hAnsi="Times New Roman" w:cs="Times New Roman"/>
          <w:color w:val="000000" w:themeColor="text1"/>
          <w:sz w:val="24"/>
          <w14:textFill>
            <w14:solidFill>
              <w14:schemeClr w14:val="tx1"/>
            </w14:solidFill>
          </w14:textFill>
        </w:rPr>
        <w:t>、废旧木材以及报废汽车、</w:t>
      </w:r>
      <w:r>
        <w:rPr>
          <w:rFonts w:hint="default" w:ascii="Times New Roman" w:hAnsi="Times New Roman" w:cs="Times New Roman"/>
          <w:b w:val="0"/>
          <w:bCs/>
          <w:color w:val="000000" w:themeColor="text1"/>
          <w:sz w:val="24"/>
          <w14:textFill>
            <w14:solidFill>
              <w14:schemeClr w14:val="tx1"/>
            </w14:solidFill>
          </w14:textFill>
        </w:rPr>
        <w:t>废弃电器电子产品</w:t>
      </w:r>
      <w:r>
        <w:rPr>
          <w:rFonts w:hint="default" w:ascii="Times New Roman" w:hAnsi="Times New Roman" w:cs="Times New Roman"/>
          <w:color w:val="000000" w:themeColor="text1"/>
          <w:sz w:val="24"/>
          <w14:textFill>
            <w14:solidFill>
              <w14:schemeClr w14:val="tx1"/>
            </w14:solidFill>
          </w14:textFill>
        </w:rPr>
        <w:t>、废旧船舶、废旧电池、废轮胎、废弃木质材料、废旧农具、废旧纺织品及纺织废料和边角料、废旧光伏组件、废旧风机叶片、废弃油脂等城市典型废弃物循环利用、技术设备开发及应用，废旧动力电池自动化拆解、自动化快速分选成组、电池剩余寿命及一致性评估、有价组分综合回收、梯次利用、再生利用技术装备开发及应用，低值可回收物回收利用，“城市矿产”基地和资源循环利用基地建设，煤矸石、粉煤灰、尾矿（共伴生矿）、冶炼渣、工业副产石膏、赤泥、建筑垃圾等工业废弃物循环利用，农作物秸秆、畜禽粪污、农药包装等农林废弃物循环利用，生物质能技术装备（发电、供热、制油、沼气）”，为鼓励类项目。</w:t>
      </w:r>
    </w:p>
    <w:p w14:paraId="2CFD6FD7">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因此，根据国家《产业结构调整指导目录（2024年本）》，本项目符合国家产业政策。</w:t>
      </w:r>
    </w:p>
    <w:p w14:paraId="58FE2154">
      <w:pPr>
        <w:spacing w:line="360" w:lineRule="auto"/>
        <w:ind w:firstLine="472" w:firstLineChars="20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本项目于</w:t>
      </w:r>
      <w:r>
        <w:rPr>
          <w:rFonts w:hint="default" w:ascii="Times New Roman" w:hAnsi="Times New Roman" w:cs="Times New Roman"/>
          <w:color w:val="000000" w:themeColor="text1"/>
          <w:sz w:val="24"/>
          <w:szCs w:val="24"/>
          <w:lang w:eastAsia="zh-CN"/>
          <w14:textFill>
            <w14:solidFill>
              <w14:schemeClr w14:val="tx1"/>
            </w14:solidFill>
          </w14:textFill>
        </w:rPr>
        <w:t>2025年10月28日</w:t>
      </w:r>
      <w:r>
        <w:rPr>
          <w:rFonts w:hint="default" w:ascii="Times New Roman" w:hAnsi="Times New Roman" w:cs="Times New Roman"/>
          <w:color w:val="000000" w:themeColor="text1"/>
          <w:sz w:val="24"/>
          <w:szCs w:val="24"/>
          <w14:textFill>
            <w14:solidFill>
              <w14:schemeClr w14:val="tx1"/>
            </w14:solidFill>
          </w14:textFill>
        </w:rPr>
        <w:t>取得淮南市毛集社会发展综合实验区发展改革局备案（项目代码：</w:t>
      </w:r>
      <w:r>
        <w:rPr>
          <w:rFonts w:hint="default" w:ascii="Times New Roman" w:hAnsi="Times New Roman" w:cs="Times New Roman"/>
          <w:color w:val="000000" w:themeColor="text1"/>
          <w:sz w:val="24"/>
          <w:szCs w:val="24"/>
          <w:lang w:eastAsia="zh-CN"/>
          <w14:textFill>
            <w14:solidFill>
              <w14:schemeClr w14:val="tx1"/>
            </w14:solidFill>
          </w14:textFill>
        </w:rPr>
        <w:t>2507-340407-04-01-650055</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因此，项目建设符合</w:t>
      </w:r>
      <w:r>
        <w:rPr>
          <w:rFonts w:hint="default" w:ascii="Times New Roman" w:hAnsi="Times New Roman" w:cs="Times New Roman"/>
          <w:color w:val="000000" w:themeColor="text1"/>
          <w:sz w:val="24"/>
          <w:lang w:val="en-US" w:eastAsia="zh-CN"/>
          <w14:textFill>
            <w14:solidFill>
              <w14:schemeClr w14:val="tx1"/>
            </w14:solidFill>
          </w14:textFill>
        </w:rPr>
        <w:t>地方</w:t>
      </w:r>
      <w:r>
        <w:rPr>
          <w:rFonts w:hint="default" w:ascii="Times New Roman" w:hAnsi="Times New Roman" w:cs="Times New Roman"/>
          <w:color w:val="000000" w:themeColor="text1"/>
          <w:sz w:val="24"/>
          <w14:textFill>
            <w14:solidFill>
              <w14:schemeClr w14:val="tx1"/>
            </w14:solidFill>
          </w14:textFill>
        </w:rPr>
        <w:t>产业政策。</w:t>
      </w:r>
    </w:p>
    <w:p w14:paraId="64E88B68">
      <w:pPr>
        <w:pStyle w:val="3159"/>
        <w:jc w:val="both"/>
        <w:rPr>
          <w:rFonts w:hint="default" w:ascii="Times New Roman" w:hAnsi="Times New Roman" w:eastAsia="黑体" w:cs="Times New Roman"/>
          <w:b w:val="0"/>
          <w:color w:val="000000" w:themeColor="text1"/>
          <w14:textFill>
            <w14:solidFill>
              <w14:schemeClr w14:val="tx1"/>
            </w14:solidFill>
          </w14:textFill>
        </w:rPr>
      </w:pPr>
      <w:bookmarkStart w:id="5" w:name="_Toc173837596"/>
      <w:r>
        <w:rPr>
          <w:rFonts w:hint="default" w:ascii="Times New Roman" w:hAnsi="Times New Roman" w:eastAsia="黑体" w:cs="Times New Roman"/>
          <w:b w:val="0"/>
          <w:color w:val="000000" w:themeColor="text1"/>
          <w14:textFill>
            <w14:solidFill>
              <w14:schemeClr w14:val="tx1"/>
            </w14:solidFill>
          </w14:textFill>
        </w:rPr>
        <w:t>1.3.2选址规划符合性分析</w:t>
      </w:r>
      <w:bookmarkEnd w:id="5"/>
    </w:p>
    <w:p w14:paraId="3AF76FD2">
      <w:pPr>
        <w:spacing w:line="360" w:lineRule="auto"/>
        <w:ind w:firstLine="472" w:firstLineChars="20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本项目位于</w:t>
      </w:r>
      <w:r>
        <w:rPr>
          <w:rFonts w:hint="default" w:ascii="Times New Roman" w:hAnsi="Times New Roman" w:cs="Times New Roman"/>
          <w:color w:val="000000" w:themeColor="text1"/>
          <w:sz w:val="24"/>
          <w:szCs w:val="24"/>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sz w:val="24"/>
          <w:szCs w:val="24"/>
          <w14:textFill>
            <w14:solidFill>
              <w14:schemeClr w14:val="tx1"/>
            </w14:solidFill>
          </w14:textFill>
        </w:rPr>
        <w:t>，根据</w:t>
      </w:r>
      <w:r>
        <w:rPr>
          <w:rFonts w:hint="default" w:ascii="Times New Roman" w:hAnsi="Times New Roman" w:cs="Times New Roman"/>
          <w:color w:val="000000" w:themeColor="text1"/>
          <w:sz w:val="24"/>
          <w:szCs w:val="24"/>
          <w:lang w:val="en-US" w:eastAsia="zh-CN"/>
          <w14:textFill>
            <w14:solidFill>
              <w14:schemeClr w14:val="tx1"/>
            </w14:solidFill>
          </w14:textFill>
        </w:rPr>
        <w:t>毛集试验区国土资源局</w:t>
      </w:r>
      <w:r>
        <w:rPr>
          <w:rFonts w:hint="default" w:ascii="Times New Roman" w:hAnsi="Times New Roman" w:cs="Times New Roman"/>
          <w:color w:val="000000" w:themeColor="text1"/>
          <w:sz w:val="24"/>
          <w:szCs w:val="24"/>
          <w14:textFill>
            <w14:solidFill>
              <w14:schemeClr w14:val="tx1"/>
            </w14:solidFill>
          </w14:textFill>
        </w:rPr>
        <w:t>出具的项目用地情况说明（见附件3），本项目用地为工业用地，项目选址</w:t>
      </w:r>
      <w:r>
        <w:rPr>
          <w:rFonts w:hint="default" w:ascii="Times New Roman" w:hAnsi="Times New Roman" w:cs="Times New Roman"/>
          <w:color w:val="000000" w:themeColor="text1"/>
          <w:sz w:val="24"/>
          <w:szCs w:val="24"/>
          <w14:textFill>
            <w14:solidFill>
              <w14:schemeClr w14:val="tx1"/>
            </w14:solidFill>
          </w14:textFill>
        </w:rPr>
        <w:t>符合</w:t>
      </w:r>
      <w:r>
        <w:rPr>
          <w:rFonts w:hint="default" w:ascii="Times New Roman" w:hAnsi="Times New Roman" w:cs="Times New Roman"/>
          <w:color w:val="000000" w:themeColor="text1"/>
          <w:sz w:val="24"/>
          <w:szCs w:val="24"/>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sz w:val="24"/>
          <w:szCs w:val="24"/>
          <w14:textFill>
            <w14:solidFill>
              <w14:schemeClr w14:val="tx1"/>
            </w14:solidFill>
          </w14:textFill>
        </w:rPr>
        <w:t>总体规</w:t>
      </w:r>
      <w:r>
        <w:rPr>
          <w:rFonts w:hint="default" w:ascii="Times New Roman" w:hAnsi="Times New Roman" w:cs="Times New Roman"/>
          <w:color w:val="000000" w:themeColor="text1"/>
          <w:sz w:val="24"/>
          <w:szCs w:val="24"/>
          <w14:textFill>
            <w14:solidFill>
              <w14:schemeClr w14:val="tx1"/>
            </w14:solidFill>
          </w14:textFill>
        </w:rPr>
        <w:t>划要求</w:t>
      </w:r>
      <w:r>
        <w:rPr>
          <w:rFonts w:hint="default" w:ascii="Times New Roman" w:hAnsi="Times New Roman" w:cs="Times New Roman"/>
          <w:bCs/>
          <w:color w:val="000000" w:themeColor="text1"/>
          <w:sz w:val="24"/>
          <w14:textFill>
            <w14:solidFill>
              <w14:schemeClr w14:val="tx1"/>
            </w14:solidFill>
          </w14:textFill>
        </w:rPr>
        <w:t>。</w:t>
      </w:r>
    </w:p>
    <w:p w14:paraId="6612EBF0">
      <w:pPr>
        <w:pStyle w:val="3159"/>
        <w:rPr>
          <w:rFonts w:hint="default" w:ascii="Times New Roman" w:hAnsi="Times New Roman" w:eastAsia="黑体" w:cs="Times New Roman"/>
          <w:b w:val="0"/>
          <w:color w:val="000000" w:themeColor="text1"/>
          <w14:textFill>
            <w14:solidFill>
              <w14:schemeClr w14:val="tx1"/>
            </w14:solidFill>
          </w14:textFill>
        </w:rPr>
      </w:pPr>
      <w:bookmarkStart w:id="6" w:name="_Toc173837597"/>
      <w:r>
        <w:rPr>
          <w:rFonts w:hint="default" w:ascii="Times New Roman" w:hAnsi="Times New Roman" w:eastAsia="黑体" w:cs="Times New Roman"/>
          <w:b w:val="0"/>
          <w:color w:val="000000" w:themeColor="text1"/>
          <w14:textFill>
            <w14:solidFill>
              <w14:schemeClr w14:val="tx1"/>
            </w14:solidFill>
          </w14:textFill>
        </w:rPr>
        <w:t>1.3.3公众参与符合性分析</w:t>
      </w:r>
      <w:bookmarkEnd w:id="6"/>
    </w:p>
    <w:p w14:paraId="13D69B4B">
      <w:pPr>
        <w:pStyle w:val="251"/>
        <w:wordWrap w:val="0"/>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根据《环境影响评价公众参与办法》（生态环境部部令第4号）要求，202</w:t>
      </w:r>
      <w:r>
        <w:rPr>
          <w:rFonts w:hint="default"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年</w:t>
      </w:r>
      <w:r>
        <w:rPr>
          <w:rFonts w:hint="default" w:ascii="Times New Roman" w:hAnsi="Times New Roman" w:cs="Times New Roman"/>
          <w:color w:val="000000" w:themeColor="text1"/>
          <w:lang w:val="en-US" w:eastAsia="zh-CN"/>
          <w14:textFill>
            <w14:solidFill>
              <w14:schemeClr w14:val="tx1"/>
            </w14:solidFill>
          </w14:textFill>
        </w:rPr>
        <w:t>10</w:t>
      </w:r>
      <w:r>
        <w:rPr>
          <w:rFonts w:hint="default" w:ascii="Times New Roman" w:hAnsi="Times New Roman" w:cs="Times New Roman"/>
          <w:color w:val="000000" w:themeColor="text1"/>
          <w14:textFill>
            <w14:solidFill>
              <w14:schemeClr w14:val="tx1"/>
            </w14:solidFill>
          </w14:textFill>
        </w:rPr>
        <w:t>月</w:t>
      </w:r>
      <w:r>
        <w:rPr>
          <w:rFonts w:hint="default" w:ascii="Times New Roman" w:hAnsi="Times New Roman" w:cs="Times New Roman"/>
          <w:color w:val="000000" w:themeColor="text1"/>
          <w:lang w:val="en-US" w:eastAsia="zh-CN"/>
          <w14:textFill>
            <w14:solidFill>
              <w14:schemeClr w14:val="tx1"/>
            </w14:solidFill>
          </w14:textFill>
        </w:rPr>
        <w:t>28</w:t>
      </w:r>
      <w:r>
        <w:rPr>
          <w:rFonts w:hint="default" w:ascii="Times New Roman" w:hAnsi="Times New Roman" w:cs="Times New Roman"/>
          <w:color w:val="000000" w:themeColor="text1"/>
          <w14:textFill>
            <w14:solidFill>
              <w14:schemeClr w14:val="tx1"/>
            </w14:solidFill>
          </w14:textFill>
        </w:rPr>
        <w:t>日，建设单位在“淮南市毛集社会发展综合实验区管理委员会网站”上发布首次环境影响评价信息公开情况，网址：淮南市毛集社会发展综合实验区管理委员会网站（</w:t>
      </w:r>
      <w:r>
        <w:rPr>
          <w:rFonts w:hint="default" w:ascii="Times New Roman" w:hAnsi="Times New Roman" w:cs="Times New Roman"/>
          <w:color w:val="000000" w:themeColor="text1"/>
          <w:lang w:eastAsia="zh-CN"/>
          <w14:textFill>
            <w14:solidFill>
              <w14:schemeClr w14:val="tx1"/>
            </w14:solidFill>
          </w14:textFill>
        </w:rPr>
        <w:t>https://www.maoji.gov.cn/public/118322692/1260769054.html</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2025年12月8日</w:t>
      </w:r>
      <w:r>
        <w:rPr>
          <w:rFonts w:hint="default" w:ascii="Times New Roman" w:hAnsi="Times New Roman" w:cs="Times New Roman"/>
          <w:color w:val="000000" w:themeColor="text1"/>
          <w14:textFill>
            <w14:solidFill>
              <w14:schemeClr w14:val="tx1"/>
            </w14:solidFill>
          </w14:textFill>
        </w:rPr>
        <w:t>，本项目环境影响报告书征求意见稿形成后，在“淮南市毛集社会发展综合实验区管理委员会网站”上对本项目进行了环境影响评价公众参与第二次网络公示（征求意见稿公示），网址：</w:t>
      </w:r>
      <w:r>
        <w:rPr>
          <w:rFonts w:hint="default" w:ascii="Times New Roman" w:hAnsi="Times New Roman" w:cs="Times New Roman"/>
          <w:color w:val="000000" w:themeColor="text1"/>
          <w:lang w:eastAsia="zh-CN"/>
          <w14:textFill>
            <w14:solidFill>
              <w14:schemeClr w14:val="tx1"/>
            </w14:solidFill>
          </w14:textFill>
        </w:rPr>
        <w:t>https://www.maoji.gov.cn/public/118322692/1260813811.html</w:t>
      </w:r>
      <w:r>
        <w:rPr>
          <w:rFonts w:hint="default" w:ascii="Times New Roman" w:hAnsi="Times New Roman" w:cs="Times New Roman"/>
          <w:color w:val="000000" w:themeColor="text1"/>
          <w14:textFill>
            <w14:solidFill>
              <w14:schemeClr w14:val="tx1"/>
            </w14:solidFill>
          </w14:textFill>
        </w:rPr>
        <w:t>。此外，还在纸质媒体“</w:t>
      </w:r>
      <w:r>
        <w:rPr>
          <w:rFonts w:hint="default" w:ascii="Times New Roman" w:hAnsi="Times New Roman" w:cs="Times New Roman"/>
          <w:color w:val="000000" w:themeColor="text1"/>
          <w:lang w:eastAsia="zh-CN"/>
          <w14:textFill>
            <w14:solidFill>
              <w14:schemeClr w14:val="tx1"/>
            </w14:solidFill>
          </w14:textFill>
        </w:rPr>
        <w:t>新安晚报</w:t>
      </w:r>
      <w:r>
        <w:rPr>
          <w:rFonts w:hint="default" w:ascii="Times New Roman" w:hAnsi="Times New Roman" w:cs="Times New Roman"/>
          <w:color w:val="000000" w:themeColor="text1"/>
          <w14:textFill>
            <w14:solidFill>
              <w14:schemeClr w14:val="tx1"/>
            </w14:solidFill>
          </w14:textFill>
        </w:rPr>
        <w:t>”开展了两次公示，同时以现场公告方式开展了报告书征求意见稿公示，公示期间未收到群众的反馈意见。</w:t>
      </w:r>
    </w:p>
    <w:p w14:paraId="46B36135">
      <w:pPr>
        <w:pStyle w:val="3159"/>
        <w:rPr>
          <w:rFonts w:hint="default" w:ascii="Times New Roman" w:hAnsi="Times New Roman" w:eastAsia="黑体" w:cs="Times New Roman"/>
          <w:b w:val="0"/>
          <w:color w:val="000000" w:themeColor="text1"/>
          <w14:textFill>
            <w14:solidFill>
              <w14:schemeClr w14:val="tx1"/>
            </w14:solidFill>
          </w14:textFill>
        </w:rPr>
      </w:pPr>
      <w:bookmarkStart w:id="7" w:name="_Toc173837598"/>
      <w:r>
        <w:rPr>
          <w:rFonts w:hint="default" w:ascii="Times New Roman" w:hAnsi="Times New Roman" w:eastAsia="黑体" w:cs="Times New Roman"/>
          <w:b w:val="0"/>
          <w:color w:val="000000" w:themeColor="text1"/>
          <w14:textFill>
            <w14:solidFill>
              <w14:schemeClr w14:val="tx1"/>
            </w14:solidFill>
          </w14:textFill>
        </w:rPr>
        <w:t>1.3.4污染物采取的防治措施</w:t>
      </w:r>
      <w:bookmarkEnd w:id="7"/>
    </w:p>
    <w:p w14:paraId="5D1F934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1、废气：本项目大气污染物主要为</w:t>
      </w:r>
      <w:r>
        <w:rPr>
          <w:rFonts w:hint="default" w:ascii="Times New Roman" w:hAnsi="Times New Roman" w:cs="Times New Roman"/>
          <w:color w:val="000000" w:themeColor="text1"/>
          <w:lang w:val="en-US" w:eastAsia="zh-CN"/>
          <w14:textFill>
            <w14:solidFill>
              <w14:schemeClr w14:val="tx1"/>
            </w14:solidFill>
          </w14:textFill>
        </w:rPr>
        <w:t>拆包</w:t>
      </w:r>
      <w:r>
        <w:rPr>
          <w:rFonts w:hint="default" w:ascii="Times New Roman" w:hAnsi="Times New Roman" w:cs="Times New Roman"/>
          <w:color w:val="000000" w:themeColor="text1"/>
          <w14:textFill>
            <w14:solidFill>
              <w14:schemeClr w14:val="tx1"/>
            </w14:solidFill>
          </w14:textFill>
        </w:rPr>
        <w:t>工序</w:t>
      </w:r>
      <w:r>
        <w:rPr>
          <w:rFonts w:hint="eastAsia" w:ascii="Times New Roman" w:hAnsi="Times New Roman" w:cs="Times New Roman"/>
          <w:color w:val="000000" w:themeColor="text1"/>
          <w:lang w:eastAsia="zh-CN"/>
          <w14:textFill>
            <w14:solidFill>
              <w14:schemeClr w14:val="tx1"/>
            </w14:solidFill>
          </w14:textFill>
        </w:rPr>
        <w:t>和磨粉</w:t>
      </w:r>
      <w:r>
        <w:rPr>
          <w:rFonts w:hint="default" w:ascii="Times New Roman" w:hAnsi="Times New Roman" w:cs="Times New Roman"/>
          <w:color w:val="000000" w:themeColor="text1"/>
          <w14:textFill>
            <w14:solidFill>
              <w14:schemeClr w14:val="tx1"/>
            </w14:solidFill>
          </w14:textFill>
        </w:rPr>
        <w:t>工序</w:t>
      </w:r>
      <w:r>
        <w:rPr>
          <w:rFonts w:hint="eastAsia" w:ascii="Times New Roman" w:hAnsi="Times New Roman" w:cs="Times New Roman"/>
          <w:color w:val="000000" w:themeColor="text1"/>
          <w:lang w:eastAsia="zh-CN"/>
          <w14:textFill>
            <w14:solidFill>
              <w14:schemeClr w14:val="tx1"/>
            </w14:solidFill>
          </w14:textFill>
        </w:rPr>
        <w:t>产生的颗粒物</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熔融挤出</w:t>
      </w:r>
      <w:r>
        <w:rPr>
          <w:rFonts w:hint="default" w:ascii="Times New Roman" w:hAnsi="Times New Roman" w:cs="Times New Roman"/>
          <w:color w:val="000000" w:themeColor="text1"/>
          <w14:textFill>
            <w14:solidFill>
              <w14:schemeClr w14:val="tx1"/>
            </w14:solidFill>
          </w14:textFill>
        </w:rPr>
        <w:t>工序</w:t>
      </w:r>
      <w:r>
        <w:rPr>
          <w:rFonts w:hint="eastAsia" w:ascii="Times New Roman" w:hAnsi="Times New Roman" w:cs="Times New Roman"/>
          <w:color w:val="000000" w:themeColor="text1"/>
          <w:lang w:eastAsia="zh-CN"/>
          <w14:textFill>
            <w14:solidFill>
              <w14:schemeClr w14:val="tx1"/>
            </w14:solidFill>
          </w14:textFill>
        </w:rPr>
        <w:t>和高温分选工序产生的非甲烷总烃以及</w:t>
      </w:r>
      <w:r>
        <w:rPr>
          <w:rFonts w:hint="default" w:ascii="Times New Roman" w:hAnsi="Times New Roman" w:cs="Times New Roman"/>
          <w:color w:val="000000" w:themeColor="text1"/>
          <w:lang w:val="en-US" w:eastAsia="zh-CN"/>
          <w14:textFill>
            <w14:solidFill>
              <w14:schemeClr w14:val="tx1"/>
            </w14:solidFill>
          </w14:textFill>
        </w:rPr>
        <w:t>污水站</w:t>
      </w:r>
      <w:r>
        <w:rPr>
          <w:rFonts w:hint="default" w:ascii="Times New Roman" w:hAnsi="Times New Roman" w:cs="Times New Roman"/>
          <w:color w:val="000000" w:themeColor="text1"/>
          <w14:textFill>
            <w14:solidFill>
              <w14:schemeClr w14:val="tx1"/>
            </w14:solidFill>
          </w14:textFill>
        </w:rPr>
        <w:t>产生的</w:t>
      </w:r>
      <w:r>
        <w:rPr>
          <w:rFonts w:hint="default" w:ascii="Times New Roman" w:hAnsi="Times New Roman" w:cs="Times New Roman"/>
          <w:color w:val="000000" w:themeColor="text1"/>
          <w:lang w:val="en-US" w:eastAsia="zh-CN"/>
          <w14:textFill>
            <w14:solidFill>
              <w14:schemeClr w14:val="tx1"/>
            </w14:solidFill>
          </w14:textFill>
        </w:rPr>
        <w:t>氨</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硫化氢</w:t>
      </w:r>
      <w:r>
        <w:rPr>
          <w:rFonts w:hint="default" w:ascii="Times New Roman" w:hAnsi="Times New Roman" w:cs="Times New Roman"/>
          <w:color w:val="000000" w:themeColor="text1"/>
          <w14:textFill>
            <w14:solidFill>
              <w14:schemeClr w14:val="tx1"/>
            </w14:solidFill>
          </w14:textFill>
        </w:rPr>
        <w:t>等污染物。建设项目拟采取的废气治理措施主要为：</w:t>
      </w:r>
    </w:p>
    <w:p w14:paraId="2F067EE2">
      <w:pPr>
        <w:pStyle w:val="251"/>
        <w:ind w:firstLine="482"/>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lang w:val="en-US" w:eastAsia="zh-CN"/>
          <w14:textFill>
            <w14:solidFill>
              <w14:schemeClr w14:val="tx1"/>
            </w14:solidFill>
          </w14:textFill>
        </w:rPr>
        <w:t>熔融挤出</w:t>
      </w:r>
      <w:r>
        <w:rPr>
          <w:rFonts w:hint="default" w:ascii="Times New Roman" w:hAnsi="Times New Roman" w:cs="Times New Roman"/>
          <w:b/>
          <w:color w:val="000000" w:themeColor="text1"/>
          <w14:textFill>
            <w14:solidFill>
              <w14:schemeClr w14:val="tx1"/>
            </w14:solidFill>
          </w14:textFill>
        </w:rPr>
        <w:t>废气：</w:t>
      </w:r>
      <w:r>
        <w:rPr>
          <w:rFonts w:hint="eastAsia" w:ascii="Times New Roman" w:hAnsi="Times New Roman" w:cs="Times New Roman"/>
          <w:b w:val="0"/>
          <w:bCs/>
          <w:color w:val="000000" w:themeColor="text1"/>
          <w:lang w:eastAsia="zh-CN"/>
          <w14:textFill>
            <w14:solidFill>
              <w14:schemeClr w14:val="tx1"/>
            </w14:solidFill>
          </w14:textFill>
        </w:rPr>
        <w:t>改性粒子</w:t>
      </w:r>
      <w:r>
        <w:rPr>
          <w:rFonts w:hint="default" w:ascii="Times New Roman" w:hAnsi="Times New Roman" w:cs="Times New Roman"/>
          <w:b w:val="0"/>
          <w:bCs/>
          <w:color w:val="000000" w:themeColor="text1"/>
          <w:lang w:val="en-US" w:eastAsia="zh-CN"/>
          <w14:textFill>
            <w14:solidFill>
              <w14:schemeClr w14:val="tx1"/>
            </w14:solidFill>
          </w14:textFill>
        </w:rPr>
        <w:t>熔</w:t>
      </w:r>
      <w:r>
        <w:rPr>
          <w:rFonts w:hint="default" w:ascii="Times New Roman" w:hAnsi="Times New Roman" w:cs="Times New Roman"/>
          <w:color w:val="000000" w:themeColor="text1"/>
          <w:lang w:val="en-US" w:eastAsia="zh-CN"/>
          <w14:textFill>
            <w14:solidFill>
              <w14:schemeClr w14:val="tx1"/>
            </w14:solidFill>
          </w14:textFill>
        </w:rPr>
        <w:t>融挤出</w:t>
      </w:r>
      <w:r>
        <w:rPr>
          <w:rFonts w:hint="default" w:ascii="Times New Roman" w:hAnsi="Times New Roman" w:cs="Times New Roman"/>
          <w:color w:val="000000" w:themeColor="text1"/>
          <w14:textFill>
            <w14:solidFill>
              <w14:schemeClr w14:val="tx1"/>
            </w14:solidFill>
          </w14:textFill>
        </w:rPr>
        <w:t>废气经</w:t>
      </w:r>
      <w:r>
        <w:rPr>
          <w:rFonts w:hint="default" w:ascii="Times New Roman" w:hAnsi="Times New Roman" w:cs="Times New Roman"/>
          <w:color w:val="000000" w:themeColor="text1"/>
          <w:lang w:val="en-US" w:eastAsia="zh-CN"/>
          <w14:textFill>
            <w14:solidFill>
              <w14:schemeClr w14:val="tx1"/>
            </w14:solidFill>
          </w14:textFill>
        </w:rPr>
        <w:t>区域封闭+集气罩</w:t>
      </w:r>
      <w:r>
        <w:rPr>
          <w:rFonts w:hint="default" w:ascii="Times New Roman" w:hAnsi="Times New Roman" w:cs="Times New Roman"/>
          <w:color w:val="000000" w:themeColor="text1"/>
          <w14:textFill>
            <w14:solidFill>
              <w14:schemeClr w14:val="tx1"/>
            </w14:solidFill>
          </w14:textFill>
        </w:rPr>
        <w:t>收集后</w:t>
      </w:r>
      <w:r>
        <w:rPr>
          <w:rFonts w:hint="default" w:ascii="Times New Roman" w:hAnsi="Times New Roman" w:cs="Times New Roman"/>
          <w:color w:val="000000" w:themeColor="text1"/>
          <w:lang w:val="en-US" w:eastAsia="zh-CN"/>
          <w14:textFill>
            <w14:solidFill>
              <w14:schemeClr w14:val="tx1"/>
            </w14:solidFill>
          </w14:textFill>
        </w:rPr>
        <w:t>进入</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油烟净化器</w:t>
      </w:r>
      <w:r>
        <w:rPr>
          <w:rFonts w:hint="default" w:ascii="Times New Roman" w:hAnsi="Times New Roman" w:cs="Times New Roman"/>
          <w:color w:val="000000" w:themeColor="text1"/>
          <w14:textFill>
            <w14:solidFill>
              <w14:schemeClr w14:val="tx1"/>
            </w14:solidFill>
          </w14:textFill>
        </w:rPr>
        <w:t>+两级活性炭吸附装置（TA00</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）”处理后通过</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5m高排气筒（DA00</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）排放；</w:t>
      </w:r>
    </w:p>
    <w:p w14:paraId="7A692D52">
      <w:pPr>
        <w:pStyle w:val="251"/>
        <w:ind w:firstLine="482"/>
        <w:rPr>
          <w:rFonts w:hint="default" w:ascii="Times New Roman" w:hAnsi="Times New Roman" w:cs="Times New Roman"/>
          <w:b/>
          <w:color w:val="000000" w:themeColor="text1"/>
          <w:lang w:val="en-US" w:eastAsia="zh-CN"/>
          <w14:textFill>
            <w14:solidFill>
              <w14:schemeClr w14:val="tx1"/>
            </w14:solidFill>
          </w14:textFill>
        </w:rPr>
      </w:pPr>
      <w:r>
        <w:rPr>
          <w:rFonts w:hint="eastAsia" w:ascii="Times New Roman" w:hAnsi="Times New Roman" w:cs="Times New Roman"/>
          <w:b/>
          <w:color w:val="000000" w:themeColor="text1"/>
          <w:lang w:val="en-US" w:eastAsia="zh-CN"/>
          <w14:textFill>
            <w14:solidFill>
              <w14:schemeClr w14:val="tx1"/>
            </w14:solidFill>
          </w14:textFill>
        </w:rPr>
        <w:t>高温分选</w:t>
      </w:r>
      <w:r>
        <w:rPr>
          <w:rFonts w:hint="default" w:ascii="Times New Roman" w:hAnsi="Times New Roman" w:cs="Times New Roman"/>
          <w:b/>
          <w:color w:val="000000" w:themeColor="text1"/>
          <w14:textFill>
            <w14:solidFill>
              <w14:schemeClr w14:val="tx1"/>
            </w14:solidFill>
          </w14:textFill>
        </w:rPr>
        <w:t>废气：</w:t>
      </w:r>
      <w:r>
        <w:rPr>
          <w:rFonts w:hint="eastAsia" w:ascii="Times New Roman" w:hAnsi="Times New Roman" w:cs="Times New Roman"/>
          <w:color w:val="000000" w:themeColor="text1"/>
          <w:lang w:val="en-US" w:eastAsia="zh-CN"/>
          <w14:textFill>
            <w14:solidFill>
              <w14:schemeClr w14:val="tx1"/>
            </w14:solidFill>
          </w14:textFill>
        </w:rPr>
        <w:t>标签纸高温分选</w:t>
      </w:r>
      <w:r>
        <w:rPr>
          <w:rFonts w:hint="default" w:ascii="Times New Roman" w:hAnsi="Times New Roman" w:cs="Times New Roman"/>
          <w:color w:val="000000" w:themeColor="text1"/>
          <w14:textFill>
            <w14:solidFill>
              <w14:schemeClr w14:val="tx1"/>
            </w14:solidFill>
          </w14:textFill>
        </w:rPr>
        <w:t>废气经</w:t>
      </w:r>
      <w:r>
        <w:rPr>
          <w:rFonts w:hint="eastAsia" w:ascii="Times New Roman" w:hAnsi="Times New Roman" w:cs="Times New Roman"/>
          <w:color w:val="000000" w:themeColor="text1"/>
          <w:lang w:val="en-US" w:eastAsia="zh-CN"/>
          <w14:textFill>
            <w14:solidFill>
              <w14:schemeClr w14:val="tx1"/>
            </w14:solidFill>
          </w14:textFill>
        </w:rPr>
        <w:t>设备密闭</w:t>
      </w:r>
      <w:r>
        <w:rPr>
          <w:rFonts w:hint="default" w:ascii="Times New Roman" w:hAnsi="Times New Roman" w:cs="Times New Roman"/>
          <w:color w:val="000000" w:themeColor="text1"/>
          <w:lang w:val="en-US" w:eastAsia="zh-CN"/>
          <w14:textFill>
            <w14:solidFill>
              <w14:schemeClr w14:val="tx1"/>
            </w14:solidFill>
          </w14:textFill>
        </w:rPr>
        <w:t>+集气罩</w:t>
      </w:r>
      <w:r>
        <w:rPr>
          <w:rFonts w:hint="default" w:ascii="Times New Roman" w:hAnsi="Times New Roman" w:cs="Times New Roman"/>
          <w:color w:val="000000" w:themeColor="text1"/>
          <w14:textFill>
            <w14:solidFill>
              <w14:schemeClr w14:val="tx1"/>
            </w14:solidFill>
          </w14:textFill>
        </w:rPr>
        <w:t>收集后</w:t>
      </w:r>
      <w:r>
        <w:rPr>
          <w:rFonts w:hint="default" w:ascii="Times New Roman" w:hAnsi="Times New Roman" w:cs="Times New Roman"/>
          <w:color w:val="000000" w:themeColor="text1"/>
          <w:lang w:val="en-US" w:eastAsia="zh-CN"/>
          <w14:textFill>
            <w14:solidFill>
              <w14:schemeClr w14:val="tx1"/>
            </w14:solidFill>
          </w14:textFill>
        </w:rPr>
        <w:t>进入</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油烟净化器</w:t>
      </w:r>
      <w:r>
        <w:rPr>
          <w:rFonts w:hint="default" w:ascii="Times New Roman" w:hAnsi="Times New Roman" w:cs="Times New Roman"/>
          <w:color w:val="000000" w:themeColor="text1"/>
          <w14:textFill>
            <w14:solidFill>
              <w14:schemeClr w14:val="tx1"/>
            </w14:solidFill>
          </w14:textFill>
        </w:rPr>
        <w:t>+两级活性炭吸附装置（TA00</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）”处理后通过</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5m高排气筒（DA00</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）排放；</w:t>
      </w:r>
    </w:p>
    <w:p w14:paraId="16893500">
      <w:pPr>
        <w:pStyle w:val="251"/>
        <w:ind w:firstLine="482"/>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lang w:val="en-US" w:eastAsia="zh-CN"/>
          <w14:textFill>
            <w14:solidFill>
              <w14:schemeClr w14:val="tx1"/>
            </w14:solidFill>
          </w14:textFill>
        </w:rPr>
        <w:t>拆包</w:t>
      </w:r>
      <w:r>
        <w:rPr>
          <w:rFonts w:hint="default" w:ascii="Times New Roman" w:hAnsi="Times New Roman" w:cs="Times New Roman"/>
          <w:b/>
          <w:color w:val="000000" w:themeColor="text1"/>
          <w14:textFill>
            <w14:solidFill>
              <w14:schemeClr w14:val="tx1"/>
            </w14:solidFill>
          </w14:textFill>
        </w:rPr>
        <w:t>废气：</w:t>
      </w:r>
      <w:r>
        <w:rPr>
          <w:rFonts w:hint="default" w:ascii="Times New Roman" w:hAnsi="Times New Roman" w:cs="Times New Roman"/>
          <w:color w:val="000000" w:themeColor="text1"/>
          <w:lang w:val="en-US" w:eastAsia="zh-CN"/>
          <w14:textFill>
            <w14:solidFill>
              <w14:schemeClr w14:val="tx1"/>
            </w14:solidFill>
          </w14:textFill>
        </w:rPr>
        <w:t>拆包</w:t>
      </w:r>
      <w:r>
        <w:rPr>
          <w:rFonts w:hint="default" w:ascii="Times New Roman" w:hAnsi="Times New Roman" w:cs="Times New Roman"/>
          <w:color w:val="000000" w:themeColor="text1"/>
          <w14:textFill>
            <w14:solidFill>
              <w14:schemeClr w14:val="tx1"/>
            </w14:solidFill>
          </w14:textFill>
        </w:rPr>
        <w:t>废气经</w:t>
      </w:r>
      <w:r>
        <w:rPr>
          <w:rFonts w:hint="eastAsia" w:ascii="Times New Roman" w:hAnsi="Times New Roman" w:cs="Times New Roman"/>
          <w:color w:val="000000" w:themeColor="text1"/>
          <w:lang w:eastAsia="zh-CN"/>
          <w14:textFill>
            <w14:solidFill>
              <w14:schemeClr w14:val="tx1"/>
            </w14:solidFill>
          </w14:textFill>
        </w:rPr>
        <w:t>软帘</w:t>
      </w:r>
      <w:r>
        <w:rPr>
          <w:rFonts w:hint="eastAsia"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集气罩收集后进入“布袋除尘器（TA00</w:t>
      </w:r>
      <w:r>
        <w:rPr>
          <w:rFonts w:hint="eastAsia"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）”处理后由1</w:t>
      </w:r>
      <w:r>
        <w:rPr>
          <w:rFonts w:hint="default"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m高排气筒（DA00</w:t>
      </w:r>
      <w:r>
        <w:rPr>
          <w:rFonts w:hint="eastAsia"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）排放；</w:t>
      </w:r>
    </w:p>
    <w:p w14:paraId="257F3F77">
      <w:pPr>
        <w:pStyle w:val="251"/>
        <w:ind w:firstLine="482"/>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b/>
          <w:color w:val="000000" w:themeColor="text1"/>
          <w:lang w:val="en-US" w:eastAsia="zh-CN"/>
          <w14:textFill>
            <w14:solidFill>
              <w14:schemeClr w14:val="tx1"/>
            </w14:solidFill>
          </w14:textFill>
        </w:rPr>
        <w:t>磨粉</w:t>
      </w:r>
      <w:r>
        <w:rPr>
          <w:rFonts w:hint="default" w:ascii="Times New Roman" w:hAnsi="Times New Roman" w:cs="Times New Roman"/>
          <w:b/>
          <w:color w:val="000000" w:themeColor="text1"/>
          <w14:textFill>
            <w14:solidFill>
              <w14:schemeClr w14:val="tx1"/>
            </w14:solidFill>
          </w14:textFill>
        </w:rPr>
        <w:t>废气：</w:t>
      </w:r>
      <w:bookmarkStart w:id="8" w:name="OLE_LINK25"/>
      <w:bookmarkStart w:id="9" w:name="OLE_LINK26"/>
      <w:r>
        <w:rPr>
          <w:rFonts w:hint="eastAsia" w:ascii="Times New Roman" w:hAnsi="Times New Roman" w:cs="Times New Roman"/>
          <w:b w:val="0"/>
          <w:bCs/>
          <w:color w:val="000000" w:themeColor="text1"/>
          <w:lang w:val="en-US" w:eastAsia="zh-CN"/>
          <w14:textFill>
            <w14:solidFill>
              <w14:schemeClr w14:val="tx1"/>
            </w14:solidFill>
          </w14:textFill>
        </w:rPr>
        <w:t>标签纸磨粉</w:t>
      </w:r>
      <w:r>
        <w:rPr>
          <w:rFonts w:hint="default" w:ascii="Times New Roman" w:hAnsi="Times New Roman" w:cs="Times New Roman"/>
          <w:color w:val="000000" w:themeColor="text1"/>
          <w14:textFill>
            <w14:solidFill>
              <w14:schemeClr w14:val="tx1"/>
            </w14:solidFill>
          </w14:textFill>
        </w:rPr>
        <w:t>废气经</w:t>
      </w:r>
      <w:r>
        <w:rPr>
          <w:rFonts w:hint="default" w:ascii="Times New Roman" w:hAnsi="Times New Roman" w:cs="Times New Roman"/>
          <w:color w:val="000000" w:themeColor="text1"/>
          <w:lang w:val="en-US" w:eastAsia="zh-CN"/>
          <w14:textFill>
            <w14:solidFill>
              <w14:schemeClr w14:val="tx1"/>
            </w14:solidFill>
          </w14:textFill>
        </w:rPr>
        <w:t>封闭设备+</w:t>
      </w:r>
      <w:r>
        <w:rPr>
          <w:rFonts w:hint="eastAsia" w:ascii="Times New Roman" w:hAnsi="Times New Roman" w:cs="Times New Roman"/>
          <w:color w:val="000000" w:themeColor="text1"/>
          <w:lang w:val="en-US" w:eastAsia="zh-CN"/>
          <w14:textFill>
            <w14:solidFill>
              <w14:schemeClr w14:val="tx1"/>
            </w14:solidFill>
          </w14:textFill>
        </w:rPr>
        <w:t>集气罩</w:t>
      </w:r>
      <w:r>
        <w:rPr>
          <w:rFonts w:hint="default" w:ascii="Times New Roman" w:hAnsi="Times New Roman" w:cs="Times New Roman"/>
          <w:color w:val="000000" w:themeColor="text1"/>
          <w14:textFill>
            <w14:solidFill>
              <w14:schemeClr w14:val="tx1"/>
            </w14:solidFill>
          </w14:textFill>
        </w:rPr>
        <w:t>收集后</w:t>
      </w:r>
      <w:r>
        <w:rPr>
          <w:rFonts w:hint="default" w:ascii="Times New Roman" w:hAnsi="Times New Roman" w:cs="Times New Roman"/>
          <w:color w:val="000000" w:themeColor="text1"/>
          <w:lang w:val="en-US" w:eastAsia="zh-CN"/>
          <w14:textFill>
            <w14:solidFill>
              <w14:schemeClr w14:val="tx1"/>
            </w14:solidFill>
          </w14:textFill>
        </w:rPr>
        <w:t>进入</w:t>
      </w:r>
      <w:r>
        <w:rPr>
          <w:rFonts w:hint="default" w:ascii="Times New Roman" w:hAnsi="Times New Roman" w:cs="Times New Roman"/>
          <w:color w:val="000000" w:themeColor="text1"/>
          <w14:textFill>
            <w14:solidFill>
              <w14:schemeClr w14:val="tx1"/>
            </w14:solidFill>
          </w14:textFill>
        </w:rPr>
        <w:t>“布袋除尘器（TA00</w:t>
      </w: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）”处理后通过</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5m高排气筒（DA002）排放</w:t>
      </w:r>
      <w:bookmarkEnd w:id="8"/>
      <w:bookmarkEnd w:id="9"/>
      <w:r>
        <w:rPr>
          <w:rFonts w:hint="default" w:ascii="Times New Roman" w:hAnsi="Times New Roman" w:cs="Times New Roman"/>
          <w:color w:val="000000" w:themeColor="text1"/>
          <w14:textFill>
            <w14:solidFill>
              <w14:schemeClr w14:val="tx1"/>
            </w14:solidFill>
          </w14:textFill>
        </w:rPr>
        <w:t>；</w:t>
      </w:r>
    </w:p>
    <w:p w14:paraId="1E3DF8CB">
      <w:pPr>
        <w:pStyle w:val="251"/>
        <w:ind w:firstLine="482"/>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b/>
          <w:color w:val="000000" w:themeColor="text1"/>
          <w:lang w:val="en-US" w:eastAsia="zh-CN"/>
          <w14:textFill>
            <w14:solidFill>
              <w14:schemeClr w14:val="tx1"/>
            </w14:solidFill>
          </w14:textFill>
        </w:rPr>
        <w:t>污水站</w:t>
      </w:r>
      <w:r>
        <w:rPr>
          <w:rFonts w:hint="default" w:ascii="Times New Roman" w:hAnsi="Times New Roman" w:cs="Times New Roman"/>
          <w:b/>
          <w:color w:val="000000" w:themeColor="text1"/>
          <w14:textFill>
            <w14:solidFill>
              <w14:schemeClr w14:val="tx1"/>
            </w14:solidFill>
          </w14:textFill>
        </w:rPr>
        <w:t>废气：</w:t>
      </w:r>
      <w:r>
        <w:rPr>
          <w:rFonts w:hint="default" w:ascii="Times New Roman" w:hAnsi="Times New Roman" w:cs="Times New Roman"/>
          <w:color w:val="000000" w:themeColor="text1"/>
          <w:lang w:val="en-US" w:eastAsia="zh-CN"/>
          <w14:textFill>
            <w14:solidFill>
              <w14:schemeClr w14:val="tx1"/>
            </w14:solidFill>
          </w14:textFill>
        </w:rPr>
        <w:t>污水站废气经封闭</w:t>
      </w:r>
      <w:r>
        <w:rPr>
          <w:rFonts w:hint="default" w:ascii="Times New Roman" w:hAnsi="Times New Roman" w:cs="Times New Roman"/>
          <w:color w:val="000000" w:themeColor="text1"/>
          <w14:textFill>
            <w14:solidFill>
              <w14:schemeClr w14:val="tx1"/>
            </w14:solidFill>
          </w14:textFill>
        </w:rPr>
        <w:t>负压收集</w:t>
      </w:r>
      <w:r>
        <w:rPr>
          <w:rFonts w:hint="default" w:ascii="Times New Roman" w:hAnsi="Times New Roman" w:cs="Times New Roman"/>
          <w:color w:val="000000" w:themeColor="text1"/>
          <w:lang w:val="en-US" w:eastAsia="zh-CN"/>
          <w14:textFill>
            <w14:solidFill>
              <w14:schemeClr w14:val="tx1"/>
            </w14:solidFill>
          </w14:textFill>
        </w:rPr>
        <w:t>后进入</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sz w:val="24"/>
          <w:lang w:eastAsia="zh-CN"/>
          <w14:textFill>
            <w14:solidFill>
              <w14:schemeClr w14:val="tx1"/>
            </w14:solidFill>
          </w14:textFill>
        </w:rPr>
        <w:t>两级活性炭吸附装置</w:t>
      </w:r>
      <w:r>
        <w:rPr>
          <w:rFonts w:hint="default" w:ascii="Times New Roman" w:hAnsi="Times New Roman" w:cs="Times New Roman"/>
          <w:color w:val="000000" w:themeColor="text1"/>
          <w14:textFill>
            <w14:solidFill>
              <w14:schemeClr w14:val="tx1"/>
            </w14:solidFill>
          </w14:textFill>
        </w:rPr>
        <w:t>（TA00</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）”处理后通过</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5m高排气筒（DA00</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）排放</w:t>
      </w:r>
      <w:r>
        <w:rPr>
          <w:rFonts w:hint="default" w:ascii="Times New Roman" w:hAnsi="Times New Roman" w:cs="Times New Roman"/>
          <w:color w:val="000000" w:themeColor="text1"/>
          <w:lang w:eastAsia="zh-CN"/>
          <w14:textFill>
            <w14:solidFill>
              <w14:schemeClr w14:val="tx1"/>
            </w14:solidFill>
          </w14:textFill>
        </w:rPr>
        <w:t>。</w:t>
      </w:r>
    </w:p>
    <w:p w14:paraId="002C50D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2、废水：本项目采取雨污分流；生活污水经化粪池处理后排入市政污水管网送至</w:t>
      </w:r>
      <w:r>
        <w:rPr>
          <w:rFonts w:hint="eastAsia" w:ascii="Times New Roman" w:hAnsi="Times New Roman" w:cs="Times New Roman"/>
          <w:color w:val="000000" w:themeColor="text1"/>
          <w:lang w:eastAsia="zh-CN"/>
          <w14:textFill>
            <w14:solidFill>
              <w14:schemeClr w14:val="tx1"/>
            </w14:solidFill>
          </w14:textFill>
        </w:rPr>
        <w:t>毛集实验区</w:t>
      </w:r>
      <w:r>
        <w:rPr>
          <w:rFonts w:hint="default" w:ascii="Times New Roman" w:hAnsi="Times New Roman" w:cs="Times New Roman"/>
          <w:color w:val="000000" w:themeColor="text1"/>
          <w14:textFill>
            <w14:solidFill>
              <w14:schemeClr w14:val="tx1"/>
            </w14:solidFill>
          </w14:textFill>
        </w:rPr>
        <w:t>污水处理厂进行处理；冷却水循环使用</w:t>
      </w:r>
      <w:r>
        <w:rPr>
          <w:rFonts w:hint="eastAsia" w:ascii="Times New Roman" w:hAnsi="Times New Roman" w:cs="Times New Roman"/>
          <w:color w:val="000000" w:themeColor="text1"/>
          <w:lang w:eastAsia="zh-CN"/>
          <w14:textFill>
            <w14:solidFill>
              <w14:schemeClr w14:val="tx1"/>
            </w14:solidFill>
          </w14:textFill>
        </w:rPr>
        <w:t>，</w:t>
      </w:r>
      <w:r>
        <w:rPr>
          <w:rFonts w:hint="eastAsia" w:cs="Times New Roman"/>
          <w:color w:val="000000" w:themeColor="text1"/>
          <w:sz w:val="24"/>
          <w:lang w:eastAsia="zh-CN"/>
          <w14:textFill>
            <w14:solidFill>
              <w14:schemeClr w14:val="tx1"/>
            </w14:solidFill>
          </w14:textFill>
        </w:rPr>
        <w:t>定期外排水用于物料清洗</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瓶片清洗废水经厂区自建污水处理站处理后90%循环使用，10%排入市政污水管网送至</w:t>
      </w:r>
      <w:r>
        <w:rPr>
          <w:rFonts w:hint="eastAsia" w:ascii="Times New Roman" w:hAnsi="Times New Roman" w:cs="Times New Roman"/>
          <w:color w:val="000000" w:themeColor="text1"/>
          <w:lang w:eastAsia="zh-CN"/>
          <w14:textFill>
            <w14:solidFill>
              <w14:schemeClr w14:val="tx1"/>
            </w14:solidFill>
          </w14:textFill>
        </w:rPr>
        <w:t>毛集实验区</w:t>
      </w:r>
      <w:r>
        <w:rPr>
          <w:rFonts w:hint="default" w:ascii="Times New Roman" w:hAnsi="Times New Roman" w:cs="Times New Roman"/>
          <w:color w:val="000000" w:themeColor="text1"/>
          <w14:textFill>
            <w14:solidFill>
              <w14:schemeClr w14:val="tx1"/>
            </w14:solidFill>
          </w14:textFill>
        </w:rPr>
        <w:t>污水处理厂进行处理。</w:t>
      </w:r>
    </w:p>
    <w:p w14:paraId="3C5E9C5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3、噪声：本项目高噪声设备较少，噪声源主要为设备噪声、风机及各类水泵等，建设单位选用低噪声设备、设置减振垫、安装消声装置等措施。</w:t>
      </w:r>
    </w:p>
    <w:p w14:paraId="6655EB28">
      <w:pPr>
        <w:pStyle w:val="251"/>
        <w:ind w:firstLine="48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4、固体废物：本项目产生的一般工业固体废物主要有</w:t>
      </w:r>
      <w:r>
        <w:rPr>
          <w:rFonts w:hint="default" w:ascii="Times New Roman" w:hAnsi="Times New Roman" w:cs="Times New Roman"/>
          <w:color w:val="000000" w:themeColor="text1"/>
          <w:lang w:val="en-US" w:eastAsia="zh-CN"/>
          <w14:textFill>
            <w14:solidFill>
              <w14:schemeClr w14:val="tx1"/>
            </w14:solidFill>
          </w14:textFill>
        </w:rPr>
        <w:t>分选</w:t>
      </w:r>
      <w:r>
        <w:rPr>
          <w:rFonts w:hint="eastAsia" w:ascii="Times New Roman" w:hAnsi="Times New Roman" w:cs="Times New Roman"/>
          <w:color w:val="000000" w:themeColor="text1"/>
          <w:lang w:val="en-US" w:eastAsia="zh-CN"/>
          <w14:textFill>
            <w14:solidFill>
              <w14:schemeClr w14:val="tx1"/>
            </w14:solidFill>
          </w14:textFill>
        </w:rPr>
        <w:t>固体</w:t>
      </w:r>
      <w:r>
        <w:rPr>
          <w:rFonts w:hint="default" w:ascii="Times New Roman" w:hAnsi="Times New Roman" w:cs="Times New Roman"/>
          <w:color w:val="000000" w:themeColor="text1"/>
          <w:lang w:val="en-US" w:eastAsia="zh-CN"/>
          <w14:textFill>
            <w14:solidFill>
              <w14:schemeClr w14:val="tx1"/>
            </w14:solidFill>
          </w14:textFill>
        </w:rPr>
        <w:t>杂质</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废标签纸、废瓶盖、废包装材料、污水站污泥、布袋收集粉尘等</w:t>
      </w:r>
      <w:r>
        <w:rPr>
          <w:rFonts w:hint="default" w:ascii="Times New Roman" w:hAnsi="Times New Roman" w:cs="Times New Roman"/>
          <w:color w:val="000000" w:themeColor="text1"/>
          <w14:textFill>
            <w14:solidFill>
              <w14:schemeClr w14:val="tx1"/>
            </w14:solidFill>
          </w14:textFill>
        </w:rPr>
        <w:t>，暂存于一般工业固体废物暂存库中，</w:t>
      </w:r>
      <w:r>
        <w:rPr>
          <w:rFonts w:hint="default" w:ascii="Times New Roman" w:hAnsi="Times New Roman" w:cs="Times New Roman"/>
          <w:color w:val="000000" w:themeColor="text1"/>
          <w:lang w:val="en-US" w:eastAsia="zh-CN"/>
          <w14:textFill>
            <w14:solidFill>
              <w14:schemeClr w14:val="tx1"/>
            </w14:solidFill>
          </w14:textFill>
        </w:rPr>
        <w:t>其中废标签纸和废瓶盖回用于生产</w:t>
      </w:r>
      <w:r>
        <w:rPr>
          <w:rFonts w:hint="eastAsia" w:ascii="Times New Roman" w:hAnsi="Times New Roman" w:cs="Times New Roman"/>
          <w:color w:val="000000" w:themeColor="text1"/>
          <w:lang w:val="en-US" w:eastAsia="zh-CN"/>
          <w14:textFill>
            <w14:solidFill>
              <w14:schemeClr w14:val="tx1"/>
            </w14:solidFill>
          </w14:textFill>
        </w:rPr>
        <w:t>，处理</w:t>
      </w:r>
      <w:r>
        <w:rPr>
          <w:rFonts w:hint="default" w:ascii="Times New Roman" w:hAnsi="Times New Roman" w:cs="Times New Roman"/>
          <w:color w:val="000000" w:themeColor="text1"/>
          <w:lang w:val="en-US" w:eastAsia="zh-CN"/>
          <w14:textFill>
            <w14:solidFill>
              <w14:schemeClr w14:val="tx1"/>
            </w14:solidFill>
          </w14:textFill>
        </w:rPr>
        <w:t>后作为产品外售，其他</w:t>
      </w:r>
      <w:r>
        <w:rPr>
          <w:rFonts w:hint="default" w:ascii="Times New Roman" w:hAnsi="Times New Roman" w:cs="Times New Roman"/>
          <w:color w:val="000000" w:themeColor="text1"/>
          <w14:textFill>
            <w14:solidFill>
              <w14:schemeClr w14:val="tx1"/>
            </w14:solidFill>
          </w14:textFill>
        </w:rPr>
        <w:t>外售综合利用；项目产生的危险废物主要为废活性炭、废机油</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含油抹布及手套</w:t>
      </w:r>
      <w:r>
        <w:rPr>
          <w:rFonts w:hint="default" w:ascii="Times New Roman" w:hAnsi="Times New Roman" w:cs="Times New Roman"/>
          <w:color w:val="000000" w:themeColor="text1"/>
          <w14:textFill>
            <w14:solidFill>
              <w14:schemeClr w14:val="tx1"/>
            </w14:solidFill>
          </w14:textFill>
        </w:rPr>
        <w:t>等，暂存于危险废物暂存仓库中，定期交由有资质单位处置</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生活垃圾交环卫部门清运。</w:t>
      </w:r>
    </w:p>
    <w:p w14:paraId="3E89ADDA">
      <w:pPr>
        <w:pStyle w:val="3159"/>
        <w:rPr>
          <w:rFonts w:hint="default" w:ascii="Times New Roman" w:hAnsi="Times New Roman" w:eastAsia="黑体" w:cs="Times New Roman"/>
          <w:b w:val="0"/>
          <w:color w:val="000000" w:themeColor="text1"/>
          <w14:textFill>
            <w14:solidFill>
              <w14:schemeClr w14:val="tx1"/>
            </w14:solidFill>
          </w14:textFill>
        </w:rPr>
      </w:pPr>
      <w:bookmarkStart w:id="10" w:name="_Toc173837599"/>
      <w:r>
        <w:rPr>
          <w:rFonts w:hint="default" w:ascii="Times New Roman" w:hAnsi="Times New Roman" w:eastAsia="黑体" w:cs="Times New Roman"/>
          <w:b w:val="0"/>
          <w:color w:val="000000" w:themeColor="text1"/>
          <w14:textFill>
            <w14:solidFill>
              <w14:schemeClr w14:val="tx1"/>
            </w14:solidFill>
          </w14:textFill>
        </w:rPr>
        <w:t>1.3.5“生态环境分区管控”符合性分析</w:t>
      </w:r>
      <w:bookmarkEnd w:id="10"/>
    </w:p>
    <w:p w14:paraId="203E4684">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建设项目所在区域不涉及生态</w:t>
      </w:r>
      <w:r>
        <w:rPr>
          <w:rFonts w:hint="eastAsia" w:ascii="Times New Roman" w:hAnsi="Times New Roman" w:cs="Times New Roman"/>
          <w:color w:val="000000" w:themeColor="text1"/>
          <w:lang w:eastAsia="zh-CN"/>
          <w14:textFill>
            <w14:solidFill>
              <w14:schemeClr w14:val="tx1"/>
            </w14:solidFill>
          </w14:textFill>
        </w:rPr>
        <w:t>保护</w:t>
      </w:r>
      <w:r>
        <w:rPr>
          <w:rFonts w:hint="default" w:ascii="Times New Roman" w:hAnsi="Times New Roman" w:cs="Times New Roman"/>
          <w:color w:val="000000" w:themeColor="text1"/>
          <w14:textFill>
            <w14:solidFill>
              <w14:schemeClr w14:val="tx1"/>
            </w14:solidFill>
          </w14:textFill>
        </w:rPr>
        <w:t>红线，项目建设不突破区域环境质量底线、资源利用上线，不属于环境准入负面清单中所列的行业，符合“生态环境分区管控”要求。</w:t>
      </w:r>
    </w:p>
    <w:p w14:paraId="67F7CD5B">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11" w:name="_Toc173837600"/>
      <w:r>
        <w:rPr>
          <w:rFonts w:hint="default" w:ascii="Times New Roman" w:hAnsi="Times New Roman" w:eastAsia="黑体" w:cs="Times New Roman"/>
          <w:b w:val="0"/>
          <w:color w:val="000000" w:themeColor="text1"/>
          <w14:textFill>
            <w14:solidFill>
              <w14:schemeClr w14:val="tx1"/>
            </w14:solidFill>
          </w14:textFill>
        </w:rPr>
        <w:t>1.4环境影响评价过程</w:t>
      </w:r>
      <w:bookmarkEnd w:id="11"/>
    </w:p>
    <w:p w14:paraId="10E7D48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2025年10月28日</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安徽楹聚环保科技有限公司</w:t>
      </w:r>
      <w:r>
        <w:rPr>
          <w:rFonts w:hint="default" w:ascii="Times New Roman" w:hAnsi="Times New Roman" w:cs="Times New Roman"/>
          <w:color w:val="000000" w:themeColor="text1"/>
          <w14:textFill>
            <w14:solidFill>
              <w14:schemeClr w14:val="tx1"/>
            </w14:solidFill>
          </w14:textFill>
        </w:rPr>
        <w:t>委托</w:t>
      </w:r>
      <w:r>
        <w:rPr>
          <w:rFonts w:hint="default" w:ascii="Times New Roman" w:hAnsi="Times New Roman" w:cs="Times New Roman"/>
          <w:color w:val="000000" w:themeColor="text1"/>
          <w:lang w:eastAsia="zh-CN"/>
          <w14:textFill>
            <w14:solidFill>
              <w14:schemeClr w14:val="tx1"/>
            </w14:solidFill>
          </w14:textFill>
        </w:rPr>
        <w:t>安徽应天环保科技咨询有限公司</w:t>
      </w:r>
      <w:r>
        <w:rPr>
          <w:rFonts w:hint="default" w:ascii="Times New Roman" w:hAnsi="Times New Roman" w:cs="Times New Roman"/>
          <w:color w:val="000000" w:themeColor="text1"/>
          <w14:textFill>
            <w14:solidFill>
              <w14:schemeClr w14:val="tx1"/>
            </w14:solidFill>
          </w14:textFill>
        </w:rPr>
        <w:t>承担《</w:t>
      </w:r>
      <w:r>
        <w:rPr>
          <w:rFonts w:hint="default" w:ascii="Times New Roman" w:hAnsi="Times New Roman" w:cs="Times New Roman"/>
          <w:color w:val="000000" w:themeColor="text1"/>
          <w:lang w:eastAsia="zh-CN"/>
          <w14:textFill>
            <w14:solidFill>
              <w14:schemeClr w14:val="tx1"/>
            </w14:solidFill>
          </w14:textFill>
        </w:rPr>
        <w:t>安徽楹聚环保科技有限公司PET再生资源综合利用项目</w:t>
      </w:r>
      <w:r>
        <w:rPr>
          <w:rFonts w:hint="default" w:ascii="Times New Roman" w:hAnsi="Times New Roman" w:cs="Times New Roman"/>
          <w:color w:val="000000" w:themeColor="text1"/>
          <w14:textFill>
            <w14:solidFill>
              <w14:schemeClr w14:val="tx1"/>
            </w14:solidFill>
          </w14:textFill>
        </w:rPr>
        <w:t>环境影响报告书》的编制工作。</w:t>
      </w:r>
    </w:p>
    <w:p w14:paraId="7DA4DDE8">
      <w:pPr>
        <w:pStyle w:val="251"/>
        <w:wordWrap w:val="0"/>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2025年10月28日</w:t>
      </w:r>
      <w:r>
        <w:rPr>
          <w:rFonts w:hint="default" w:ascii="Times New Roman" w:hAnsi="Times New Roman" w:cs="Times New Roman"/>
          <w:color w:val="000000" w:themeColor="text1"/>
          <w14:textFill>
            <w14:solidFill>
              <w14:schemeClr w14:val="tx1"/>
            </w14:solidFill>
          </w14:textFill>
        </w:rPr>
        <w:t>，建设单位在“淮南市毛集社会发展综合实验区管理委员会”网站上发布首次环境影响评价信息公开情况，网址：淮南市毛集社会发展综合实验区管理委员会网站（</w:t>
      </w:r>
      <w:r>
        <w:rPr>
          <w:rFonts w:hint="default" w:ascii="Times New Roman" w:hAnsi="Times New Roman" w:cs="Times New Roman"/>
          <w:color w:val="000000" w:themeColor="text1"/>
          <w:lang w:eastAsia="zh-CN"/>
          <w14:textFill>
            <w14:solidFill>
              <w14:schemeClr w14:val="tx1"/>
            </w14:solidFill>
          </w14:textFill>
        </w:rPr>
        <w:t>https://www.maoji.gov.cn/public/118322692/1260769054.html</w:t>
      </w:r>
      <w:r>
        <w:rPr>
          <w:rFonts w:hint="default" w:ascii="Times New Roman" w:hAnsi="Times New Roman" w:cs="Times New Roman"/>
          <w:color w:val="000000" w:themeColor="text1"/>
          <w14:textFill>
            <w14:solidFill>
              <w14:schemeClr w14:val="tx1"/>
            </w14:solidFill>
          </w14:textFill>
        </w:rPr>
        <w:t>）。</w:t>
      </w:r>
    </w:p>
    <w:p w14:paraId="18AD4214">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◆202</w:t>
      </w:r>
      <w:r>
        <w:rPr>
          <w:rFonts w:hint="default"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年</w:t>
      </w:r>
      <w:r>
        <w:rPr>
          <w:rFonts w:hint="default" w:ascii="Times New Roman" w:hAnsi="Times New Roman" w:cs="Times New Roman"/>
          <w:color w:val="000000" w:themeColor="text1"/>
          <w:lang w:val="en-US" w:eastAsia="zh-CN"/>
          <w14:textFill>
            <w14:solidFill>
              <w14:schemeClr w14:val="tx1"/>
            </w14:solidFill>
          </w14:textFill>
        </w:rPr>
        <w:t>11</w:t>
      </w:r>
      <w:r>
        <w:rPr>
          <w:rFonts w:hint="default" w:ascii="Times New Roman" w:hAnsi="Times New Roman" w:cs="Times New Roman"/>
          <w:color w:val="000000" w:themeColor="text1"/>
          <w14:textFill>
            <w14:solidFill>
              <w14:schemeClr w14:val="tx1"/>
            </w14:solidFill>
          </w14:textFill>
        </w:rPr>
        <w:t>月，评价单位根据建设单位提供的工艺技术资料，进行初步工程分析，确定评价思路、评价重点及各环境要素评价等级。</w:t>
      </w:r>
    </w:p>
    <w:p w14:paraId="2CE1D02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◆202</w:t>
      </w:r>
      <w:r>
        <w:rPr>
          <w:rFonts w:hint="default"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年</w:t>
      </w:r>
      <w:r>
        <w:rPr>
          <w:rFonts w:hint="default" w:ascii="Times New Roman" w:hAnsi="Times New Roman" w:cs="Times New Roman"/>
          <w:color w:val="000000" w:themeColor="text1"/>
          <w:lang w:val="en-US" w:eastAsia="zh-CN"/>
          <w14:textFill>
            <w14:solidFill>
              <w14:schemeClr w14:val="tx1"/>
            </w14:solidFill>
          </w14:textFill>
        </w:rPr>
        <w:t>12</w:t>
      </w:r>
      <w:r>
        <w:rPr>
          <w:rFonts w:hint="default" w:ascii="Times New Roman" w:hAnsi="Times New Roman" w:cs="Times New Roman"/>
          <w:color w:val="000000" w:themeColor="text1"/>
          <w14:textFill>
            <w14:solidFill>
              <w14:schemeClr w14:val="tx1"/>
            </w14:solidFill>
          </w14:textFill>
        </w:rPr>
        <w:t>月</w:t>
      </w:r>
      <w:r>
        <w:rPr>
          <w:rFonts w:hint="default" w:ascii="Times New Roman" w:hAnsi="Times New Roman" w:cs="Times New Roman"/>
          <w:color w:val="000000" w:themeColor="text1"/>
          <w:lang w:val="en-US" w:eastAsia="zh-CN"/>
          <w14:textFill>
            <w14:solidFill>
              <w14:schemeClr w14:val="tx1"/>
            </w14:solidFill>
          </w14:textFill>
        </w:rPr>
        <w:t>2日~8日</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安徽鑫程检测科技有限公司</w:t>
      </w:r>
      <w:r>
        <w:rPr>
          <w:rFonts w:hint="default" w:ascii="Times New Roman" w:hAnsi="Times New Roman" w:cs="Times New Roman"/>
          <w:color w:val="000000" w:themeColor="text1"/>
          <w14:textFill>
            <w14:solidFill>
              <w14:schemeClr w14:val="tx1"/>
            </w14:solidFill>
          </w14:textFill>
        </w:rPr>
        <w:t>对区域环境质量现状进行了采样监测。</w:t>
      </w:r>
    </w:p>
    <w:p w14:paraId="3F4807F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◆202</w:t>
      </w:r>
      <w:r>
        <w:rPr>
          <w:rFonts w:hint="default"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年</w:t>
      </w:r>
      <w:r>
        <w:rPr>
          <w:rFonts w:hint="default" w:ascii="Times New Roman" w:hAnsi="Times New Roman" w:cs="Times New Roman"/>
          <w:color w:val="000000" w:themeColor="text1"/>
          <w:lang w:val="en-US" w:eastAsia="zh-CN"/>
          <w14:textFill>
            <w14:solidFill>
              <w14:schemeClr w14:val="tx1"/>
            </w14:solidFill>
          </w14:textFill>
        </w:rPr>
        <w:t>12</w:t>
      </w:r>
      <w:r>
        <w:rPr>
          <w:rFonts w:hint="default" w:ascii="Times New Roman" w:hAnsi="Times New Roman" w:cs="Times New Roman"/>
          <w:color w:val="000000" w:themeColor="text1"/>
          <w14:textFill>
            <w14:solidFill>
              <w14:schemeClr w14:val="tx1"/>
            </w14:solidFill>
          </w14:textFill>
        </w:rPr>
        <w:t>月</w:t>
      </w:r>
      <w:r>
        <w:rPr>
          <w:rFonts w:hint="eastAsia" w:ascii="Times New Roman" w:hAnsi="Times New Roman" w:cs="Times New Roman"/>
          <w:color w:val="000000" w:themeColor="text1"/>
          <w:lang w:val="en-US" w:eastAsia="zh-CN"/>
          <w14:textFill>
            <w14:solidFill>
              <w14:schemeClr w14:val="tx1"/>
            </w14:solidFill>
          </w14:textFill>
        </w:rPr>
        <w:t>8日</w:t>
      </w:r>
      <w:r>
        <w:rPr>
          <w:rFonts w:hint="default" w:ascii="Times New Roman" w:hAnsi="Times New Roman" w:cs="Times New Roman"/>
          <w:color w:val="000000" w:themeColor="text1"/>
          <w14:textFill>
            <w14:solidFill>
              <w14:schemeClr w14:val="tx1"/>
            </w14:solidFill>
          </w14:textFill>
        </w:rPr>
        <w:t>，评价单位按照国家相关环保法律、法规及有关技术规范要求，编制完成了《</w:t>
      </w:r>
      <w:r>
        <w:rPr>
          <w:rFonts w:hint="default" w:ascii="Times New Roman" w:hAnsi="Times New Roman" w:cs="Times New Roman"/>
          <w:color w:val="000000" w:themeColor="text1"/>
          <w:lang w:eastAsia="zh-CN"/>
          <w14:textFill>
            <w14:solidFill>
              <w14:schemeClr w14:val="tx1"/>
            </w14:solidFill>
          </w14:textFill>
        </w:rPr>
        <w:t>安徽楹聚环保科技有限公司PET再生资源综合利用项目</w:t>
      </w:r>
      <w:r>
        <w:rPr>
          <w:rFonts w:hint="default" w:ascii="Times New Roman" w:hAnsi="Times New Roman" w:cs="Times New Roman"/>
          <w:color w:val="000000" w:themeColor="text1"/>
          <w14:textFill>
            <w14:solidFill>
              <w14:schemeClr w14:val="tx1"/>
            </w14:solidFill>
          </w14:textFill>
        </w:rPr>
        <w:t>环境影响报告书》（征求意见稿），在淮南市毛集社会发展综合实验区管理委员会网站上对本项目环境影响评价公众参与进行了第二次公示（征求意见稿公示），网址：淮南市毛集社会发展综合实验区管理委员会网站（</w:t>
      </w:r>
      <w:r>
        <w:rPr>
          <w:rFonts w:hint="default" w:ascii="Times New Roman" w:hAnsi="Times New Roman" w:cs="Times New Roman"/>
          <w:color w:val="000000" w:themeColor="text1"/>
          <w:lang w:eastAsia="zh-CN"/>
          <w14:textFill>
            <w14:solidFill>
              <w14:schemeClr w14:val="tx1"/>
            </w14:solidFill>
          </w14:textFill>
        </w:rPr>
        <w:t>https://www.maoji.gov.cn/public/118322692/1260813811.html</w:t>
      </w:r>
      <w:r>
        <w:rPr>
          <w:rFonts w:hint="default" w:ascii="Times New Roman" w:hAnsi="Times New Roman" w:cs="Times New Roman"/>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在第二次公示期间，</w:t>
      </w:r>
      <w:r>
        <w:rPr>
          <w:rFonts w:hint="default" w:ascii="Times New Roman" w:hAnsi="Times New Roman" w:cs="Times New Roman"/>
          <w:color w:val="000000" w:themeColor="text1"/>
          <w14:textFill>
            <w14:solidFill>
              <w14:schemeClr w14:val="tx1"/>
            </w14:solidFill>
          </w14:textFill>
        </w:rPr>
        <w:t>还采取了报纸公示，在纸质媒体“</w:t>
      </w:r>
      <w:r>
        <w:rPr>
          <w:rFonts w:hint="default" w:ascii="Times New Roman" w:hAnsi="Times New Roman" w:cs="Times New Roman"/>
          <w:color w:val="000000" w:themeColor="text1"/>
          <w:lang w:eastAsia="zh-CN"/>
          <w14:textFill>
            <w14:solidFill>
              <w14:schemeClr w14:val="tx1"/>
            </w14:solidFill>
          </w14:textFill>
        </w:rPr>
        <w:t>新安晚报</w:t>
      </w:r>
      <w:r>
        <w:rPr>
          <w:rFonts w:hint="default" w:ascii="Times New Roman" w:hAnsi="Times New Roman" w:cs="Times New Roman"/>
          <w:color w:val="000000" w:themeColor="text1"/>
          <w14:textFill>
            <w14:solidFill>
              <w14:schemeClr w14:val="tx1"/>
            </w14:solidFill>
          </w14:textFill>
        </w:rPr>
        <w:t>”开展了两次公示，同时以现场公告方式开展了报告书征求意见稿公示。</w:t>
      </w:r>
    </w:p>
    <w:p w14:paraId="3A867109">
      <w:pPr>
        <w:pStyle w:val="251"/>
        <w:ind w:firstLine="480"/>
        <w:rPr>
          <w:rFonts w:hint="default" w:ascii="Times New Roman" w:hAnsi="Times New Roman" w:cs="Times New Roman"/>
          <w:color w:val="000000" w:themeColor="text1"/>
          <w:spacing w:val="0"/>
          <w:kern w:val="2"/>
          <w:sz w:val="24"/>
          <w:szCs w:val="28"/>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◆202</w:t>
      </w:r>
      <w:r>
        <w:rPr>
          <w:rFonts w:hint="default"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年</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月，评价单位按照国家相关环保法律、法规及有关技术规范要求，编制完成了《</w:t>
      </w:r>
      <w:r>
        <w:rPr>
          <w:rFonts w:hint="default" w:ascii="Times New Roman" w:hAnsi="Times New Roman" w:cs="Times New Roman"/>
          <w:color w:val="000000" w:themeColor="text1"/>
          <w:lang w:eastAsia="zh-CN"/>
          <w14:textFill>
            <w14:solidFill>
              <w14:schemeClr w14:val="tx1"/>
            </w14:solidFill>
          </w14:textFill>
        </w:rPr>
        <w:t>安徽楹聚环保科技有限公司PET再生资源综合利用项目</w:t>
      </w:r>
      <w:r>
        <w:rPr>
          <w:rFonts w:hint="default" w:ascii="Times New Roman" w:hAnsi="Times New Roman" w:cs="Times New Roman"/>
          <w:color w:val="000000" w:themeColor="text1"/>
          <w14:textFill>
            <w14:solidFill>
              <w14:schemeClr w14:val="tx1"/>
            </w14:solidFill>
          </w14:textFill>
        </w:rPr>
        <w:t>环境影响报告书》，并进入</w:t>
      </w:r>
      <w:r>
        <w:rPr>
          <w:rFonts w:hint="default" w:ascii="Times New Roman" w:hAnsi="Times New Roman" w:cs="Times New Roman"/>
          <w:color w:val="000000" w:themeColor="text1"/>
          <w:lang w:eastAsia="zh-CN"/>
          <w14:textFill>
            <w14:solidFill>
              <w14:schemeClr w14:val="tx1"/>
            </w14:solidFill>
          </w14:textFill>
        </w:rPr>
        <w:t>安徽应天环保科技咨询有限公司</w:t>
      </w:r>
      <w:r>
        <w:rPr>
          <w:rFonts w:hint="default" w:ascii="Times New Roman" w:hAnsi="Times New Roman" w:cs="Times New Roman"/>
          <w:color w:val="000000" w:themeColor="text1"/>
          <w14:textFill>
            <w14:solidFill>
              <w14:schemeClr w14:val="tx1"/>
            </w14:solidFill>
          </w14:textFill>
        </w:rPr>
        <w:t>内审程序，经审核、审定后，于2025年</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月定稿。</w:t>
      </w:r>
    </w:p>
    <w:p w14:paraId="6579DF4E">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12" w:name="_Toc173837601"/>
      <w:r>
        <w:rPr>
          <w:rFonts w:hint="default" w:ascii="Times New Roman" w:hAnsi="Times New Roman" w:eastAsia="黑体" w:cs="Times New Roman"/>
          <w:b w:val="0"/>
          <w:color w:val="000000" w:themeColor="text1"/>
          <w14:textFill>
            <w14:solidFill>
              <w14:schemeClr w14:val="tx1"/>
            </w14:solidFill>
          </w14:textFill>
        </w:rPr>
        <w:t>1.5本项目主要关注的问题</w:t>
      </w:r>
      <w:bookmarkEnd w:id="12"/>
    </w:p>
    <w:p w14:paraId="373F13F7">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结合工艺特点和废气处理方案，重点论证各类废气污染物稳定达标排放的可行性。</w:t>
      </w:r>
    </w:p>
    <w:p w14:paraId="20C564B4">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、结合项目排放的各类污染物，预测项目可能对区域环境质量造成的不利影响，结合区域的功能区划和环境质量现状，从环保角度论证项目建设的可行性。</w:t>
      </w:r>
    </w:p>
    <w:p w14:paraId="7BE1FAED">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、从环境影响评价角度论证项目选址的合理性，总平面布置的适宜性，论证本项目的环境可行性、提出环境管理监控计划，确保工程建设与环保措施“三同时”。</w:t>
      </w:r>
    </w:p>
    <w:p w14:paraId="594E5A6C">
      <w:pPr>
        <w:pStyle w:val="3952"/>
        <w:spacing w:beforeLines="0"/>
        <w:jc w:val="both"/>
        <w:rPr>
          <w:rFonts w:hint="default" w:ascii="Times New Roman" w:hAnsi="Times New Roman" w:eastAsia="黑体" w:cs="Times New Roman"/>
          <w:b w:val="0"/>
          <w:color w:val="000000" w:themeColor="text1"/>
          <w14:textFill>
            <w14:solidFill>
              <w14:schemeClr w14:val="tx1"/>
            </w14:solidFill>
          </w14:textFill>
        </w:rPr>
      </w:pPr>
      <w:bookmarkStart w:id="13" w:name="_Toc173837602"/>
      <w:r>
        <w:rPr>
          <w:rFonts w:hint="default" w:ascii="Times New Roman" w:hAnsi="Times New Roman" w:eastAsia="黑体" w:cs="Times New Roman"/>
          <w:b w:val="0"/>
          <w:color w:val="000000" w:themeColor="text1"/>
          <w14:textFill>
            <w14:solidFill>
              <w14:schemeClr w14:val="tx1"/>
            </w14:solidFill>
          </w14:textFill>
        </w:rPr>
        <w:t>1.6环境影响报告书主要结论</w:t>
      </w:r>
      <w:bookmarkEnd w:id="13"/>
    </w:p>
    <w:p w14:paraId="1D908903">
      <w:pPr>
        <w:widowControl/>
        <w:spacing w:line="360" w:lineRule="auto"/>
        <w:ind w:firstLine="480" w:firstLineChars="200"/>
        <w:jc w:val="left"/>
        <w:rPr>
          <w:rFonts w:hint="default" w:ascii="Times New Roman" w:hAnsi="Times New Roman" w:cs="Times New Roman"/>
          <w:color w:val="000000" w:themeColor="text1"/>
          <w:spacing w:val="0"/>
          <w:sz w:val="24"/>
          <w:szCs w:val="28"/>
          <w14:textFill>
            <w14:solidFill>
              <w14:schemeClr w14:val="tx1"/>
            </w14:solidFill>
          </w14:textFill>
        </w:rPr>
      </w:pPr>
      <w:r>
        <w:rPr>
          <w:rFonts w:hint="default" w:ascii="Times New Roman" w:hAnsi="Times New Roman" w:cs="Times New Roman"/>
          <w:color w:val="000000" w:themeColor="text1"/>
          <w:spacing w:val="0"/>
          <w:sz w:val="24"/>
          <w:szCs w:val="28"/>
          <w14:textFill>
            <w14:solidFill>
              <w14:schemeClr w14:val="tx1"/>
            </w14:solidFill>
          </w14:textFill>
        </w:rPr>
        <w:t>本项目符合国家</w:t>
      </w:r>
      <w:r>
        <w:rPr>
          <w:rFonts w:hint="eastAsia" w:cs="Times New Roman"/>
          <w:color w:val="000000" w:themeColor="text1"/>
          <w:spacing w:val="0"/>
          <w:sz w:val="24"/>
          <w:szCs w:val="28"/>
          <w:lang w:eastAsia="zh-CN"/>
          <w14:textFill>
            <w14:solidFill>
              <w14:schemeClr w14:val="tx1"/>
            </w14:solidFill>
          </w14:textFill>
        </w:rPr>
        <w:t>和地方</w:t>
      </w:r>
      <w:r>
        <w:rPr>
          <w:rFonts w:hint="default" w:ascii="Times New Roman" w:hAnsi="Times New Roman" w:cs="Times New Roman"/>
          <w:color w:val="000000" w:themeColor="text1"/>
          <w:spacing w:val="0"/>
          <w:sz w:val="24"/>
          <w:szCs w:val="28"/>
          <w14:textFill>
            <w14:solidFill>
              <w14:schemeClr w14:val="tx1"/>
            </w14:solidFill>
          </w14:textFill>
        </w:rPr>
        <w:t>产业政策，选址合理，采取环评提出的各项环保措施后可实现各类污染物稳定达标排放，对评价区域环境影响较小，不会降低区域环境质量功能级别；项目采取网络平台公示、报纸公示、现场张贴等方式开展了公众参与调查工作，公众参与调查过程中未收到群众反馈意见；企业在落实环境风险应急防范措施的前提下，其环境风险可控。</w:t>
      </w:r>
    </w:p>
    <w:p w14:paraId="3E64E034">
      <w:pPr>
        <w:spacing w:line="360" w:lineRule="auto"/>
        <w:ind w:firstLine="480" w:firstLineChars="200"/>
        <w:jc w:val="left"/>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0"/>
          <w:sz w:val="24"/>
          <w:szCs w:val="28"/>
          <w14:textFill>
            <w14:solidFill>
              <w14:schemeClr w14:val="tx1"/>
            </w14:solidFill>
          </w14:textFill>
        </w:rPr>
        <w:t>因此，从环境影响角度分析，</w:t>
      </w:r>
      <w:r>
        <w:rPr>
          <w:rFonts w:hint="default" w:ascii="Times New Roman" w:hAnsi="Times New Roman" w:cs="Times New Roman"/>
          <w:color w:val="000000" w:themeColor="text1"/>
          <w:spacing w:val="0"/>
          <w:sz w:val="24"/>
          <w:szCs w:val="28"/>
          <w:lang w:eastAsia="zh-CN"/>
          <w14:textFill>
            <w14:solidFill>
              <w14:schemeClr w14:val="tx1"/>
            </w14:solidFill>
          </w14:textFill>
        </w:rPr>
        <w:t>安徽楹聚环保科技有限公司PET再生资源综合利用项目</w:t>
      </w:r>
      <w:r>
        <w:rPr>
          <w:rFonts w:hint="default" w:ascii="Times New Roman" w:hAnsi="Times New Roman" w:cs="Times New Roman"/>
          <w:color w:val="000000" w:themeColor="text1"/>
          <w:spacing w:val="0"/>
          <w:sz w:val="24"/>
          <w:szCs w:val="28"/>
          <w14:textFill>
            <w14:solidFill>
              <w14:schemeClr w14:val="tx1"/>
            </w14:solidFill>
          </w14:textFill>
        </w:rPr>
        <w:t>建设是可行的。</w:t>
      </w:r>
      <w:r>
        <w:rPr>
          <w:rFonts w:hint="default" w:ascii="Times New Roman" w:hAnsi="Times New Roman" w:cs="Times New Roman"/>
          <w:color w:val="000000" w:themeColor="text1"/>
          <w:sz w:val="24"/>
          <w:szCs w:val="24"/>
          <w14:textFill>
            <w14:solidFill>
              <w14:schemeClr w14:val="tx1"/>
            </w14:solidFill>
          </w14:textFill>
        </w:rPr>
        <w:br w:type="page"/>
      </w:r>
      <w:r>
        <w:rPr>
          <w:rFonts w:hint="default" w:ascii="Times New Roman" w:hAnsi="Times New Roman" w:cs="Times New Roman"/>
          <w:color w:val="000000" w:themeColor="text1"/>
          <w:sz w:val="18"/>
          <w:szCs w:val="18"/>
          <w14:textFill>
            <w14:solidFill>
              <w14:schemeClr w14:val="tx1"/>
            </w14:solidFill>
          </w14:textFill>
        </w:rPr>
        <mc:AlternateContent>
          <mc:Choice Requires="wpc">
            <w:drawing>
              <wp:inline distT="0" distB="0" distL="114300" distR="114300">
                <wp:extent cx="5274310" cy="7865110"/>
                <wp:effectExtent l="0" t="0" r="0" b="0"/>
                <wp:docPr id="50" name="画布 297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 name="文本框 2978"/>
                        <wps:cNvSpPr txBox="1"/>
                        <wps:spPr>
                          <a:xfrm>
                            <a:off x="1323903" y="282500"/>
                            <a:ext cx="2695605" cy="3334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AD5A53F">
                              <w:pPr>
                                <w:jc w:val="center"/>
                                <w:rPr>
                                  <w:rFonts w:eastAsia="黑体"/>
                                  <w:sz w:val="18"/>
                                  <w:szCs w:val="18"/>
                                </w:rPr>
                              </w:pPr>
                              <w:r>
                                <w:rPr>
                                  <w:rFonts w:hAnsi="黑体" w:eastAsia="黑体"/>
                                  <w:sz w:val="18"/>
                                  <w:szCs w:val="18"/>
                                </w:rPr>
                                <w:t>依据相关规定确定环境影响评价文件类型</w:t>
                              </w:r>
                            </w:p>
                          </w:txbxContent>
                        </wps:txbx>
                        <wps:bodyPr upright="1"/>
                      </wps:wsp>
                      <wps:wsp>
                        <wps:cNvPr id="13" name="自选图形 2979"/>
                        <wps:cNvCnPr/>
                        <wps:spPr>
                          <a:xfrm>
                            <a:off x="2672005" y="615901"/>
                            <a:ext cx="1300" cy="360000"/>
                          </a:xfrm>
                          <a:prstGeom prst="straightConnector1">
                            <a:avLst/>
                          </a:prstGeom>
                          <a:ln w="9525" cap="flat" cmpd="sng">
                            <a:solidFill>
                              <a:srgbClr val="000000"/>
                            </a:solidFill>
                            <a:prstDash val="solid"/>
                            <a:headEnd type="none" w="med" len="med"/>
                            <a:tailEnd type="triangle" w="sm" len="med"/>
                          </a:ln>
                        </wps:spPr>
                        <wps:bodyPr/>
                      </wps:wsp>
                      <wps:wsp>
                        <wps:cNvPr id="14" name="文本框 2980"/>
                        <wps:cNvSpPr txBox="1"/>
                        <wps:spPr>
                          <a:xfrm>
                            <a:off x="1428703" y="968301"/>
                            <a:ext cx="2467005" cy="69540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6635F73">
                              <w:pPr>
                                <w:jc w:val="left"/>
                                <w:rPr>
                                  <w:rFonts w:eastAsia="黑体"/>
                                  <w:sz w:val="18"/>
                                  <w:szCs w:val="18"/>
                                </w:rPr>
                              </w:pPr>
                              <w:r>
                                <w:rPr>
                                  <w:rFonts w:eastAsia="黑体"/>
                                  <w:sz w:val="18"/>
                                  <w:szCs w:val="18"/>
                                </w:rPr>
                                <w:t>1</w:t>
                              </w:r>
                              <w:r>
                                <w:rPr>
                                  <w:rFonts w:hAnsi="黑体" w:eastAsia="黑体"/>
                                  <w:sz w:val="18"/>
                                  <w:szCs w:val="18"/>
                                </w:rPr>
                                <w:t>、研究相关技术文件和其他有关文件</w:t>
                              </w:r>
                            </w:p>
                            <w:p w14:paraId="02ADBE38">
                              <w:pPr>
                                <w:jc w:val="left"/>
                                <w:rPr>
                                  <w:rFonts w:eastAsia="黑体"/>
                                  <w:sz w:val="18"/>
                                  <w:szCs w:val="18"/>
                                </w:rPr>
                              </w:pPr>
                              <w:r>
                                <w:rPr>
                                  <w:rFonts w:eastAsia="黑体"/>
                                  <w:sz w:val="18"/>
                                  <w:szCs w:val="18"/>
                                </w:rPr>
                                <w:t>2</w:t>
                              </w:r>
                              <w:r>
                                <w:rPr>
                                  <w:rFonts w:hAnsi="黑体" w:eastAsia="黑体"/>
                                  <w:sz w:val="18"/>
                                  <w:szCs w:val="18"/>
                                </w:rPr>
                                <w:t>、进行初步工程分析</w:t>
                              </w:r>
                            </w:p>
                            <w:p w14:paraId="61929F95">
                              <w:pPr>
                                <w:jc w:val="left"/>
                                <w:rPr>
                                  <w:rFonts w:eastAsia="黑体"/>
                                  <w:sz w:val="18"/>
                                  <w:szCs w:val="18"/>
                                </w:rPr>
                              </w:pPr>
                              <w:r>
                                <w:rPr>
                                  <w:rFonts w:eastAsia="黑体"/>
                                  <w:sz w:val="18"/>
                                  <w:szCs w:val="18"/>
                                </w:rPr>
                                <w:t>3</w:t>
                              </w:r>
                              <w:r>
                                <w:rPr>
                                  <w:rFonts w:hAnsi="黑体" w:eastAsia="黑体"/>
                                  <w:sz w:val="18"/>
                                  <w:szCs w:val="18"/>
                                </w:rPr>
                                <w:t>、开展初步的环境现状调查</w:t>
                              </w:r>
                            </w:p>
                          </w:txbxContent>
                        </wps:txbx>
                        <wps:bodyPr upright="1"/>
                      </wps:wsp>
                      <wps:wsp>
                        <wps:cNvPr id="16" name="自选图形 2981"/>
                        <wps:cNvCnPr/>
                        <wps:spPr>
                          <a:xfrm>
                            <a:off x="2673305" y="1654102"/>
                            <a:ext cx="1300" cy="360100"/>
                          </a:xfrm>
                          <a:prstGeom prst="straightConnector1">
                            <a:avLst/>
                          </a:prstGeom>
                          <a:ln w="9525" cap="flat" cmpd="sng">
                            <a:solidFill>
                              <a:srgbClr val="000000"/>
                            </a:solidFill>
                            <a:prstDash val="solid"/>
                            <a:headEnd type="none" w="med" len="med"/>
                            <a:tailEnd type="triangle" w="sm" len="med"/>
                          </a:ln>
                        </wps:spPr>
                        <wps:bodyPr/>
                      </wps:wsp>
                      <wps:wsp>
                        <wps:cNvPr id="17" name="文本框 2982"/>
                        <wps:cNvSpPr txBox="1"/>
                        <wps:spPr>
                          <a:xfrm>
                            <a:off x="1438203" y="2016103"/>
                            <a:ext cx="2467005" cy="69530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9E80BC7">
                              <w:pPr>
                                <w:jc w:val="left"/>
                                <w:rPr>
                                  <w:rFonts w:eastAsia="黑体"/>
                                  <w:sz w:val="18"/>
                                  <w:szCs w:val="18"/>
                                </w:rPr>
                              </w:pPr>
                              <w:r>
                                <w:rPr>
                                  <w:rFonts w:eastAsia="黑体"/>
                                  <w:sz w:val="18"/>
                                  <w:szCs w:val="18"/>
                                </w:rPr>
                                <w:t>1</w:t>
                              </w:r>
                              <w:r>
                                <w:rPr>
                                  <w:rFonts w:hAnsi="黑体" w:eastAsia="黑体"/>
                                  <w:sz w:val="18"/>
                                  <w:szCs w:val="18"/>
                                </w:rPr>
                                <w:t>、环境影响识别和评价因子筛选</w:t>
                              </w:r>
                            </w:p>
                            <w:p w14:paraId="0D6F244E">
                              <w:pPr>
                                <w:jc w:val="left"/>
                                <w:rPr>
                                  <w:rFonts w:eastAsia="黑体"/>
                                  <w:sz w:val="18"/>
                                  <w:szCs w:val="18"/>
                                </w:rPr>
                              </w:pPr>
                              <w:r>
                                <w:rPr>
                                  <w:rFonts w:eastAsia="黑体"/>
                                  <w:sz w:val="18"/>
                                  <w:szCs w:val="18"/>
                                </w:rPr>
                                <w:t>2</w:t>
                              </w:r>
                              <w:r>
                                <w:rPr>
                                  <w:rFonts w:hAnsi="黑体" w:eastAsia="黑体"/>
                                  <w:sz w:val="18"/>
                                  <w:szCs w:val="18"/>
                                </w:rPr>
                                <w:t>、明确评价重点和环境保护目标</w:t>
                              </w:r>
                            </w:p>
                            <w:p w14:paraId="0B7BC8C3">
                              <w:pPr>
                                <w:jc w:val="left"/>
                                <w:rPr>
                                  <w:rFonts w:eastAsia="黑体"/>
                                  <w:sz w:val="18"/>
                                  <w:szCs w:val="18"/>
                                </w:rPr>
                              </w:pPr>
                              <w:r>
                                <w:rPr>
                                  <w:rFonts w:eastAsia="黑体"/>
                                  <w:sz w:val="18"/>
                                  <w:szCs w:val="18"/>
                                </w:rPr>
                                <w:t>3</w:t>
                              </w:r>
                              <w:r>
                                <w:rPr>
                                  <w:rFonts w:hAnsi="黑体" w:eastAsia="黑体"/>
                                  <w:sz w:val="18"/>
                                  <w:szCs w:val="18"/>
                                </w:rPr>
                                <w:t>、确定工作等级、评价范围和评价标准</w:t>
                              </w:r>
                            </w:p>
                          </w:txbxContent>
                        </wps:txbx>
                        <wps:bodyPr upright="1"/>
                      </wps:wsp>
                      <wps:wsp>
                        <wps:cNvPr id="18" name="自选图形 2983"/>
                        <wps:cNvCnPr/>
                        <wps:spPr>
                          <a:xfrm>
                            <a:off x="2674605" y="2720903"/>
                            <a:ext cx="1200" cy="360100"/>
                          </a:xfrm>
                          <a:prstGeom prst="straightConnector1">
                            <a:avLst/>
                          </a:prstGeom>
                          <a:ln w="9525" cap="flat" cmpd="sng">
                            <a:solidFill>
                              <a:srgbClr val="000000"/>
                            </a:solidFill>
                            <a:prstDash val="solid"/>
                            <a:headEnd type="none" w="med" len="med"/>
                            <a:tailEnd type="triangle" w="sm" len="med"/>
                          </a:ln>
                        </wps:spPr>
                        <wps:bodyPr/>
                      </wps:wsp>
                      <wps:wsp>
                        <wps:cNvPr id="19" name="文本框 2984"/>
                        <wps:cNvSpPr txBox="1"/>
                        <wps:spPr>
                          <a:xfrm>
                            <a:off x="1991304" y="3082904"/>
                            <a:ext cx="1381103" cy="3143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00A9EF3">
                              <w:pPr>
                                <w:jc w:val="center"/>
                                <w:rPr>
                                  <w:rFonts w:eastAsia="黑体"/>
                                  <w:sz w:val="18"/>
                                  <w:szCs w:val="18"/>
                                </w:rPr>
                              </w:pPr>
                              <w:r>
                                <w:rPr>
                                  <w:rFonts w:hAnsi="黑体" w:eastAsia="黑体"/>
                                  <w:sz w:val="18"/>
                                  <w:szCs w:val="18"/>
                                </w:rPr>
                                <w:t>制定工作方案</w:t>
                              </w:r>
                            </w:p>
                          </w:txbxContent>
                        </wps:txbx>
                        <wps:bodyPr upright="1"/>
                      </wps:wsp>
                      <wps:wsp>
                        <wps:cNvPr id="20" name="自选图形 2985"/>
                        <wps:cNvCnPr/>
                        <wps:spPr>
                          <a:xfrm>
                            <a:off x="2680905" y="3397204"/>
                            <a:ext cx="1300" cy="360000"/>
                          </a:xfrm>
                          <a:prstGeom prst="straightConnector1">
                            <a:avLst/>
                          </a:prstGeom>
                          <a:ln w="9525" cap="flat" cmpd="sng">
                            <a:solidFill>
                              <a:srgbClr val="000000"/>
                            </a:solidFill>
                            <a:prstDash val="solid"/>
                            <a:headEnd type="none" w="med" len="med"/>
                            <a:tailEnd type="triangle" w="sm" len="med"/>
                          </a:ln>
                        </wps:spPr>
                        <wps:bodyPr/>
                      </wps:wsp>
                      <wps:wsp>
                        <wps:cNvPr id="21" name="自选图形 2986"/>
                        <wps:cNvCnPr/>
                        <wps:spPr>
                          <a:xfrm>
                            <a:off x="1830003" y="3768705"/>
                            <a:ext cx="1724003" cy="600"/>
                          </a:xfrm>
                          <a:prstGeom prst="straightConnector1">
                            <a:avLst/>
                          </a:prstGeom>
                          <a:ln w="9525" cap="flat" cmpd="sng">
                            <a:solidFill>
                              <a:srgbClr val="000000"/>
                            </a:solidFill>
                            <a:prstDash val="solid"/>
                            <a:headEnd type="none" w="med" len="med"/>
                            <a:tailEnd type="none" w="med" len="med"/>
                          </a:ln>
                        </wps:spPr>
                        <wps:bodyPr/>
                      </wps:wsp>
                      <wps:wsp>
                        <wps:cNvPr id="22" name="自选图形 2987"/>
                        <wps:cNvCnPr/>
                        <wps:spPr>
                          <a:xfrm>
                            <a:off x="1830003" y="3769305"/>
                            <a:ext cx="1300" cy="360100"/>
                          </a:xfrm>
                          <a:prstGeom prst="straightConnector1">
                            <a:avLst/>
                          </a:prstGeom>
                          <a:ln w="9525" cap="flat" cmpd="sng">
                            <a:solidFill>
                              <a:srgbClr val="000000"/>
                            </a:solidFill>
                            <a:prstDash val="solid"/>
                            <a:headEnd type="none" w="med" len="med"/>
                            <a:tailEnd type="triangle" w="sm" len="med"/>
                          </a:ln>
                        </wps:spPr>
                        <wps:bodyPr/>
                      </wps:wsp>
                      <wps:wsp>
                        <wps:cNvPr id="23" name="自选图形 2988"/>
                        <wps:cNvCnPr/>
                        <wps:spPr>
                          <a:xfrm>
                            <a:off x="3554007" y="3768705"/>
                            <a:ext cx="1300" cy="360000"/>
                          </a:xfrm>
                          <a:prstGeom prst="straightConnector1">
                            <a:avLst/>
                          </a:prstGeom>
                          <a:ln w="9525" cap="flat" cmpd="sng">
                            <a:solidFill>
                              <a:srgbClr val="000000"/>
                            </a:solidFill>
                            <a:prstDash val="solid"/>
                            <a:headEnd type="none" w="med" len="med"/>
                            <a:tailEnd type="triangle" w="sm" len="med"/>
                          </a:ln>
                        </wps:spPr>
                        <wps:bodyPr/>
                      </wps:wsp>
                      <wps:wsp>
                        <wps:cNvPr id="24" name="文本框 2989"/>
                        <wps:cNvSpPr txBox="1"/>
                        <wps:spPr>
                          <a:xfrm>
                            <a:off x="1295402" y="4130605"/>
                            <a:ext cx="1066802" cy="50490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777D7E0">
                              <w:pPr>
                                <w:jc w:val="center"/>
                                <w:rPr>
                                  <w:rFonts w:eastAsia="黑体"/>
                                  <w:sz w:val="18"/>
                                  <w:szCs w:val="18"/>
                                </w:rPr>
                              </w:pPr>
                              <w:r>
                                <w:rPr>
                                  <w:rFonts w:hAnsi="黑体" w:eastAsia="黑体"/>
                                  <w:sz w:val="18"/>
                                  <w:szCs w:val="18"/>
                                </w:rPr>
                                <w:t>环境现状调查</w:t>
                              </w:r>
                            </w:p>
                            <w:p w14:paraId="7FAD0BD8">
                              <w:pPr>
                                <w:jc w:val="center"/>
                                <w:rPr>
                                  <w:rFonts w:eastAsia="黑体"/>
                                  <w:sz w:val="18"/>
                                  <w:szCs w:val="18"/>
                                </w:rPr>
                              </w:pPr>
                              <w:r>
                                <w:rPr>
                                  <w:rFonts w:hAnsi="黑体" w:eastAsia="黑体"/>
                                  <w:sz w:val="18"/>
                                  <w:szCs w:val="18"/>
                                </w:rPr>
                                <w:t>监测与评价</w:t>
                              </w:r>
                            </w:p>
                          </w:txbxContent>
                        </wps:txbx>
                        <wps:bodyPr upright="1"/>
                      </wps:wsp>
                      <wps:wsp>
                        <wps:cNvPr id="25" name="文本框 2990"/>
                        <wps:cNvSpPr txBox="1"/>
                        <wps:spPr>
                          <a:xfrm>
                            <a:off x="3020006" y="4130605"/>
                            <a:ext cx="1066802" cy="50490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33C1728">
                              <w:pPr>
                                <w:jc w:val="center"/>
                                <w:rPr>
                                  <w:rFonts w:eastAsia="黑体"/>
                                  <w:sz w:val="18"/>
                                  <w:szCs w:val="18"/>
                                </w:rPr>
                              </w:pPr>
                              <w:r>
                                <w:rPr>
                                  <w:rFonts w:hAnsi="黑体" w:eastAsia="黑体"/>
                                  <w:sz w:val="18"/>
                                  <w:szCs w:val="18"/>
                                </w:rPr>
                                <w:t>建设项目</w:t>
                              </w:r>
                            </w:p>
                            <w:p w14:paraId="047C4F74">
                              <w:pPr>
                                <w:jc w:val="center"/>
                                <w:rPr>
                                  <w:rFonts w:eastAsia="黑体"/>
                                  <w:sz w:val="18"/>
                                  <w:szCs w:val="18"/>
                                </w:rPr>
                              </w:pPr>
                              <w:r>
                                <w:rPr>
                                  <w:rFonts w:hAnsi="黑体" w:eastAsia="黑体"/>
                                  <w:sz w:val="18"/>
                                  <w:szCs w:val="18"/>
                                </w:rPr>
                                <w:t>工程分析</w:t>
                              </w:r>
                            </w:p>
                          </w:txbxContent>
                        </wps:txbx>
                        <wps:bodyPr upright="1"/>
                      </wps:wsp>
                      <wps:wsp>
                        <wps:cNvPr id="26" name="自选图形 2991"/>
                        <wps:cNvCnPr/>
                        <wps:spPr>
                          <a:xfrm>
                            <a:off x="1828803" y="5006306"/>
                            <a:ext cx="1724003" cy="600"/>
                          </a:xfrm>
                          <a:prstGeom prst="straightConnector1">
                            <a:avLst/>
                          </a:prstGeom>
                          <a:ln w="9525" cap="flat" cmpd="sng">
                            <a:solidFill>
                              <a:srgbClr val="000000"/>
                            </a:solidFill>
                            <a:prstDash val="solid"/>
                            <a:headEnd type="none" w="med" len="med"/>
                            <a:tailEnd type="none" w="med" len="med"/>
                          </a:ln>
                        </wps:spPr>
                        <wps:bodyPr/>
                      </wps:wsp>
                      <wps:wsp>
                        <wps:cNvPr id="33" name="自选图形 2992"/>
                        <wps:cNvCnPr/>
                        <wps:spPr>
                          <a:xfrm>
                            <a:off x="1828803" y="4635506"/>
                            <a:ext cx="600" cy="360000"/>
                          </a:xfrm>
                          <a:prstGeom prst="straightConnector1">
                            <a:avLst/>
                          </a:prstGeom>
                          <a:ln w="9525" cap="flat" cmpd="sng">
                            <a:solidFill>
                              <a:srgbClr val="000000"/>
                            </a:solidFill>
                            <a:prstDash val="solid"/>
                            <a:headEnd type="none" w="med" len="med"/>
                            <a:tailEnd type="none" w="med" len="med"/>
                          </a:ln>
                        </wps:spPr>
                        <wps:bodyPr/>
                      </wps:wsp>
                      <wps:wsp>
                        <wps:cNvPr id="36" name="自选图形 2993"/>
                        <wps:cNvCnPr/>
                        <wps:spPr>
                          <a:xfrm>
                            <a:off x="3555307" y="4635506"/>
                            <a:ext cx="700" cy="360000"/>
                          </a:xfrm>
                          <a:prstGeom prst="straightConnector1">
                            <a:avLst/>
                          </a:prstGeom>
                          <a:ln w="9525" cap="flat" cmpd="sng">
                            <a:solidFill>
                              <a:srgbClr val="000000"/>
                            </a:solidFill>
                            <a:prstDash val="solid"/>
                            <a:headEnd type="none" w="med" len="med"/>
                            <a:tailEnd type="none" w="med" len="med"/>
                          </a:ln>
                        </wps:spPr>
                        <wps:bodyPr/>
                      </wps:wsp>
                      <wps:wsp>
                        <wps:cNvPr id="37" name="自选图形 2994"/>
                        <wps:cNvCnPr/>
                        <wps:spPr>
                          <a:xfrm>
                            <a:off x="2677105" y="5007606"/>
                            <a:ext cx="1300" cy="360000"/>
                          </a:xfrm>
                          <a:prstGeom prst="straightConnector1">
                            <a:avLst/>
                          </a:prstGeom>
                          <a:ln w="9525" cap="flat" cmpd="sng">
                            <a:solidFill>
                              <a:srgbClr val="000000"/>
                            </a:solidFill>
                            <a:prstDash val="solid"/>
                            <a:headEnd type="none" w="med" len="med"/>
                            <a:tailEnd type="triangle" w="sm" len="med"/>
                          </a:ln>
                        </wps:spPr>
                        <wps:bodyPr/>
                      </wps:wsp>
                      <wps:wsp>
                        <wps:cNvPr id="38" name="文本框 2995"/>
                        <wps:cNvSpPr txBox="1"/>
                        <wps:spPr>
                          <a:xfrm>
                            <a:off x="1447803" y="5359407"/>
                            <a:ext cx="2466905" cy="47620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17C0B85">
                              <w:pPr>
                                <w:jc w:val="left"/>
                                <w:rPr>
                                  <w:rFonts w:eastAsia="黑体"/>
                                  <w:sz w:val="18"/>
                                  <w:szCs w:val="18"/>
                                </w:rPr>
                              </w:pPr>
                              <w:r>
                                <w:rPr>
                                  <w:rFonts w:eastAsia="黑体"/>
                                  <w:sz w:val="18"/>
                                  <w:szCs w:val="18"/>
                                </w:rPr>
                                <w:t>1</w:t>
                              </w:r>
                              <w:r>
                                <w:rPr>
                                  <w:rFonts w:hAnsi="黑体" w:eastAsia="黑体"/>
                                  <w:sz w:val="18"/>
                                  <w:szCs w:val="18"/>
                                </w:rPr>
                                <w:t>、各环境要素环境影响预测与评价</w:t>
                              </w:r>
                            </w:p>
                            <w:p w14:paraId="052541C6">
                              <w:pPr>
                                <w:jc w:val="left"/>
                                <w:rPr>
                                  <w:rFonts w:eastAsia="黑体"/>
                                  <w:sz w:val="18"/>
                                  <w:szCs w:val="18"/>
                                </w:rPr>
                              </w:pPr>
                              <w:r>
                                <w:rPr>
                                  <w:rFonts w:eastAsia="黑体"/>
                                  <w:sz w:val="18"/>
                                  <w:szCs w:val="18"/>
                                </w:rPr>
                                <w:t>2</w:t>
                              </w:r>
                              <w:r>
                                <w:rPr>
                                  <w:rFonts w:hAnsi="黑体" w:eastAsia="黑体"/>
                                  <w:sz w:val="18"/>
                                  <w:szCs w:val="18"/>
                                </w:rPr>
                                <w:t>、各专题环境影响分析与评价</w:t>
                              </w:r>
                            </w:p>
                            <w:p w14:paraId="36573ED9">
                              <w:pPr>
                                <w:jc w:val="left"/>
                                <w:rPr>
                                  <w:rFonts w:eastAsia="黑体"/>
                                  <w:sz w:val="18"/>
                                  <w:szCs w:val="18"/>
                                </w:rPr>
                              </w:pPr>
                            </w:p>
                          </w:txbxContent>
                        </wps:txbx>
                        <wps:bodyPr upright="1"/>
                      </wps:wsp>
                      <wps:wsp>
                        <wps:cNvPr id="39" name="自选图形 2996"/>
                        <wps:cNvCnPr/>
                        <wps:spPr>
                          <a:xfrm>
                            <a:off x="2672705" y="5835607"/>
                            <a:ext cx="1200" cy="360000"/>
                          </a:xfrm>
                          <a:prstGeom prst="straightConnector1">
                            <a:avLst/>
                          </a:prstGeom>
                          <a:ln w="9525" cap="flat" cmpd="sng">
                            <a:solidFill>
                              <a:srgbClr val="000000"/>
                            </a:solidFill>
                            <a:prstDash val="solid"/>
                            <a:headEnd type="none" w="med" len="med"/>
                            <a:tailEnd type="triangle" w="sm" len="med"/>
                          </a:ln>
                        </wps:spPr>
                        <wps:bodyPr/>
                      </wps:wsp>
                      <wps:wsp>
                        <wps:cNvPr id="40" name="文本框 2997"/>
                        <wps:cNvSpPr txBox="1"/>
                        <wps:spPr>
                          <a:xfrm>
                            <a:off x="1344203" y="6206408"/>
                            <a:ext cx="2637805" cy="66740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C9A812C">
                              <w:pPr>
                                <w:jc w:val="left"/>
                                <w:rPr>
                                  <w:rFonts w:eastAsia="黑体"/>
                                  <w:sz w:val="18"/>
                                  <w:szCs w:val="18"/>
                                </w:rPr>
                              </w:pPr>
                              <w:r>
                                <w:rPr>
                                  <w:rFonts w:eastAsia="黑体"/>
                                  <w:sz w:val="18"/>
                                  <w:szCs w:val="18"/>
                                </w:rPr>
                                <w:t>1</w:t>
                              </w:r>
                              <w:r>
                                <w:rPr>
                                  <w:rFonts w:hAnsi="黑体" w:eastAsia="黑体"/>
                                  <w:sz w:val="18"/>
                                  <w:szCs w:val="18"/>
                                </w:rPr>
                                <w:t>、提出环境保护措施，进行技术经济论证</w:t>
                              </w:r>
                            </w:p>
                            <w:p w14:paraId="4A3FB4DE">
                              <w:pPr>
                                <w:jc w:val="left"/>
                                <w:rPr>
                                  <w:rFonts w:eastAsia="黑体"/>
                                  <w:sz w:val="18"/>
                                  <w:szCs w:val="18"/>
                                </w:rPr>
                              </w:pPr>
                              <w:r>
                                <w:rPr>
                                  <w:rFonts w:eastAsia="黑体"/>
                                  <w:sz w:val="18"/>
                                  <w:szCs w:val="18"/>
                                </w:rPr>
                                <w:t>2</w:t>
                              </w:r>
                              <w:r>
                                <w:rPr>
                                  <w:rFonts w:hAnsi="黑体" w:eastAsia="黑体"/>
                                  <w:sz w:val="18"/>
                                  <w:szCs w:val="18"/>
                                </w:rPr>
                                <w:t>、给出污染物排放清单</w:t>
                              </w:r>
                            </w:p>
                            <w:p w14:paraId="3DC4AB79">
                              <w:pPr>
                                <w:jc w:val="left"/>
                                <w:rPr>
                                  <w:rFonts w:eastAsia="黑体"/>
                                  <w:sz w:val="18"/>
                                  <w:szCs w:val="18"/>
                                </w:rPr>
                              </w:pPr>
                              <w:r>
                                <w:rPr>
                                  <w:rFonts w:eastAsia="黑体"/>
                                  <w:sz w:val="18"/>
                                  <w:szCs w:val="18"/>
                                </w:rPr>
                                <w:t>3</w:t>
                              </w:r>
                              <w:r>
                                <w:rPr>
                                  <w:rFonts w:hAnsi="黑体" w:eastAsia="黑体"/>
                                  <w:sz w:val="18"/>
                                  <w:szCs w:val="18"/>
                                </w:rPr>
                                <w:t>、给出建设项目环境影响评价结论</w:t>
                              </w:r>
                            </w:p>
                          </w:txbxContent>
                        </wps:txbx>
                        <wps:bodyPr upright="1"/>
                      </wps:wsp>
                      <wps:wsp>
                        <wps:cNvPr id="42" name="自选图形 2998"/>
                        <wps:cNvCnPr/>
                        <wps:spPr>
                          <a:xfrm>
                            <a:off x="2670805" y="6873809"/>
                            <a:ext cx="1200" cy="360100"/>
                          </a:xfrm>
                          <a:prstGeom prst="straightConnector1">
                            <a:avLst/>
                          </a:prstGeom>
                          <a:ln w="9525" cap="flat" cmpd="sng">
                            <a:solidFill>
                              <a:srgbClr val="000000"/>
                            </a:solidFill>
                            <a:prstDash val="solid"/>
                            <a:headEnd type="none" w="med" len="med"/>
                            <a:tailEnd type="triangle" w="sm" len="med"/>
                          </a:ln>
                        </wps:spPr>
                        <wps:bodyPr/>
                      </wps:wsp>
                      <wps:wsp>
                        <wps:cNvPr id="43" name="文本框 2999"/>
                        <wps:cNvSpPr txBox="1"/>
                        <wps:spPr>
                          <a:xfrm>
                            <a:off x="1886504" y="7248509"/>
                            <a:ext cx="1561503" cy="3143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6C343D2">
                              <w:pPr>
                                <w:jc w:val="center"/>
                                <w:rPr>
                                  <w:rFonts w:eastAsia="黑体"/>
                                  <w:sz w:val="18"/>
                                  <w:szCs w:val="18"/>
                                </w:rPr>
                              </w:pPr>
                              <w:r>
                                <w:rPr>
                                  <w:rFonts w:hAnsi="黑体" w:eastAsia="黑体"/>
                                  <w:sz w:val="18"/>
                                  <w:szCs w:val="18"/>
                                </w:rPr>
                                <w:t>编制环境影响报告书</w:t>
                              </w:r>
                            </w:p>
                          </w:txbxContent>
                        </wps:txbx>
                        <wps:bodyPr upright="1"/>
                      </wps:wsp>
                      <wps:wsp>
                        <wps:cNvPr id="44" name="矩形 3000"/>
                        <wps:cNvSpPr/>
                        <wps:spPr>
                          <a:xfrm>
                            <a:off x="180900" y="187300"/>
                            <a:ext cx="4934009" cy="3372504"/>
                          </a:xfrm>
                          <a:prstGeom prst="rect">
                            <a:avLst/>
                          </a:prstGeom>
                          <a:noFill/>
                          <a:ln w="9525" cap="flat" cmpd="sng">
                            <a:solidFill>
                              <a:srgbClr val="000000"/>
                            </a:solidFill>
                            <a:prstDash val="dash"/>
                            <a:miter/>
                            <a:headEnd type="none" w="med" len="med"/>
                            <a:tailEnd type="none" w="med" len="med"/>
                          </a:ln>
                        </wps:spPr>
                        <wps:bodyPr upright="1"/>
                      </wps:wsp>
                      <wps:wsp>
                        <wps:cNvPr id="45" name="矩形 3001"/>
                        <wps:cNvSpPr/>
                        <wps:spPr>
                          <a:xfrm>
                            <a:off x="180900" y="3559805"/>
                            <a:ext cx="4934009" cy="2428803"/>
                          </a:xfrm>
                          <a:prstGeom prst="rect">
                            <a:avLst/>
                          </a:prstGeom>
                          <a:noFill/>
                          <a:ln w="9525" cap="flat" cmpd="sng">
                            <a:solidFill>
                              <a:srgbClr val="000000"/>
                            </a:solidFill>
                            <a:prstDash val="dash"/>
                            <a:miter/>
                            <a:headEnd type="none" w="med" len="med"/>
                            <a:tailEnd type="none" w="med" len="med"/>
                          </a:ln>
                        </wps:spPr>
                        <wps:bodyPr upright="1"/>
                      </wps:wsp>
                      <wps:wsp>
                        <wps:cNvPr id="46" name="矩形 3002"/>
                        <wps:cNvSpPr/>
                        <wps:spPr>
                          <a:xfrm>
                            <a:off x="180900" y="5988608"/>
                            <a:ext cx="4934009" cy="1726602"/>
                          </a:xfrm>
                          <a:prstGeom prst="rect">
                            <a:avLst/>
                          </a:prstGeom>
                          <a:noFill/>
                          <a:ln w="9525" cap="flat" cmpd="sng">
                            <a:solidFill>
                              <a:srgbClr val="000000"/>
                            </a:solidFill>
                            <a:prstDash val="dash"/>
                            <a:miter/>
                            <a:headEnd type="none" w="med" len="med"/>
                            <a:tailEnd type="none" w="med" len="med"/>
                          </a:ln>
                        </wps:spPr>
                        <wps:bodyPr upright="1"/>
                      </wps:wsp>
                      <wps:wsp>
                        <wps:cNvPr id="47" name="文本框 3003"/>
                        <wps:cNvSpPr txBox="1"/>
                        <wps:spPr>
                          <a:xfrm>
                            <a:off x="372101" y="1301702"/>
                            <a:ext cx="380301" cy="946201"/>
                          </a:xfrm>
                          <a:prstGeom prst="rect">
                            <a:avLst/>
                          </a:prstGeom>
                          <a:solidFill>
                            <a:srgbClr val="FFFFFF"/>
                          </a:solidFill>
                          <a:ln>
                            <a:noFill/>
                          </a:ln>
                        </wps:spPr>
                        <wps:txbx>
                          <w:txbxContent>
                            <w:p w14:paraId="6359FEF2">
                              <w:pPr>
                                <w:jc w:val="center"/>
                                <w:rPr>
                                  <w:rFonts w:eastAsia="黑体"/>
                                  <w:sz w:val="21"/>
                                  <w:szCs w:val="21"/>
                                </w:rPr>
                              </w:pPr>
                              <w:r>
                                <w:rPr>
                                  <w:rFonts w:hAnsi="黑体" w:eastAsia="黑体"/>
                                  <w:sz w:val="21"/>
                                  <w:szCs w:val="21"/>
                                </w:rPr>
                                <w:t>第一阶段</w:t>
                              </w:r>
                            </w:p>
                          </w:txbxContent>
                        </wps:txbx>
                        <wps:bodyPr upright="1"/>
                      </wps:wsp>
                      <wps:wsp>
                        <wps:cNvPr id="48" name="文本框 3004"/>
                        <wps:cNvSpPr txBox="1"/>
                        <wps:spPr>
                          <a:xfrm>
                            <a:off x="467301" y="4340206"/>
                            <a:ext cx="380401" cy="946101"/>
                          </a:xfrm>
                          <a:prstGeom prst="rect">
                            <a:avLst/>
                          </a:prstGeom>
                          <a:solidFill>
                            <a:srgbClr val="FFFFFF"/>
                          </a:solidFill>
                          <a:ln>
                            <a:noFill/>
                          </a:ln>
                        </wps:spPr>
                        <wps:txbx>
                          <w:txbxContent>
                            <w:p w14:paraId="28F90C6C">
                              <w:pPr>
                                <w:jc w:val="center"/>
                                <w:rPr>
                                  <w:rFonts w:eastAsia="黑体"/>
                                  <w:sz w:val="21"/>
                                  <w:szCs w:val="21"/>
                                </w:rPr>
                              </w:pPr>
                              <w:r>
                                <w:rPr>
                                  <w:rFonts w:hAnsi="黑体" w:eastAsia="黑体"/>
                                  <w:sz w:val="21"/>
                                  <w:szCs w:val="21"/>
                                </w:rPr>
                                <w:t>第二阶段</w:t>
                              </w:r>
                            </w:p>
                          </w:txbxContent>
                        </wps:txbx>
                        <wps:bodyPr upright="1"/>
                      </wps:wsp>
                      <wps:wsp>
                        <wps:cNvPr id="49" name="文本框 3005"/>
                        <wps:cNvSpPr txBox="1"/>
                        <wps:spPr>
                          <a:xfrm>
                            <a:off x="467301" y="6397608"/>
                            <a:ext cx="380401" cy="946101"/>
                          </a:xfrm>
                          <a:prstGeom prst="rect">
                            <a:avLst/>
                          </a:prstGeom>
                          <a:solidFill>
                            <a:srgbClr val="FFFFFF"/>
                          </a:solidFill>
                          <a:ln>
                            <a:noFill/>
                          </a:ln>
                        </wps:spPr>
                        <wps:txbx>
                          <w:txbxContent>
                            <w:p w14:paraId="5B4FE06D">
                              <w:pPr>
                                <w:jc w:val="center"/>
                                <w:rPr>
                                  <w:rFonts w:eastAsia="黑体"/>
                                  <w:sz w:val="21"/>
                                  <w:szCs w:val="21"/>
                                </w:rPr>
                              </w:pPr>
                              <w:r>
                                <w:rPr>
                                  <w:rFonts w:hAnsi="黑体" w:eastAsia="黑体"/>
                                  <w:sz w:val="21"/>
                                  <w:szCs w:val="21"/>
                                </w:rPr>
                                <w:t>第三阶段</w:t>
                              </w:r>
                            </w:p>
                          </w:txbxContent>
                        </wps:txbx>
                        <wps:bodyPr upright="1"/>
                      </wps:wsp>
                    </wpc:wpc>
                  </a:graphicData>
                </a:graphic>
              </wp:inline>
            </w:drawing>
          </mc:Choice>
          <mc:Fallback>
            <w:pict>
              <v:group id="画布 2976" o:spid="_x0000_s1026" o:spt="203" style="height:619.3pt;width:415.3pt;" coordsize="5274310,7865110" editas="canvas" o:gfxdata="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">
                <o:lock v:ext="edit" aspectratio="f"/>
                <v:shape id="画布 2976" o:spid="_x0000_s1026" style="position:absolute;left:0;top:0;height:7865110;width:5274310;" filled="f" stroked="f" coordsize="21600,21600" o:gfxdata="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">
                  <v:fill on="f" focussize="0,0"/>
                  <v:stroke on="f"/>
                  <v:imagedata o:title=""/>
                  <o:lock v:ext="edit" aspectratio="t"/>
                </v:shape>
                <v:shape id="文本框 2978" o:spid="_x0000_s1026" o:spt="202" type="#_x0000_t202" style="position:absolute;left:1323903;top:282500;height:333400;width:2695605;" fillcolor="#FFFFFF" filled="t" stroked="t" coordsize="21600,21600" o:gfxdata="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gAY0wtYAAAAGAQAADwAA&#10;AAAAAAABACAAAAAiAAAAZHJzL2Rvd25yZXYueG1sUEsBAhQAFAAAAAgAh07iQNxiFAUYAgAARQQA&#10;AA4AAAAAAAAAAQAgAAAAJQEAAGRycy9lMm9Eb2MueG1sUEsFBgAAAAAGAAYAWQEAAK8FAAAAAA==&#10;">
                  <v:fill on="t" focussize="0,0"/>
                  <v:stroke color="#000000" joinstyle="miter"/>
                  <v:imagedata o:title=""/>
                  <o:lock v:ext="edit" aspectratio="f"/>
                  <v:textbox>
                    <w:txbxContent>
                      <w:p w14:paraId="6AD5A53F">
                        <w:pPr>
                          <w:jc w:val="center"/>
                          <w:rPr>
                            <w:rFonts w:eastAsia="黑体"/>
                            <w:sz w:val="18"/>
                            <w:szCs w:val="18"/>
                          </w:rPr>
                        </w:pPr>
                        <w:r>
                          <w:rPr>
                            <w:rFonts w:hAnsi="黑体" w:eastAsia="黑体"/>
                            <w:sz w:val="18"/>
                            <w:szCs w:val="18"/>
                          </w:rPr>
                          <w:t>依据相关规定确定环境影响评价文件类型</w:t>
                        </w:r>
                      </w:p>
                    </w:txbxContent>
                  </v:textbox>
                </v:shape>
                <v:shape id="自选图形 2979" o:spid="_x0000_s1026" o:spt="32" type="#_x0000_t32" style="position:absolute;left:2672005;top:615901;height:360000;width:1300;" filled="f" stroked="t" coordsize="21600,21600" o:gfxdata="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v0z2o1gAAAAYBAAAPAAAAAAAAAAEAIAAA&#10;ACIAAABkcnMvZG93bnJldi54bWxQSwECFAAUAAAACACHTuJAsfP4MA4CAAD3AwAADgAAAAAAAAAB&#10;ACAAAAAlAQAAZHJzL2Uyb0RvYy54bWxQSwUGAAAAAAYABgBZAQAApQUAAAAA&#10;">
                  <v:fill on="f" focussize="0,0"/>
                  <v:stroke color="#000000" joinstyle="round" endarrow="block" endarrowwidth="narrow"/>
                  <v:imagedata o:title=""/>
                  <o:lock v:ext="edit" aspectratio="f"/>
                </v:shape>
                <v:shape id="文本框 2980" o:spid="_x0000_s1026" o:spt="202" type="#_x0000_t202" style="position:absolute;left:1428703;top:968301;height:695401;width:2467005;" fillcolor="#FFFFFF" filled="t" stroked="t" coordsize="21600,21600" o:gfxdata="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AGNMLWAAAABgEAAA8A&#10;AAAAAAAAAQAgAAAAIgAAAGRycy9kb3ducmV2LnhtbFBLAQIUABQAAAAIAIdO4kCH+Qp5GQIAAEUE&#10;AAAOAAAAAAAAAAEAIAAAACUBAABkcnMvZTJvRG9jLnhtbFBLBQYAAAAABgAGAFkBAACwBQAAAAA=&#10;">
                  <v:fill on="t" focussize="0,0"/>
                  <v:stroke color="#000000" joinstyle="miter"/>
                  <v:imagedata o:title=""/>
                  <o:lock v:ext="edit" aspectratio="f"/>
                  <v:textbox>
                    <w:txbxContent>
                      <w:p w14:paraId="26635F73">
                        <w:pPr>
                          <w:jc w:val="left"/>
                          <w:rPr>
                            <w:rFonts w:eastAsia="黑体"/>
                            <w:sz w:val="18"/>
                            <w:szCs w:val="18"/>
                          </w:rPr>
                        </w:pPr>
                        <w:r>
                          <w:rPr>
                            <w:rFonts w:eastAsia="黑体"/>
                            <w:sz w:val="18"/>
                            <w:szCs w:val="18"/>
                          </w:rPr>
                          <w:t>1</w:t>
                        </w:r>
                        <w:r>
                          <w:rPr>
                            <w:rFonts w:hAnsi="黑体" w:eastAsia="黑体"/>
                            <w:sz w:val="18"/>
                            <w:szCs w:val="18"/>
                          </w:rPr>
                          <w:t>、研究相关技术文件和其他有关文件</w:t>
                        </w:r>
                      </w:p>
                      <w:p w14:paraId="02ADBE38">
                        <w:pPr>
                          <w:jc w:val="left"/>
                          <w:rPr>
                            <w:rFonts w:eastAsia="黑体"/>
                            <w:sz w:val="18"/>
                            <w:szCs w:val="18"/>
                          </w:rPr>
                        </w:pPr>
                        <w:r>
                          <w:rPr>
                            <w:rFonts w:eastAsia="黑体"/>
                            <w:sz w:val="18"/>
                            <w:szCs w:val="18"/>
                          </w:rPr>
                          <w:t>2</w:t>
                        </w:r>
                        <w:r>
                          <w:rPr>
                            <w:rFonts w:hAnsi="黑体" w:eastAsia="黑体"/>
                            <w:sz w:val="18"/>
                            <w:szCs w:val="18"/>
                          </w:rPr>
                          <w:t>、进行初步工程分析</w:t>
                        </w:r>
                      </w:p>
                      <w:p w14:paraId="61929F95">
                        <w:pPr>
                          <w:jc w:val="left"/>
                          <w:rPr>
                            <w:rFonts w:eastAsia="黑体"/>
                            <w:sz w:val="18"/>
                            <w:szCs w:val="18"/>
                          </w:rPr>
                        </w:pPr>
                        <w:r>
                          <w:rPr>
                            <w:rFonts w:eastAsia="黑体"/>
                            <w:sz w:val="18"/>
                            <w:szCs w:val="18"/>
                          </w:rPr>
                          <w:t>3</w:t>
                        </w:r>
                        <w:r>
                          <w:rPr>
                            <w:rFonts w:hAnsi="黑体" w:eastAsia="黑体"/>
                            <w:sz w:val="18"/>
                            <w:szCs w:val="18"/>
                          </w:rPr>
                          <w:t>、开展初步的环境现状调查</w:t>
                        </w:r>
                      </w:p>
                    </w:txbxContent>
                  </v:textbox>
                </v:shape>
                <v:shape id="自选图形 2981" o:spid="_x0000_s1026" o:spt="32" type="#_x0000_t32" style="position:absolute;left:2673305;top:1654102;height:360100;width:1300;" filled="f" stroked="t" coordsize="21600,21600" o:gfxdata="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v0z2o1gAAAAYBAAAPAAAAAAAAAAEA&#10;IAAAACIAAABkcnMvZG93bnJldi54bWxQSwECFAAUAAAACACHTuJA/l4/lRECAAD4AwAADgAAAAAA&#10;AAABACAAAAAlAQAAZHJzL2Uyb0RvYy54bWxQSwUGAAAAAAYABgBZAQAAqAUAAAAA&#10;">
                  <v:fill on="f" focussize="0,0"/>
                  <v:stroke color="#000000" joinstyle="round" endarrow="block" endarrowwidth="narrow"/>
                  <v:imagedata o:title=""/>
                  <o:lock v:ext="edit" aspectratio="f"/>
                </v:shape>
                <v:shape id="文本框 2982" o:spid="_x0000_s1026" o:spt="202" type="#_x0000_t202" style="position:absolute;left:1438203;top:2016103;height:695301;width:2467005;" fillcolor="#FFFFFF" filled="t" stroked="t" coordsize="21600,21600" o:gfxdata="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AGNMLWAAAABgEAAA8A&#10;AAAAAAAAAQAgAAAAIgAAAGRycy9kb3ducmV2LnhtbFBLAQIUABQAAAAIAIdO4kA9wwldGQIAAEYE&#10;AAAOAAAAAAAAAAEAIAAAACUBAABkcnMvZTJvRG9jLnhtbFBLBQYAAAAABgAGAFkBAACwBQAAAAA=&#10;">
                  <v:fill on="t" focussize="0,0"/>
                  <v:stroke color="#000000" joinstyle="miter"/>
                  <v:imagedata o:title=""/>
                  <o:lock v:ext="edit" aspectratio="f"/>
                  <v:textbox>
                    <w:txbxContent>
                      <w:p w14:paraId="29E80BC7">
                        <w:pPr>
                          <w:jc w:val="left"/>
                          <w:rPr>
                            <w:rFonts w:eastAsia="黑体"/>
                            <w:sz w:val="18"/>
                            <w:szCs w:val="18"/>
                          </w:rPr>
                        </w:pPr>
                        <w:r>
                          <w:rPr>
                            <w:rFonts w:eastAsia="黑体"/>
                            <w:sz w:val="18"/>
                            <w:szCs w:val="18"/>
                          </w:rPr>
                          <w:t>1</w:t>
                        </w:r>
                        <w:r>
                          <w:rPr>
                            <w:rFonts w:hAnsi="黑体" w:eastAsia="黑体"/>
                            <w:sz w:val="18"/>
                            <w:szCs w:val="18"/>
                          </w:rPr>
                          <w:t>、环境影响识别和评价因子筛选</w:t>
                        </w:r>
                      </w:p>
                      <w:p w14:paraId="0D6F244E">
                        <w:pPr>
                          <w:jc w:val="left"/>
                          <w:rPr>
                            <w:rFonts w:eastAsia="黑体"/>
                            <w:sz w:val="18"/>
                            <w:szCs w:val="18"/>
                          </w:rPr>
                        </w:pPr>
                        <w:r>
                          <w:rPr>
                            <w:rFonts w:eastAsia="黑体"/>
                            <w:sz w:val="18"/>
                            <w:szCs w:val="18"/>
                          </w:rPr>
                          <w:t>2</w:t>
                        </w:r>
                        <w:r>
                          <w:rPr>
                            <w:rFonts w:hAnsi="黑体" w:eastAsia="黑体"/>
                            <w:sz w:val="18"/>
                            <w:szCs w:val="18"/>
                          </w:rPr>
                          <w:t>、明确评价重点和环境保护目标</w:t>
                        </w:r>
                      </w:p>
                      <w:p w14:paraId="0B7BC8C3">
                        <w:pPr>
                          <w:jc w:val="left"/>
                          <w:rPr>
                            <w:rFonts w:eastAsia="黑体"/>
                            <w:sz w:val="18"/>
                            <w:szCs w:val="18"/>
                          </w:rPr>
                        </w:pPr>
                        <w:r>
                          <w:rPr>
                            <w:rFonts w:eastAsia="黑体"/>
                            <w:sz w:val="18"/>
                            <w:szCs w:val="18"/>
                          </w:rPr>
                          <w:t>3</w:t>
                        </w:r>
                        <w:r>
                          <w:rPr>
                            <w:rFonts w:hAnsi="黑体" w:eastAsia="黑体"/>
                            <w:sz w:val="18"/>
                            <w:szCs w:val="18"/>
                          </w:rPr>
                          <w:t>、确定工作等级、评价范围和评价标准</w:t>
                        </w:r>
                      </w:p>
                    </w:txbxContent>
                  </v:textbox>
                </v:shape>
                <v:shape id="自选图形 2983" o:spid="_x0000_s1026" o:spt="32" type="#_x0000_t32" style="position:absolute;left:2674605;top:2720903;height:360100;width:1200;" filled="f" stroked="t" coordsize="21600,21600" o:gfxdata="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L9M9qNYAAAAGAQAADwAAAAAAAAAB&#10;ACAAAAAiAAAAZHJzL2Rvd25yZXYueG1sUEsBAhQAFAAAAAgAh07iQE6uYe4SAgAA+AMAAA4AAAAA&#10;AAAAAQAgAAAAJQEAAGRycy9lMm9Eb2MueG1sUEsFBgAAAAAGAAYAWQEAAKkFAAAAAA==&#10;">
                  <v:fill on="f" focussize="0,0"/>
                  <v:stroke color="#000000" joinstyle="round" endarrow="block" endarrowwidth="narrow"/>
                  <v:imagedata o:title=""/>
                  <o:lock v:ext="edit" aspectratio="f"/>
                </v:shape>
                <v:shape id="文本框 2984" o:spid="_x0000_s1026" o:spt="202" type="#_x0000_t202" style="position:absolute;left:1991304;top:3082904;height:314300;width:1381103;" fillcolor="#FFFFFF" filled="t" stroked="t" coordsize="21600,21600" o:gfxdata="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AGNMLWAAAABgEAAA8A&#10;AAAAAAAAAQAgAAAAIgAAAGRycy9kb3ducmV2LnhtbFBLAQIUABQAAAAIAIdO4kARGTxdGQIAAEYE&#10;AAAOAAAAAAAAAAEAIAAAACUBAABkcnMvZTJvRG9jLnhtbFBLBQYAAAAABgAGAFkBAACwBQAAAAA=&#10;">
                  <v:fill on="t" focussize="0,0"/>
                  <v:stroke color="#000000" joinstyle="miter"/>
                  <v:imagedata o:title=""/>
                  <o:lock v:ext="edit" aspectratio="f"/>
                  <v:textbox>
                    <w:txbxContent>
                      <w:p w14:paraId="200A9EF3">
                        <w:pPr>
                          <w:jc w:val="center"/>
                          <w:rPr>
                            <w:rFonts w:eastAsia="黑体"/>
                            <w:sz w:val="18"/>
                            <w:szCs w:val="18"/>
                          </w:rPr>
                        </w:pPr>
                        <w:r>
                          <w:rPr>
                            <w:rFonts w:hAnsi="黑体" w:eastAsia="黑体"/>
                            <w:sz w:val="18"/>
                            <w:szCs w:val="18"/>
                          </w:rPr>
                          <w:t>制定工作方案</w:t>
                        </w:r>
                      </w:p>
                    </w:txbxContent>
                  </v:textbox>
                </v:shape>
                <v:shape id="自选图形 2985" o:spid="_x0000_s1026" o:spt="32" type="#_x0000_t32" style="position:absolute;left:2680905;top:3397204;height:360000;width:1300;" filled="f" stroked="t" coordsize="21600,21600" o:gfxdata="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v0z2o1gAAAAYBAAAPAAAAAAAAAAEAIAAA&#10;ACIAAABkcnMvZG93bnJldi54bWxQSwECFAAUAAAACACHTuJA4kfC1w4CAAD4AwAADgAAAAAAAAAB&#10;ACAAAAAlAQAAZHJzL2Uyb0RvYy54bWxQSwUGAAAAAAYABgBZAQAApQUAAAAA&#10;">
                  <v:fill on="f" focussize="0,0"/>
                  <v:stroke color="#000000" joinstyle="round" endarrow="block" endarrowwidth="narrow"/>
                  <v:imagedata o:title=""/>
                  <o:lock v:ext="edit" aspectratio="f"/>
                </v:shape>
                <v:shape id="自选图形 2986" o:spid="_x0000_s1026" o:spt="32" type="#_x0000_t32" style="position:absolute;left:1830003;top:3768705;height:600;width:1724003;" filled="f" stroked="t" coordsize="21600,21600" o:gfxdata="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o5NRm9UAAAAGAQAADwAAAAAAAAABACAAAAAiAAAAZHJz&#10;L2Rvd25yZXYueG1sUEsBAhQAFAAAAAgAh07iQMUr6y0HAgAA9QMAAA4AAAAAAAAAAQAgAAAAJAEA&#10;AGRycy9lMm9Eb2MueG1sUEsFBgAAAAAGAAYAWQEAAJ0FAAAAAA==&#10;">
                  <v:fill on="f" focussize="0,0"/>
                  <v:stroke color="#000000" joinstyle="round"/>
                  <v:imagedata o:title=""/>
                  <o:lock v:ext="edit" aspectratio="f"/>
                </v:shape>
                <v:shape id="自选图形 2987" o:spid="_x0000_s1026" o:spt="32" type="#_x0000_t32" style="position:absolute;left:1830003;top:3769305;height:360100;width:1300;" filled="f" stroked="t" coordsize="21600,21600" o:gfxdata="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TPajWAAAABgEAAA8AAAAAAAAAAQAg&#10;AAAAIgAAAGRycy9kb3ducmV2LnhtbFBLAQIUABQAAAAIAIdO4kDYB+3NEAIAAPgDAAAOAAAAAAAA&#10;AAEAIAAAACUBAABkcnMvZTJvRG9jLnhtbFBLBQYAAAAABgAGAFkBAACnBQAAAAA=&#10;">
                  <v:fill on="f" focussize="0,0"/>
                  <v:stroke color="#000000" joinstyle="round" endarrow="block" endarrowwidth="narrow"/>
                  <v:imagedata o:title=""/>
                  <o:lock v:ext="edit" aspectratio="f"/>
                </v:shape>
                <v:shape id="自选图形 2988" o:spid="_x0000_s1026" o:spt="32" type="#_x0000_t32" style="position:absolute;left:3554007;top:3768705;height:360000;width:1300;" filled="f" stroked="t" coordsize="21600,21600" o:gfxdata="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L9M9qNYAAAAGAQAADwAAAAAAAAABACAA&#10;AAAiAAAAZHJzL2Rvd25yZXYueG1sUEsBAhQAFAAAAAgAh07iQG/y2OMPAgAA+AMAAA4AAAAAAAAA&#10;AQAgAAAAJQEAAGRycy9lMm9Eb2MueG1sUEsFBgAAAAAGAAYAWQEAAKYFAAAAAA==&#10;">
                  <v:fill on="f" focussize="0,0"/>
                  <v:stroke color="#000000" joinstyle="round" endarrow="block" endarrowwidth="narrow"/>
                  <v:imagedata o:title=""/>
                  <o:lock v:ext="edit" aspectratio="f"/>
                </v:shape>
                <v:shape id="文本框 2989" o:spid="_x0000_s1026" o:spt="202" type="#_x0000_t202" style="position:absolute;left:1295402;top:4130605;height:504901;width:1066802;" fillcolor="#FFFFFF" filled="t" stroked="t" coordsize="21600,21600" o:gfxdata="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gAY0wtYAAAAGAQAADwAA&#10;AAAAAAABACAAAAAiAAAAZHJzL2Rvd25yZXYueG1sUEsBAhQAFAAAAAgAh07iQGMAll8YAgAARgQA&#10;AA4AAAAAAAAAAQAgAAAAJQEAAGRycy9lMm9Eb2MueG1sUEsFBgAAAAAGAAYAWQEAAK8FAAAAAA==&#10;">
                  <v:fill on="t" focussize="0,0"/>
                  <v:stroke color="#000000" joinstyle="miter"/>
                  <v:imagedata o:title=""/>
                  <o:lock v:ext="edit" aspectratio="f"/>
                  <v:textbox>
                    <w:txbxContent>
                      <w:p w14:paraId="0777D7E0">
                        <w:pPr>
                          <w:jc w:val="center"/>
                          <w:rPr>
                            <w:rFonts w:eastAsia="黑体"/>
                            <w:sz w:val="18"/>
                            <w:szCs w:val="18"/>
                          </w:rPr>
                        </w:pPr>
                        <w:r>
                          <w:rPr>
                            <w:rFonts w:hAnsi="黑体" w:eastAsia="黑体"/>
                            <w:sz w:val="18"/>
                            <w:szCs w:val="18"/>
                          </w:rPr>
                          <w:t>环境现状调查</w:t>
                        </w:r>
                      </w:p>
                      <w:p w14:paraId="7FAD0BD8">
                        <w:pPr>
                          <w:jc w:val="center"/>
                          <w:rPr>
                            <w:rFonts w:eastAsia="黑体"/>
                            <w:sz w:val="18"/>
                            <w:szCs w:val="18"/>
                          </w:rPr>
                        </w:pPr>
                        <w:r>
                          <w:rPr>
                            <w:rFonts w:hAnsi="黑体" w:eastAsia="黑体"/>
                            <w:sz w:val="18"/>
                            <w:szCs w:val="18"/>
                          </w:rPr>
                          <w:t>监测与评价</w:t>
                        </w:r>
                      </w:p>
                    </w:txbxContent>
                  </v:textbox>
                </v:shape>
                <v:shape id="文本框 2990" o:spid="_x0000_s1026" o:spt="202" type="#_x0000_t202" style="position:absolute;left:3020006;top:4130605;height:504901;width:1066802;" fillcolor="#FFFFFF" filled="t" stroked="t" coordsize="21600,21600" o:gfxdata="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ABjTC1gAAAAYBAAAP&#10;AAAAAAAAAAEAIAAAACIAAABkcnMvZG93bnJldi54bWxQSwECFAAUAAAACACHTuJA/y4ZDhoCAABG&#10;BAAADgAAAAAAAAABACAAAAAlAQAAZHJzL2Uyb0RvYy54bWxQSwUGAAAAAAYABgBZAQAAsQUAAAAA&#10;">
                  <v:fill on="t" focussize="0,0"/>
                  <v:stroke color="#000000" joinstyle="miter"/>
                  <v:imagedata o:title=""/>
                  <o:lock v:ext="edit" aspectratio="f"/>
                  <v:textbox>
                    <w:txbxContent>
                      <w:p w14:paraId="333C1728">
                        <w:pPr>
                          <w:jc w:val="center"/>
                          <w:rPr>
                            <w:rFonts w:eastAsia="黑体"/>
                            <w:sz w:val="18"/>
                            <w:szCs w:val="18"/>
                          </w:rPr>
                        </w:pPr>
                        <w:r>
                          <w:rPr>
                            <w:rFonts w:hAnsi="黑体" w:eastAsia="黑体"/>
                            <w:sz w:val="18"/>
                            <w:szCs w:val="18"/>
                          </w:rPr>
                          <w:t>建设项目</w:t>
                        </w:r>
                      </w:p>
                      <w:p w14:paraId="047C4F74">
                        <w:pPr>
                          <w:jc w:val="center"/>
                          <w:rPr>
                            <w:rFonts w:eastAsia="黑体"/>
                            <w:sz w:val="18"/>
                            <w:szCs w:val="18"/>
                          </w:rPr>
                        </w:pPr>
                        <w:r>
                          <w:rPr>
                            <w:rFonts w:hAnsi="黑体" w:eastAsia="黑体"/>
                            <w:sz w:val="18"/>
                            <w:szCs w:val="18"/>
                          </w:rPr>
                          <w:t>工程分析</w:t>
                        </w:r>
                      </w:p>
                    </w:txbxContent>
                  </v:textbox>
                </v:shape>
                <v:shape id="自选图形 2991" o:spid="_x0000_s1026" o:spt="32" type="#_x0000_t32" style="position:absolute;left:1828803;top:5006306;height:600;width:1724003;" filled="f" stroked="t" coordsize="21600,21600" o:gfxdata="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&#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OTUZvVAAAABgEAAA8AAAAAAAAAAQAgAAAAIgAAAGRy&#10;cy9kb3ducmV2LnhtbFBLAQIUABQAAAAIAIdO4kBNFGxdCAIAAPUDAAAOAAAAAAAAAAEAIAAAACQB&#10;AABkcnMvZTJvRG9jLnhtbFBLBQYAAAAABgAGAFkBAACeBQAAAAA=&#10;">
                  <v:fill on="f" focussize="0,0"/>
                  <v:stroke color="#000000" joinstyle="round"/>
                  <v:imagedata o:title=""/>
                  <o:lock v:ext="edit" aspectratio="f"/>
                </v:shape>
                <v:shape id="自选图形 2992" o:spid="_x0000_s1026" o:spt="32" type="#_x0000_t32" style="position:absolute;left:1828803;top:4635506;height:360000;width:600;" filled="f" stroked="t" coordsize="21600,21600" o:gfxdata="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o5NRm9UAAAAGAQAADwAAAAAAAAABACAAAAAiAAAAZHJzL2Rv&#10;d25yZXYueG1sUEsBAhQAFAAAAAgAh07iQDTXuNsEAgAA9AMAAA4AAAAAAAAAAQAgAAAAJAEAAGRy&#10;cy9lMm9Eb2MueG1sUEsFBgAAAAAGAAYAWQEAAJoFAAAAAA==&#10;">
                  <v:fill on="f" focussize="0,0"/>
                  <v:stroke color="#000000" joinstyle="round"/>
                  <v:imagedata o:title=""/>
                  <o:lock v:ext="edit" aspectratio="f"/>
                </v:shape>
                <v:shape id="自选图形 2993" o:spid="_x0000_s1026" o:spt="32" type="#_x0000_t32" style="position:absolute;left:3555307;top:4635506;height:360000;width:700;" filled="f" stroked="t" coordsize="21600,21600" o:gfxdata="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OTUZvVAAAABgEAAA8AAAAAAAAAAQAgAAAAIgAAAGRycy9k&#10;b3ducmV2LnhtbFBLAQIUABQAAAAIAIdO4kApa2A5BQIAAPQDAAAOAAAAAAAAAAEAIAAAACQBAABk&#10;cnMvZTJvRG9jLnhtbFBLBQYAAAAABgAGAFkBAACbBQAAAAA=&#10;">
                  <v:fill on="f" focussize="0,0"/>
                  <v:stroke color="#000000" joinstyle="round"/>
                  <v:imagedata o:title=""/>
                  <o:lock v:ext="edit" aspectratio="f"/>
                </v:shape>
                <v:shape id="自选图形 2994" o:spid="_x0000_s1026" o:spt="32" type="#_x0000_t32" style="position:absolute;left:2677105;top:5007606;height:360000;width:1300;" filled="f" stroked="t" coordsize="21600,21600" o:gfxdata="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TPajWAAAABgEAAA8AAAAAAAAAAQAg&#10;AAAAIgAAAGRycy9kb3ducmV2LnhtbFBLAQIUABQAAAAIAIdO4kDMZR4ZEAIAAPgDAAAOAAAAAAAA&#10;AAEAIAAAACUBAABkcnMvZTJvRG9jLnhtbFBLBQYAAAAABgAGAFkBAACnBQAAAAA=&#10;">
                  <v:fill on="f" focussize="0,0"/>
                  <v:stroke color="#000000" joinstyle="round" endarrow="block" endarrowwidth="narrow"/>
                  <v:imagedata o:title=""/>
                  <o:lock v:ext="edit" aspectratio="f"/>
                </v:shape>
                <v:shape id="文本框 2995" o:spid="_x0000_s1026" o:spt="202" type="#_x0000_t202" style="position:absolute;left:1447803;top:5359407;height:476201;width:2466905;" fillcolor="#FFFFFF" filled="t" stroked="t" coordsize="21600,21600" o:gfxdata="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gAY0wtYAAAAGAQAADwAA&#10;AAAAAAABACAAAAAiAAAAZHJzL2Rvd25yZXYueG1sUEsBAhQAFAAAAAgAh07iQAVIlCQYAgAARgQA&#10;AA4AAAAAAAAAAQAgAAAAJQEAAGRycy9lMm9Eb2MueG1sUEsFBgAAAAAGAAYAWQEAAK8FAAAAAA==&#10;">
                  <v:fill on="t" focussize="0,0"/>
                  <v:stroke color="#000000" joinstyle="miter"/>
                  <v:imagedata o:title=""/>
                  <o:lock v:ext="edit" aspectratio="f"/>
                  <v:textbox>
                    <w:txbxContent>
                      <w:p w14:paraId="117C0B85">
                        <w:pPr>
                          <w:jc w:val="left"/>
                          <w:rPr>
                            <w:rFonts w:eastAsia="黑体"/>
                            <w:sz w:val="18"/>
                            <w:szCs w:val="18"/>
                          </w:rPr>
                        </w:pPr>
                        <w:r>
                          <w:rPr>
                            <w:rFonts w:eastAsia="黑体"/>
                            <w:sz w:val="18"/>
                            <w:szCs w:val="18"/>
                          </w:rPr>
                          <w:t>1</w:t>
                        </w:r>
                        <w:r>
                          <w:rPr>
                            <w:rFonts w:hAnsi="黑体" w:eastAsia="黑体"/>
                            <w:sz w:val="18"/>
                            <w:szCs w:val="18"/>
                          </w:rPr>
                          <w:t>、各环境要素环境影响预测与评价</w:t>
                        </w:r>
                      </w:p>
                      <w:p w14:paraId="052541C6">
                        <w:pPr>
                          <w:jc w:val="left"/>
                          <w:rPr>
                            <w:rFonts w:eastAsia="黑体"/>
                            <w:sz w:val="18"/>
                            <w:szCs w:val="18"/>
                          </w:rPr>
                        </w:pPr>
                        <w:r>
                          <w:rPr>
                            <w:rFonts w:eastAsia="黑体"/>
                            <w:sz w:val="18"/>
                            <w:szCs w:val="18"/>
                          </w:rPr>
                          <w:t>2</w:t>
                        </w:r>
                        <w:r>
                          <w:rPr>
                            <w:rFonts w:hAnsi="黑体" w:eastAsia="黑体"/>
                            <w:sz w:val="18"/>
                            <w:szCs w:val="18"/>
                          </w:rPr>
                          <w:t>、各专题环境影响分析与评价</w:t>
                        </w:r>
                      </w:p>
                      <w:p w14:paraId="36573ED9">
                        <w:pPr>
                          <w:jc w:val="left"/>
                          <w:rPr>
                            <w:rFonts w:eastAsia="黑体"/>
                            <w:sz w:val="18"/>
                            <w:szCs w:val="18"/>
                          </w:rPr>
                        </w:pPr>
                      </w:p>
                    </w:txbxContent>
                  </v:textbox>
                </v:shape>
                <v:shape id="自选图形 2996" o:spid="_x0000_s1026" o:spt="32" type="#_x0000_t32" style="position:absolute;left:2672705;top:5835607;height:360000;width:1200;" filled="f" stroked="t" coordsize="21600,21600" o:gfxdata="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TPajWAAAABgEAAA8AAAAAAAAAAQAg&#10;AAAAIgAAAGRycy9kb3ducmV2LnhtbFBLAQIUABQAAAAIAIdO4kDGppXfEAIAAPgDAAAOAAAAAAAA&#10;AAEAIAAAACUBAABkcnMvZTJvRG9jLnhtbFBLBQYAAAAABgAGAFkBAACnBQAAAAA=&#10;">
                  <v:fill on="f" focussize="0,0"/>
                  <v:stroke color="#000000" joinstyle="round" endarrow="block" endarrowwidth="narrow"/>
                  <v:imagedata o:title=""/>
                  <o:lock v:ext="edit" aspectratio="f"/>
                </v:shape>
                <v:shape id="文本框 2997" o:spid="_x0000_s1026" o:spt="202" type="#_x0000_t202" style="position:absolute;left:1344203;top:6206408;height:667401;width:2637805;" fillcolor="#FFFFFF" filled="t" stroked="t" coordsize="21600,21600" o:gfxdata="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ABjTC1gAAAAYBAAAP&#10;AAAAAAAAAAEAIAAAACIAAABkcnMvZG93bnJldi54bWxQSwECFAAUAAAACACHTuJAdO1dmxoCAABG&#10;BAAADgAAAAAAAAABACAAAAAlAQAAZHJzL2Uyb0RvYy54bWxQSwUGAAAAAAYABgBZAQAAsQUAAAAA&#10;">
                  <v:fill on="t" focussize="0,0"/>
                  <v:stroke color="#000000" joinstyle="miter"/>
                  <v:imagedata o:title=""/>
                  <o:lock v:ext="edit" aspectratio="f"/>
                  <v:textbox>
                    <w:txbxContent>
                      <w:p w14:paraId="3C9A812C">
                        <w:pPr>
                          <w:jc w:val="left"/>
                          <w:rPr>
                            <w:rFonts w:eastAsia="黑体"/>
                            <w:sz w:val="18"/>
                            <w:szCs w:val="18"/>
                          </w:rPr>
                        </w:pPr>
                        <w:r>
                          <w:rPr>
                            <w:rFonts w:eastAsia="黑体"/>
                            <w:sz w:val="18"/>
                            <w:szCs w:val="18"/>
                          </w:rPr>
                          <w:t>1</w:t>
                        </w:r>
                        <w:r>
                          <w:rPr>
                            <w:rFonts w:hAnsi="黑体" w:eastAsia="黑体"/>
                            <w:sz w:val="18"/>
                            <w:szCs w:val="18"/>
                          </w:rPr>
                          <w:t>、提出环境保护措施，进行技术经济论证</w:t>
                        </w:r>
                      </w:p>
                      <w:p w14:paraId="4A3FB4DE">
                        <w:pPr>
                          <w:jc w:val="left"/>
                          <w:rPr>
                            <w:rFonts w:eastAsia="黑体"/>
                            <w:sz w:val="18"/>
                            <w:szCs w:val="18"/>
                          </w:rPr>
                        </w:pPr>
                        <w:r>
                          <w:rPr>
                            <w:rFonts w:eastAsia="黑体"/>
                            <w:sz w:val="18"/>
                            <w:szCs w:val="18"/>
                          </w:rPr>
                          <w:t>2</w:t>
                        </w:r>
                        <w:r>
                          <w:rPr>
                            <w:rFonts w:hAnsi="黑体" w:eastAsia="黑体"/>
                            <w:sz w:val="18"/>
                            <w:szCs w:val="18"/>
                          </w:rPr>
                          <w:t>、给出污染物排放清单</w:t>
                        </w:r>
                      </w:p>
                      <w:p w14:paraId="3DC4AB79">
                        <w:pPr>
                          <w:jc w:val="left"/>
                          <w:rPr>
                            <w:rFonts w:eastAsia="黑体"/>
                            <w:sz w:val="18"/>
                            <w:szCs w:val="18"/>
                          </w:rPr>
                        </w:pPr>
                        <w:r>
                          <w:rPr>
                            <w:rFonts w:eastAsia="黑体"/>
                            <w:sz w:val="18"/>
                            <w:szCs w:val="18"/>
                          </w:rPr>
                          <w:t>3</w:t>
                        </w:r>
                        <w:r>
                          <w:rPr>
                            <w:rFonts w:hAnsi="黑体" w:eastAsia="黑体"/>
                            <w:sz w:val="18"/>
                            <w:szCs w:val="18"/>
                          </w:rPr>
                          <w:t>、给出建设项目环境影响评价结论</w:t>
                        </w:r>
                      </w:p>
                    </w:txbxContent>
                  </v:textbox>
                </v:shape>
                <v:shape id="自选图形 2998" o:spid="_x0000_s1026" o:spt="32" type="#_x0000_t32" style="position:absolute;left:2670805;top:6873809;height:360100;width:1200;" filled="f" stroked="t" coordsize="21600,21600" o:gfxdata="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TPajWAAAABgEAAA8AAAAAAAAA&#10;AQAgAAAAIgAAAGRycy9kb3ducmV2LnhtbFBLAQIUABQAAAAIAIdO4kAW+2yPEwIAAPgDAAAOAAAA&#10;AAAAAAEAIAAAACUBAABkcnMvZTJvRG9jLnhtbFBLBQYAAAAABgAGAFkBAACqBQAAAAA=&#10;">
                  <v:fill on="f" focussize="0,0"/>
                  <v:stroke color="#000000" joinstyle="round" endarrow="block" endarrowwidth="narrow"/>
                  <v:imagedata o:title=""/>
                  <o:lock v:ext="edit" aspectratio="f"/>
                </v:shape>
                <v:shape id="文本框 2999" o:spid="_x0000_s1026" o:spt="202" type="#_x0000_t202" style="position:absolute;left:1886504;top:7248509;height:314300;width:1561503;" fillcolor="#FFFFFF" filled="t" stroked="t" coordsize="21600,21600" o:gfxdata="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gAY0wtYAAAAGAQAA&#10;DwAAAAAAAAABACAAAAAiAAAAZHJzL2Rvd25yZXYueG1sUEsBAhQAFAAAAAgAh07iQM5UP64bAgAA&#10;RgQAAA4AAAAAAAAAAQAgAAAAJQEAAGRycy9lMm9Eb2MueG1sUEsFBgAAAAAGAAYAWQEAALIFAAAA&#10;AA==&#10;">
                  <v:fill on="t" focussize="0,0"/>
                  <v:stroke color="#000000" joinstyle="miter"/>
                  <v:imagedata o:title=""/>
                  <o:lock v:ext="edit" aspectratio="f"/>
                  <v:textbox>
                    <w:txbxContent>
                      <w:p w14:paraId="06C343D2">
                        <w:pPr>
                          <w:jc w:val="center"/>
                          <w:rPr>
                            <w:rFonts w:eastAsia="黑体"/>
                            <w:sz w:val="18"/>
                            <w:szCs w:val="18"/>
                          </w:rPr>
                        </w:pPr>
                        <w:r>
                          <w:rPr>
                            <w:rFonts w:hAnsi="黑体" w:eastAsia="黑体"/>
                            <w:sz w:val="18"/>
                            <w:szCs w:val="18"/>
                          </w:rPr>
                          <w:t>编制环境影响报告书</w:t>
                        </w:r>
                      </w:p>
                    </w:txbxContent>
                  </v:textbox>
                </v:shape>
                <v:rect id="矩形 3000" o:spid="_x0000_s1026" o:spt="1" style="position:absolute;left:180900;top:187300;height:3372504;width:4934009;" filled="f" stroked="t" coordsize="21600,21600" o:gfxdata="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lGPwNMAAAAGAQAADwAAAAAAAAABACAAAAAiAAAAZHJzL2Rvd25yZXYu&#10;eG1sUEsBAhQAFAAAAAgAh07iQKM8wz4AAgAAAwQAAA4AAAAAAAAAAQAgAAAAIgEAAGRycy9lMm9E&#10;b2MueG1sUEsFBgAAAAAGAAYAWQEAAJQFAAAAAA==&#10;">
                  <v:fill on="f" focussize="0,0"/>
                  <v:stroke color="#000000" joinstyle="miter" dashstyle="dash"/>
                  <v:imagedata o:title=""/>
                  <o:lock v:ext="edit" aspectratio="f"/>
                </v:rect>
                <v:rect id="矩形 3001" o:spid="_x0000_s1026" o:spt="1" style="position:absolute;left:180900;top:3559805;height:2428803;width:4934009;" filled="f" stroked="t" coordsize="21600,21600" o:gfxdata="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5Rj8DTAAAABgEAAA8AAAAAAAAAAQAgAAAAIgAAAGRycy9kb3du&#10;cmV2LnhtbFBLAQIUABQAAAAIAIdO4kD5mduNBAIAAAQEAAAOAAAAAAAAAAEAIAAAACIBAABkcnMv&#10;ZTJvRG9jLnhtbFBLBQYAAAAABgAGAFkBAACYBQAAAAA=&#10;">
                  <v:fill on="f" focussize="0,0"/>
                  <v:stroke color="#000000" joinstyle="miter" dashstyle="dash"/>
                  <v:imagedata o:title=""/>
                  <o:lock v:ext="edit" aspectratio="f"/>
                </v:rect>
                <v:rect id="矩形 3002" o:spid="_x0000_s1026" o:spt="1" style="position:absolute;left:180900;top:5988608;height:1726602;width:4934009;" filled="f" stroked="t" coordsize="21600,21600" o:gfxdata="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UY/A0wAAAAYBAAAPAAAAAAAAAAEAIAAAACIAAABkcnMv&#10;ZG93bnJldi54bWxQSwECFAAUAAAACACHTuJA9Ia+0AgCAAAEBAAADgAAAAAAAAABACAAAAAiAQAA&#10;ZHJzL2Uyb0RvYy54bWxQSwUGAAAAAAYABgBZAQAAnAUAAAAA&#10;">
                  <v:fill on="f" focussize="0,0"/>
                  <v:stroke color="#000000" joinstyle="miter" dashstyle="dash"/>
                  <v:imagedata o:title=""/>
                  <o:lock v:ext="edit" aspectratio="f"/>
                </v:rect>
                <v:shape id="文本框 3003" o:spid="_x0000_s1026" o:spt="202" type="#_x0000_t202" style="position:absolute;left:372101;top:1301702;height:946201;width:380301;" fillcolor="#FFFFFF" filled="t" stroked="f" coordsize="21600,21600" o:gfxdata="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MxsuyXVAAAABgEAAA8AAAAAAAAAAQAgAAAAIgAAAGRycy9k&#10;b3ducmV2LnhtbFBLAQIUABQAAAAIAIdO4kD7XP9TzAEAAIUDAAAOAAAAAAAAAAEAIAAAACQBAABk&#10;cnMvZTJvRG9jLnhtbFBLBQYAAAAABgAGAFkBAABiBQAAAAA=&#10;">
                  <v:fill on="t" focussize="0,0"/>
                  <v:stroke on="f"/>
                  <v:imagedata o:title=""/>
                  <o:lock v:ext="edit" aspectratio="f"/>
                  <v:textbox>
                    <w:txbxContent>
                      <w:p w14:paraId="6359FEF2">
                        <w:pPr>
                          <w:jc w:val="center"/>
                          <w:rPr>
                            <w:rFonts w:eastAsia="黑体"/>
                            <w:sz w:val="21"/>
                            <w:szCs w:val="21"/>
                          </w:rPr>
                        </w:pPr>
                        <w:r>
                          <w:rPr>
                            <w:rFonts w:hAnsi="黑体" w:eastAsia="黑体"/>
                            <w:sz w:val="21"/>
                            <w:szCs w:val="21"/>
                          </w:rPr>
                          <w:t>第一阶段</w:t>
                        </w:r>
                      </w:p>
                    </w:txbxContent>
                  </v:textbox>
                </v:shape>
                <v:shape id="文本框 3004" o:spid="_x0000_s1026" o:spt="202" type="#_x0000_t202" style="position:absolute;left:467301;top:4340206;height:946101;width:380401;" fillcolor="#FFFFFF" filled="t" stroked="f" coordsize="21600,21600" o:gfxdata="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DMbLsl1QAAAAYBAAAPAAAAAAAAAAEAIAAAACIAAABkcnMv&#10;ZG93bnJldi54bWxQSwECFAAUAAAACACHTuJAjo/Gyc0BAACFAwAADgAAAAAAAAABACAAAAAkAQAA&#10;ZHJzL2Uyb0RvYy54bWxQSwUGAAAAAAYABgBZAQAAYwUAAAAA&#10;">
                  <v:fill on="t" focussize="0,0"/>
                  <v:stroke on="f"/>
                  <v:imagedata o:title=""/>
                  <o:lock v:ext="edit" aspectratio="f"/>
                  <v:textbox>
                    <w:txbxContent>
                      <w:p w14:paraId="28F90C6C">
                        <w:pPr>
                          <w:jc w:val="center"/>
                          <w:rPr>
                            <w:rFonts w:eastAsia="黑体"/>
                            <w:sz w:val="21"/>
                            <w:szCs w:val="21"/>
                          </w:rPr>
                        </w:pPr>
                        <w:r>
                          <w:rPr>
                            <w:rFonts w:hAnsi="黑体" w:eastAsia="黑体"/>
                            <w:sz w:val="21"/>
                            <w:szCs w:val="21"/>
                          </w:rPr>
                          <w:t>第二阶段</w:t>
                        </w:r>
                      </w:p>
                    </w:txbxContent>
                  </v:textbox>
                </v:shape>
                <v:shape id="文本框 3005" o:spid="_x0000_s1026" o:spt="202" type="#_x0000_t202" style="position:absolute;left:467301;top:6397608;height:946101;width:380401;" fillcolor="#FFFFFF" filled="t" stroked="f" coordsize="21600,21600" o:gfxdata="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&#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MxsuyXVAAAABgEAAA8AAAAAAAAAAQAgAAAAIgAAAGRy&#10;cy9kb3ducmV2LnhtbFBLAQIUABQAAAAIAIdO4kBAeAsjzwEAAIUDAAAOAAAAAAAAAAEAIAAAACQB&#10;AABkcnMvZTJvRG9jLnhtbFBLBQYAAAAABgAGAFkBAABlBQAAAAA=&#10;">
                  <v:fill on="t" focussize="0,0"/>
                  <v:stroke on="f"/>
                  <v:imagedata o:title=""/>
                  <o:lock v:ext="edit" aspectratio="f"/>
                  <v:textbox>
                    <w:txbxContent>
                      <w:p w14:paraId="5B4FE06D">
                        <w:pPr>
                          <w:jc w:val="center"/>
                          <w:rPr>
                            <w:rFonts w:eastAsia="黑体"/>
                            <w:sz w:val="21"/>
                            <w:szCs w:val="21"/>
                          </w:rPr>
                        </w:pPr>
                        <w:r>
                          <w:rPr>
                            <w:rFonts w:hAnsi="黑体" w:eastAsia="黑体"/>
                            <w:sz w:val="21"/>
                            <w:szCs w:val="21"/>
                          </w:rPr>
                          <w:t>第三阶段</w:t>
                        </w:r>
                      </w:p>
                    </w:txbxContent>
                  </v:textbox>
                </v:shape>
                <w10:wrap type="none"/>
                <w10:anchorlock/>
              </v:group>
            </w:pict>
          </mc:Fallback>
        </mc:AlternateContent>
      </w:r>
    </w:p>
    <w:p w14:paraId="182545B3">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图1.6-1建设项目环境影响评价工作程序图</w:t>
      </w:r>
    </w:p>
    <w:p w14:paraId="40918F6D">
      <w:pPr>
        <w:pStyle w:val="2855"/>
        <w:rPr>
          <w:rFonts w:hint="default" w:ascii="Times New Roman" w:hAnsi="Times New Roman" w:cs="Times New Roman"/>
          <w:color w:val="000000" w:themeColor="text1"/>
          <w14:textFill>
            <w14:solidFill>
              <w14:schemeClr w14:val="tx1"/>
            </w14:solidFill>
          </w14:textFill>
        </w:rPr>
      </w:pPr>
      <w:bookmarkStart w:id="14" w:name="_Toc173837603"/>
      <w:r>
        <w:rPr>
          <w:rFonts w:hint="default" w:ascii="Times New Roman" w:hAnsi="Times New Roman" w:eastAsia="黑体" w:cs="Times New Roman"/>
          <w:b w:val="0"/>
          <w:color w:val="000000" w:themeColor="text1"/>
          <w14:textFill>
            <w14:solidFill>
              <w14:schemeClr w14:val="tx1"/>
            </w14:solidFill>
          </w14:textFill>
        </w:rPr>
        <w:t>2总则</w:t>
      </w:r>
      <w:bookmarkEnd w:id="14"/>
    </w:p>
    <w:p w14:paraId="17880A32">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15" w:name="_Toc173837604"/>
      <w:r>
        <w:rPr>
          <w:rFonts w:hint="default" w:ascii="Times New Roman" w:hAnsi="Times New Roman" w:eastAsia="黑体" w:cs="Times New Roman"/>
          <w:b w:val="0"/>
          <w:color w:val="000000" w:themeColor="text1"/>
          <w14:textFill>
            <w14:solidFill>
              <w14:schemeClr w14:val="tx1"/>
            </w14:solidFill>
          </w14:textFill>
        </w:rPr>
        <w:t>2.1</w:t>
      </w:r>
      <w:bookmarkEnd w:id="15"/>
      <w:bookmarkStart w:id="16" w:name="_Toc173837609"/>
      <w:r>
        <w:rPr>
          <w:rFonts w:hint="default" w:ascii="Times New Roman" w:hAnsi="Times New Roman" w:eastAsia="黑体" w:cs="Times New Roman"/>
          <w:b w:val="0"/>
          <w:color w:val="000000" w:themeColor="text1"/>
          <w14:textFill>
            <w14:solidFill>
              <w14:schemeClr w14:val="tx1"/>
            </w14:solidFill>
          </w14:textFill>
        </w:rPr>
        <w:t>编制依据</w:t>
      </w:r>
      <w:bookmarkEnd w:id="16"/>
    </w:p>
    <w:p w14:paraId="77560893">
      <w:pPr>
        <w:pStyle w:val="3159"/>
        <w:rPr>
          <w:rFonts w:hint="default" w:ascii="Times New Roman" w:hAnsi="Times New Roman" w:eastAsia="黑体" w:cs="Times New Roman"/>
          <w:b w:val="0"/>
          <w:color w:val="000000" w:themeColor="text1"/>
          <w14:textFill>
            <w14:solidFill>
              <w14:schemeClr w14:val="tx1"/>
            </w14:solidFill>
          </w14:textFill>
        </w:rPr>
      </w:pPr>
      <w:bookmarkStart w:id="17" w:name="_Toc173837610"/>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1</w:t>
      </w:r>
      <w:r>
        <w:rPr>
          <w:rFonts w:hint="default" w:ascii="Times New Roman" w:hAnsi="Times New Roman" w:eastAsia="黑体" w:cs="Times New Roman"/>
          <w:b w:val="0"/>
          <w:color w:val="000000" w:themeColor="text1"/>
          <w14:textFill>
            <w14:solidFill>
              <w14:schemeClr w14:val="tx1"/>
            </w14:solidFill>
          </w14:textFill>
        </w:rPr>
        <w:t>.1环保法律、法规</w:t>
      </w:r>
      <w:bookmarkEnd w:id="17"/>
      <w:r>
        <w:rPr>
          <w:rFonts w:hint="eastAsia" w:eastAsia="黑体" w:cs="Times New Roman"/>
          <w:b w:val="0"/>
          <w:color w:val="000000" w:themeColor="text1"/>
          <w:lang w:eastAsia="zh-CN"/>
          <w14:textFill>
            <w14:solidFill>
              <w14:schemeClr w14:val="tx1"/>
            </w14:solidFill>
          </w14:textFill>
        </w:rPr>
        <w:t>及文件</w:t>
      </w:r>
    </w:p>
    <w:p w14:paraId="6F2C1663">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1、《中华人民共和国环境保护法》，（2015年1月1日施行）；</w:t>
      </w:r>
    </w:p>
    <w:p w14:paraId="55EB1CD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2、《中华人民共和国环境影响评价法》，2018年12月29日发布实施；</w:t>
      </w:r>
    </w:p>
    <w:p w14:paraId="76E6DBD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3、《中华人民共和国水污染防治法》，2018年1月1日施行；</w:t>
      </w:r>
    </w:p>
    <w:p w14:paraId="727D0C0F">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4、《中华人民共和国噪声污染防治法》，2021年12月24日，2022年6月5日施行；</w:t>
      </w:r>
    </w:p>
    <w:p w14:paraId="30EAB5E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5、《中华人民共和国固体废物污染环境防治法》，2020年9月1日实施；</w:t>
      </w:r>
    </w:p>
    <w:p w14:paraId="2F02E27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6、《中华人民共和国大气污染防治法》，2018年10月26日修订；</w:t>
      </w:r>
    </w:p>
    <w:p w14:paraId="2F90075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7、《中华人民共和国清洁生产促进法》，2012年7月1日施行；</w:t>
      </w:r>
    </w:p>
    <w:p w14:paraId="0DE7A097">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8</w:t>
      </w:r>
      <w:r>
        <w:rPr>
          <w:rFonts w:hint="default" w:ascii="Times New Roman" w:hAnsi="Times New Roman" w:cs="Times New Roman"/>
          <w:color w:val="000000" w:themeColor="text1"/>
          <w14:textFill>
            <w14:solidFill>
              <w14:schemeClr w14:val="tx1"/>
            </w14:solidFill>
          </w14:textFill>
        </w:rPr>
        <w:t>、中华人民共和国国务院令第253号《建设项目环境保护管理条例》，2017年7月16日修订；</w:t>
      </w:r>
    </w:p>
    <w:p w14:paraId="094EBC4B">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9</w:t>
      </w:r>
      <w:r>
        <w:rPr>
          <w:rFonts w:hint="default" w:ascii="Times New Roman" w:hAnsi="Times New Roman" w:cs="Times New Roman"/>
          <w:color w:val="000000" w:themeColor="text1"/>
          <w14:textFill>
            <w14:solidFill>
              <w14:schemeClr w14:val="tx1"/>
            </w14:solidFill>
          </w14:textFill>
        </w:rPr>
        <w:t>、《国务院关于印发土壤污染防治行动计划的通知》国发[2016]31号文，2016年5月28日；</w:t>
      </w:r>
    </w:p>
    <w:p w14:paraId="4EBB539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lang w:val="en-US" w:eastAsia="zh-CN"/>
          <w14:textFill>
            <w14:solidFill>
              <w14:schemeClr w14:val="tx1"/>
            </w14:solidFill>
          </w14:textFill>
        </w:rPr>
        <w:t>0</w:t>
      </w:r>
      <w:r>
        <w:rPr>
          <w:rFonts w:hint="default" w:ascii="Times New Roman" w:hAnsi="Times New Roman" w:cs="Times New Roman"/>
          <w:color w:val="000000" w:themeColor="text1"/>
          <w14:textFill>
            <w14:solidFill>
              <w14:schemeClr w14:val="tx1"/>
            </w14:solidFill>
          </w14:textFill>
        </w:rPr>
        <w:t>、《产业结构调整指导目录》（2024年本），2024年2月1日实施；</w:t>
      </w:r>
    </w:p>
    <w:p w14:paraId="0DE4121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、《建设项目环境影响评价分类管理名录》（2021年版），2020年11月30日发布；</w:t>
      </w:r>
    </w:p>
    <w:p w14:paraId="3B660E8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、环境保护部文件：环环评[2016]150号文《关于以改善环境质量为核心加强环境影响评价管理的通知》，2016年10月26日；</w:t>
      </w:r>
    </w:p>
    <w:p w14:paraId="2BBC36F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、《国家危险废物名录》（2025年版），2024年11月26日发布；</w:t>
      </w:r>
    </w:p>
    <w:p w14:paraId="61C8A1C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、《中共中央、国务院关于深入打好污染防治攻坚战的意见》，2021年11月2日；</w:t>
      </w:r>
    </w:p>
    <w:p w14:paraId="4E3FEECB">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15</w:t>
      </w:r>
      <w:r>
        <w:rPr>
          <w:rFonts w:hint="default" w:ascii="Times New Roman" w:hAnsi="Times New Roman" w:cs="Times New Roman"/>
          <w:color w:val="000000" w:themeColor="text1"/>
          <w14:textFill>
            <w14:solidFill>
              <w14:schemeClr w14:val="tx1"/>
            </w14:solidFill>
          </w14:textFill>
        </w:rPr>
        <w:t>、生态环境部国家卫生健康委员会公告2019年第28号《关于发布有毒有害水污染物名录（第一批）的公告》，2019年7月23日；</w:t>
      </w:r>
    </w:p>
    <w:p w14:paraId="4648CD45">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16</w:t>
      </w:r>
      <w:r>
        <w:rPr>
          <w:rFonts w:hint="default" w:ascii="Times New Roman" w:hAnsi="Times New Roman" w:cs="Times New Roman"/>
          <w:color w:val="000000" w:themeColor="text1"/>
          <w14:textFill>
            <w14:solidFill>
              <w14:schemeClr w14:val="tx1"/>
            </w14:solidFill>
          </w14:textFill>
        </w:rPr>
        <w:t>、生态环境部、卫生健康委员会公告2019年第4号《关于发布有毒有害大气污染物名录（2018年）的公告》，2019年1月23日；</w:t>
      </w:r>
    </w:p>
    <w:p w14:paraId="010A4E4C">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17</w:t>
      </w:r>
      <w:r>
        <w:rPr>
          <w:rFonts w:hint="default" w:ascii="Times New Roman" w:hAnsi="Times New Roman" w:cs="Times New Roman"/>
          <w:color w:val="000000" w:themeColor="text1"/>
          <w14:textFill>
            <w14:solidFill>
              <w14:schemeClr w14:val="tx1"/>
            </w14:solidFill>
          </w14:textFill>
        </w:rPr>
        <w:t>、生态环境部、国家疾病预防控制局公告2025年第43号《关于发布</w:t>
      </w:r>
      <w:r>
        <w:rPr>
          <w:rFonts w:hint="eastAsia" w:ascii="Times New Roman" w:hAnsi="Times New Roman" w:cs="Times New Roman"/>
          <w:color w:val="000000" w:themeColor="text1"/>
          <w:lang w:val="en-US" w:eastAsia="zh-CN"/>
          <w14:textFill>
            <w14:solidFill>
              <w14:schemeClr w14:val="tx1"/>
            </w14:solidFill>
          </w14:textFill>
        </w:rPr>
        <w:t>&lt;</w:t>
      </w:r>
      <w:r>
        <w:rPr>
          <w:rFonts w:hint="default" w:ascii="Times New Roman" w:hAnsi="Times New Roman" w:cs="Times New Roman"/>
          <w:color w:val="000000" w:themeColor="text1"/>
          <w14:textFill>
            <w14:solidFill>
              <w14:schemeClr w14:val="tx1"/>
            </w14:solidFill>
          </w14:textFill>
        </w:rPr>
        <w:t>优先控制化学品名录（第</w:t>
      </w:r>
      <w:r>
        <w:rPr>
          <w:rFonts w:hint="eastAsia" w:ascii="Times New Roman" w:hAnsi="Times New Roman" w:cs="Times New Roman"/>
          <w:color w:val="000000" w:themeColor="text1"/>
          <w:lang w:eastAsia="zh-CN"/>
          <w14:textFill>
            <w14:solidFill>
              <w14:schemeClr w14:val="tx1"/>
            </w14:solidFill>
          </w14:textFill>
        </w:rPr>
        <w:t>三</w:t>
      </w:r>
      <w:r>
        <w:rPr>
          <w:rFonts w:hint="default" w:ascii="Times New Roman" w:hAnsi="Times New Roman" w:cs="Times New Roman"/>
          <w:color w:val="000000" w:themeColor="text1"/>
          <w14:textFill>
            <w14:solidFill>
              <w14:schemeClr w14:val="tx1"/>
            </w14:solidFill>
          </w14:textFill>
        </w:rPr>
        <w:t>批）</w:t>
      </w:r>
      <w:r>
        <w:rPr>
          <w:rFonts w:hint="eastAsia" w:ascii="Times New Roman" w:hAnsi="Times New Roman" w:cs="Times New Roman"/>
          <w:color w:val="000000" w:themeColor="text1"/>
          <w:lang w:val="en-US" w:eastAsia="zh-CN"/>
          <w14:textFill>
            <w14:solidFill>
              <w14:schemeClr w14:val="tx1"/>
            </w14:solidFill>
          </w14:textFill>
        </w:rPr>
        <w:t>&gt;</w:t>
      </w:r>
      <w:r>
        <w:rPr>
          <w:rFonts w:hint="default" w:ascii="Times New Roman" w:hAnsi="Times New Roman" w:cs="Times New Roman"/>
          <w:color w:val="000000" w:themeColor="text1"/>
          <w14:textFill>
            <w14:solidFill>
              <w14:schemeClr w14:val="tx1"/>
            </w14:solidFill>
          </w14:textFill>
        </w:rPr>
        <w:t>的公告》，20</w:t>
      </w:r>
      <w:r>
        <w:rPr>
          <w:rFonts w:hint="eastAsia" w:ascii="Times New Roman" w:hAnsi="Times New Roman" w:cs="Times New Roman"/>
          <w:color w:val="000000" w:themeColor="text1"/>
          <w:lang w:val="en-US" w:eastAsia="zh-CN"/>
          <w14:textFill>
            <w14:solidFill>
              <w14:schemeClr w14:val="tx1"/>
            </w14:solidFill>
          </w14:textFill>
        </w:rPr>
        <w:t>25</w:t>
      </w:r>
      <w:r>
        <w:rPr>
          <w:rFonts w:hint="default" w:ascii="Times New Roman" w:hAnsi="Times New Roman" w:cs="Times New Roman"/>
          <w:color w:val="000000" w:themeColor="text1"/>
          <w14:textFill>
            <w14:solidFill>
              <w14:schemeClr w14:val="tx1"/>
            </w14:solidFill>
          </w14:textFill>
        </w:rPr>
        <w:t>年12月</w:t>
      </w:r>
      <w:r>
        <w:rPr>
          <w:rFonts w:hint="eastAsia" w:ascii="Times New Roman" w:hAnsi="Times New Roman" w:cs="Times New Roman"/>
          <w:color w:val="000000" w:themeColor="text1"/>
          <w:lang w:val="en-US" w:eastAsia="zh-CN"/>
          <w14:textFill>
            <w14:solidFill>
              <w14:schemeClr w14:val="tx1"/>
            </w14:solidFill>
          </w14:textFill>
        </w:rPr>
        <w:t>19</w:t>
      </w:r>
      <w:r>
        <w:rPr>
          <w:rFonts w:hint="default" w:ascii="Times New Roman" w:hAnsi="Times New Roman" w:cs="Times New Roman"/>
          <w:color w:val="000000" w:themeColor="text1"/>
          <w14:textFill>
            <w14:solidFill>
              <w14:schemeClr w14:val="tx1"/>
            </w14:solidFill>
          </w14:textFill>
        </w:rPr>
        <w:t>日</w:t>
      </w:r>
      <w:r>
        <w:rPr>
          <w:rFonts w:hint="default" w:ascii="Times New Roman" w:hAnsi="Times New Roman" w:cs="Times New Roman"/>
          <w:color w:val="000000" w:themeColor="text1"/>
          <w14:textFill>
            <w14:solidFill>
              <w14:schemeClr w14:val="tx1"/>
            </w14:solidFill>
          </w14:textFill>
        </w:rPr>
        <w:t>；</w:t>
      </w:r>
    </w:p>
    <w:p w14:paraId="51B59E93">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18</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bCs/>
          <w:color w:val="000000" w:themeColor="text1"/>
          <w14:textFill>
            <w14:solidFill>
              <w14:schemeClr w14:val="tx1"/>
            </w14:solidFill>
          </w14:textFill>
        </w:rPr>
        <w:t>中华人民共和国生态环境部令第4号</w:t>
      </w:r>
      <w:r>
        <w:rPr>
          <w:rFonts w:hint="default" w:ascii="Times New Roman" w:hAnsi="Times New Roman" w:cs="Times New Roman"/>
          <w:color w:val="000000" w:themeColor="text1"/>
          <w14:textFill>
            <w14:solidFill>
              <w14:schemeClr w14:val="tx1"/>
            </w14:solidFill>
          </w14:textFill>
        </w:rPr>
        <w:t>，《环境影响评价公众参与办法》2019年1月1日实施；</w:t>
      </w:r>
    </w:p>
    <w:p w14:paraId="063ABB28">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19</w:t>
      </w:r>
      <w:r>
        <w:rPr>
          <w:rFonts w:hint="default" w:ascii="Times New Roman" w:hAnsi="Times New Roman" w:cs="Times New Roman"/>
          <w:color w:val="000000" w:themeColor="text1"/>
          <w14:textFill>
            <w14:solidFill>
              <w14:schemeClr w14:val="tx1"/>
            </w14:solidFill>
          </w14:textFill>
        </w:rPr>
        <w:t>、环境保护部办公厅文件环办环评〔2016〕14号，《加强规划环境影响评价与建设项目环境影响评价联动工作的意见》（试行），2016年12月24日；</w:t>
      </w:r>
    </w:p>
    <w:p w14:paraId="3D03484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lang w:val="en-US" w:eastAsia="zh-CN"/>
          <w14:textFill>
            <w14:solidFill>
              <w14:schemeClr w14:val="tx1"/>
            </w14:solidFill>
          </w14:textFill>
        </w:rPr>
        <w:t>0</w:t>
      </w:r>
      <w:r>
        <w:rPr>
          <w:rFonts w:hint="default" w:ascii="Times New Roman" w:hAnsi="Times New Roman" w:cs="Times New Roman"/>
          <w:color w:val="000000" w:themeColor="text1"/>
          <w14:textFill>
            <w14:solidFill>
              <w14:schemeClr w14:val="tx1"/>
            </w14:solidFill>
          </w14:textFill>
        </w:rPr>
        <w:t>、环境保护部办公厅文件环办环评〔2017〕84号，《关于做好环评与排污许可制度衔接工作的通知》，2017年11月14日；</w:t>
      </w:r>
    </w:p>
    <w:p w14:paraId="4A9784A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2</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、生态环境部办公厅环办环评函〔2020〕711号，《关于启用建设项目环境影响报告书审批基础信息表的通知》，2020年12月24日；</w:t>
      </w:r>
    </w:p>
    <w:p w14:paraId="192D2009">
      <w:pPr>
        <w:pStyle w:val="251"/>
        <w:ind w:firstLine="480"/>
        <w:rPr>
          <w:rFonts w:hint="default" w:ascii="Times New Roman" w:hAnsi="Times New Roman" w:cs="Times New Roman"/>
          <w:color w:val="000000" w:themeColor="text1"/>
          <w14:textFill>
            <w14:solidFill>
              <w14:schemeClr w14:val="tx1"/>
            </w14:solidFill>
          </w14:textFill>
        </w:rPr>
      </w:pPr>
    </w:p>
    <w:p w14:paraId="4910B9D4">
      <w:pPr>
        <w:pStyle w:val="251"/>
        <w:ind w:firstLine="480"/>
        <w:rPr>
          <w:rFonts w:hint="eastAsia"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22</w:t>
      </w:r>
      <w:r>
        <w:rPr>
          <w:rFonts w:hint="default" w:ascii="Times New Roman" w:hAnsi="Times New Roman" w:cs="Times New Roman"/>
          <w:color w:val="000000" w:themeColor="text1"/>
          <w14:textFill>
            <w14:solidFill>
              <w14:schemeClr w14:val="tx1"/>
            </w14:solidFill>
          </w14:textFill>
        </w:rPr>
        <w:t>、《关于进一步加强危险废物环境治理严密防控环境风险的指导意见》（环固体〔2025〕10号）</w:t>
      </w:r>
      <w:r>
        <w:rPr>
          <w:rFonts w:hint="eastAsia" w:ascii="Times New Roman" w:hAnsi="Times New Roman" w:cs="Times New Roman"/>
          <w:color w:val="000000" w:themeColor="text1"/>
          <w:lang w:eastAsia="zh-CN"/>
          <w14:textFill>
            <w14:solidFill>
              <w14:schemeClr w14:val="tx1"/>
            </w14:solidFill>
          </w14:textFill>
        </w:rPr>
        <w:t>；</w:t>
      </w:r>
    </w:p>
    <w:p w14:paraId="42098002">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23</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eastAsia="zh-CN"/>
          <w14:textFill>
            <w14:solidFill>
              <w14:schemeClr w14:val="tx1"/>
            </w14:solidFill>
          </w14:textFill>
        </w:rPr>
        <w:t>国务院国发〔2023〕24号，</w:t>
      </w:r>
      <w:r>
        <w:rPr>
          <w:rFonts w:hint="default" w:ascii="Times New Roman" w:hAnsi="Times New Roman" w:cs="Times New Roman"/>
          <w:color w:val="000000" w:themeColor="text1"/>
          <w14:textFill>
            <w14:solidFill>
              <w14:schemeClr w14:val="tx1"/>
            </w14:solidFill>
          </w14:textFill>
        </w:rPr>
        <w:t>《空气质量持续改善行动计划》</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202</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年</w:t>
      </w:r>
      <w:r>
        <w:rPr>
          <w:rFonts w:hint="eastAsia" w:ascii="Times New Roman" w:hAnsi="Times New Roman" w:cs="Times New Roman"/>
          <w:color w:val="000000" w:themeColor="text1"/>
          <w:lang w:val="en-US" w:eastAsia="zh-CN"/>
          <w14:textFill>
            <w14:solidFill>
              <w14:schemeClr w14:val="tx1"/>
            </w14:solidFill>
          </w14:textFill>
        </w:rPr>
        <w:t>11</w:t>
      </w:r>
      <w:r>
        <w:rPr>
          <w:rFonts w:hint="default" w:ascii="Times New Roman" w:hAnsi="Times New Roman" w:cs="Times New Roman"/>
          <w:color w:val="000000" w:themeColor="text1"/>
          <w14:textFill>
            <w14:solidFill>
              <w14:schemeClr w14:val="tx1"/>
            </w14:solidFill>
          </w14:textFill>
        </w:rPr>
        <w:t>月</w:t>
      </w:r>
      <w:r>
        <w:rPr>
          <w:rFonts w:hint="eastAsia" w:ascii="Times New Roman" w:hAnsi="Times New Roman" w:cs="Times New Roman"/>
          <w:color w:val="000000" w:themeColor="text1"/>
          <w:lang w:val="en-US" w:eastAsia="zh-CN"/>
          <w14:textFill>
            <w14:solidFill>
              <w14:schemeClr w14:val="tx1"/>
            </w14:solidFill>
          </w14:textFill>
        </w:rPr>
        <w:t>30</w:t>
      </w:r>
      <w:r>
        <w:rPr>
          <w:rFonts w:hint="default" w:ascii="Times New Roman" w:hAnsi="Times New Roman" w:cs="Times New Roman"/>
          <w:color w:val="000000" w:themeColor="text1"/>
          <w14:textFill>
            <w14:solidFill>
              <w14:schemeClr w14:val="tx1"/>
            </w14:solidFill>
          </w14:textFill>
        </w:rPr>
        <w:t>日。</w:t>
      </w:r>
    </w:p>
    <w:p w14:paraId="21BEEE9E">
      <w:pPr>
        <w:pStyle w:val="3159"/>
        <w:rPr>
          <w:rFonts w:hint="default" w:ascii="Times New Roman" w:hAnsi="Times New Roman" w:eastAsia="黑体" w:cs="Times New Roman"/>
          <w:b w:val="0"/>
          <w:color w:val="000000" w:themeColor="text1"/>
          <w14:textFill>
            <w14:solidFill>
              <w14:schemeClr w14:val="tx1"/>
            </w14:solidFill>
          </w14:textFill>
        </w:rPr>
      </w:pPr>
      <w:bookmarkStart w:id="18" w:name="_Toc173837611"/>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1</w:t>
      </w:r>
      <w:r>
        <w:rPr>
          <w:rFonts w:hint="default" w:ascii="Times New Roman" w:hAnsi="Times New Roman" w:eastAsia="黑体" w:cs="Times New Roman"/>
          <w:b w:val="0"/>
          <w:color w:val="000000" w:themeColor="text1"/>
          <w14:textFill>
            <w14:solidFill>
              <w14:schemeClr w14:val="tx1"/>
            </w14:solidFill>
          </w14:textFill>
        </w:rPr>
        <w:t>.2地方法规政策</w:t>
      </w:r>
      <w:bookmarkEnd w:id="18"/>
    </w:p>
    <w:p w14:paraId="79E7CD4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1、2024年11月22日安徽省第十四届人民代表大会常务委员会《</w:t>
      </w:r>
      <w:bookmarkStart w:id="19" w:name="OLE_LINK6"/>
      <w:r>
        <w:rPr>
          <w:rFonts w:hint="default" w:ascii="Times New Roman" w:hAnsi="Times New Roman" w:cs="Times New Roman"/>
          <w:color w:val="000000" w:themeColor="text1"/>
          <w14:textFill>
            <w14:solidFill>
              <w14:schemeClr w14:val="tx1"/>
            </w14:solidFill>
          </w14:textFill>
        </w:rPr>
        <w:t>安徽省环境保护条例</w:t>
      </w:r>
      <w:bookmarkEnd w:id="19"/>
      <w:r>
        <w:rPr>
          <w:rFonts w:hint="default" w:ascii="Times New Roman" w:hAnsi="Times New Roman" w:cs="Times New Roman"/>
          <w:color w:val="000000" w:themeColor="text1"/>
          <w14:textFill>
            <w14:solidFill>
              <w14:schemeClr w14:val="tx1"/>
            </w14:solidFill>
          </w14:textFill>
        </w:rPr>
        <w:t>》，2024年11月26日施行；</w:t>
      </w:r>
    </w:p>
    <w:p w14:paraId="3B9FCC2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2、安徽省人民代表大会常务委员会《安徽省大气污染防治条例》，2018年9月29日修订；</w:t>
      </w:r>
    </w:p>
    <w:p w14:paraId="26197247">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、安徽省人民政府皖政〔2018〕51号《安徽省人民政府关于建立固体废物污染防控长效机制的意见》，2018年7月2日；</w:t>
      </w:r>
    </w:p>
    <w:p w14:paraId="2D458699">
      <w:pPr>
        <w:pStyle w:val="251"/>
        <w:ind w:firstLine="480"/>
        <w:rPr>
          <w:rFonts w:hint="default" w:ascii="Times New Roman" w:hAnsi="Times New Roman" w:cs="Times New Roman"/>
          <w:color w:val="000000" w:themeColor="text1"/>
          <w:szCs w:val="24"/>
          <w14:textFill>
            <w14:solidFill>
              <w14:schemeClr w14:val="tx1"/>
            </w14:solidFill>
          </w14:textFill>
        </w:rPr>
      </w:pPr>
      <w:r>
        <w:rPr>
          <w:rFonts w:hint="eastAsia" w:ascii="Times New Roman" w:hAnsi="Times New Roman" w:cs="Times New Roman"/>
          <w:color w:val="000000" w:themeColor="text1"/>
          <w:szCs w:val="24"/>
          <w:lang w:val="en-US" w:eastAsia="zh-CN"/>
          <w14:textFill>
            <w14:solidFill>
              <w14:schemeClr w14:val="tx1"/>
            </w14:solidFill>
          </w14:textFill>
        </w:rPr>
        <w:t>4</w:t>
      </w:r>
      <w:r>
        <w:rPr>
          <w:rFonts w:hint="default" w:ascii="Times New Roman" w:hAnsi="Times New Roman" w:cs="Times New Roman"/>
          <w:color w:val="000000" w:themeColor="text1"/>
          <w:szCs w:val="24"/>
          <w14:textFill>
            <w14:solidFill>
              <w14:schemeClr w14:val="tx1"/>
            </w14:solidFill>
          </w14:textFill>
        </w:rPr>
        <w:t>、安徽省生态环境厅关于印发《安徽省规范危险废物环境管理促进危险废物利用处置行业健康发展若干措施》的通知（皖环发〔2024〕2号）；</w:t>
      </w:r>
    </w:p>
    <w:p w14:paraId="1568F5AF">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安徽省生态环境厅皖环函〔2024〕1158号《安徽省生态环境厅关于发布</w:t>
      </w:r>
      <w:r>
        <w:rPr>
          <w:rFonts w:hint="eastAsia" w:ascii="Times New Roman" w:hAnsi="Times New Roman" w:cs="Times New Roman"/>
          <w:color w:val="000000" w:themeColor="text1"/>
          <w:lang w:val="en-US" w:eastAsia="zh-CN"/>
          <w14:textFill>
            <w14:solidFill>
              <w14:schemeClr w14:val="tx1"/>
            </w14:solidFill>
          </w14:textFill>
        </w:rPr>
        <w:t>&lt;</w:t>
      </w:r>
      <w:r>
        <w:rPr>
          <w:rFonts w:hint="default" w:ascii="Times New Roman" w:hAnsi="Times New Roman" w:cs="Times New Roman"/>
          <w:color w:val="000000" w:themeColor="text1"/>
          <w14:textFill>
            <w14:solidFill>
              <w14:schemeClr w14:val="tx1"/>
            </w14:solidFill>
          </w14:textFill>
        </w:rPr>
        <w:t>安徽省省级审批环境影响评价文件建设项目目录（2024年本）</w:t>
      </w:r>
      <w:r>
        <w:rPr>
          <w:rFonts w:hint="eastAsia" w:ascii="Times New Roman" w:hAnsi="Times New Roman" w:cs="Times New Roman"/>
          <w:color w:val="000000" w:themeColor="text1"/>
          <w:lang w:val="en-US" w:eastAsia="zh-CN"/>
          <w14:textFill>
            <w14:solidFill>
              <w14:schemeClr w14:val="tx1"/>
            </w14:solidFill>
          </w14:textFill>
        </w:rPr>
        <w:t>&gt;</w:t>
      </w:r>
      <w:r>
        <w:rPr>
          <w:rFonts w:hint="default" w:ascii="Times New Roman" w:hAnsi="Times New Roman" w:cs="Times New Roman"/>
          <w:color w:val="000000" w:themeColor="text1"/>
          <w14:textFill>
            <w14:solidFill>
              <w14:schemeClr w14:val="tx1"/>
            </w14:solidFill>
          </w14:textFill>
        </w:rPr>
        <w:t>的公告》，20</w:t>
      </w:r>
      <w:r>
        <w:rPr>
          <w:rFonts w:hint="eastAsia" w:ascii="Times New Roman" w:hAnsi="Times New Roman" w:cs="Times New Roman"/>
          <w:color w:val="000000" w:themeColor="text1"/>
          <w:lang w:val="en-US" w:eastAsia="zh-CN"/>
          <w14:textFill>
            <w14:solidFill>
              <w14:schemeClr w14:val="tx1"/>
            </w14:solidFill>
          </w14:textFill>
        </w:rPr>
        <w:t>24</w:t>
      </w:r>
      <w:r>
        <w:rPr>
          <w:rFonts w:hint="default" w:ascii="Times New Roman" w:hAnsi="Times New Roman" w:cs="Times New Roman"/>
          <w:color w:val="000000" w:themeColor="text1"/>
          <w14:textFill>
            <w14:solidFill>
              <w14:schemeClr w14:val="tx1"/>
            </w14:solidFill>
          </w14:textFill>
        </w:rPr>
        <w:t>年</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2月27日</w:t>
      </w:r>
      <w:r>
        <w:rPr>
          <w:rFonts w:hint="default" w:ascii="Times New Roman" w:hAnsi="Times New Roman" w:cs="Times New Roman"/>
          <w:color w:val="000000" w:themeColor="text1"/>
          <w14:textFill>
            <w14:solidFill>
              <w14:schemeClr w14:val="tx1"/>
            </w14:solidFill>
          </w14:textFill>
        </w:rPr>
        <w:t>；</w:t>
      </w:r>
    </w:p>
    <w:p w14:paraId="25240148">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6</w:t>
      </w:r>
      <w:r>
        <w:rPr>
          <w:rFonts w:hint="default" w:ascii="Times New Roman" w:hAnsi="Times New Roman" w:cs="Times New Roman"/>
          <w:color w:val="000000" w:themeColor="text1"/>
          <w14:textFill>
            <w14:solidFill>
              <w14:schemeClr w14:val="tx1"/>
            </w14:solidFill>
          </w14:textFill>
        </w:rPr>
        <w:t>、安徽省人民政府皖政〔2016〕116号《关于印发安徽省土壤污染防治工作方案的通知》；</w:t>
      </w:r>
    </w:p>
    <w:p w14:paraId="1209F068">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7</w:t>
      </w:r>
      <w:r>
        <w:rPr>
          <w:rFonts w:hint="default" w:ascii="Times New Roman" w:hAnsi="Times New Roman" w:cs="Times New Roman"/>
          <w:color w:val="000000" w:themeColor="text1"/>
          <w14:textFill>
            <w14:solidFill>
              <w14:schemeClr w14:val="tx1"/>
            </w14:solidFill>
          </w14:textFill>
        </w:rPr>
        <w:t>、安徽省环境保护厅皖环发〔2017〕19号《安徽省环保厅关于进一步加强建设项目新增大气主要污染物总量指标管理工作的通知》，2017年3月28日；</w:t>
      </w:r>
    </w:p>
    <w:p w14:paraId="7FEC0EA6">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8</w:t>
      </w:r>
      <w:r>
        <w:rPr>
          <w:rFonts w:hint="default" w:ascii="Times New Roman" w:hAnsi="Times New Roman" w:cs="Times New Roman"/>
          <w:color w:val="000000" w:themeColor="text1"/>
          <w14:textFill>
            <w14:solidFill>
              <w14:schemeClr w14:val="tx1"/>
            </w14:solidFill>
          </w14:textFill>
        </w:rPr>
        <w:t>、安徽省生态环境厅皖环函〔2019〕1120号《安徽省生态环境厅关于全面执行大气污染物特别排放限值的通知》，20</w:t>
      </w:r>
      <w:r>
        <w:rPr>
          <w:rFonts w:hint="eastAsia" w:ascii="Times New Roman" w:hAnsi="Times New Roman" w:cs="Times New Roman"/>
          <w:color w:val="000000" w:themeColor="text1"/>
          <w:lang w:val="en-US" w:eastAsia="zh-CN"/>
          <w14:textFill>
            <w14:solidFill>
              <w14:schemeClr w14:val="tx1"/>
            </w14:solidFill>
          </w14:textFill>
        </w:rPr>
        <w:t>20</w:t>
      </w:r>
      <w:r>
        <w:rPr>
          <w:rFonts w:hint="default" w:ascii="Times New Roman" w:hAnsi="Times New Roman" w:cs="Times New Roman"/>
          <w:color w:val="000000" w:themeColor="text1"/>
          <w14:textFill>
            <w14:solidFill>
              <w14:schemeClr w14:val="tx1"/>
            </w14:solidFill>
          </w14:textFill>
        </w:rPr>
        <w:t>年1</w:t>
      </w:r>
      <w:r>
        <w:rPr>
          <w:rFonts w:hint="eastAsia"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月</w:t>
      </w:r>
      <w:r>
        <w:rPr>
          <w:rFonts w:hint="eastAsia" w:ascii="Times New Roman" w:hAnsi="Times New Roman" w:cs="Times New Roman"/>
          <w:color w:val="000000" w:themeColor="text1"/>
          <w:lang w:val="en-US" w:eastAsia="zh-CN"/>
          <w14:textFill>
            <w14:solidFill>
              <w14:schemeClr w14:val="tx1"/>
            </w14:solidFill>
          </w14:textFill>
        </w:rPr>
        <w:t>25</w:t>
      </w:r>
      <w:r>
        <w:rPr>
          <w:rFonts w:hint="default" w:ascii="Times New Roman" w:hAnsi="Times New Roman" w:cs="Times New Roman"/>
          <w:color w:val="000000" w:themeColor="text1"/>
          <w14:textFill>
            <w14:solidFill>
              <w14:schemeClr w14:val="tx1"/>
            </w14:solidFill>
          </w14:textFill>
        </w:rPr>
        <w:t>日；</w:t>
      </w:r>
    </w:p>
    <w:p w14:paraId="1487CE99">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9</w:t>
      </w:r>
      <w:r>
        <w:rPr>
          <w:rFonts w:hint="default" w:ascii="Times New Roman" w:hAnsi="Times New Roman" w:cs="Times New Roman"/>
          <w:color w:val="000000" w:themeColor="text1"/>
          <w14:textFill>
            <w14:solidFill>
              <w14:schemeClr w14:val="tx1"/>
            </w14:solidFill>
          </w14:textFill>
        </w:rPr>
        <w:t>、安徽省生态环境厅关于印发《安徽省生态保护红线生态环境监督实施办法（试行）》的通知（皖环发〔2023〕40号）；</w:t>
      </w:r>
    </w:p>
    <w:p w14:paraId="67DFD359">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lang w:val="en-US" w:eastAsia="zh-CN"/>
          <w14:textFill>
            <w14:solidFill>
              <w14:schemeClr w14:val="tx1"/>
            </w14:solidFill>
          </w14:textFill>
        </w:rPr>
        <w:t>0</w:t>
      </w:r>
      <w:r>
        <w:rPr>
          <w:rFonts w:hint="default" w:ascii="Times New Roman" w:hAnsi="Times New Roman" w:cs="Times New Roman"/>
          <w:color w:val="000000" w:themeColor="text1"/>
          <w14:textFill>
            <w14:solidFill>
              <w14:schemeClr w14:val="tx1"/>
            </w14:solidFill>
          </w14:textFill>
        </w:rPr>
        <w:t>、安徽省环保厅皖环函〔2018〕955号《安徽省环保厅关于加强土壤环境污染重点监管企业土壤环境监管的通知》，2018年7月23日；</w:t>
      </w:r>
    </w:p>
    <w:p w14:paraId="1A4351B5">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、安徽省人大常委会公告第八号《安徽省淮河流域水污染防治条例》，2019年1月1日；</w:t>
      </w:r>
    </w:p>
    <w:p w14:paraId="17DC236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、安徽省生态环境保护委员会办公室安环委办〔2022〕37号《安徽省生态环境保护委员会办公室关于印发&lt;安徽省2022年大气污染防治工作要点&gt;的通知》，2022年4月6日；</w:t>
      </w:r>
    </w:p>
    <w:p w14:paraId="70528BB4">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、《关于印发&lt;安徽省长江经济带发展负面清单实施细则（试行，2022年版）&gt;的通知》（皖长江办〔2022〕10号），2022年6月13日；</w:t>
      </w:r>
    </w:p>
    <w:p w14:paraId="0017E2B7">
      <w:pPr>
        <w:pStyle w:val="251"/>
        <w:ind w:firstLine="480"/>
        <w:rPr>
          <w:rFonts w:hint="default" w:ascii="Times New Roman" w:hAnsi="Times New Roman" w:cs="Times New Roman"/>
          <w:color w:val="000000" w:themeColor="text1"/>
          <w14:textFill>
            <w14:solidFill>
              <w14:schemeClr w14:val="tx1"/>
            </w14:solidFill>
          </w14:textFill>
        </w:rPr>
      </w:pPr>
    </w:p>
    <w:p w14:paraId="1929E354">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、《安徽省人民政府关于印发&lt;安徽省空气质量持续改善行动方案的通知&gt;》（皖政〔2024〕36号）；</w:t>
      </w:r>
    </w:p>
    <w:p w14:paraId="154381A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w:t>
      </w:r>
      <w:r>
        <w:rPr>
          <w:rFonts w:hint="eastAsia"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、《安徽省“十四五”大气污染防治规划》（皖环发〔2022〕12号）；</w:t>
      </w:r>
    </w:p>
    <w:p w14:paraId="58497CA3">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16</w:t>
      </w:r>
      <w:r>
        <w:rPr>
          <w:rFonts w:hint="default" w:ascii="Times New Roman" w:hAnsi="Times New Roman" w:cs="Times New Roman"/>
          <w:color w:val="000000" w:themeColor="text1"/>
          <w14:textFill>
            <w14:solidFill>
              <w14:schemeClr w14:val="tx1"/>
            </w14:solidFill>
          </w14:textFill>
        </w:rPr>
        <w:t>、《安徽省“十四五”危险废物工业固体废物污染环境防治规划》（皖环发〔2021〕40号）；</w:t>
      </w:r>
    </w:p>
    <w:p w14:paraId="1657419D">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17</w:t>
      </w:r>
      <w:r>
        <w:rPr>
          <w:rFonts w:hint="default" w:ascii="Times New Roman" w:hAnsi="Times New Roman" w:cs="Times New Roman"/>
          <w:color w:val="000000" w:themeColor="text1"/>
          <w14:textFill>
            <w14:solidFill>
              <w14:schemeClr w14:val="tx1"/>
            </w14:solidFill>
          </w14:textFill>
        </w:rPr>
        <w:t>、《淮南市“十四五”大气污染防治规划》（淮环委办〔2022〕149号）；</w:t>
      </w:r>
    </w:p>
    <w:p w14:paraId="70447AFC">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18</w:t>
      </w:r>
      <w:r>
        <w:rPr>
          <w:rFonts w:hint="default" w:ascii="Times New Roman" w:hAnsi="Times New Roman" w:cs="Times New Roman"/>
          <w:color w:val="000000" w:themeColor="text1"/>
          <w14:textFill>
            <w14:solidFill>
              <w14:schemeClr w14:val="tx1"/>
            </w14:solidFill>
          </w14:textFill>
        </w:rPr>
        <w:t>、《淮南市“十四五”危险废物工业固体废物污染环境防治规划》（淮环通〔2022〕47号）。</w:t>
      </w:r>
    </w:p>
    <w:p w14:paraId="0D8CFD39">
      <w:pPr>
        <w:pStyle w:val="3159"/>
        <w:rPr>
          <w:rFonts w:hint="default" w:ascii="Times New Roman" w:hAnsi="Times New Roman" w:eastAsia="黑体" w:cs="Times New Roman"/>
          <w:b w:val="0"/>
          <w:color w:val="000000" w:themeColor="text1"/>
          <w14:textFill>
            <w14:solidFill>
              <w14:schemeClr w14:val="tx1"/>
            </w14:solidFill>
          </w14:textFill>
        </w:rPr>
      </w:pPr>
      <w:bookmarkStart w:id="20" w:name="_Toc173837612"/>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1</w:t>
      </w:r>
      <w:r>
        <w:rPr>
          <w:rFonts w:hint="default" w:ascii="Times New Roman" w:hAnsi="Times New Roman" w:eastAsia="黑体" w:cs="Times New Roman"/>
          <w:b w:val="0"/>
          <w:color w:val="000000" w:themeColor="text1"/>
          <w14:textFill>
            <w14:solidFill>
              <w14:schemeClr w14:val="tx1"/>
            </w14:solidFill>
          </w14:textFill>
        </w:rPr>
        <w:t>.3相关导则及技术规范</w:t>
      </w:r>
      <w:bookmarkEnd w:id="20"/>
    </w:p>
    <w:p w14:paraId="2247DEC9">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1、《建设项目环境影响评价技术导则总纲》(HJ2.1-2016)；</w:t>
      </w:r>
    </w:p>
    <w:p w14:paraId="66FE161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2、《环境影响评价技术导则大气环境》(HJ2.2-2018)；</w:t>
      </w:r>
    </w:p>
    <w:p w14:paraId="5AE31AE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3、《环境影响评价技术导则地表水环境》(HJ2.3-2018)；</w:t>
      </w:r>
    </w:p>
    <w:p w14:paraId="18FB9EA9">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4、《环境影响评价技术导则地下水环境》(HJ610-2016)；</w:t>
      </w:r>
    </w:p>
    <w:p w14:paraId="0B560825">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5、《环境影响评价技术导则声环境》(HJ2.4-2021)；</w:t>
      </w:r>
    </w:p>
    <w:p w14:paraId="01E38D5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6、《建设项目环境风险评价技术导则》（HJ169-2018）；</w:t>
      </w:r>
    </w:p>
    <w:p w14:paraId="41315B8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7、《环境影响评价技术导则土壤环境（试行）》（HJ964-2018）；</w:t>
      </w:r>
    </w:p>
    <w:p w14:paraId="22A0EE4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8、《环境影响评价技术导则生态影响》（HJ19-2022）；</w:t>
      </w:r>
    </w:p>
    <w:p w14:paraId="4113267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9、《企业突发环境事件风险分级方法》（HJ941-2018）；</w:t>
      </w:r>
    </w:p>
    <w:p w14:paraId="1D7FDF2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10、《固体废物鉴别标准通则》（GB34330-2017）；</w:t>
      </w:r>
    </w:p>
    <w:p w14:paraId="3EE36384">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11、《危险废物鉴别标准通则》（GB5085.7-2019）；</w:t>
      </w:r>
    </w:p>
    <w:p w14:paraId="6E86151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12、《危险废物收集、贮存、运输技术规范》（GB2025-2012）；</w:t>
      </w:r>
    </w:p>
    <w:p w14:paraId="6DAB920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13、《危险废物处置工程技术导则》(HJ2042-2014)；</w:t>
      </w:r>
    </w:p>
    <w:p w14:paraId="3C7514E3">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14</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《大气污染治理工程技术导则》（HJ2000-2010）；</w:t>
      </w:r>
    </w:p>
    <w:p w14:paraId="05A4574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15、《一般固体废物分类与代码》（GB/T39198-2020）；</w:t>
      </w:r>
    </w:p>
    <w:p w14:paraId="103C2FA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16、《固体废物再生利用污染防治技术导则》（HJ1091-2020）；</w:t>
      </w:r>
    </w:p>
    <w:p w14:paraId="586EC889">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17、《排污单位自行监测技术指南废弃资源加工工业》（HJ1034-2019）；</w:t>
      </w:r>
    </w:p>
    <w:p w14:paraId="0C4CD803">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18、</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排污单位自行监测技术指南橡胶和塑料制品</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（HJ 1207—2021）；</w:t>
      </w:r>
    </w:p>
    <w:p w14:paraId="5A1123B3">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19</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HYPERLINK "https://www.mee.gov.cn/ywgz/fgbz/bz/bzwb/pwxk/201908/W020190828514974076303.pdf"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排污许可证申请与核发技术规范废弃资源加工工业》（HJ1034—2019）</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w:t>
      </w:r>
    </w:p>
    <w:p w14:paraId="7086FB2E">
      <w:pPr>
        <w:pStyle w:val="251"/>
        <w:ind w:firstLine="48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20、《排污许可证申请与核发技术规范橡胶和塑料制品工业》（HJ1122—2020）；</w:t>
      </w:r>
    </w:p>
    <w:p w14:paraId="6DA524A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、《工业企业土壤和地下水自行监测技术指南（试行）》（HJ1209-2021）；</w:t>
      </w:r>
    </w:p>
    <w:p w14:paraId="59D78545">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、安徽省地方标准《固定源挥发性有机物综合排放标准 第6部分其他行业》（DB34 4812.6-2024）；</w:t>
      </w:r>
    </w:p>
    <w:p w14:paraId="7B2DCA82">
      <w:pPr>
        <w:pStyle w:val="3159"/>
        <w:tabs>
          <w:tab w:val="center" w:pos="4153"/>
        </w:tabs>
        <w:rPr>
          <w:rFonts w:hint="default" w:ascii="Times New Roman" w:hAnsi="Times New Roman" w:eastAsia="黑体" w:cs="Times New Roman"/>
          <w:b w:val="0"/>
          <w:color w:val="000000" w:themeColor="text1"/>
          <w14:textFill>
            <w14:solidFill>
              <w14:schemeClr w14:val="tx1"/>
            </w14:solidFill>
          </w14:textFill>
        </w:rPr>
      </w:pPr>
      <w:bookmarkStart w:id="21" w:name="_Toc173837613"/>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1</w:t>
      </w:r>
      <w:r>
        <w:rPr>
          <w:rFonts w:hint="default" w:ascii="Times New Roman" w:hAnsi="Times New Roman" w:eastAsia="黑体" w:cs="Times New Roman"/>
          <w:b w:val="0"/>
          <w:color w:val="000000" w:themeColor="text1"/>
          <w14:textFill>
            <w14:solidFill>
              <w14:schemeClr w14:val="tx1"/>
            </w14:solidFill>
          </w14:textFill>
        </w:rPr>
        <w:t>.4项目依据</w:t>
      </w:r>
      <w:bookmarkEnd w:id="21"/>
    </w:p>
    <w:p w14:paraId="79ED4DD3">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1、淮南市毛集社会发展综合实验区发展改革局，《</w:t>
      </w:r>
      <w:r>
        <w:rPr>
          <w:rFonts w:hint="default" w:ascii="Times New Roman" w:hAnsi="Times New Roman" w:cs="Times New Roman"/>
          <w:color w:val="000000" w:themeColor="text1"/>
          <w:lang w:eastAsia="zh-CN"/>
          <w14:textFill>
            <w14:solidFill>
              <w14:schemeClr w14:val="tx1"/>
            </w14:solidFill>
          </w14:textFill>
        </w:rPr>
        <w:t>安徽楹聚环保科技有限公司PET再生资源综合利用项目</w:t>
      </w:r>
      <w:r>
        <w:rPr>
          <w:rFonts w:hint="default" w:ascii="Times New Roman" w:hAnsi="Times New Roman" w:cs="Times New Roman"/>
          <w:color w:val="000000" w:themeColor="text1"/>
          <w14:textFill>
            <w14:solidFill>
              <w14:schemeClr w14:val="tx1"/>
            </w14:solidFill>
          </w14:textFill>
        </w:rPr>
        <w:t>备案表》</w:t>
      </w:r>
      <w:r>
        <w:rPr>
          <w:rFonts w:hint="default" w:ascii="Times New Roman" w:hAnsi="Times New Roman" w:cs="Times New Roman"/>
          <w:color w:val="000000" w:themeColor="text1"/>
          <w:szCs w:val="24"/>
          <w14:textFill>
            <w14:solidFill>
              <w14:schemeClr w14:val="tx1"/>
            </w14:solidFill>
          </w14:textFill>
        </w:rPr>
        <w:t>（项目代码：</w:t>
      </w:r>
      <w:r>
        <w:rPr>
          <w:rFonts w:hint="default" w:ascii="Times New Roman" w:hAnsi="Times New Roman" w:cs="Times New Roman"/>
          <w:color w:val="000000" w:themeColor="text1"/>
          <w:szCs w:val="24"/>
          <w:lang w:eastAsia="zh-CN"/>
          <w14:textFill>
            <w14:solidFill>
              <w14:schemeClr w14:val="tx1"/>
            </w14:solidFill>
          </w14:textFill>
        </w:rPr>
        <w:t>2507-340407-04-01-650055</w:t>
      </w:r>
      <w:r>
        <w:rPr>
          <w:rFonts w:hint="default" w:ascii="Times New Roman" w:hAnsi="Times New Roman" w:cs="Times New Roman"/>
          <w:color w:val="000000" w:themeColor="text1"/>
          <w:szCs w:val="24"/>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w:t>
      </w:r>
    </w:p>
    <w:p w14:paraId="26B5CEB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w:t>
      </w:r>
      <w:r>
        <w:rPr>
          <w:rFonts w:hint="eastAsia" w:ascii="Times New Roman" w:hAnsi="Times New Roman" w:cs="Times New Roman"/>
          <w:color w:val="000000" w:themeColor="text1"/>
          <w:lang w:eastAsia="zh-CN"/>
          <w14:textFill>
            <w14:solidFill>
              <w14:schemeClr w14:val="tx1"/>
            </w14:solidFill>
          </w14:textFill>
        </w:rPr>
        <w:t>安徽淮南毛集经济开发区规划环境影响报告书</w:t>
      </w:r>
      <w:r>
        <w:rPr>
          <w:rFonts w:hint="default" w:ascii="Times New Roman" w:hAnsi="Times New Roman" w:cs="Times New Roman"/>
          <w:color w:val="000000" w:themeColor="text1"/>
          <w14:textFill>
            <w14:solidFill>
              <w14:schemeClr w14:val="tx1"/>
            </w14:solidFill>
          </w14:textFill>
        </w:rPr>
        <w:t>》及其审查意见；</w:t>
      </w:r>
    </w:p>
    <w:p w14:paraId="0811DF49">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安徽鑫程检测科技有限公司</w:t>
      </w:r>
      <w:r>
        <w:rPr>
          <w:rFonts w:hint="default" w:ascii="Times New Roman" w:hAnsi="Times New Roman" w:cs="Times New Roman"/>
          <w:color w:val="000000" w:themeColor="text1"/>
          <w14:textFill>
            <w14:solidFill>
              <w14:schemeClr w14:val="tx1"/>
            </w14:solidFill>
          </w14:textFill>
        </w:rPr>
        <w:t>提供的环境现状监测资料；</w:t>
      </w:r>
    </w:p>
    <w:p w14:paraId="26699528">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安徽楹聚环保科技有限公司</w:t>
      </w:r>
      <w:r>
        <w:rPr>
          <w:rFonts w:hint="default" w:ascii="Times New Roman" w:hAnsi="Times New Roman" w:cs="Times New Roman"/>
          <w:color w:val="000000" w:themeColor="text1"/>
          <w14:textFill>
            <w14:solidFill>
              <w14:schemeClr w14:val="tx1"/>
            </w14:solidFill>
          </w14:textFill>
        </w:rPr>
        <w:t>提供的相关资料。</w:t>
      </w:r>
    </w:p>
    <w:p w14:paraId="6E349604">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22" w:name="_Toc173837614"/>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2</w:t>
      </w:r>
      <w:r>
        <w:rPr>
          <w:rFonts w:hint="default" w:ascii="Times New Roman" w:hAnsi="Times New Roman" w:eastAsia="黑体" w:cs="Times New Roman"/>
          <w:b w:val="0"/>
          <w:color w:val="000000" w:themeColor="text1"/>
          <w14:textFill>
            <w14:solidFill>
              <w14:schemeClr w14:val="tx1"/>
            </w14:solidFill>
          </w14:textFill>
        </w:rPr>
        <w:t>评价因子与评价标准</w:t>
      </w:r>
      <w:bookmarkEnd w:id="22"/>
    </w:p>
    <w:p w14:paraId="0F18CB2E">
      <w:pPr>
        <w:pStyle w:val="3159"/>
        <w:tabs>
          <w:tab w:val="center" w:pos="4153"/>
        </w:tabs>
        <w:rPr>
          <w:rFonts w:hint="default" w:ascii="Times New Roman" w:hAnsi="Times New Roman" w:eastAsia="黑体" w:cs="Times New Roman"/>
          <w:b w:val="0"/>
          <w:color w:val="000000" w:themeColor="text1"/>
          <w14:textFill>
            <w14:solidFill>
              <w14:schemeClr w14:val="tx1"/>
            </w14:solidFill>
          </w14:textFill>
        </w:rPr>
      </w:pPr>
      <w:bookmarkStart w:id="23" w:name="_Toc173837615"/>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2</w:t>
      </w:r>
      <w:r>
        <w:rPr>
          <w:rFonts w:hint="default" w:ascii="Times New Roman" w:hAnsi="Times New Roman" w:eastAsia="黑体" w:cs="Times New Roman"/>
          <w:b w:val="0"/>
          <w:color w:val="000000" w:themeColor="text1"/>
          <w14:textFill>
            <w14:solidFill>
              <w14:schemeClr w14:val="tx1"/>
            </w14:solidFill>
          </w14:textFill>
        </w:rPr>
        <w:t>.1环境影响识别</w:t>
      </w:r>
      <w:bookmarkEnd w:id="23"/>
    </w:p>
    <w:p w14:paraId="7849FC09">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根据本项目的工程特点，通过初步分析识别环境因素，并依据污染排放量的情况等，筛选本评价的各项评价因子见下表：</w:t>
      </w:r>
    </w:p>
    <w:p w14:paraId="6A04EA52">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2</w:t>
      </w:r>
      <w:r>
        <w:rPr>
          <w:rFonts w:hint="default" w:ascii="Times New Roman" w:hAnsi="Times New Roman" w:eastAsia="黑体" w:cs="Times New Roman"/>
          <w:bCs/>
          <w:color w:val="000000" w:themeColor="text1"/>
          <w:sz w:val="24"/>
          <w14:textFill>
            <w14:solidFill>
              <w14:schemeClr w14:val="tx1"/>
            </w14:solidFill>
          </w14:textFill>
        </w:rPr>
        <w:t>-1项目环境影响识别汇总表</w:t>
      </w:r>
    </w:p>
    <w:tbl>
      <w:tblPr>
        <w:tblStyle w:val="88"/>
        <w:tblW w:w="0" w:type="auto"/>
        <w:tblInd w:w="0" w:type="dxa"/>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217"/>
        <w:gridCol w:w="1217"/>
        <w:gridCol w:w="1217"/>
        <w:gridCol w:w="1217"/>
        <w:gridCol w:w="1218"/>
        <w:gridCol w:w="1218"/>
        <w:gridCol w:w="1218"/>
      </w:tblGrid>
      <w:tr w14:paraId="02AAC0EA">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434" w:type="dxa"/>
            <w:gridSpan w:val="2"/>
            <w:tcBorders>
              <w:tl2br w:val="single" w:color="000000" w:themeColor="text1" w:sz="12" w:space="0"/>
            </w:tcBorders>
            <w:vAlign w:val="center"/>
          </w:tcPr>
          <w:p w14:paraId="4450DBA8">
            <w:pPr>
              <w:spacing w:line="276" w:lineRule="auto"/>
              <w:ind w:firstLine="1317" w:firstLineChars="637"/>
              <w:jc w:val="left"/>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影响受体</w:t>
            </w:r>
          </w:p>
          <w:p w14:paraId="4EF689CE">
            <w:pPr>
              <w:spacing w:line="276" w:lineRule="auto"/>
              <w:jc w:val="left"/>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影响因素</w:t>
            </w:r>
          </w:p>
        </w:tc>
        <w:tc>
          <w:tcPr>
            <w:tcW w:w="1217" w:type="dxa"/>
            <w:vAlign w:val="center"/>
          </w:tcPr>
          <w:p w14:paraId="1E89D19E">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环境空气</w:t>
            </w:r>
          </w:p>
        </w:tc>
        <w:tc>
          <w:tcPr>
            <w:tcW w:w="1217" w:type="dxa"/>
            <w:vAlign w:val="center"/>
          </w:tcPr>
          <w:p w14:paraId="540E1BD7">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地表水</w:t>
            </w:r>
          </w:p>
          <w:p w14:paraId="6C8AF626">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环境</w:t>
            </w:r>
          </w:p>
        </w:tc>
        <w:tc>
          <w:tcPr>
            <w:tcW w:w="1218" w:type="dxa"/>
            <w:vAlign w:val="center"/>
          </w:tcPr>
          <w:p w14:paraId="365C1749">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地下水</w:t>
            </w:r>
          </w:p>
          <w:p w14:paraId="5B6C3450">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环境</w:t>
            </w:r>
          </w:p>
        </w:tc>
        <w:tc>
          <w:tcPr>
            <w:tcW w:w="1218" w:type="dxa"/>
            <w:vAlign w:val="center"/>
          </w:tcPr>
          <w:p w14:paraId="6521A6FD">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土壤环境</w:t>
            </w:r>
          </w:p>
        </w:tc>
        <w:tc>
          <w:tcPr>
            <w:tcW w:w="1218" w:type="dxa"/>
            <w:vAlign w:val="center"/>
          </w:tcPr>
          <w:p w14:paraId="665AD66C">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声环境</w:t>
            </w:r>
          </w:p>
        </w:tc>
      </w:tr>
      <w:tr w14:paraId="63F8AB8A">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17" w:type="dxa"/>
            <w:vMerge w:val="restart"/>
            <w:vAlign w:val="center"/>
          </w:tcPr>
          <w:p w14:paraId="6E2269AE">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运行期</w:t>
            </w:r>
          </w:p>
        </w:tc>
        <w:tc>
          <w:tcPr>
            <w:tcW w:w="1217" w:type="dxa"/>
            <w:vAlign w:val="center"/>
          </w:tcPr>
          <w:p w14:paraId="575BA9B3">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废水排放</w:t>
            </w:r>
          </w:p>
        </w:tc>
        <w:tc>
          <w:tcPr>
            <w:tcW w:w="1217" w:type="dxa"/>
            <w:vAlign w:val="center"/>
          </w:tcPr>
          <w:p w14:paraId="698B6E62">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0</w:t>
            </w:r>
          </w:p>
        </w:tc>
        <w:tc>
          <w:tcPr>
            <w:tcW w:w="1217" w:type="dxa"/>
            <w:vAlign w:val="center"/>
          </w:tcPr>
          <w:p w14:paraId="490FA6FC">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-1LRDC</w:t>
            </w:r>
          </w:p>
        </w:tc>
        <w:tc>
          <w:tcPr>
            <w:tcW w:w="1218" w:type="dxa"/>
            <w:vAlign w:val="center"/>
          </w:tcPr>
          <w:p w14:paraId="000E7F74">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-1LRDC</w:t>
            </w:r>
          </w:p>
        </w:tc>
        <w:tc>
          <w:tcPr>
            <w:tcW w:w="1218" w:type="dxa"/>
            <w:vAlign w:val="center"/>
          </w:tcPr>
          <w:p w14:paraId="0DCEE42B">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-1LRDC</w:t>
            </w:r>
          </w:p>
        </w:tc>
        <w:tc>
          <w:tcPr>
            <w:tcW w:w="1218" w:type="dxa"/>
            <w:vAlign w:val="center"/>
          </w:tcPr>
          <w:p w14:paraId="3DA312BC">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0</w:t>
            </w:r>
          </w:p>
        </w:tc>
      </w:tr>
      <w:tr w14:paraId="5531CDD9">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17" w:type="dxa"/>
            <w:vMerge w:val="continue"/>
            <w:vAlign w:val="center"/>
          </w:tcPr>
          <w:p w14:paraId="2AA4C9A8">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p>
        </w:tc>
        <w:tc>
          <w:tcPr>
            <w:tcW w:w="1217" w:type="dxa"/>
            <w:vAlign w:val="center"/>
          </w:tcPr>
          <w:p w14:paraId="6DF64664">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废气排放</w:t>
            </w:r>
          </w:p>
        </w:tc>
        <w:tc>
          <w:tcPr>
            <w:tcW w:w="1217" w:type="dxa"/>
            <w:vAlign w:val="center"/>
          </w:tcPr>
          <w:p w14:paraId="7B0B4C41">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-1LRDC</w:t>
            </w:r>
          </w:p>
        </w:tc>
        <w:tc>
          <w:tcPr>
            <w:tcW w:w="1217" w:type="dxa"/>
            <w:vAlign w:val="center"/>
          </w:tcPr>
          <w:p w14:paraId="36CC5DE4">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0</w:t>
            </w:r>
          </w:p>
        </w:tc>
        <w:tc>
          <w:tcPr>
            <w:tcW w:w="1218" w:type="dxa"/>
            <w:vAlign w:val="center"/>
          </w:tcPr>
          <w:p w14:paraId="255B60CE">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0</w:t>
            </w:r>
          </w:p>
        </w:tc>
        <w:tc>
          <w:tcPr>
            <w:tcW w:w="1218" w:type="dxa"/>
            <w:vAlign w:val="center"/>
          </w:tcPr>
          <w:p w14:paraId="0014C98D">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0</w:t>
            </w:r>
          </w:p>
        </w:tc>
        <w:tc>
          <w:tcPr>
            <w:tcW w:w="1218" w:type="dxa"/>
            <w:vAlign w:val="center"/>
          </w:tcPr>
          <w:p w14:paraId="74A20B96">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0</w:t>
            </w:r>
          </w:p>
        </w:tc>
      </w:tr>
      <w:tr w14:paraId="5E380316">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17" w:type="dxa"/>
            <w:vMerge w:val="continue"/>
            <w:vAlign w:val="center"/>
          </w:tcPr>
          <w:p w14:paraId="50129413">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p>
        </w:tc>
        <w:tc>
          <w:tcPr>
            <w:tcW w:w="1217" w:type="dxa"/>
            <w:vAlign w:val="center"/>
          </w:tcPr>
          <w:p w14:paraId="24671AED">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噪声排放</w:t>
            </w:r>
          </w:p>
        </w:tc>
        <w:tc>
          <w:tcPr>
            <w:tcW w:w="1217" w:type="dxa"/>
            <w:vAlign w:val="center"/>
          </w:tcPr>
          <w:p w14:paraId="55896E9E">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0</w:t>
            </w:r>
          </w:p>
        </w:tc>
        <w:tc>
          <w:tcPr>
            <w:tcW w:w="1217" w:type="dxa"/>
            <w:vAlign w:val="center"/>
          </w:tcPr>
          <w:p w14:paraId="520BF644">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0</w:t>
            </w:r>
          </w:p>
        </w:tc>
        <w:tc>
          <w:tcPr>
            <w:tcW w:w="1218" w:type="dxa"/>
            <w:vAlign w:val="center"/>
          </w:tcPr>
          <w:p w14:paraId="1C20A12A">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0</w:t>
            </w:r>
          </w:p>
        </w:tc>
        <w:tc>
          <w:tcPr>
            <w:tcW w:w="1218" w:type="dxa"/>
            <w:vAlign w:val="center"/>
          </w:tcPr>
          <w:p w14:paraId="4EBE538B">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0</w:t>
            </w:r>
          </w:p>
        </w:tc>
        <w:tc>
          <w:tcPr>
            <w:tcW w:w="1218" w:type="dxa"/>
            <w:vAlign w:val="center"/>
          </w:tcPr>
          <w:p w14:paraId="62911CCF">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-1LRDC</w:t>
            </w:r>
          </w:p>
        </w:tc>
      </w:tr>
      <w:tr w14:paraId="11BE503E">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17" w:type="dxa"/>
            <w:vMerge w:val="continue"/>
            <w:vAlign w:val="center"/>
          </w:tcPr>
          <w:p w14:paraId="1128C1B5">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p>
        </w:tc>
        <w:tc>
          <w:tcPr>
            <w:tcW w:w="1217" w:type="dxa"/>
            <w:vAlign w:val="center"/>
          </w:tcPr>
          <w:p w14:paraId="17EAF620">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固体废物</w:t>
            </w:r>
          </w:p>
        </w:tc>
        <w:tc>
          <w:tcPr>
            <w:tcW w:w="1217" w:type="dxa"/>
            <w:vAlign w:val="center"/>
          </w:tcPr>
          <w:p w14:paraId="6BD19325">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0</w:t>
            </w:r>
          </w:p>
        </w:tc>
        <w:tc>
          <w:tcPr>
            <w:tcW w:w="1217" w:type="dxa"/>
            <w:vAlign w:val="center"/>
          </w:tcPr>
          <w:p w14:paraId="07148837">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0</w:t>
            </w:r>
          </w:p>
        </w:tc>
        <w:tc>
          <w:tcPr>
            <w:tcW w:w="1218" w:type="dxa"/>
            <w:vAlign w:val="center"/>
          </w:tcPr>
          <w:p w14:paraId="57A0FAF1">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-1LRDC</w:t>
            </w:r>
          </w:p>
        </w:tc>
        <w:tc>
          <w:tcPr>
            <w:tcW w:w="1218" w:type="dxa"/>
            <w:vAlign w:val="center"/>
          </w:tcPr>
          <w:p w14:paraId="0D19D9FA">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-1LRDC</w:t>
            </w:r>
          </w:p>
        </w:tc>
        <w:tc>
          <w:tcPr>
            <w:tcW w:w="1218" w:type="dxa"/>
            <w:vAlign w:val="center"/>
          </w:tcPr>
          <w:p w14:paraId="2EB07829">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0</w:t>
            </w:r>
          </w:p>
        </w:tc>
      </w:tr>
      <w:tr w14:paraId="2E8B59F7">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217" w:type="dxa"/>
            <w:vMerge w:val="continue"/>
            <w:vAlign w:val="center"/>
          </w:tcPr>
          <w:p w14:paraId="34885C77">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p>
        </w:tc>
        <w:tc>
          <w:tcPr>
            <w:tcW w:w="1217" w:type="dxa"/>
            <w:vAlign w:val="center"/>
          </w:tcPr>
          <w:p w14:paraId="49274C5C">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事故风险</w:t>
            </w:r>
          </w:p>
        </w:tc>
        <w:tc>
          <w:tcPr>
            <w:tcW w:w="1217" w:type="dxa"/>
            <w:vAlign w:val="center"/>
          </w:tcPr>
          <w:p w14:paraId="3990F2E2">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lang w:val="en-US" w:eastAsia="zh-CN"/>
                <w14:textFill>
                  <w14:solidFill>
                    <w14:schemeClr w14:val="tx1"/>
                  </w14:solidFill>
                </w14:textFill>
              </w:rPr>
              <w:t>1</w:t>
            </w:r>
            <w:r>
              <w:rPr>
                <w:rFonts w:hint="default" w:ascii="Times New Roman" w:hAnsi="Times New Roman" w:cs="Times New Roman"/>
                <w:bCs/>
                <w:color w:val="000000" w:themeColor="text1"/>
                <w:sz w:val="21"/>
                <w:szCs w:val="21"/>
                <w14:textFill>
                  <w14:solidFill>
                    <w14:schemeClr w14:val="tx1"/>
                  </w14:solidFill>
                </w14:textFill>
              </w:rPr>
              <w:t>SRDNC</w:t>
            </w:r>
          </w:p>
        </w:tc>
        <w:tc>
          <w:tcPr>
            <w:tcW w:w="1217" w:type="dxa"/>
            <w:vAlign w:val="center"/>
          </w:tcPr>
          <w:p w14:paraId="3D8709B4">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-1SRDNC</w:t>
            </w:r>
          </w:p>
        </w:tc>
        <w:tc>
          <w:tcPr>
            <w:tcW w:w="1218" w:type="dxa"/>
            <w:vAlign w:val="center"/>
          </w:tcPr>
          <w:p w14:paraId="451386FE">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lang w:val="en-US" w:eastAsia="zh-CN"/>
                <w14:textFill>
                  <w14:solidFill>
                    <w14:schemeClr w14:val="tx1"/>
                  </w14:solidFill>
                </w14:textFill>
              </w:rPr>
              <w:t>1</w:t>
            </w:r>
            <w:r>
              <w:rPr>
                <w:rFonts w:hint="default" w:ascii="Times New Roman" w:hAnsi="Times New Roman" w:cs="Times New Roman"/>
                <w:bCs/>
                <w:color w:val="000000" w:themeColor="text1"/>
                <w:sz w:val="21"/>
                <w:szCs w:val="21"/>
                <w14:textFill>
                  <w14:solidFill>
                    <w14:schemeClr w14:val="tx1"/>
                  </w14:solidFill>
                </w14:textFill>
              </w:rPr>
              <w:t>SRDNC</w:t>
            </w:r>
          </w:p>
        </w:tc>
        <w:tc>
          <w:tcPr>
            <w:tcW w:w="1218" w:type="dxa"/>
            <w:vAlign w:val="center"/>
          </w:tcPr>
          <w:p w14:paraId="7665A2DF">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lang w:val="en-US" w:eastAsia="zh-CN"/>
                <w14:textFill>
                  <w14:solidFill>
                    <w14:schemeClr w14:val="tx1"/>
                  </w14:solidFill>
                </w14:textFill>
              </w:rPr>
              <w:t>1</w:t>
            </w:r>
            <w:r>
              <w:rPr>
                <w:rFonts w:hint="default" w:ascii="Times New Roman" w:hAnsi="Times New Roman" w:cs="Times New Roman"/>
                <w:bCs/>
                <w:color w:val="000000" w:themeColor="text1"/>
                <w:sz w:val="21"/>
                <w:szCs w:val="21"/>
                <w14:textFill>
                  <w14:solidFill>
                    <w14:schemeClr w14:val="tx1"/>
                  </w14:solidFill>
                </w14:textFill>
              </w:rPr>
              <w:t>SRDNC</w:t>
            </w:r>
          </w:p>
        </w:tc>
        <w:tc>
          <w:tcPr>
            <w:tcW w:w="1218" w:type="dxa"/>
            <w:vAlign w:val="center"/>
          </w:tcPr>
          <w:p w14:paraId="7698C213">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0</w:t>
            </w:r>
          </w:p>
        </w:tc>
      </w:tr>
    </w:tbl>
    <w:p w14:paraId="1532B1DB">
      <w:pPr>
        <w:ind w:firstLine="412" w:firstLineChars="200"/>
        <w:rPr>
          <w:rFonts w:hint="default" w:ascii="Times New Roman" w:hAnsi="Times New Roman" w:eastAsia="黑体" w:cs="Times New Roman"/>
          <w:bCs/>
          <w:color w:val="000000" w:themeColor="text1"/>
          <w:sz w:val="21"/>
          <w:szCs w:val="21"/>
          <w14:textFill>
            <w14:solidFill>
              <w14:schemeClr w14:val="tx1"/>
            </w14:solidFill>
          </w14:textFill>
        </w:rPr>
      </w:pPr>
      <w:r>
        <w:rPr>
          <w:rFonts w:hint="default" w:ascii="Times New Roman" w:hAnsi="Times New Roman" w:eastAsia="黑体" w:cs="Times New Roman"/>
          <w:bCs/>
          <w:color w:val="000000" w:themeColor="text1"/>
          <w:sz w:val="21"/>
          <w:szCs w:val="21"/>
          <w14:textFill>
            <w14:solidFill>
              <w14:schemeClr w14:val="tx1"/>
            </w14:solidFill>
          </w14:textFill>
        </w:rPr>
        <w:t>说明:“+”、“—”分别表示有利、不利响；“L”、“S”分别表示长期、短期影响；“0”、“1”、“2”、“3”数值分别表示无影响、轻微影响、中等影响和重大影响；“R”、“IR”分别表示可逆、不可逆影响；“D”、“ID”分别表示直接与间接影响；“C”、“NC”分别表示累积与非累积影响。</w:t>
      </w:r>
    </w:p>
    <w:p w14:paraId="09B9BF34">
      <w:pPr>
        <w:pStyle w:val="3159"/>
        <w:rPr>
          <w:rFonts w:hint="default" w:ascii="Times New Roman" w:hAnsi="Times New Roman" w:eastAsia="黑体" w:cs="Times New Roman"/>
          <w:b w:val="0"/>
          <w:color w:val="000000" w:themeColor="text1"/>
          <w14:textFill>
            <w14:solidFill>
              <w14:schemeClr w14:val="tx1"/>
            </w14:solidFill>
          </w14:textFill>
        </w:rPr>
      </w:pPr>
      <w:bookmarkStart w:id="24" w:name="_Toc173837616"/>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2</w:t>
      </w:r>
      <w:r>
        <w:rPr>
          <w:rFonts w:hint="default" w:ascii="Times New Roman" w:hAnsi="Times New Roman" w:eastAsia="黑体" w:cs="Times New Roman"/>
          <w:b w:val="0"/>
          <w:color w:val="000000" w:themeColor="text1"/>
          <w14:textFill>
            <w14:solidFill>
              <w14:schemeClr w14:val="tx1"/>
            </w14:solidFill>
          </w14:textFill>
        </w:rPr>
        <w:t>.2评价因子筛选</w:t>
      </w:r>
      <w:bookmarkEnd w:id="24"/>
    </w:p>
    <w:p w14:paraId="06486E8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根据本项目排污特征和环境影响因素识别结果及主要环境制约因素分析，结合项目所在区域环境功能要求及保护目标分布情况，确定本项目评价因子见表2.</w:t>
      </w:r>
      <w:r>
        <w:rPr>
          <w:rFonts w:hint="eastAsia"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-2。</w:t>
      </w:r>
    </w:p>
    <w:p w14:paraId="6170442D">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2</w:t>
      </w:r>
      <w:r>
        <w:rPr>
          <w:rFonts w:hint="default" w:ascii="Times New Roman" w:hAnsi="Times New Roman" w:eastAsia="黑体" w:cs="Times New Roman"/>
          <w:bCs/>
          <w:color w:val="000000" w:themeColor="text1"/>
          <w:sz w:val="24"/>
          <w14:textFill>
            <w14:solidFill>
              <w14:schemeClr w14:val="tx1"/>
            </w14:solidFill>
          </w14:textFill>
        </w:rPr>
        <w:t>-2环境影响评价因子识别一览表</w:t>
      </w:r>
    </w:p>
    <w:tbl>
      <w:tblPr>
        <w:tblStyle w:val="88"/>
        <w:tblW w:w="836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7"/>
        <w:gridCol w:w="1699"/>
        <w:gridCol w:w="5217"/>
      </w:tblGrid>
      <w:tr w14:paraId="6F6809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7" w:type="dxa"/>
            <w:tcMar>
              <w:left w:w="28" w:type="dxa"/>
              <w:right w:w="28" w:type="dxa"/>
            </w:tcMar>
            <w:vAlign w:val="center"/>
          </w:tcPr>
          <w:p w14:paraId="54B3A38E">
            <w:pPr>
              <w:adjustRightInd w:val="0"/>
              <w:spacing w:line="252"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环境要素</w:t>
            </w:r>
          </w:p>
        </w:tc>
        <w:tc>
          <w:tcPr>
            <w:tcW w:w="1699" w:type="dxa"/>
            <w:tcMar>
              <w:left w:w="28" w:type="dxa"/>
              <w:right w:w="28" w:type="dxa"/>
            </w:tcMar>
            <w:vAlign w:val="center"/>
          </w:tcPr>
          <w:p w14:paraId="6A211B85">
            <w:pPr>
              <w:adjustRightInd w:val="0"/>
              <w:spacing w:line="252"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项目</w:t>
            </w:r>
          </w:p>
        </w:tc>
        <w:tc>
          <w:tcPr>
            <w:tcW w:w="5217" w:type="dxa"/>
            <w:tcMar>
              <w:left w:w="28" w:type="dxa"/>
              <w:right w:w="28" w:type="dxa"/>
            </w:tcMar>
            <w:vAlign w:val="center"/>
          </w:tcPr>
          <w:p w14:paraId="61E18C76">
            <w:pPr>
              <w:adjustRightInd w:val="0"/>
              <w:spacing w:line="252"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评价因子</w:t>
            </w:r>
          </w:p>
        </w:tc>
      </w:tr>
      <w:tr w14:paraId="202273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7" w:type="dxa"/>
            <w:vMerge w:val="restart"/>
            <w:tcMar>
              <w:left w:w="28" w:type="dxa"/>
              <w:right w:w="28" w:type="dxa"/>
            </w:tcMar>
            <w:vAlign w:val="center"/>
          </w:tcPr>
          <w:p w14:paraId="4E4F1EE7">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环境空气</w:t>
            </w:r>
          </w:p>
        </w:tc>
        <w:tc>
          <w:tcPr>
            <w:tcW w:w="1699" w:type="dxa"/>
            <w:tcMar>
              <w:left w:w="28" w:type="dxa"/>
              <w:right w:w="28" w:type="dxa"/>
            </w:tcMar>
            <w:vAlign w:val="center"/>
          </w:tcPr>
          <w:p w14:paraId="2EB151DF">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现状评价因子</w:t>
            </w:r>
          </w:p>
        </w:tc>
        <w:tc>
          <w:tcPr>
            <w:tcW w:w="5217" w:type="dxa"/>
            <w:tcMar>
              <w:left w:w="28" w:type="dxa"/>
              <w:right w:w="28" w:type="dxa"/>
            </w:tcMar>
            <w:vAlign w:val="center"/>
          </w:tcPr>
          <w:p w14:paraId="42605BFF">
            <w:pPr>
              <w:adjustRightInd w:val="0"/>
              <w:spacing w:line="252"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NO</w:t>
            </w:r>
            <w:r>
              <w:rPr>
                <w:rFonts w:hint="default" w:ascii="Times New Roman" w:hAnsi="Times New Roman" w:cs="Times New Roman"/>
                <w:color w:val="000000" w:themeColor="text1"/>
                <w:sz w:val="21"/>
                <w:szCs w:val="21"/>
                <w:vertAlign w:val="sub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、SO</w:t>
            </w:r>
            <w:r>
              <w:rPr>
                <w:rFonts w:hint="default" w:ascii="Times New Roman" w:hAnsi="Times New Roman" w:cs="Times New Roman"/>
                <w:color w:val="000000" w:themeColor="text1"/>
                <w:sz w:val="21"/>
                <w:szCs w:val="21"/>
                <w:vertAlign w:val="sub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10</w:t>
            </w: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2.5</w:t>
            </w:r>
            <w:r>
              <w:rPr>
                <w:rFonts w:hint="default" w:ascii="Times New Roman" w:hAnsi="Times New Roman" w:cs="Times New Roman"/>
                <w:color w:val="000000" w:themeColor="text1"/>
                <w:sz w:val="21"/>
                <w:szCs w:val="21"/>
                <w14:textFill>
                  <w14:solidFill>
                    <w14:schemeClr w14:val="tx1"/>
                  </w14:solidFill>
                </w14:textFill>
              </w:rPr>
              <w:t>、O</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、CO、TSP、</w:t>
            </w:r>
            <w:r>
              <w:rPr>
                <w:rFonts w:hint="default" w:ascii="Times New Roman" w:hAnsi="Times New Roman" w:cs="Times New Roman"/>
                <w:color w:val="000000" w:themeColor="text1"/>
                <w:sz w:val="21"/>
                <w:szCs w:val="21"/>
                <w:lang w:val="en-US" w:eastAsia="zh-CN"/>
                <w14:textFill>
                  <w14:solidFill>
                    <w14:schemeClr w14:val="tx1"/>
                  </w14:solidFill>
                </w14:textFill>
              </w:rPr>
              <w:t>硫化氢</w:t>
            </w: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、非甲烷总烃</w:t>
            </w: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eastAsia="zh-CN"/>
                <w14:textFill>
                  <w14:solidFill>
                    <w14:schemeClr w14:val="tx1"/>
                  </w14:solidFill>
                </w14:textFill>
              </w:rPr>
              <w:t>臭气浓度</w:t>
            </w:r>
          </w:p>
        </w:tc>
      </w:tr>
      <w:tr w14:paraId="76FE6B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7" w:type="dxa"/>
            <w:vMerge w:val="continue"/>
            <w:tcMar>
              <w:left w:w="28" w:type="dxa"/>
              <w:right w:w="28" w:type="dxa"/>
            </w:tcMar>
            <w:vAlign w:val="center"/>
          </w:tcPr>
          <w:p w14:paraId="3F6FC8EF">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699" w:type="dxa"/>
            <w:tcMar>
              <w:left w:w="28" w:type="dxa"/>
              <w:right w:w="28" w:type="dxa"/>
            </w:tcMar>
            <w:vAlign w:val="center"/>
          </w:tcPr>
          <w:p w14:paraId="6A77FD7F">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总量因子</w:t>
            </w:r>
          </w:p>
        </w:tc>
        <w:tc>
          <w:tcPr>
            <w:tcW w:w="5217" w:type="dxa"/>
            <w:tcMar>
              <w:left w:w="28" w:type="dxa"/>
              <w:right w:w="28" w:type="dxa"/>
            </w:tcMar>
            <w:vAlign w:val="center"/>
          </w:tcPr>
          <w:p w14:paraId="293F476B">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颗粒物、VOCs</w:t>
            </w:r>
          </w:p>
        </w:tc>
      </w:tr>
      <w:tr w14:paraId="54BABD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7" w:type="dxa"/>
            <w:vMerge w:val="continue"/>
            <w:tcMar>
              <w:left w:w="28" w:type="dxa"/>
              <w:right w:w="28" w:type="dxa"/>
            </w:tcMar>
            <w:vAlign w:val="center"/>
          </w:tcPr>
          <w:p w14:paraId="59002179">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699" w:type="dxa"/>
            <w:tcMar>
              <w:left w:w="28" w:type="dxa"/>
              <w:right w:w="28" w:type="dxa"/>
            </w:tcMar>
            <w:vAlign w:val="center"/>
          </w:tcPr>
          <w:p w14:paraId="5DEBB098">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highlight w:val="yellow"/>
                <w:lang w:eastAsia="zh-CN"/>
                <w14:textFill>
                  <w14:solidFill>
                    <w14:schemeClr w14:val="tx1"/>
                  </w14:solidFill>
                </w14:textFill>
              </w:rPr>
              <w:t>影响</w:t>
            </w:r>
            <w:r>
              <w:rPr>
                <w:rFonts w:hint="default" w:ascii="Times New Roman" w:hAnsi="Times New Roman" w:cs="Times New Roman"/>
                <w:color w:val="000000" w:themeColor="text1"/>
                <w:sz w:val="21"/>
                <w:szCs w:val="21"/>
                <w14:textFill>
                  <w14:solidFill>
                    <w14:schemeClr w14:val="tx1"/>
                  </w14:solidFill>
                </w14:textFill>
              </w:rPr>
              <w:t>评价因子</w:t>
            </w:r>
          </w:p>
        </w:tc>
        <w:tc>
          <w:tcPr>
            <w:tcW w:w="5217" w:type="dxa"/>
            <w:tcMar>
              <w:left w:w="28" w:type="dxa"/>
              <w:right w:w="28" w:type="dxa"/>
            </w:tcMar>
            <w:vAlign w:val="center"/>
          </w:tcPr>
          <w:p w14:paraId="0730B3C6">
            <w:pPr>
              <w:adjustRightInd w:val="0"/>
              <w:spacing w:line="252"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TSP、</w:t>
            </w:r>
            <w:r>
              <w:rPr>
                <w:rFonts w:hint="default" w:ascii="Times New Roman" w:hAnsi="Times New Roman" w:cs="Times New Roman"/>
                <w:color w:val="000000" w:themeColor="text1"/>
                <w:sz w:val="21"/>
                <w:szCs w:val="21"/>
                <w:lang w:val="en-US" w:eastAsia="zh-CN"/>
                <w14:textFill>
                  <w14:solidFill>
                    <w14:schemeClr w14:val="tx1"/>
                  </w14:solidFill>
                </w14:textFill>
              </w:rPr>
              <w:t>硫化氢</w:t>
            </w: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、非甲烷总烃</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10</w:t>
            </w: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2.5</w:t>
            </w:r>
          </w:p>
        </w:tc>
      </w:tr>
      <w:tr w14:paraId="014797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7" w:type="dxa"/>
            <w:vMerge w:val="restart"/>
            <w:tcMar>
              <w:left w:w="28" w:type="dxa"/>
              <w:right w:w="28" w:type="dxa"/>
            </w:tcMar>
            <w:vAlign w:val="center"/>
          </w:tcPr>
          <w:p w14:paraId="0798AD8D">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地表水</w:t>
            </w:r>
          </w:p>
        </w:tc>
        <w:tc>
          <w:tcPr>
            <w:tcW w:w="1699" w:type="dxa"/>
            <w:tcMar>
              <w:left w:w="28" w:type="dxa"/>
              <w:right w:w="28" w:type="dxa"/>
            </w:tcMar>
            <w:vAlign w:val="center"/>
          </w:tcPr>
          <w:p w14:paraId="02999531">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现状评价因子</w:t>
            </w:r>
          </w:p>
        </w:tc>
        <w:tc>
          <w:tcPr>
            <w:tcW w:w="5217" w:type="dxa"/>
            <w:tcMar>
              <w:left w:w="28" w:type="dxa"/>
              <w:right w:w="28" w:type="dxa"/>
            </w:tcMar>
            <w:vAlign w:val="center"/>
          </w:tcPr>
          <w:p w14:paraId="1D8E97C9">
            <w:pPr>
              <w:adjustRightInd w:val="0"/>
              <w:spacing w:line="252"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0FCA7B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7" w:type="dxa"/>
            <w:vMerge w:val="continue"/>
            <w:tcMar>
              <w:left w:w="28" w:type="dxa"/>
              <w:right w:w="28" w:type="dxa"/>
            </w:tcMar>
            <w:vAlign w:val="center"/>
          </w:tcPr>
          <w:p w14:paraId="688F6200">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699" w:type="dxa"/>
            <w:tcMar>
              <w:left w:w="28" w:type="dxa"/>
              <w:right w:w="28" w:type="dxa"/>
            </w:tcMar>
            <w:vAlign w:val="center"/>
          </w:tcPr>
          <w:p w14:paraId="11DDCAA6">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影响</w:t>
            </w:r>
            <w:r>
              <w:rPr>
                <w:rFonts w:hint="default" w:ascii="Times New Roman" w:hAnsi="Times New Roman" w:cs="Times New Roman"/>
                <w:color w:val="000000" w:themeColor="text1"/>
                <w:sz w:val="21"/>
                <w:szCs w:val="21"/>
                <w14:textFill>
                  <w14:solidFill>
                    <w14:schemeClr w14:val="tx1"/>
                  </w14:solidFill>
                </w14:textFill>
              </w:rPr>
              <w:t>评价因子</w:t>
            </w:r>
          </w:p>
        </w:tc>
        <w:tc>
          <w:tcPr>
            <w:tcW w:w="5217" w:type="dxa"/>
            <w:tcMar>
              <w:left w:w="28" w:type="dxa"/>
              <w:right w:w="28" w:type="dxa"/>
            </w:tcMar>
            <w:vAlign w:val="center"/>
          </w:tcPr>
          <w:p w14:paraId="77591EE7">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288070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7" w:type="dxa"/>
            <w:vMerge w:val="restart"/>
            <w:tcMar>
              <w:left w:w="28" w:type="dxa"/>
              <w:right w:w="28" w:type="dxa"/>
            </w:tcMar>
            <w:vAlign w:val="center"/>
          </w:tcPr>
          <w:p w14:paraId="41172908">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声环境</w:t>
            </w:r>
          </w:p>
        </w:tc>
        <w:tc>
          <w:tcPr>
            <w:tcW w:w="1699" w:type="dxa"/>
            <w:tcMar>
              <w:left w:w="28" w:type="dxa"/>
              <w:right w:w="28" w:type="dxa"/>
            </w:tcMar>
            <w:vAlign w:val="center"/>
          </w:tcPr>
          <w:p w14:paraId="07DD9E92">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现状评价因子</w:t>
            </w:r>
          </w:p>
        </w:tc>
        <w:tc>
          <w:tcPr>
            <w:tcW w:w="5217" w:type="dxa"/>
            <w:tcMar>
              <w:left w:w="28" w:type="dxa"/>
              <w:right w:w="28" w:type="dxa"/>
            </w:tcMar>
            <w:vAlign w:val="center"/>
          </w:tcPr>
          <w:p w14:paraId="49D63752">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等效连续A声级</w:t>
            </w:r>
          </w:p>
        </w:tc>
      </w:tr>
      <w:tr w14:paraId="02D5A1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7" w:type="dxa"/>
            <w:vMerge w:val="continue"/>
            <w:tcMar>
              <w:left w:w="28" w:type="dxa"/>
              <w:right w:w="28" w:type="dxa"/>
            </w:tcMar>
            <w:vAlign w:val="center"/>
          </w:tcPr>
          <w:p w14:paraId="1BCBF253">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699" w:type="dxa"/>
            <w:tcMar>
              <w:left w:w="28" w:type="dxa"/>
              <w:right w:w="28" w:type="dxa"/>
            </w:tcMar>
            <w:vAlign w:val="center"/>
          </w:tcPr>
          <w:p w14:paraId="5AC6849E">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影响</w:t>
            </w:r>
            <w:r>
              <w:rPr>
                <w:rFonts w:hint="default" w:ascii="Times New Roman" w:hAnsi="Times New Roman" w:cs="Times New Roman"/>
                <w:color w:val="000000" w:themeColor="text1"/>
                <w:sz w:val="21"/>
                <w:szCs w:val="21"/>
                <w14:textFill>
                  <w14:solidFill>
                    <w14:schemeClr w14:val="tx1"/>
                  </w14:solidFill>
                </w14:textFill>
              </w:rPr>
              <w:t>评价因子</w:t>
            </w:r>
          </w:p>
        </w:tc>
        <w:tc>
          <w:tcPr>
            <w:tcW w:w="5217" w:type="dxa"/>
            <w:tcMar>
              <w:left w:w="28" w:type="dxa"/>
              <w:right w:w="28" w:type="dxa"/>
            </w:tcMar>
            <w:vAlign w:val="center"/>
          </w:tcPr>
          <w:p w14:paraId="6ABE62C8">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等效连续A声级</w:t>
            </w:r>
          </w:p>
        </w:tc>
      </w:tr>
      <w:tr w14:paraId="195508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7" w:type="dxa"/>
            <w:vMerge w:val="restart"/>
            <w:tcMar>
              <w:left w:w="28" w:type="dxa"/>
              <w:right w:w="28" w:type="dxa"/>
            </w:tcMar>
            <w:vAlign w:val="center"/>
          </w:tcPr>
          <w:p w14:paraId="4D56A6FF">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地下水环境</w:t>
            </w:r>
          </w:p>
        </w:tc>
        <w:tc>
          <w:tcPr>
            <w:tcW w:w="1699" w:type="dxa"/>
            <w:tcMar>
              <w:left w:w="28" w:type="dxa"/>
              <w:right w:w="28" w:type="dxa"/>
            </w:tcMar>
            <w:vAlign w:val="center"/>
          </w:tcPr>
          <w:p w14:paraId="761B3DBB">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现状评价因子</w:t>
            </w:r>
          </w:p>
        </w:tc>
        <w:tc>
          <w:tcPr>
            <w:tcW w:w="5217" w:type="dxa"/>
            <w:tcMar>
              <w:left w:w="28" w:type="dxa"/>
              <w:right w:w="28" w:type="dxa"/>
            </w:tcMar>
            <w:vAlign w:val="center"/>
          </w:tcPr>
          <w:p w14:paraId="6063DBE5">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K</w:t>
            </w:r>
            <w:r>
              <w:rPr>
                <w:rFonts w:hint="default" w:ascii="Times New Roman" w:hAnsi="Times New Roman" w:cs="Times New Roman"/>
                <w:color w:val="000000" w:themeColor="text1"/>
                <w:sz w:val="21"/>
                <w:szCs w:val="21"/>
                <w:vertAlign w:val="superscript"/>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、Na</w:t>
            </w:r>
            <w:r>
              <w:rPr>
                <w:rFonts w:hint="default" w:ascii="Times New Roman" w:hAnsi="Times New Roman" w:cs="Times New Roman"/>
                <w:color w:val="000000" w:themeColor="text1"/>
                <w:sz w:val="21"/>
                <w:szCs w:val="21"/>
                <w:vertAlign w:val="superscript"/>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、Ca</w:t>
            </w:r>
            <w:r>
              <w:rPr>
                <w:rFonts w:hint="default" w:ascii="Times New Roman" w:hAnsi="Times New Roman" w:cs="Times New Roman"/>
                <w:color w:val="000000" w:themeColor="text1"/>
                <w:sz w:val="21"/>
                <w:szCs w:val="21"/>
                <w:vertAlign w:val="super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、Mg</w:t>
            </w:r>
            <w:r>
              <w:rPr>
                <w:rFonts w:hint="default" w:ascii="Times New Roman" w:hAnsi="Times New Roman" w:cs="Times New Roman"/>
                <w:color w:val="000000" w:themeColor="text1"/>
                <w:sz w:val="21"/>
                <w:szCs w:val="21"/>
                <w:vertAlign w:val="super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、CO</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vertAlign w:val="super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、HCO</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vertAlign w:val="superscript"/>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、Cl</w:t>
            </w:r>
            <w:r>
              <w:rPr>
                <w:rFonts w:hint="default" w:ascii="Times New Roman" w:hAnsi="Times New Roman" w:cs="Times New Roman"/>
                <w:color w:val="000000" w:themeColor="text1"/>
                <w:sz w:val="21"/>
                <w:szCs w:val="21"/>
                <w:vertAlign w:val="superscript"/>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、SO</w:t>
            </w:r>
            <w:r>
              <w:rPr>
                <w:rFonts w:hint="default" w:ascii="Times New Roman" w:hAnsi="Times New Roman" w:cs="Times New Roman"/>
                <w:color w:val="000000" w:themeColor="text1"/>
                <w:sz w:val="21"/>
                <w:szCs w:val="21"/>
                <w:vertAlign w:val="subscript"/>
                <w14:textFill>
                  <w14:solidFill>
                    <w14:schemeClr w14:val="tx1"/>
                  </w14:solidFill>
                </w14:textFill>
              </w:rPr>
              <w:t>4</w:t>
            </w:r>
            <w:r>
              <w:rPr>
                <w:rFonts w:hint="default" w:ascii="Times New Roman" w:hAnsi="Times New Roman" w:cs="Times New Roman"/>
                <w:color w:val="000000" w:themeColor="text1"/>
                <w:sz w:val="21"/>
                <w:szCs w:val="21"/>
                <w:vertAlign w:val="superscript"/>
                <w14:textFill>
                  <w14:solidFill>
                    <w14:schemeClr w14:val="tx1"/>
                  </w14:solidFill>
                </w14:textFill>
              </w:rPr>
              <w:t>2-</w:t>
            </w:r>
            <w:r>
              <w:rPr>
                <w:rFonts w:hint="default" w:ascii="Times New Roman" w:hAnsi="Times New Roman" w:cs="Times New Roman"/>
                <w:color w:val="000000" w:themeColor="text1"/>
                <w:kern w:val="2"/>
                <w:sz w:val="21"/>
                <w:szCs w:val="21"/>
                <w14:textFill>
                  <w14:solidFill>
                    <w14:schemeClr w14:val="tx1"/>
                  </w14:solidFill>
                </w14:textFill>
              </w:rPr>
              <w:t>、色度、嗅和味、浑浊度、肉眼可见物、铜、锌、铝、钠、阴离子表面活性剂、</w:t>
            </w:r>
            <w:r>
              <w:rPr>
                <w:rFonts w:hint="default" w:ascii="Times New Roman" w:hAnsi="Times New Roman" w:cs="Times New Roman"/>
                <w:color w:val="000000" w:themeColor="text1"/>
                <w:sz w:val="21"/>
                <w:szCs w:val="21"/>
                <w14:textFill>
                  <w14:solidFill>
                    <w14:schemeClr w14:val="tx1"/>
                  </w14:solidFill>
                </w14:textFill>
              </w:rPr>
              <w:t>邻-二甲苯、间，对-二甲苯、</w:t>
            </w:r>
            <w:r>
              <w:rPr>
                <w:rFonts w:hint="default" w:ascii="Times New Roman" w:hAnsi="Times New Roman" w:cs="Times New Roman"/>
                <w:color w:val="000000" w:themeColor="text1"/>
                <w:kern w:val="2"/>
                <w:sz w:val="21"/>
                <w:szCs w:val="21"/>
                <w14:textFill>
                  <w14:solidFill>
                    <w14:schemeClr w14:val="tx1"/>
                  </w14:solidFill>
                </w14:textFill>
              </w:rPr>
              <w:t>pH、氨氮、硝酸盐、亚硝酸盐、挥发性酚、氰化物、砷、汞、铬（六价）、总硬度、铅、氟化物、镉、铁、锰、溶解性总固体、耗氧量（高锰酸盐指数）、硫酸盐、氯化物、硫化物、总大肠菌群、菌落总数</w:t>
            </w:r>
          </w:p>
        </w:tc>
      </w:tr>
      <w:tr w14:paraId="0B3C14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7" w:type="dxa"/>
            <w:vMerge w:val="continue"/>
            <w:tcMar>
              <w:left w:w="28" w:type="dxa"/>
              <w:right w:w="28" w:type="dxa"/>
            </w:tcMar>
            <w:vAlign w:val="center"/>
          </w:tcPr>
          <w:p w14:paraId="60C928A5">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699" w:type="dxa"/>
            <w:tcMar>
              <w:left w:w="28" w:type="dxa"/>
              <w:right w:w="28" w:type="dxa"/>
            </w:tcMar>
            <w:vAlign w:val="center"/>
          </w:tcPr>
          <w:p w14:paraId="466B5D8D">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影响</w:t>
            </w:r>
            <w:r>
              <w:rPr>
                <w:rFonts w:hint="default" w:ascii="Times New Roman" w:hAnsi="Times New Roman" w:cs="Times New Roman"/>
                <w:color w:val="000000" w:themeColor="text1"/>
                <w:sz w:val="21"/>
                <w:szCs w:val="21"/>
                <w14:textFill>
                  <w14:solidFill>
                    <w14:schemeClr w14:val="tx1"/>
                  </w14:solidFill>
                </w14:textFill>
              </w:rPr>
              <w:t>评价因子</w:t>
            </w:r>
          </w:p>
        </w:tc>
        <w:tc>
          <w:tcPr>
            <w:tcW w:w="5217" w:type="dxa"/>
            <w:tcMar>
              <w:left w:w="28" w:type="dxa"/>
              <w:right w:w="28" w:type="dxa"/>
            </w:tcMar>
            <w:vAlign w:val="center"/>
          </w:tcPr>
          <w:p w14:paraId="5B369C6C">
            <w:pPr>
              <w:adjustRightInd w:val="0"/>
              <w:spacing w:line="252"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w:t>
            </w:r>
          </w:p>
        </w:tc>
      </w:tr>
      <w:tr w14:paraId="27FB68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7" w:type="dxa"/>
            <w:vMerge w:val="restart"/>
            <w:tcMar>
              <w:left w:w="28" w:type="dxa"/>
              <w:right w:w="28" w:type="dxa"/>
            </w:tcMar>
            <w:vAlign w:val="center"/>
          </w:tcPr>
          <w:p w14:paraId="46487027">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土壤环境</w:t>
            </w:r>
          </w:p>
        </w:tc>
        <w:tc>
          <w:tcPr>
            <w:tcW w:w="1699" w:type="dxa"/>
            <w:tcMar>
              <w:left w:w="28" w:type="dxa"/>
              <w:right w:w="28" w:type="dxa"/>
            </w:tcMar>
            <w:vAlign w:val="center"/>
          </w:tcPr>
          <w:p w14:paraId="6CCF424E">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现状评价因子</w:t>
            </w:r>
          </w:p>
        </w:tc>
        <w:tc>
          <w:tcPr>
            <w:tcW w:w="5217" w:type="dxa"/>
            <w:tcMar>
              <w:left w:w="28" w:type="dxa"/>
              <w:right w:w="28" w:type="dxa"/>
            </w:tcMar>
            <w:vAlign w:val="center"/>
          </w:tcPr>
          <w:p w14:paraId="052D1889">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挥发性有机物、半挥发性有机物</w:t>
            </w:r>
          </w:p>
        </w:tc>
      </w:tr>
      <w:tr w14:paraId="2CE620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7" w:type="dxa"/>
            <w:vMerge w:val="continue"/>
            <w:tcMar>
              <w:left w:w="28" w:type="dxa"/>
              <w:right w:w="28" w:type="dxa"/>
            </w:tcMar>
            <w:vAlign w:val="center"/>
          </w:tcPr>
          <w:p w14:paraId="27FE7411">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699" w:type="dxa"/>
            <w:tcMar>
              <w:left w:w="28" w:type="dxa"/>
              <w:right w:w="28" w:type="dxa"/>
            </w:tcMar>
            <w:vAlign w:val="center"/>
          </w:tcPr>
          <w:p w14:paraId="1A32476F">
            <w:pPr>
              <w:adjustRightInd w:val="0"/>
              <w:spacing w:line="252"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影响</w:t>
            </w:r>
            <w:r>
              <w:rPr>
                <w:rFonts w:hint="default" w:ascii="Times New Roman" w:hAnsi="Times New Roman" w:cs="Times New Roman"/>
                <w:color w:val="000000" w:themeColor="text1"/>
                <w:sz w:val="21"/>
                <w:szCs w:val="21"/>
                <w14:textFill>
                  <w14:solidFill>
                    <w14:schemeClr w14:val="tx1"/>
                  </w14:solidFill>
                </w14:textFill>
              </w:rPr>
              <w:t>评价因子</w:t>
            </w:r>
          </w:p>
        </w:tc>
        <w:tc>
          <w:tcPr>
            <w:tcW w:w="5217" w:type="dxa"/>
            <w:tcMar>
              <w:left w:w="28" w:type="dxa"/>
              <w:right w:w="28" w:type="dxa"/>
            </w:tcMar>
            <w:vAlign w:val="center"/>
          </w:tcPr>
          <w:p w14:paraId="26626511">
            <w:pPr>
              <w:adjustRightInd w:val="0"/>
              <w:spacing w:line="252"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r>
    </w:tbl>
    <w:p w14:paraId="2E0E396F">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25" w:name="_Toc173837617"/>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3</w:t>
      </w:r>
      <w:r>
        <w:rPr>
          <w:rFonts w:hint="default" w:ascii="Times New Roman" w:hAnsi="Times New Roman" w:eastAsia="黑体" w:cs="Times New Roman"/>
          <w:b w:val="0"/>
          <w:color w:val="000000" w:themeColor="text1"/>
          <w14:textFill>
            <w14:solidFill>
              <w14:schemeClr w14:val="tx1"/>
            </w14:solidFill>
          </w14:textFill>
        </w:rPr>
        <w:t>评价工作等级</w:t>
      </w:r>
      <w:bookmarkEnd w:id="25"/>
    </w:p>
    <w:p w14:paraId="44E703B6">
      <w:pPr>
        <w:pStyle w:val="3159"/>
        <w:rPr>
          <w:rFonts w:hint="default" w:ascii="Times New Roman" w:hAnsi="Times New Roman" w:eastAsia="黑体" w:cs="Times New Roman"/>
          <w:b w:val="0"/>
          <w:color w:val="000000" w:themeColor="text1"/>
          <w14:textFill>
            <w14:solidFill>
              <w14:schemeClr w14:val="tx1"/>
            </w14:solidFill>
          </w14:textFill>
        </w:rPr>
      </w:pPr>
      <w:bookmarkStart w:id="26" w:name="_Toc173837618"/>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3</w:t>
      </w:r>
      <w:r>
        <w:rPr>
          <w:rFonts w:hint="default" w:ascii="Times New Roman" w:hAnsi="Times New Roman" w:eastAsia="黑体" w:cs="Times New Roman"/>
          <w:b w:val="0"/>
          <w:color w:val="000000" w:themeColor="text1"/>
          <w14:textFill>
            <w14:solidFill>
              <w14:schemeClr w14:val="tx1"/>
            </w14:solidFill>
          </w14:textFill>
        </w:rPr>
        <w:t>.1大气环境影响评价等级</w:t>
      </w:r>
      <w:bookmarkEnd w:id="26"/>
    </w:p>
    <w:p w14:paraId="75B9A1C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按照《环境影响评价技术导则大气环境》（HJ2.2-2018）中的有关规定，分别计算污染物的最大地面质量浓度占标率（P</w:t>
      </w:r>
      <w:r>
        <w:rPr>
          <w:rFonts w:hint="default" w:ascii="Times New Roman" w:hAnsi="Times New Roman" w:cs="Times New Roman"/>
          <w:color w:val="000000" w:themeColor="text1"/>
          <w:vertAlign w:val="subscript"/>
          <w14:textFill>
            <w14:solidFill>
              <w14:schemeClr w14:val="tx1"/>
            </w14:solidFill>
          </w14:textFill>
        </w:rPr>
        <w:t>i</w:t>
      </w:r>
      <w:r>
        <w:rPr>
          <w:rFonts w:hint="default" w:ascii="Times New Roman" w:hAnsi="Times New Roman" w:cs="Times New Roman"/>
          <w:color w:val="000000" w:themeColor="text1"/>
          <w14:textFill>
            <w14:solidFill>
              <w14:schemeClr w14:val="tx1"/>
            </w14:solidFill>
          </w14:textFill>
        </w:rPr>
        <w:t>），及第i个污染物的地面质量浓度达标准限值10%时所对应的最远距离D</w:t>
      </w:r>
      <w:r>
        <w:rPr>
          <w:rFonts w:hint="default" w:ascii="Times New Roman" w:hAnsi="Times New Roman" w:cs="Times New Roman"/>
          <w:color w:val="000000" w:themeColor="text1"/>
          <w:vertAlign w:val="subscript"/>
          <w14:textFill>
            <w14:solidFill>
              <w14:schemeClr w14:val="tx1"/>
            </w14:solidFill>
          </w14:textFill>
        </w:rPr>
        <w:t>10%</w:t>
      </w:r>
      <w:r>
        <w:rPr>
          <w:rFonts w:hint="default" w:ascii="Times New Roman" w:hAnsi="Times New Roman" w:cs="Times New Roman"/>
          <w:color w:val="000000" w:themeColor="text1"/>
          <w14:textFill>
            <w14:solidFill>
              <w14:schemeClr w14:val="tx1"/>
            </w14:solidFill>
          </w14:textFill>
        </w:rPr>
        <w:t>，其中P</w:t>
      </w:r>
      <w:r>
        <w:rPr>
          <w:rFonts w:hint="default" w:ascii="Times New Roman" w:hAnsi="Times New Roman" w:cs="Times New Roman"/>
          <w:color w:val="000000" w:themeColor="text1"/>
          <w:vertAlign w:val="subscript"/>
          <w14:textFill>
            <w14:solidFill>
              <w14:schemeClr w14:val="tx1"/>
            </w14:solidFill>
          </w14:textFill>
        </w:rPr>
        <w:t>i</w:t>
      </w:r>
      <w:r>
        <w:rPr>
          <w:rFonts w:hint="default" w:ascii="Times New Roman" w:hAnsi="Times New Roman" w:cs="Times New Roman"/>
          <w:color w:val="000000" w:themeColor="text1"/>
          <w14:textFill>
            <w14:solidFill>
              <w14:schemeClr w14:val="tx1"/>
            </w14:solidFill>
          </w14:textFill>
        </w:rPr>
        <w:t>定义为：</w:t>
      </w:r>
    </w:p>
    <w:p w14:paraId="4DC2AED1">
      <w:pPr>
        <w:pStyle w:val="251"/>
        <w:ind w:firstLine="199" w:firstLineChars="83"/>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P</w:t>
      </w:r>
      <w:r>
        <w:rPr>
          <w:rFonts w:hint="default" w:ascii="Times New Roman" w:hAnsi="Times New Roman" w:cs="Times New Roman"/>
          <w:color w:val="000000" w:themeColor="text1"/>
          <w:vertAlign w:val="subscript"/>
          <w14:textFill>
            <w14:solidFill>
              <w14:schemeClr w14:val="tx1"/>
            </w14:solidFill>
          </w14:textFill>
        </w:rPr>
        <w:t>i</w:t>
      </w:r>
      <w:r>
        <w:rPr>
          <w:rFonts w:hint="default" w:ascii="Times New Roman" w:hAnsi="Times New Roman" w:cs="Times New Roman"/>
          <w:color w:val="000000" w:themeColor="text1"/>
          <w14:textFill>
            <w14:solidFill>
              <w14:schemeClr w14:val="tx1"/>
            </w14:solidFill>
          </w14:textFill>
        </w:rPr>
        <w:t>=C</w:t>
      </w:r>
      <w:r>
        <w:rPr>
          <w:rFonts w:hint="default" w:ascii="Times New Roman" w:hAnsi="Times New Roman" w:cs="Times New Roman"/>
          <w:color w:val="000000" w:themeColor="text1"/>
          <w:vertAlign w:val="subscript"/>
          <w14:textFill>
            <w14:solidFill>
              <w14:schemeClr w14:val="tx1"/>
            </w14:solidFill>
          </w14:textFill>
        </w:rPr>
        <w:t>i</w:t>
      </w:r>
      <w:r>
        <w:rPr>
          <w:rFonts w:hint="default" w:ascii="Times New Roman" w:hAnsi="Times New Roman" w:cs="Times New Roman"/>
          <w:color w:val="000000" w:themeColor="text1"/>
          <w14:textFill>
            <w14:solidFill>
              <w14:schemeClr w14:val="tx1"/>
            </w14:solidFill>
          </w14:textFill>
        </w:rPr>
        <w:t>/C</w:t>
      </w:r>
      <w:r>
        <w:rPr>
          <w:rFonts w:hint="default" w:ascii="Times New Roman" w:hAnsi="Times New Roman" w:cs="Times New Roman"/>
          <w:color w:val="000000" w:themeColor="text1"/>
          <w:vertAlign w:val="subscript"/>
          <w14:textFill>
            <w14:solidFill>
              <w14:schemeClr w14:val="tx1"/>
            </w14:solidFill>
          </w14:textFill>
        </w:rPr>
        <w:t>0i</w:t>
      </w:r>
      <w:r>
        <w:rPr>
          <w:rFonts w:hint="default" w:ascii="Times New Roman" w:hAnsi="Times New Roman" w:cs="Times New Roman"/>
          <w:color w:val="000000" w:themeColor="text1"/>
          <w14:textFill>
            <w14:solidFill>
              <w14:schemeClr w14:val="tx1"/>
            </w14:solidFill>
          </w14:textFill>
        </w:rPr>
        <w:t>×100%</w:t>
      </w:r>
    </w:p>
    <w:p w14:paraId="76CDC55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式中：P</w:t>
      </w:r>
      <w:r>
        <w:rPr>
          <w:rFonts w:hint="default" w:ascii="Times New Roman" w:hAnsi="Times New Roman" w:cs="Times New Roman"/>
          <w:color w:val="000000" w:themeColor="text1"/>
          <w:vertAlign w:val="subscript"/>
          <w14:textFill>
            <w14:solidFill>
              <w14:schemeClr w14:val="tx1"/>
            </w14:solidFill>
          </w14:textFill>
        </w:rPr>
        <w:t>i</w:t>
      </w:r>
      <w:r>
        <w:rPr>
          <w:rFonts w:hint="default" w:ascii="Times New Roman" w:hAnsi="Times New Roman" w:cs="Times New Roman"/>
          <w:color w:val="000000" w:themeColor="text1"/>
          <w14:textFill>
            <w14:solidFill>
              <w14:schemeClr w14:val="tx1"/>
            </w14:solidFill>
          </w14:textFill>
        </w:rPr>
        <w:t>—第i个污染物的最大地面浓度占标率，%；</w:t>
      </w:r>
    </w:p>
    <w:p w14:paraId="6B50EA5F">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C</w:t>
      </w:r>
      <w:r>
        <w:rPr>
          <w:rFonts w:hint="default" w:ascii="Times New Roman" w:hAnsi="Times New Roman" w:cs="Times New Roman"/>
          <w:color w:val="000000" w:themeColor="text1"/>
          <w:vertAlign w:val="subscript"/>
          <w14:textFill>
            <w14:solidFill>
              <w14:schemeClr w14:val="tx1"/>
            </w14:solidFill>
          </w14:textFill>
        </w:rPr>
        <w:t>i</w:t>
      </w:r>
      <w:r>
        <w:rPr>
          <w:rFonts w:hint="default" w:ascii="Times New Roman" w:hAnsi="Times New Roman" w:cs="Times New Roman"/>
          <w:color w:val="000000" w:themeColor="text1"/>
          <w14:textFill>
            <w14:solidFill>
              <w14:schemeClr w14:val="tx1"/>
            </w14:solidFill>
          </w14:textFill>
        </w:rPr>
        <w:t>—采用估算模式计算出的第i个污染物的最大地面浓度，mg/m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w:t>
      </w:r>
    </w:p>
    <w:p w14:paraId="643B46B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C</w:t>
      </w:r>
      <w:r>
        <w:rPr>
          <w:rFonts w:hint="default" w:ascii="Times New Roman" w:hAnsi="Times New Roman" w:cs="Times New Roman"/>
          <w:color w:val="000000" w:themeColor="text1"/>
          <w:vertAlign w:val="subscript"/>
          <w14:textFill>
            <w14:solidFill>
              <w14:schemeClr w14:val="tx1"/>
            </w14:solidFill>
          </w14:textFill>
        </w:rPr>
        <w:t>0i</w:t>
      </w:r>
      <w:r>
        <w:rPr>
          <w:rFonts w:hint="default" w:ascii="Times New Roman" w:hAnsi="Times New Roman" w:cs="Times New Roman"/>
          <w:color w:val="000000" w:themeColor="text1"/>
          <w14:textFill>
            <w14:solidFill>
              <w14:schemeClr w14:val="tx1"/>
            </w14:solidFill>
          </w14:textFill>
        </w:rPr>
        <w:t>—第i个污染物的环境空气质量标准，mg/m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一般选用GB3095中1h平均浓度的二级浓度限值，如项目位于一类环境空气功能区，应选择相应的一级浓度限值；对该标准中未包含的污染物，使用各评价因子1h平均质量浓度限值。对仅有8h平均质量浓度限值、日平均质量浓度限值或年平均质量浓度限值的，可分别按2倍、3倍、6倍折算1h平均质量浓度限值。</w:t>
      </w:r>
    </w:p>
    <w:p w14:paraId="7581FD71">
      <w:pPr>
        <w:spacing w:line="360" w:lineRule="auto"/>
        <w:ind w:firstLine="472" w:firstLineChars="20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1、评价等级判别</w:t>
      </w:r>
    </w:p>
    <w:p w14:paraId="5432B2AA">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3</w:t>
      </w:r>
      <w:r>
        <w:rPr>
          <w:rFonts w:hint="default" w:ascii="Times New Roman" w:hAnsi="Times New Roman" w:eastAsia="黑体" w:cs="Times New Roman"/>
          <w:bCs/>
          <w:color w:val="000000" w:themeColor="text1"/>
          <w:sz w:val="24"/>
          <w14:textFill>
            <w14:solidFill>
              <w14:schemeClr w14:val="tx1"/>
            </w14:solidFill>
          </w14:textFill>
        </w:rPr>
        <w:t>-1大气评价工作等级分级判据</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907"/>
        <w:gridCol w:w="6615"/>
      </w:tblGrid>
      <w:tr w14:paraId="102212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trPr>
        <w:tc>
          <w:tcPr>
            <w:tcW w:w="1119" w:type="pct"/>
          </w:tcPr>
          <w:p w14:paraId="7887EAC4">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评价工作等级</w:t>
            </w:r>
          </w:p>
        </w:tc>
        <w:tc>
          <w:tcPr>
            <w:tcW w:w="3881" w:type="pct"/>
          </w:tcPr>
          <w:p w14:paraId="0F1F8631">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评价工作分级判据</w:t>
            </w:r>
          </w:p>
        </w:tc>
      </w:tr>
      <w:tr w14:paraId="295FCE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19" w:type="pct"/>
          </w:tcPr>
          <w:p w14:paraId="15D9EE1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一级</w:t>
            </w:r>
          </w:p>
        </w:tc>
        <w:tc>
          <w:tcPr>
            <w:tcW w:w="3881" w:type="pct"/>
          </w:tcPr>
          <w:p w14:paraId="3B81178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w:t>
            </w:r>
            <w:r>
              <w:rPr>
                <w:rFonts w:hint="default" w:ascii="Times New Roman" w:hAnsi="Times New Roman" w:cs="Times New Roman"/>
                <w:color w:val="000000" w:themeColor="text1"/>
                <w:sz w:val="21"/>
                <w:szCs w:val="21"/>
                <w:vertAlign w:val="subscript"/>
                <w14:textFill>
                  <w14:solidFill>
                    <w14:schemeClr w14:val="tx1"/>
                  </w14:solidFill>
                </w14:textFill>
              </w:rPr>
              <w:t>max</w:t>
            </w:r>
            <w:r>
              <w:rPr>
                <w:rFonts w:hint="default" w:ascii="Times New Roman" w:hAnsi="Times New Roman" w:cs="Times New Roman"/>
                <w:color w:val="000000" w:themeColor="text1"/>
                <w:sz w:val="21"/>
                <w:szCs w:val="21"/>
                <w14:textFill>
                  <w14:solidFill>
                    <w14:schemeClr w14:val="tx1"/>
                  </w14:solidFill>
                </w14:textFill>
              </w:rPr>
              <w:t>≥10%</w:t>
            </w:r>
          </w:p>
        </w:tc>
      </w:tr>
      <w:tr w14:paraId="35E9E6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19" w:type="pct"/>
          </w:tcPr>
          <w:p w14:paraId="1219016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二级</w:t>
            </w:r>
          </w:p>
        </w:tc>
        <w:tc>
          <w:tcPr>
            <w:tcW w:w="3881" w:type="pct"/>
          </w:tcPr>
          <w:p w14:paraId="0181645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1%≤P</w:t>
            </w:r>
            <w:r>
              <w:rPr>
                <w:rFonts w:hint="default" w:ascii="Times New Roman" w:hAnsi="Times New Roman" w:cs="Times New Roman"/>
                <w:color w:val="000000" w:themeColor="text1"/>
                <w:sz w:val="21"/>
                <w:szCs w:val="21"/>
                <w:vertAlign w:val="subscript"/>
                <w14:textFill>
                  <w14:solidFill>
                    <w14:schemeClr w14:val="tx1"/>
                  </w14:solidFill>
                </w14:textFill>
              </w:rPr>
              <w:t>max</w:t>
            </w:r>
            <w:r>
              <w:rPr>
                <w:rFonts w:hint="default" w:ascii="Times New Roman" w:hAnsi="Times New Roman" w:cs="Times New Roman"/>
                <w:color w:val="000000" w:themeColor="text1"/>
                <w:sz w:val="21"/>
                <w:szCs w:val="21"/>
                <w14:textFill>
                  <w14:solidFill>
                    <w14:schemeClr w14:val="tx1"/>
                  </w14:solidFill>
                </w14:textFill>
              </w:rPr>
              <w:t>＜10%</w:t>
            </w:r>
          </w:p>
        </w:tc>
      </w:tr>
      <w:tr w14:paraId="6F15FA6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19" w:type="pct"/>
          </w:tcPr>
          <w:p w14:paraId="06A1D02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三级</w:t>
            </w:r>
          </w:p>
        </w:tc>
        <w:tc>
          <w:tcPr>
            <w:tcW w:w="3881" w:type="pct"/>
          </w:tcPr>
          <w:p w14:paraId="0EE9E3E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w:t>
            </w:r>
            <w:r>
              <w:rPr>
                <w:rFonts w:hint="default" w:ascii="Times New Roman" w:hAnsi="Times New Roman" w:cs="Times New Roman"/>
                <w:color w:val="000000" w:themeColor="text1"/>
                <w:sz w:val="21"/>
                <w:szCs w:val="21"/>
                <w:vertAlign w:val="subscript"/>
                <w14:textFill>
                  <w14:solidFill>
                    <w14:schemeClr w14:val="tx1"/>
                  </w14:solidFill>
                </w14:textFill>
              </w:rPr>
              <w:t>max</w:t>
            </w:r>
            <w:r>
              <w:rPr>
                <w:rFonts w:hint="default" w:ascii="Times New Roman" w:hAnsi="Times New Roman" w:cs="Times New Roman"/>
                <w:color w:val="000000" w:themeColor="text1"/>
                <w:sz w:val="21"/>
                <w:szCs w:val="21"/>
                <w14:textFill>
                  <w14:solidFill>
                    <w14:schemeClr w14:val="tx1"/>
                  </w14:solidFill>
                </w14:textFill>
              </w:rPr>
              <w:t>＜1%</w:t>
            </w:r>
          </w:p>
        </w:tc>
      </w:tr>
    </w:tbl>
    <w:p w14:paraId="050C1303">
      <w:pPr>
        <w:adjustRightInd w:val="0"/>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2、估算模型参数</w:t>
      </w:r>
    </w:p>
    <w:p w14:paraId="60DCFCB4">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3</w:t>
      </w:r>
      <w:r>
        <w:rPr>
          <w:rFonts w:hint="default" w:ascii="Times New Roman" w:hAnsi="Times New Roman" w:eastAsia="黑体" w:cs="Times New Roman"/>
          <w:bCs/>
          <w:color w:val="000000" w:themeColor="text1"/>
          <w:sz w:val="24"/>
          <w14:textFill>
            <w14:solidFill>
              <w14:schemeClr w14:val="tx1"/>
            </w14:solidFill>
          </w14:textFill>
        </w:rPr>
        <w:t>-2估算模型参数表</w:t>
      </w:r>
    </w:p>
    <w:tbl>
      <w:tblPr>
        <w:tblStyle w:val="88"/>
        <w:tblW w:w="852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02"/>
        <w:gridCol w:w="2654"/>
        <w:gridCol w:w="3572"/>
      </w:tblGrid>
      <w:tr w14:paraId="32014A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56" w:type="dxa"/>
            <w:gridSpan w:val="2"/>
            <w:vAlign w:val="center"/>
          </w:tcPr>
          <w:p w14:paraId="01531ABA">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参数</w:t>
            </w:r>
          </w:p>
        </w:tc>
        <w:tc>
          <w:tcPr>
            <w:tcW w:w="3572" w:type="dxa"/>
            <w:vAlign w:val="center"/>
          </w:tcPr>
          <w:p w14:paraId="6F593489">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取值</w:t>
            </w:r>
          </w:p>
        </w:tc>
      </w:tr>
      <w:tr w14:paraId="231E3E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02" w:type="dxa"/>
            <w:vMerge w:val="restart"/>
            <w:vAlign w:val="center"/>
          </w:tcPr>
          <w:p w14:paraId="0B6D22A3">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城市农村/选项</w:t>
            </w:r>
          </w:p>
        </w:tc>
        <w:tc>
          <w:tcPr>
            <w:tcW w:w="2654" w:type="dxa"/>
            <w:vAlign w:val="center"/>
          </w:tcPr>
          <w:p w14:paraId="5EAF4082">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城市/农村</w:t>
            </w:r>
          </w:p>
        </w:tc>
        <w:tc>
          <w:tcPr>
            <w:tcW w:w="3572" w:type="dxa"/>
            <w:vAlign w:val="center"/>
          </w:tcPr>
          <w:p w14:paraId="2EAA3BF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农村</w:t>
            </w:r>
          </w:p>
        </w:tc>
      </w:tr>
      <w:tr w14:paraId="102BB3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02" w:type="dxa"/>
            <w:vMerge w:val="continue"/>
            <w:vAlign w:val="center"/>
          </w:tcPr>
          <w:p w14:paraId="5C7FC9CC">
            <w:pPr>
              <w:widowControl/>
              <w:spacing w:line="276" w:lineRule="auto"/>
              <w:jc w:val="left"/>
              <w:rPr>
                <w:rFonts w:hint="default" w:ascii="Times New Roman" w:hAnsi="Times New Roman" w:cs="Times New Roman"/>
                <w:color w:val="000000" w:themeColor="text1"/>
                <w:kern w:val="2"/>
                <w:sz w:val="21"/>
                <w:szCs w:val="21"/>
                <w14:textFill>
                  <w14:solidFill>
                    <w14:schemeClr w14:val="tx1"/>
                  </w14:solidFill>
                </w14:textFill>
              </w:rPr>
            </w:pPr>
          </w:p>
        </w:tc>
        <w:tc>
          <w:tcPr>
            <w:tcW w:w="2654" w:type="dxa"/>
            <w:vAlign w:val="center"/>
          </w:tcPr>
          <w:p w14:paraId="5449F814">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人口数(城市人口数)</w:t>
            </w:r>
          </w:p>
        </w:tc>
        <w:tc>
          <w:tcPr>
            <w:tcW w:w="3572" w:type="dxa"/>
            <w:vAlign w:val="center"/>
          </w:tcPr>
          <w:p w14:paraId="714DBD5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65A27F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56" w:type="dxa"/>
            <w:gridSpan w:val="2"/>
            <w:vAlign w:val="center"/>
          </w:tcPr>
          <w:p w14:paraId="222EA7DB">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最高环境温度/℃</w:t>
            </w:r>
          </w:p>
        </w:tc>
        <w:tc>
          <w:tcPr>
            <w:tcW w:w="3572" w:type="dxa"/>
            <w:vAlign w:val="center"/>
          </w:tcPr>
          <w:p w14:paraId="5F1D3ECA">
            <w:pPr>
              <w:spacing w:line="276" w:lineRule="auto"/>
              <w:jc w:val="center"/>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yellow"/>
                <w14:textFill>
                  <w14:solidFill>
                    <w14:schemeClr w14:val="tx1"/>
                  </w14:solidFill>
                </w14:textFill>
              </w:rPr>
              <w:t>39.1</w:t>
            </w:r>
          </w:p>
        </w:tc>
      </w:tr>
      <w:tr w14:paraId="27297E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56" w:type="dxa"/>
            <w:gridSpan w:val="2"/>
            <w:vAlign w:val="center"/>
          </w:tcPr>
          <w:p w14:paraId="519C9373">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最低环境温度/℃</w:t>
            </w:r>
          </w:p>
        </w:tc>
        <w:tc>
          <w:tcPr>
            <w:tcW w:w="3572" w:type="dxa"/>
            <w:vAlign w:val="center"/>
          </w:tcPr>
          <w:p w14:paraId="2573DF5E">
            <w:pPr>
              <w:spacing w:line="276" w:lineRule="auto"/>
              <w:jc w:val="center"/>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yellow"/>
                <w14:textFill>
                  <w14:solidFill>
                    <w14:schemeClr w14:val="tx1"/>
                  </w14:solidFill>
                </w14:textFill>
              </w:rPr>
              <w:t>-14</w:t>
            </w:r>
          </w:p>
        </w:tc>
      </w:tr>
      <w:tr w14:paraId="7E66AF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56" w:type="dxa"/>
            <w:gridSpan w:val="2"/>
            <w:vAlign w:val="center"/>
          </w:tcPr>
          <w:p w14:paraId="4726C232">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土地利用类型</w:t>
            </w:r>
          </w:p>
        </w:tc>
        <w:tc>
          <w:tcPr>
            <w:tcW w:w="3572" w:type="dxa"/>
            <w:vAlign w:val="center"/>
          </w:tcPr>
          <w:p w14:paraId="77811B4B">
            <w:pPr>
              <w:spacing w:line="276" w:lineRule="auto"/>
              <w:jc w:val="center"/>
              <w:rPr>
                <w:rFonts w:hint="eastAsia" w:ascii="Times New Roman" w:hAnsi="Times New Roman" w:eastAsia="宋体" w:cs="Times New Roman"/>
                <w:color w:val="000000" w:themeColor="text1"/>
                <w:kern w:val="2"/>
                <w:sz w:val="21"/>
                <w:szCs w:val="21"/>
                <w:lang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农作地</w:t>
            </w:r>
          </w:p>
        </w:tc>
      </w:tr>
      <w:tr w14:paraId="6F6A9A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56" w:type="dxa"/>
            <w:gridSpan w:val="2"/>
            <w:vAlign w:val="center"/>
          </w:tcPr>
          <w:p w14:paraId="2392FC43">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区域湿度条件</w:t>
            </w:r>
          </w:p>
        </w:tc>
        <w:tc>
          <w:tcPr>
            <w:tcW w:w="3572" w:type="dxa"/>
            <w:vAlign w:val="center"/>
          </w:tcPr>
          <w:p w14:paraId="7E0A26C7">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eastAsia" w:cs="Times New Roman"/>
                <w:color w:val="000000" w:themeColor="text1"/>
                <w:kern w:val="2"/>
                <w:sz w:val="21"/>
                <w:szCs w:val="21"/>
                <w:lang w:eastAsia="zh-CN"/>
                <w14:textFill>
                  <w14:solidFill>
                    <w14:schemeClr w14:val="tx1"/>
                  </w14:solidFill>
                </w14:textFill>
              </w:rPr>
              <w:t>中等湿度</w:t>
            </w:r>
          </w:p>
        </w:tc>
      </w:tr>
      <w:tr w14:paraId="12F706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02" w:type="dxa"/>
            <w:vMerge w:val="restart"/>
            <w:vAlign w:val="center"/>
          </w:tcPr>
          <w:p w14:paraId="45A53689">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是否考虑地形</w:t>
            </w:r>
          </w:p>
        </w:tc>
        <w:tc>
          <w:tcPr>
            <w:tcW w:w="2654" w:type="dxa"/>
            <w:vAlign w:val="center"/>
          </w:tcPr>
          <w:p w14:paraId="761D50F8">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考虑地形</w:t>
            </w:r>
          </w:p>
        </w:tc>
        <w:tc>
          <w:tcPr>
            <w:tcW w:w="3572" w:type="dxa"/>
            <w:vAlign w:val="center"/>
          </w:tcPr>
          <w:p w14:paraId="0B1B62A9">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■是□否</w:t>
            </w:r>
          </w:p>
        </w:tc>
      </w:tr>
      <w:tr w14:paraId="0690DA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02" w:type="dxa"/>
            <w:vMerge w:val="continue"/>
            <w:vAlign w:val="center"/>
          </w:tcPr>
          <w:p w14:paraId="7C377462">
            <w:pPr>
              <w:widowControl/>
              <w:spacing w:line="276" w:lineRule="auto"/>
              <w:jc w:val="left"/>
              <w:rPr>
                <w:rFonts w:hint="default" w:ascii="Times New Roman" w:hAnsi="Times New Roman" w:cs="Times New Roman"/>
                <w:color w:val="000000" w:themeColor="text1"/>
                <w:kern w:val="2"/>
                <w:sz w:val="21"/>
                <w:szCs w:val="21"/>
                <w14:textFill>
                  <w14:solidFill>
                    <w14:schemeClr w14:val="tx1"/>
                  </w14:solidFill>
                </w14:textFill>
              </w:rPr>
            </w:pPr>
          </w:p>
        </w:tc>
        <w:tc>
          <w:tcPr>
            <w:tcW w:w="2654" w:type="dxa"/>
            <w:vAlign w:val="center"/>
          </w:tcPr>
          <w:p w14:paraId="0DC37B3B">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地形数据分辨率(m)</w:t>
            </w:r>
          </w:p>
        </w:tc>
        <w:tc>
          <w:tcPr>
            <w:tcW w:w="3572" w:type="dxa"/>
            <w:vAlign w:val="center"/>
          </w:tcPr>
          <w:p w14:paraId="08CDC57E">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90</w:t>
            </w:r>
          </w:p>
        </w:tc>
      </w:tr>
      <w:tr w14:paraId="20FC02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02" w:type="dxa"/>
            <w:vMerge w:val="restart"/>
            <w:vAlign w:val="center"/>
          </w:tcPr>
          <w:p w14:paraId="54D2680E">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是否考虑岸线熏烟</w:t>
            </w:r>
          </w:p>
        </w:tc>
        <w:tc>
          <w:tcPr>
            <w:tcW w:w="2654" w:type="dxa"/>
            <w:vAlign w:val="center"/>
          </w:tcPr>
          <w:p w14:paraId="690BE78D">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考虑岸线熏烟</w:t>
            </w:r>
          </w:p>
        </w:tc>
        <w:tc>
          <w:tcPr>
            <w:tcW w:w="3572" w:type="dxa"/>
            <w:vAlign w:val="center"/>
          </w:tcPr>
          <w:p w14:paraId="7461C35F">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□是■否</w:t>
            </w:r>
          </w:p>
        </w:tc>
      </w:tr>
      <w:tr w14:paraId="252BDC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02" w:type="dxa"/>
            <w:vMerge w:val="continue"/>
            <w:vAlign w:val="center"/>
          </w:tcPr>
          <w:p w14:paraId="6AC3EFD1">
            <w:pPr>
              <w:widowControl/>
              <w:spacing w:line="276" w:lineRule="auto"/>
              <w:jc w:val="left"/>
              <w:rPr>
                <w:rFonts w:hint="default" w:ascii="Times New Roman" w:hAnsi="Times New Roman" w:cs="Times New Roman"/>
                <w:color w:val="000000" w:themeColor="text1"/>
                <w:kern w:val="2"/>
                <w:sz w:val="21"/>
                <w:szCs w:val="21"/>
                <w14:textFill>
                  <w14:solidFill>
                    <w14:schemeClr w14:val="tx1"/>
                  </w14:solidFill>
                </w14:textFill>
              </w:rPr>
            </w:pPr>
          </w:p>
        </w:tc>
        <w:tc>
          <w:tcPr>
            <w:tcW w:w="2654" w:type="dxa"/>
            <w:vAlign w:val="center"/>
          </w:tcPr>
          <w:p w14:paraId="313B60FA">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岸线距离/km</w:t>
            </w:r>
          </w:p>
        </w:tc>
        <w:tc>
          <w:tcPr>
            <w:tcW w:w="3572" w:type="dxa"/>
            <w:vAlign w:val="center"/>
          </w:tcPr>
          <w:p w14:paraId="2E33083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43B91F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02" w:type="dxa"/>
            <w:vMerge w:val="continue"/>
            <w:vAlign w:val="center"/>
          </w:tcPr>
          <w:p w14:paraId="5F4AB8EC">
            <w:pPr>
              <w:widowControl/>
              <w:spacing w:line="276" w:lineRule="auto"/>
              <w:jc w:val="left"/>
              <w:rPr>
                <w:rFonts w:hint="default" w:ascii="Times New Roman" w:hAnsi="Times New Roman" w:cs="Times New Roman"/>
                <w:color w:val="000000" w:themeColor="text1"/>
                <w:kern w:val="2"/>
                <w:sz w:val="21"/>
                <w:szCs w:val="21"/>
                <w14:textFill>
                  <w14:solidFill>
                    <w14:schemeClr w14:val="tx1"/>
                  </w14:solidFill>
                </w14:textFill>
              </w:rPr>
            </w:pPr>
          </w:p>
        </w:tc>
        <w:tc>
          <w:tcPr>
            <w:tcW w:w="2654" w:type="dxa"/>
            <w:vAlign w:val="center"/>
          </w:tcPr>
          <w:p w14:paraId="74D54EBA">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岸线方向/</w:t>
            </w:r>
            <w:r>
              <w:rPr>
                <w:rFonts w:hint="default" w:ascii="Times New Roman" w:hAnsi="Times New Roman" w:cs="Times New Roman"/>
                <w:color w:val="000000" w:themeColor="text1"/>
                <w:kern w:val="2"/>
                <w:sz w:val="21"/>
                <w:szCs w:val="21"/>
                <w:vertAlign w:val="superscript"/>
                <w14:textFill>
                  <w14:solidFill>
                    <w14:schemeClr w14:val="tx1"/>
                  </w14:solidFill>
                </w14:textFill>
              </w:rPr>
              <w:t>o</w:t>
            </w:r>
          </w:p>
        </w:tc>
        <w:tc>
          <w:tcPr>
            <w:tcW w:w="3572" w:type="dxa"/>
            <w:vAlign w:val="center"/>
          </w:tcPr>
          <w:p w14:paraId="62536AA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bl>
    <w:p w14:paraId="3B30C4F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3、估算结果</w:t>
      </w:r>
    </w:p>
    <w:p w14:paraId="4A2452A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根据《环境影响评价技术导则大气环境》（HJ2.2-2018），大气评价工作等级估算结果见下表：</w:t>
      </w:r>
    </w:p>
    <w:p w14:paraId="455DA7C7">
      <w:pPr>
        <w:adjustRightInd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3</w:t>
      </w:r>
      <w:r>
        <w:rPr>
          <w:rFonts w:hint="default" w:ascii="Times New Roman" w:hAnsi="Times New Roman" w:eastAsia="黑体" w:cs="Times New Roman"/>
          <w:bCs/>
          <w:color w:val="000000" w:themeColor="text1"/>
          <w:sz w:val="24"/>
          <w14:textFill>
            <w14:solidFill>
              <w14:schemeClr w14:val="tx1"/>
            </w14:solidFill>
          </w14:textFill>
        </w:rPr>
        <w:t>-3大气环境影响评价工作等级确定估算结果一览表</w:t>
      </w:r>
    </w:p>
    <w:tbl>
      <w:tblPr>
        <w:tblStyle w:val="89"/>
        <w:tblW w:w="4994"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62"/>
        <w:gridCol w:w="961"/>
        <w:gridCol w:w="1547"/>
        <w:gridCol w:w="1562"/>
        <w:gridCol w:w="962"/>
        <w:gridCol w:w="1257"/>
        <w:gridCol w:w="1261"/>
      </w:tblGrid>
      <w:tr w14:paraId="2277F1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65" w:type="pct"/>
            <w:tcBorders>
              <w:tl2br w:val="nil"/>
              <w:tr2bl w:val="nil"/>
            </w:tcBorders>
            <w:vAlign w:val="center"/>
          </w:tcPr>
          <w:p w14:paraId="2A38C984">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类型</w:t>
            </w:r>
          </w:p>
        </w:tc>
        <w:tc>
          <w:tcPr>
            <w:tcW w:w="564" w:type="pct"/>
            <w:tcBorders>
              <w:tl2br w:val="nil"/>
              <w:tr2bl w:val="nil"/>
            </w:tcBorders>
            <w:vAlign w:val="center"/>
          </w:tcPr>
          <w:p w14:paraId="38EBE929">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污染源</w:t>
            </w:r>
          </w:p>
        </w:tc>
        <w:tc>
          <w:tcPr>
            <w:tcW w:w="908" w:type="pct"/>
            <w:tcBorders>
              <w:tl2br w:val="nil"/>
              <w:tr2bl w:val="nil"/>
            </w:tcBorders>
            <w:vAlign w:val="center"/>
          </w:tcPr>
          <w:p w14:paraId="1BBC2E6A">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污染物名称</w:t>
            </w:r>
          </w:p>
        </w:tc>
        <w:tc>
          <w:tcPr>
            <w:tcW w:w="917" w:type="pct"/>
            <w:tcBorders>
              <w:tl2br w:val="nil"/>
              <w:tr2bl w:val="nil"/>
            </w:tcBorders>
            <w:vAlign w:val="center"/>
          </w:tcPr>
          <w:p w14:paraId="6F8CCDCD">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最大1h地面空气质量浓度（</w:t>
            </w:r>
            <w:r>
              <w:rPr>
                <w:rFonts w:hint="eastAsia" w:cs="Times New Roman"/>
                <w:b/>
                <w:bCs/>
                <w:color w:val="000000" w:themeColor="text1"/>
                <w:lang w:val="en-US" w:eastAsia="zh-CN"/>
                <w14:textFill>
                  <w14:solidFill>
                    <w14:schemeClr w14:val="tx1"/>
                  </w14:solidFill>
                </w14:textFill>
              </w:rPr>
              <w:t>mg</w:t>
            </w:r>
            <w:r>
              <w:rPr>
                <w:rFonts w:hint="default" w:ascii="Times New Roman" w:hAnsi="Times New Roman" w:eastAsia="宋体" w:cs="Times New Roman"/>
                <w:b/>
                <w:bCs/>
                <w:color w:val="000000" w:themeColor="text1"/>
                <w14:textFill>
                  <w14:solidFill>
                    <w14:schemeClr w14:val="tx1"/>
                  </w14:solidFill>
                </w14:textFill>
              </w:rPr>
              <w:t>/m</w:t>
            </w:r>
            <w:r>
              <w:rPr>
                <w:rFonts w:hint="default" w:ascii="Times New Roman" w:hAnsi="Times New Roman" w:eastAsia="宋体" w:cs="Times New Roman"/>
                <w:b/>
                <w:bCs/>
                <w:color w:val="000000" w:themeColor="text1"/>
                <w:vertAlign w:val="superscript"/>
                <w14:textFill>
                  <w14:solidFill>
                    <w14:schemeClr w14:val="tx1"/>
                  </w14:solidFill>
                </w14:textFill>
              </w:rPr>
              <w:t>3</w:t>
            </w:r>
            <w:r>
              <w:rPr>
                <w:rFonts w:hint="default" w:ascii="Times New Roman" w:hAnsi="Times New Roman" w:eastAsia="宋体" w:cs="Times New Roman"/>
                <w:b/>
                <w:bCs/>
                <w:color w:val="000000" w:themeColor="text1"/>
                <w14:textFill>
                  <w14:solidFill>
                    <w14:schemeClr w14:val="tx1"/>
                  </w14:solidFill>
                </w14:textFill>
              </w:rPr>
              <w:t>）</w:t>
            </w:r>
          </w:p>
        </w:tc>
        <w:tc>
          <w:tcPr>
            <w:tcW w:w="565" w:type="pct"/>
            <w:tcBorders>
              <w:tl2br w:val="nil"/>
              <w:tr2bl w:val="nil"/>
            </w:tcBorders>
            <w:vAlign w:val="center"/>
          </w:tcPr>
          <w:p w14:paraId="1A6CE490">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Pmax(%)</w:t>
            </w:r>
          </w:p>
        </w:tc>
        <w:tc>
          <w:tcPr>
            <w:tcW w:w="738" w:type="pct"/>
            <w:tcBorders>
              <w:tl2br w:val="nil"/>
              <w:tr2bl w:val="nil"/>
            </w:tcBorders>
            <w:vAlign w:val="center"/>
          </w:tcPr>
          <w:p w14:paraId="250CD1ED">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D</w:t>
            </w:r>
            <w:r>
              <w:rPr>
                <w:rFonts w:hint="default" w:ascii="Times New Roman" w:hAnsi="Times New Roman" w:eastAsia="宋体" w:cs="Times New Roman"/>
                <w:b/>
                <w:bCs/>
                <w:color w:val="000000" w:themeColor="text1"/>
                <w:vertAlign w:val="subscript"/>
                <w14:textFill>
                  <w14:solidFill>
                    <w14:schemeClr w14:val="tx1"/>
                  </w14:solidFill>
                </w14:textFill>
              </w:rPr>
              <w:t>10%(</w:t>
            </w:r>
            <w:r>
              <w:rPr>
                <w:rFonts w:hint="default" w:ascii="Times New Roman" w:hAnsi="Times New Roman" w:eastAsia="宋体" w:cs="Times New Roman"/>
                <w:b/>
                <w:bCs/>
                <w:color w:val="000000" w:themeColor="text1"/>
                <w14:textFill>
                  <w14:solidFill>
                    <w14:schemeClr w14:val="tx1"/>
                  </w14:solidFill>
                </w14:textFill>
              </w:rPr>
              <w:t>m)</w:t>
            </w:r>
          </w:p>
        </w:tc>
        <w:tc>
          <w:tcPr>
            <w:tcW w:w="740" w:type="pct"/>
            <w:tcBorders>
              <w:tl2br w:val="nil"/>
              <w:tr2bl w:val="nil"/>
            </w:tcBorders>
            <w:vAlign w:val="center"/>
          </w:tcPr>
          <w:p w14:paraId="5C36F1FD">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评价等级</w:t>
            </w:r>
          </w:p>
        </w:tc>
      </w:tr>
      <w:tr w14:paraId="5115A7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65" w:type="pct"/>
            <w:vMerge w:val="restart"/>
            <w:tcBorders>
              <w:tl2br w:val="nil"/>
              <w:tr2bl w:val="nil"/>
            </w:tcBorders>
            <w:vAlign w:val="center"/>
          </w:tcPr>
          <w:p w14:paraId="455C0477">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点源</w:t>
            </w:r>
          </w:p>
        </w:tc>
        <w:tc>
          <w:tcPr>
            <w:tcW w:w="564" w:type="pct"/>
            <w:tcBorders>
              <w:tl2br w:val="nil"/>
              <w:tr2bl w:val="nil"/>
            </w:tcBorders>
            <w:vAlign w:val="center"/>
          </w:tcPr>
          <w:p w14:paraId="5556306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bCs/>
                <w:color w:val="000000" w:themeColor="text1"/>
                <w14:textFill>
                  <w14:solidFill>
                    <w14:schemeClr w14:val="tx1"/>
                  </w14:solidFill>
                </w14:textFill>
              </w:rPr>
            </w:pPr>
            <w:r>
              <w:rPr>
                <w:rFonts w:hint="default" w:ascii="Times New Roman" w:hAnsi="Times New Roman" w:eastAsiaTheme="minorEastAsia"/>
                <w:bCs/>
                <w:color w:val="000000" w:themeColor="text1"/>
                <w14:textFill>
                  <w14:solidFill>
                    <w14:schemeClr w14:val="tx1"/>
                  </w14:solidFill>
                </w14:textFill>
              </w:rPr>
              <w:t>DA001</w:t>
            </w:r>
          </w:p>
        </w:tc>
        <w:tc>
          <w:tcPr>
            <w:tcW w:w="908" w:type="pct"/>
            <w:tcBorders>
              <w:tl2br w:val="nil"/>
              <w:tr2bl w:val="nil"/>
            </w:tcBorders>
            <w:vAlign w:val="center"/>
          </w:tcPr>
          <w:p w14:paraId="67D9AC1F">
            <w:pPr>
              <w:pStyle w:val="251"/>
              <w:spacing w:line="276" w:lineRule="auto"/>
              <w:ind w:firstLine="0" w:firstLineChars="0"/>
              <w:jc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917" w:type="pct"/>
            <w:tcBorders>
              <w:tl2br w:val="nil"/>
              <w:tr2bl w:val="nil"/>
            </w:tcBorders>
            <w:shd w:val="clear" w:color="auto" w:fill="auto"/>
            <w:vAlign w:val="center"/>
          </w:tcPr>
          <w:p w14:paraId="131540AE">
            <w:pPr>
              <w:widowControl/>
              <w:jc w:val="center"/>
              <w:rPr>
                <w:rFonts w:hint="default" w:ascii="Times New Roman" w:hAnsi="Times New Roman" w:eastAsia="宋体" w:cs="Times New Roman"/>
                <w:color w:val="000000" w:themeColor="text1"/>
                <w:spacing w:val="-2"/>
                <w:kern w:val="2"/>
                <w:sz w:val="21"/>
                <w:szCs w:val="21"/>
                <w:highlight w:val="yellow"/>
                <w:lang w:val="en-US" w:eastAsia="zh-CN" w:bidi="ar-SA"/>
                <w14:textFill>
                  <w14:solidFill>
                    <w14:schemeClr w14:val="tx1"/>
                  </w14:solidFill>
                </w14:textFill>
              </w:rPr>
            </w:pPr>
            <w:r>
              <w:rPr>
                <w:rFonts w:hint="eastAsia" w:cs="Times New Roman"/>
                <w:color w:val="000000" w:themeColor="text1"/>
                <w:kern w:val="2"/>
                <w:sz w:val="21"/>
                <w:szCs w:val="21"/>
                <w:highlight w:val="yellow"/>
                <w:lang w:val="en-US" w:eastAsia="zh-CN"/>
                <w14:textFill>
                  <w14:solidFill>
                    <w14:schemeClr w14:val="tx1"/>
                  </w14:solidFill>
                </w14:textFill>
              </w:rPr>
              <w:t>9.64×10</w:t>
            </w:r>
            <w:r>
              <w:rPr>
                <w:rFonts w:hint="eastAsia" w:cs="Times New Roman"/>
                <w:color w:val="000000" w:themeColor="text1"/>
                <w:kern w:val="2"/>
                <w:sz w:val="21"/>
                <w:szCs w:val="21"/>
                <w:highlight w:val="yellow"/>
                <w:vertAlign w:val="superscript"/>
                <w:lang w:val="en-US" w:eastAsia="zh-CN"/>
                <w14:textFill>
                  <w14:solidFill>
                    <w14:schemeClr w14:val="tx1"/>
                  </w14:solidFill>
                </w14:textFill>
              </w:rPr>
              <w:t>-3</w:t>
            </w:r>
          </w:p>
        </w:tc>
        <w:tc>
          <w:tcPr>
            <w:tcW w:w="565" w:type="pct"/>
            <w:tcBorders>
              <w:tl2br w:val="nil"/>
              <w:tr2bl w:val="nil"/>
            </w:tcBorders>
            <w:shd w:val="clear" w:color="auto" w:fill="auto"/>
            <w:vAlign w:val="center"/>
          </w:tcPr>
          <w:p w14:paraId="4FACF236">
            <w:pPr>
              <w:widowControl/>
              <w:jc w:val="center"/>
              <w:rPr>
                <w:rFonts w:hint="default" w:ascii="Times New Roman" w:hAnsi="Times New Roman" w:eastAsia="宋体" w:cs="Times New Roman"/>
                <w:color w:val="000000" w:themeColor="text1"/>
                <w:spacing w:val="-2"/>
                <w:kern w:val="2"/>
                <w:sz w:val="21"/>
                <w:szCs w:val="21"/>
                <w:highlight w:val="yellow"/>
                <w:lang w:val="en-US" w:eastAsia="zh-CN" w:bidi="ar-SA"/>
                <w14:textFill>
                  <w14:solidFill>
                    <w14:schemeClr w14:val="tx1"/>
                  </w14:solidFill>
                </w14:textFill>
              </w:rPr>
            </w:pPr>
            <w:r>
              <w:rPr>
                <w:rFonts w:hint="eastAsia" w:cs="Times New Roman"/>
                <w:color w:val="000000" w:themeColor="text1"/>
                <w:sz w:val="21"/>
                <w:szCs w:val="21"/>
                <w:highlight w:val="yellow"/>
                <w:lang w:val="en-US" w:eastAsia="zh-CN"/>
                <w14:textFill>
                  <w14:solidFill>
                    <w14:schemeClr w14:val="tx1"/>
                  </w14:solidFill>
                </w14:textFill>
              </w:rPr>
              <w:t>0.48</w:t>
            </w:r>
          </w:p>
        </w:tc>
        <w:tc>
          <w:tcPr>
            <w:tcW w:w="738" w:type="pct"/>
            <w:tcBorders>
              <w:tl2br w:val="nil"/>
              <w:tr2bl w:val="nil"/>
            </w:tcBorders>
            <w:vAlign w:val="center"/>
          </w:tcPr>
          <w:p w14:paraId="27D031B3">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w:t>
            </w:r>
          </w:p>
        </w:tc>
        <w:tc>
          <w:tcPr>
            <w:tcW w:w="740" w:type="pct"/>
            <w:tcBorders>
              <w:tl2br w:val="nil"/>
              <w:tr2bl w:val="nil"/>
            </w:tcBorders>
            <w:vAlign w:val="center"/>
          </w:tcPr>
          <w:p w14:paraId="2262BB0B">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三级</w:t>
            </w:r>
          </w:p>
        </w:tc>
      </w:tr>
      <w:tr w14:paraId="761A1F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65" w:type="pct"/>
            <w:vMerge w:val="continue"/>
            <w:tcBorders>
              <w:tl2br w:val="nil"/>
              <w:tr2bl w:val="nil"/>
            </w:tcBorders>
            <w:vAlign w:val="center"/>
          </w:tcPr>
          <w:p w14:paraId="44B828AE">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p>
        </w:tc>
        <w:tc>
          <w:tcPr>
            <w:tcW w:w="564" w:type="pct"/>
            <w:vMerge w:val="restart"/>
            <w:tcBorders>
              <w:tl2br w:val="nil"/>
              <w:tr2bl w:val="nil"/>
            </w:tcBorders>
            <w:vAlign w:val="center"/>
          </w:tcPr>
          <w:p w14:paraId="35498560">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bCs/>
                <w:color w:val="000000" w:themeColor="text1"/>
                <w14:textFill>
                  <w14:solidFill>
                    <w14:schemeClr w14:val="tx1"/>
                  </w14:solidFill>
                </w14:textFill>
              </w:rPr>
              <w:t>DA002</w:t>
            </w:r>
          </w:p>
        </w:tc>
        <w:tc>
          <w:tcPr>
            <w:tcW w:w="908" w:type="pct"/>
            <w:tcBorders>
              <w:tl2br w:val="nil"/>
              <w:tr2bl w:val="nil"/>
            </w:tcBorders>
            <w:vAlign w:val="center"/>
          </w:tcPr>
          <w:p w14:paraId="69695ED6">
            <w:pPr>
              <w:spacing w:line="276" w:lineRule="auto"/>
              <w:jc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10</w:t>
            </w:r>
          </w:p>
        </w:tc>
        <w:tc>
          <w:tcPr>
            <w:tcW w:w="917" w:type="pct"/>
            <w:tcBorders>
              <w:tl2br w:val="nil"/>
              <w:tr2bl w:val="nil"/>
            </w:tcBorders>
            <w:shd w:val="clear" w:color="auto" w:fill="auto"/>
            <w:vAlign w:val="center"/>
          </w:tcPr>
          <w:p w14:paraId="5F8A173F">
            <w:pPr>
              <w:widowControl/>
              <w:jc w:val="center"/>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eastAsia" w:cs="Times New Roman"/>
                <w:color w:val="000000" w:themeColor="text1"/>
                <w:kern w:val="2"/>
                <w:sz w:val="21"/>
                <w:szCs w:val="21"/>
                <w:highlight w:val="yellow"/>
                <w:lang w:val="en-US" w:eastAsia="zh-CN"/>
                <w14:textFill>
                  <w14:solidFill>
                    <w14:schemeClr w14:val="tx1"/>
                  </w14:solidFill>
                </w14:textFill>
              </w:rPr>
              <w:t>1.62×10</w:t>
            </w:r>
            <w:r>
              <w:rPr>
                <w:rFonts w:hint="eastAsia" w:cs="Times New Roman"/>
                <w:color w:val="000000" w:themeColor="text1"/>
                <w:kern w:val="2"/>
                <w:sz w:val="21"/>
                <w:szCs w:val="21"/>
                <w:highlight w:val="yellow"/>
                <w:vertAlign w:val="superscript"/>
                <w:lang w:val="en-US" w:eastAsia="zh-CN"/>
                <w14:textFill>
                  <w14:solidFill>
                    <w14:schemeClr w14:val="tx1"/>
                  </w14:solidFill>
                </w14:textFill>
              </w:rPr>
              <w:t>-3</w:t>
            </w:r>
          </w:p>
        </w:tc>
        <w:tc>
          <w:tcPr>
            <w:tcW w:w="565" w:type="pct"/>
            <w:tcBorders>
              <w:tl2br w:val="nil"/>
              <w:tr2bl w:val="nil"/>
            </w:tcBorders>
            <w:shd w:val="clear" w:color="auto" w:fill="auto"/>
            <w:vAlign w:val="center"/>
          </w:tcPr>
          <w:p w14:paraId="2667470A">
            <w:pPr>
              <w:widowControl/>
              <w:jc w:val="center"/>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yellow"/>
                <w14:textFill>
                  <w14:solidFill>
                    <w14:schemeClr w14:val="tx1"/>
                  </w14:solidFill>
                </w14:textFill>
              </w:rPr>
              <w:t>0.</w:t>
            </w:r>
            <w:r>
              <w:rPr>
                <w:rFonts w:hint="eastAsia" w:cs="Times New Roman"/>
                <w:color w:val="000000" w:themeColor="text1"/>
                <w:sz w:val="21"/>
                <w:szCs w:val="21"/>
                <w:highlight w:val="yellow"/>
                <w:lang w:val="en-US" w:eastAsia="zh-CN"/>
                <w14:textFill>
                  <w14:solidFill>
                    <w14:schemeClr w14:val="tx1"/>
                  </w14:solidFill>
                </w14:textFill>
              </w:rPr>
              <w:t>36</w:t>
            </w:r>
          </w:p>
        </w:tc>
        <w:tc>
          <w:tcPr>
            <w:tcW w:w="738" w:type="pct"/>
            <w:tcBorders>
              <w:tl2br w:val="nil"/>
              <w:tr2bl w:val="nil"/>
            </w:tcBorders>
            <w:shd w:val="clear" w:color="auto" w:fill="auto"/>
            <w:vAlign w:val="center"/>
          </w:tcPr>
          <w:p w14:paraId="3D359CF2">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w:t>
            </w:r>
          </w:p>
        </w:tc>
        <w:tc>
          <w:tcPr>
            <w:tcW w:w="740" w:type="pct"/>
            <w:tcBorders>
              <w:tl2br w:val="nil"/>
              <w:tr2bl w:val="nil"/>
            </w:tcBorders>
            <w:shd w:val="clear" w:color="auto" w:fill="auto"/>
            <w:vAlign w:val="center"/>
          </w:tcPr>
          <w:p w14:paraId="008916D3">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三级</w:t>
            </w:r>
          </w:p>
        </w:tc>
      </w:tr>
      <w:tr w14:paraId="6FB7EC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65" w:type="pct"/>
            <w:vMerge w:val="continue"/>
            <w:tcBorders>
              <w:tl2br w:val="nil"/>
              <w:tr2bl w:val="nil"/>
            </w:tcBorders>
            <w:vAlign w:val="center"/>
          </w:tcPr>
          <w:p w14:paraId="78C74C10">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p>
        </w:tc>
        <w:tc>
          <w:tcPr>
            <w:tcW w:w="564" w:type="pct"/>
            <w:vMerge w:val="continue"/>
            <w:tcBorders>
              <w:tl2br w:val="nil"/>
              <w:tr2bl w:val="nil"/>
            </w:tcBorders>
            <w:vAlign w:val="center"/>
          </w:tcPr>
          <w:p w14:paraId="1D010988">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p>
        </w:tc>
        <w:tc>
          <w:tcPr>
            <w:tcW w:w="908" w:type="pct"/>
            <w:tcBorders>
              <w:tl2br w:val="nil"/>
              <w:tr2bl w:val="nil"/>
            </w:tcBorders>
            <w:vAlign w:val="center"/>
          </w:tcPr>
          <w:p w14:paraId="59B33B87">
            <w:pPr>
              <w:spacing w:line="276" w:lineRule="auto"/>
              <w:jc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2.5</w:t>
            </w:r>
          </w:p>
        </w:tc>
        <w:tc>
          <w:tcPr>
            <w:tcW w:w="917" w:type="pct"/>
            <w:tcBorders>
              <w:tl2br w:val="nil"/>
              <w:tr2bl w:val="nil"/>
            </w:tcBorders>
            <w:shd w:val="clear" w:color="auto" w:fill="auto"/>
            <w:vAlign w:val="center"/>
          </w:tcPr>
          <w:p w14:paraId="60799927">
            <w:pPr>
              <w:widowControl/>
              <w:jc w:val="center"/>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eastAsia" w:cs="Times New Roman"/>
                <w:color w:val="000000" w:themeColor="text1"/>
                <w:kern w:val="2"/>
                <w:sz w:val="21"/>
                <w:szCs w:val="21"/>
                <w:highlight w:val="yellow"/>
                <w:lang w:val="en-US" w:eastAsia="zh-CN"/>
                <w14:textFill>
                  <w14:solidFill>
                    <w14:schemeClr w14:val="tx1"/>
                  </w14:solidFill>
                </w14:textFill>
              </w:rPr>
              <w:t>8.10×10</w:t>
            </w:r>
            <w:r>
              <w:rPr>
                <w:rFonts w:hint="eastAsia" w:cs="Times New Roman"/>
                <w:color w:val="000000" w:themeColor="text1"/>
                <w:kern w:val="2"/>
                <w:sz w:val="21"/>
                <w:szCs w:val="21"/>
                <w:highlight w:val="yellow"/>
                <w:vertAlign w:val="superscript"/>
                <w:lang w:val="en-US" w:eastAsia="zh-CN"/>
                <w14:textFill>
                  <w14:solidFill>
                    <w14:schemeClr w14:val="tx1"/>
                  </w14:solidFill>
                </w14:textFill>
              </w:rPr>
              <w:t>-4</w:t>
            </w:r>
          </w:p>
        </w:tc>
        <w:tc>
          <w:tcPr>
            <w:tcW w:w="565" w:type="pct"/>
            <w:tcBorders>
              <w:tl2br w:val="nil"/>
              <w:tr2bl w:val="nil"/>
            </w:tcBorders>
            <w:shd w:val="clear" w:color="auto" w:fill="auto"/>
            <w:vAlign w:val="center"/>
          </w:tcPr>
          <w:p w14:paraId="151F18AF">
            <w:pPr>
              <w:widowControl/>
              <w:jc w:val="center"/>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yellow"/>
                <w14:textFill>
                  <w14:solidFill>
                    <w14:schemeClr w14:val="tx1"/>
                  </w14:solidFill>
                </w14:textFill>
              </w:rPr>
              <w:t>0.</w:t>
            </w:r>
            <w:r>
              <w:rPr>
                <w:rFonts w:hint="eastAsia" w:cs="Times New Roman"/>
                <w:color w:val="000000" w:themeColor="text1"/>
                <w:sz w:val="21"/>
                <w:szCs w:val="21"/>
                <w:highlight w:val="yellow"/>
                <w:lang w:val="en-US" w:eastAsia="zh-CN"/>
                <w14:textFill>
                  <w14:solidFill>
                    <w14:schemeClr w14:val="tx1"/>
                  </w14:solidFill>
                </w14:textFill>
              </w:rPr>
              <w:t>36</w:t>
            </w:r>
          </w:p>
        </w:tc>
        <w:tc>
          <w:tcPr>
            <w:tcW w:w="738" w:type="pct"/>
            <w:tcBorders>
              <w:tl2br w:val="nil"/>
              <w:tr2bl w:val="nil"/>
            </w:tcBorders>
            <w:vAlign w:val="center"/>
          </w:tcPr>
          <w:p w14:paraId="7F28C657">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w:t>
            </w:r>
          </w:p>
        </w:tc>
        <w:tc>
          <w:tcPr>
            <w:tcW w:w="740" w:type="pct"/>
            <w:tcBorders>
              <w:tl2br w:val="nil"/>
              <w:tr2bl w:val="nil"/>
            </w:tcBorders>
            <w:vAlign w:val="center"/>
          </w:tcPr>
          <w:p w14:paraId="5636C200">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color w:val="000000" w:themeColor="text1"/>
                <w14:textFill>
                  <w14:solidFill>
                    <w14:schemeClr w14:val="tx1"/>
                  </w14:solidFill>
                </w14:textFill>
              </w:rPr>
            </w:pPr>
            <w:r>
              <w:rPr>
                <w:rFonts w:hint="default" w:ascii="Times New Roman" w:hAnsi="Times New Roman"/>
                <w:color w:val="000000" w:themeColor="text1"/>
                <w14:textFill>
                  <w14:solidFill>
                    <w14:schemeClr w14:val="tx1"/>
                  </w14:solidFill>
                </w14:textFill>
              </w:rPr>
              <w:t>三级</w:t>
            </w:r>
          </w:p>
        </w:tc>
      </w:tr>
      <w:tr w14:paraId="1B2891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65" w:type="pct"/>
            <w:vMerge w:val="continue"/>
            <w:tcBorders>
              <w:tl2br w:val="nil"/>
              <w:tr2bl w:val="nil"/>
            </w:tcBorders>
            <w:vAlign w:val="center"/>
          </w:tcPr>
          <w:p w14:paraId="01D5C07D">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p>
        </w:tc>
        <w:tc>
          <w:tcPr>
            <w:tcW w:w="564" w:type="pct"/>
            <w:vMerge w:val="restart"/>
            <w:tcBorders>
              <w:tl2br w:val="nil"/>
              <w:tr2bl w:val="nil"/>
            </w:tcBorders>
            <w:vAlign w:val="center"/>
          </w:tcPr>
          <w:p w14:paraId="015BA984">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bCs/>
                <w:color w:val="000000" w:themeColor="text1"/>
                <w14:textFill>
                  <w14:solidFill>
                    <w14:schemeClr w14:val="tx1"/>
                  </w14:solidFill>
                </w14:textFill>
              </w:rPr>
              <w:t>DA003</w:t>
            </w:r>
          </w:p>
        </w:tc>
        <w:tc>
          <w:tcPr>
            <w:tcW w:w="908" w:type="pct"/>
            <w:tcBorders>
              <w:tl2br w:val="nil"/>
              <w:tr2bl w:val="nil"/>
            </w:tcBorders>
            <w:shd w:val="clear" w:color="auto" w:fill="auto"/>
            <w:vAlign w:val="center"/>
          </w:tcPr>
          <w:p w14:paraId="241A8436">
            <w:pPr>
              <w:widowControl/>
              <w:adjustRightInd w:val="0"/>
              <w:jc w:val="center"/>
              <w:textAlignment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硫化氢</w:t>
            </w:r>
          </w:p>
        </w:tc>
        <w:tc>
          <w:tcPr>
            <w:tcW w:w="917" w:type="pct"/>
            <w:tcBorders>
              <w:tl2br w:val="nil"/>
              <w:tr2bl w:val="nil"/>
            </w:tcBorders>
            <w:shd w:val="clear" w:color="auto" w:fill="auto"/>
            <w:vAlign w:val="center"/>
          </w:tcPr>
          <w:p w14:paraId="56D83E39">
            <w:pPr>
              <w:widowControl/>
              <w:jc w:val="center"/>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eastAsia" w:cs="Times New Roman"/>
                <w:color w:val="000000" w:themeColor="text1"/>
                <w:kern w:val="2"/>
                <w:sz w:val="21"/>
                <w:szCs w:val="21"/>
                <w:highlight w:val="yellow"/>
                <w:lang w:val="en-US" w:eastAsia="zh-CN"/>
                <w14:textFill>
                  <w14:solidFill>
                    <w14:schemeClr w14:val="tx1"/>
                  </w14:solidFill>
                </w14:textFill>
              </w:rPr>
              <w:t>7.51×10</w:t>
            </w:r>
            <w:r>
              <w:rPr>
                <w:rFonts w:hint="eastAsia" w:cs="Times New Roman"/>
                <w:color w:val="000000" w:themeColor="text1"/>
                <w:kern w:val="2"/>
                <w:sz w:val="21"/>
                <w:szCs w:val="21"/>
                <w:highlight w:val="yellow"/>
                <w:vertAlign w:val="superscript"/>
                <w:lang w:val="en-US" w:eastAsia="zh-CN"/>
                <w14:textFill>
                  <w14:solidFill>
                    <w14:schemeClr w14:val="tx1"/>
                  </w14:solidFill>
                </w14:textFill>
              </w:rPr>
              <w:t>-5</w:t>
            </w:r>
          </w:p>
        </w:tc>
        <w:tc>
          <w:tcPr>
            <w:tcW w:w="565" w:type="pct"/>
            <w:tcBorders>
              <w:tl2br w:val="nil"/>
              <w:tr2bl w:val="nil"/>
            </w:tcBorders>
            <w:shd w:val="clear" w:color="auto" w:fill="auto"/>
            <w:vAlign w:val="center"/>
          </w:tcPr>
          <w:p w14:paraId="2C5613BE">
            <w:pPr>
              <w:widowControl/>
              <w:jc w:val="center"/>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yellow"/>
                <w14:textFill>
                  <w14:solidFill>
                    <w14:schemeClr w14:val="tx1"/>
                  </w14:solidFill>
                </w14:textFill>
              </w:rPr>
              <w:t>0.</w:t>
            </w:r>
            <w:r>
              <w:rPr>
                <w:rFonts w:hint="eastAsia" w:cs="Times New Roman"/>
                <w:color w:val="000000" w:themeColor="text1"/>
                <w:sz w:val="21"/>
                <w:szCs w:val="21"/>
                <w:highlight w:val="yellow"/>
                <w:lang w:val="en-US" w:eastAsia="zh-CN"/>
                <w14:textFill>
                  <w14:solidFill>
                    <w14:schemeClr w14:val="tx1"/>
                  </w14:solidFill>
                </w14:textFill>
              </w:rPr>
              <w:t>75</w:t>
            </w:r>
          </w:p>
        </w:tc>
        <w:tc>
          <w:tcPr>
            <w:tcW w:w="738" w:type="pct"/>
            <w:tcBorders>
              <w:tl2br w:val="nil"/>
              <w:tr2bl w:val="nil"/>
            </w:tcBorders>
            <w:vAlign w:val="center"/>
          </w:tcPr>
          <w:p w14:paraId="302A94B9">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w:t>
            </w:r>
          </w:p>
        </w:tc>
        <w:tc>
          <w:tcPr>
            <w:tcW w:w="740" w:type="pct"/>
            <w:tcBorders>
              <w:tl2br w:val="nil"/>
              <w:tr2bl w:val="nil"/>
            </w:tcBorders>
            <w:vAlign w:val="center"/>
          </w:tcPr>
          <w:p w14:paraId="375FB5FD">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color w:val="000000" w:themeColor="text1"/>
                <w14:textFill>
                  <w14:solidFill>
                    <w14:schemeClr w14:val="tx1"/>
                  </w14:solidFill>
                </w14:textFill>
              </w:rPr>
            </w:pPr>
            <w:r>
              <w:rPr>
                <w:rFonts w:hint="default" w:ascii="Times New Roman" w:hAnsi="Times New Roman"/>
                <w:color w:val="000000" w:themeColor="text1"/>
                <w14:textFill>
                  <w14:solidFill>
                    <w14:schemeClr w14:val="tx1"/>
                  </w14:solidFill>
                </w14:textFill>
              </w:rPr>
              <w:t>三级</w:t>
            </w:r>
          </w:p>
        </w:tc>
      </w:tr>
      <w:tr w14:paraId="4A3886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65" w:type="pct"/>
            <w:vMerge w:val="continue"/>
            <w:tcBorders>
              <w:tl2br w:val="nil"/>
              <w:tr2bl w:val="nil"/>
            </w:tcBorders>
            <w:vAlign w:val="center"/>
          </w:tcPr>
          <w:p w14:paraId="587A09F8">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p>
        </w:tc>
        <w:tc>
          <w:tcPr>
            <w:tcW w:w="564" w:type="pct"/>
            <w:vMerge w:val="continue"/>
            <w:tcBorders>
              <w:tl2br w:val="nil"/>
              <w:tr2bl w:val="nil"/>
            </w:tcBorders>
            <w:vAlign w:val="center"/>
          </w:tcPr>
          <w:p w14:paraId="1758E75C">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bCs/>
                <w:color w:val="000000" w:themeColor="text1"/>
                <w14:textFill>
                  <w14:solidFill>
                    <w14:schemeClr w14:val="tx1"/>
                  </w14:solidFill>
                </w14:textFill>
              </w:rPr>
            </w:pPr>
          </w:p>
        </w:tc>
        <w:tc>
          <w:tcPr>
            <w:tcW w:w="908" w:type="pct"/>
            <w:tcBorders>
              <w:tl2br w:val="nil"/>
              <w:tr2bl w:val="nil"/>
            </w:tcBorders>
            <w:shd w:val="clear" w:color="auto" w:fill="auto"/>
            <w:vAlign w:val="center"/>
          </w:tcPr>
          <w:p w14:paraId="493D857E">
            <w:pPr>
              <w:spacing w:line="276" w:lineRule="auto"/>
              <w:jc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氨</w:t>
            </w:r>
          </w:p>
        </w:tc>
        <w:tc>
          <w:tcPr>
            <w:tcW w:w="917" w:type="pct"/>
            <w:tcBorders>
              <w:tl2br w:val="nil"/>
              <w:tr2bl w:val="nil"/>
            </w:tcBorders>
            <w:shd w:val="clear" w:color="auto" w:fill="auto"/>
            <w:vAlign w:val="center"/>
          </w:tcPr>
          <w:p w14:paraId="10362D3C">
            <w:pPr>
              <w:widowControl/>
              <w:jc w:val="center"/>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eastAsia" w:cs="Times New Roman"/>
                <w:color w:val="000000" w:themeColor="text1"/>
                <w:kern w:val="2"/>
                <w:sz w:val="21"/>
                <w:szCs w:val="21"/>
                <w:highlight w:val="yellow"/>
                <w:lang w:val="en-US" w:eastAsia="zh-CN"/>
                <w14:textFill>
                  <w14:solidFill>
                    <w14:schemeClr w14:val="tx1"/>
                  </w14:solidFill>
                </w14:textFill>
              </w:rPr>
              <w:t>3.00×10</w:t>
            </w:r>
            <w:r>
              <w:rPr>
                <w:rFonts w:hint="eastAsia" w:cs="Times New Roman"/>
                <w:color w:val="000000" w:themeColor="text1"/>
                <w:kern w:val="2"/>
                <w:sz w:val="21"/>
                <w:szCs w:val="21"/>
                <w:highlight w:val="yellow"/>
                <w:vertAlign w:val="superscript"/>
                <w:lang w:val="en-US" w:eastAsia="zh-CN"/>
                <w14:textFill>
                  <w14:solidFill>
                    <w14:schemeClr w14:val="tx1"/>
                  </w14:solidFill>
                </w14:textFill>
              </w:rPr>
              <w:t>-6</w:t>
            </w:r>
          </w:p>
        </w:tc>
        <w:tc>
          <w:tcPr>
            <w:tcW w:w="565" w:type="pct"/>
            <w:tcBorders>
              <w:tl2br w:val="nil"/>
              <w:tr2bl w:val="nil"/>
            </w:tcBorders>
            <w:shd w:val="clear" w:color="auto" w:fill="auto"/>
            <w:vAlign w:val="center"/>
          </w:tcPr>
          <w:p w14:paraId="5B332598">
            <w:pPr>
              <w:widowControl/>
              <w:jc w:val="center"/>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yellow"/>
                <w14:textFill>
                  <w14:solidFill>
                    <w14:schemeClr w14:val="tx1"/>
                  </w14:solidFill>
                </w14:textFill>
              </w:rPr>
              <w:t>0.</w:t>
            </w:r>
            <w:r>
              <w:rPr>
                <w:rFonts w:hint="eastAsia" w:cs="Times New Roman"/>
                <w:color w:val="000000" w:themeColor="text1"/>
                <w:sz w:val="21"/>
                <w:szCs w:val="21"/>
                <w:highlight w:val="yellow"/>
                <w:lang w:val="en-US" w:eastAsia="zh-CN"/>
                <w14:textFill>
                  <w14:solidFill>
                    <w14:schemeClr w14:val="tx1"/>
                  </w14:solidFill>
                </w14:textFill>
              </w:rPr>
              <w:t>00</w:t>
            </w:r>
          </w:p>
        </w:tc>
        <w:tc>
          <w:tcPr>
            <w:tcW w:w="738" w:type="pct"/>
            <w:tcBorders>
              <w:tl2br w:val="nil"/>
              <w:tr2bl w:val="nil"/>
            </w:tcBorders>
            <w:shd w:val="clear" w:color="auto" w:fill="auto"/>
            <w:vAlign w:val="center"/>
          </w:tcPr>
          <w:p w14:paraId="540468B7">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w:t>
            </w:r>
          </w:p>
        </w:tc>
        <w:tc>
          <w:tcPr>
            <w:tcW w:w="740" w:type="pct"/>
            <w:tcBorders>
              <w:tl2br w:val="nil"/>
              <w:tr2bl w:val="nil"/>
            </w:tcBorders>
            <w:shd w:val="clear" w:color="auto" w:fill="auto"/>
            <w:vAlign w:val="center"/>
          </w:tcPr>
          <w:p w14:paraId="3F009610">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color w:val="000000" w:themeColor="text1"/>
                <w14:textFill>
                  <w14:solidFill>
                    <w14:schemeClr w14:val="tx1"/>
                  </w14:solidFill>
                </w14:textFill>
              </w:rPr>
            </w:pPr>
            <w:r>
              <w:rPr>
                <w:rFonts w:hint="default" w:ascii="Times New Roman" w:hAnsi="Times New Roman"/>
                <w:color w:val="000000" w:themeColor="text1"/>
                <w14:textFill>
                  <w14:solidFill>
                    <w14:schemeClr w14:val="tx1"/>
                  </w14:solidFill>
                </w14:textFill>
              </w:rPr>
              <w:t>三级</w:t>
            </w:r>
          </w:p>
        </w:tc>
      </w:tr>
      <w:tr w14:paraId="03E96C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0" w:hRule="atLeast"/>
        </w:trPr>
        <w:tc>
          <w:tcPr>
            <w:tcW w:w="565" w:type="pct"/>
            <w:vMerge w:val="restart"/>
            <w:tcBorders>
              <w:tl2br w:val="nil"/>
              <w:tr2bl w:val="nil"/>
            </w:tcBorders>
            <w:vAlign w:val="center"/>
          </w:tcPr>
          <w:p w14:paraId="317AC764">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面源</w:t>
            </w:r>
          </w:p>
        </w:tc>
        <w:tc>
          <w:tcPr>
            <w:tcW w:w="564" w:type="pct"/>
            <w:tcBorders>
              <w:tl2br w:val="nil"/>
              <w:tr2bl w:val="nil"/>
            </w:tcBorders>
            <w:vAlign w:val="center"/>
          </w:tcPr>
          <w:p w14:paraId="0955A8AC">
            <w:pPr>
              <w:spacing w:line="276" w:lineRule="auto"/>
              <w:jc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1#厂房</w:t>
            </w:r>
          </w:p>
        </w:tc>
        <w:tc>
          <w:tcPr>
            <w:tcW w:w="908" w:type="pct"/>
            <w:tcBorders>
              <w:tl2br w:val="nil"/>
              <w:tr2bl w:val="nil"/>
            </w:tcBorders>
            <w:vAlign w:val="center"/>
          </w:tcPr>
          <w:p w14:paraId="6E8FC89A">
            <w:pPr>
              <w:spacing w:line="276" w:lineRule="auto"/>
              <w:jc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917" w:type="pct"/>
            <w:tcBorders>
              <w:tl2br w:val="nil"/>
              <w:tr2bl w:val="nil"/>
            </w:tcBorders>
            <w:shd w:val="clear" w:color="auto" w:fill="auto"/>
            <w:vAlign w:val="center"/>
          </w:tcPr>
          <w:p w14:paraId="4B717D73">
            <w:pPr>
              <w:widowControl/>
              <w:jc w:val="center"/>
              <w:rPr>
                <w:rFonts w:hint="default" w:ascii="Times New Roman" w:hAnsi="Times New Roman" w:eastAsia="宋体" w:cs="Times New Roman"/>
                <w:color w:val="000000" w:themeColor="text1"/>
                <w:spacing w:val="-2"/>
                <w:kern w:val="2"/>
                <w:sz w:val="21"/>
                <w:szCs w:val="21"/>
                <w:highlight w:val="yellow"/>
                <w:lang w:val="en-US" w:eastAsia="zh-CN" w:bidi="ar-SA"/>
                <w14:textFill>
                  <w14:solidFill>
                    <w14:schemeClr w14:val="tx1"/>
                  </w14:solidFill>
                </w14:textFill>
              </w:rPr>
            </w:pPr>
            <w:r>
              <w:rPr>
                <w:rFonts w:hint="eastAsia" w:cs="Times New Roman"/>
                <w:color w:val="000000" w:themeColor="text1"/>
                <w:kern w:val="2"/>
                <w:sz w:val="21"/>
                <w:szCs w:val="21"/>
                <w:highlight w:val="yellow"/>
                <w:lang w:val="en-US" w:eastAsia="zh-CN"/>
                <w14:textFill>
                  <w14:solidFill>
                    <w14:schemeClr w14:val="tx1"/>
                  </w14:solidFill>
                </w14:textFill>
              </w:rPr>
              <w:t>9.60×10</w:t>
            </w:r>
            <w:r>
              <w:rPr>
                <w:rFonts w:hint="eastAsia" w:cs="Times New Roman"/>
                <w:color w:val="000000" w:themeColor="text1"/>
                <w:kern w:val="2"/>
                <w:sz w:val="21"/>
                <w:szCs w:val="21"/>
                <w:highlight w:val="yellow"/>
                <w:vertAlign w:val="superscript"/>
                <w:lang w:val="en-US" w:eastAsia="zh-CN"/>
                <w14:textFill>
                  <w14:solidFill>
                    <w14:schemeClr w14:val="tx1"/>
                  </w14:solidFill>
                </w14:textFill>
              </w:rPr>
              <w:t>-3</w:t>
            </w:r>
          </w:p>
        </w:tc>
        <w:tc>
          <w:tcPr>
            <w:tcW w:w="565" w:type="pct"/>
            <w:tcBorders>
              <w:tl2br w:val="nil"/>
              <w:tr2bl w:val="nil"/>
            </w:tcBorders>
            <w:shd w:val="clear" w:color="auto" w:fill="auto"/>
            <w:vAlign w:val="center"/>
          </w:tcPr>
          <w:p w14:paraId="362622E8">
            <w:pPr>
              <w:widowControl/>
              <w:jc w:val="center"/>
              <w:rPr>
                <w:rFonts w:hint="default" w:ascii="Times New Roman" w:hAnsi="Times New Roman" w:eastAsia="宋体" w:cs="Times New Roman"/>
                <w:color w:val="000000" w:themeColor="text1"/>
                <w:spacing w:val="-2"/>
                <w:kern w:val="2"/>
                <w:sz w:val="21"/>
                <w:szCs w:val="21"/>
                <w:highlight w:val="yellow"/>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highlight w:val="yellow"/>
                <w14:textFill>
                  <w14:solidFill>
                    <w14:schemeClr w14:val="tx1"/>
                  </w14:solidFill>
                </w14:textFill>
              </w:rPr>
              <w:t>0.</w:t>
            </w:r>
            <w:r>
              <w:rPr>
                <w:rFonts w:hint="eastAsia" w:cs="Times New Roman"/>
                <w:color w:val="000000" w:themeColor="text1"/>
                <w:kern w:val="2"/>
                <w:sz w:val="21"/>
                <w:szCs w:val="21"/>
                <w:highlight w:val="yellow"/>
                <w:lang w:val="en-US" w:eastAsia="zh-CN"/>
                <w14:textFill>
                  <w14:solidFill>
                    <w14:schemeClr w14:val="tx1"/>
                  </w14:solidFill>
                </w14:textFill>
              </w:rPr>
              <w:t>48</w:t>
            </w:r>
          </w:p>
        </w:tc>
        <w:tc>
          <w:tcPr>
            <w:tcW w:w="738" w:type="pct"/>
            <w:tcBorders>
              <w:tl2br w:val="nil"/>
              <w:tr2bl w:val="nil"/>
            </w:tcBorders>
            <w:shd w:val="clear" w:color="auto" w:fill="auto"/>
            <w:vAlign w:val="center"/>
          </w:tcPr>
          <w:p w14:paraId="41758B5B">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w:t>
            </w:r>
          </w:p>
        </w:tc>
        <w:tc>
          <w:tcPr>
            <w:tcW w:w="740" w:type="pct"/>
            <w:tcBorders>
              <w:tl2br w:val="nil"/>
              <w:tr2bl w:val="nil"/>
            </w:tcBorders>
            <w:shd w:val="clear" w:color="auto" w:fill="auto"/>
            <w:vAlign w:val="center"/>
          </w:tcPr>
          <w:p w14:paraId="5990EA94">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color w:val="000000" w:themeColor="text1"/>
                <w14:textFill>
                  <w14:solidFill>
                    <w14:schemeClr w14:val="tx1"/>
                  </w14:solidFill>
                </w14:textFill>
              </w:rPr>
            </w:pPr>
            <w:r>
              <w:rPr>
                <w:rFonts w:hint="default" w:ascii="Times New Roman" w:hAnsi="Times New Roman"/>
                <w:color w:val="000000" w:themeColor="text1"/>
                <w14:textFill>
                  <w14:solidFill>
                    <w14:schemeClr w14:val="tx1"/>
                  </w14:solidFill>
                </w14:textFill>
              </w:rPr>
              <w:t>三级</w:t>
            </w:r>
          </w:p>
        </w:tc>
      </w:tr>
      <w:tr w14:paraId="438A06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65" w:type="pct"/>
            <w:vMerge w:val="continue"/>
            <w:tcBorders>
              <w:tl2br w:val="nil"/>
              <w:tr2bl w:val="nil"/>
            </w:tcBorders>
            <w:vAlign w:val="center"/>
          </w:tcPr>
          <w:p w14:paraId="486A5E42">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p>
        </w:tc>
        <w:tc>
          <w:tcPr>
            <w:tcW w:w="564" w:type="pct"/>
            <w:vMerge w:val="restart"/>
            <w:tcBorders>
              <w:tl2br w:val="nil"/>
              <w:tr2bl w:val="nil"/>
            </w:tcBorders>
            <w:vAlign w:val="center"/>
          </w:tcPr>
          <w:p w14:paraId="653CDE9C">
            <w:pPr>
              <w:widowControl/>
              <w:jc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2#厂房</w:t>
            </w:r>
          </w:p>
        </w:tc>
        <w:tc>
          <w:tcPr>
            <w:tcW w:w="908" w:type="pct"/>
            <w:tcBorders>
              <w:tl2br w:val="nil"/>
              <w:tr2bl w:val="nil"/>
            </w:tcBorders>
            <w:vAlign w:val="center"/>
          </w:tcPr>
          <w:p w14:paraId="7F036823">
            <w:pPr>
              <w:widowControl/>
              <w:adjustRightInd w:val="0"/>
              <w:jc w:val="center"/>
              <w:textAlignment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TSP</w:t>
            </w:r>
          </w:p>
        </w:tc>
        <w:tc>
          <w:tcPr>
            <w:tcW w:w="917" w:type="pct"/>
            <w:tcBorders>
              <w:tl2br w:val="nil"/>
              <w:tr2bl w:val="nil"/>
            </w:tcBorders>
            <w:shd w:val="clear" w:color="auto" w:fill="auto"/>
            <w:vAlign w:val="center"/>
          </w:tcPr>
          <w:p w14:paraId="790B8C50">
            <w:pPr>
              <w:widowControl/>
              <w:jc w:val="center"/>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eastAsia" w:cs="Times New Roman"/>
                <w:color w:val="000000" w:themeColor="text1"/>
                <w:kern w:val="2"/>
                <w:sz w:val="21"/>
                <w:szCs w:val="21"/>
                <w:highlight w:val="yellow"/>
                <w:lang w:val="en-US" w:eastAsia="zh-CN"/>
                <w14:textFill>
                  <w14:solidFill>
                    <w14:schemeClr w14:val="tx1"/>
                  </w14:solidFill>
                </w14:textFill>
              </w:rPr>
              <w:t>7.04×10</w:t>
            </w:r>
            <w:r>
              <w:rPr>
                <w:rFonts w:hint="eastAsia" w:cs="Times New Roman"/>
                <w:color w:val="000000" w:themeColor="text1"/>
                <w:kern w:val="2"/>
                <w:sz w:val="21"/>
                <w:szCs w:val="21"/>
                <w:highlight w:val="yellow"/>
                <w:vertAlign w:val="superscript"/>
                <w:lang w:val="en-US" w:eastAsia="zh-CN"/>
                <w14:textFill>
                  <w14:solidFill>
                    <w14:schemeClr w14:val="tx1"/>
                  </w14:solidFill>
                </w14:textFill>
              </w:rPr>
              <w:t>-2</w:t>
            </w:r>
          </w:p>
        </w:tc>
        <w:tc>
          <w:tcPr>
            <w:tcW w:w="565" w:type="pct"/>
            <w:tcBorders>
              <w:tl2br w:val="nil"/>
              <w:tr2bl w:val="nil"/>
            </w:tcBorders>
            <w:shd w:val="clear" w:color="auto" w:fill="auto"/>
            <w:vAlign w:val="center"/>
          </w:tcPr>
          <w:p w14:paraId="13F557FE">
            <w:pPr>
              <w:widowControl/>
              <w:jc w:val="center"/>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eastAsia" w:cs="Times New Roman"/>
                <w:color w:val="000000" w:themeColor="text1"/>
                <w:sz w:val="21"/>
                <w:szCs w:val="21"/>
                <w:highlight w:val="yellow"/>
                <w:lang w:val="en-US" w:eastAsia="zh-CN"/>
                <w14:textFill>
                  <w14:solidFill>
                    <w14:schemeClr w14:val="tx1"/>
                  </w14:solidFill>
                </w14:textFill>
              </w:rPr>
              <w:t>7.83</w:t>
            </w:r>
          </w:p>
        </w:tc>
        <w:tc>
          <w:tcPr>
            <w:tcW w:w="738" w:type="pct"/>
            <w:tcBorders>
              <w:tl2br w:val="nil"/>
              <w:tr2bl w:val="nil"/>
            </w:tcBorders>
            <w:vAlign w:val="center"/>
          </w:tcPr>
          <w:p w14:paraId="3BEC94D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w:t>
            </w:r>
          </w:p>
        </w:tc>
        <w:tc>
          <w:tcPr>
            <w:tcW w:w="740" w:type="pct"/>
            <w:tcBorders>
              <w:tl2br w:val="nil"/>
              <w:tr2bl w:val="nil"/>
            </w:tcBorders>
            <w:vAlign w:val="center"/>
          </w:tcPr>
          <w:p w14:paraId="246C2ECB">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eastAsia" w:ascii="Times New Roman" w:hAnsi="Times New Roman" w:eastAsiaTheme="minorEastAsia"/>
                <w:color w:val="000000" w:themeColor="text1"/>
                <w14:textFill>
                  <w14:solidFill>
                    <w14:schemeClr w14:val="tx1"/>
                  </w14:solidFill>
                </w14:textFill>
              </w:rPr>
              <w:t>二</w:t>
            </w:r>
            <w:r>
              <w:rPr>
                <w:rFonts w:hint="default" w:ascii="Times New Roman" w:hAnsi="Times New Roman" w:eastAsiaTheme="minorEastAsia"/>
                <w:color w:val="000000" w:themeColor="text1"/>
                <w14:textFill>
                  <w14:solidFill>
                    <w14:schemeClr w14:val="tx1"/>
                  </w14:solidFill>
                </w14:textFill>
              </w:rPr>
              <w:t>级</w:t>
            </w:r>
          </w:p>
        </w:tc>
      </w:tr>
      <w:tr w14:paraId="56B401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65" w:type="pct"/>
            <w:vMerge w:val="continue"/>
            <w:tcBorders>
              <w:tl2br w:val="nil"/>
              <w:tr2bl w:val="nil"/>
            </w:tcBorders>
            <w:vAlign w:val="center"/>
          </w:tcPr>
          <w:p w14:paraId="550876B5">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p>
        </w:tc>
        <w:tc>
          <w:tcPr>
            <w:tcW w:w="564" w:type="pct"/>
            <w:vMerge w:val="continue"/>
            <w:tcBorders>
              <w:tl2br w:val="nil"/>
              <w:tr2bl w:val="nil"/>
            </w:tcBorders>
            <w:vAlign w:val="center"/>
          </w:tcPr>
          <w:p w14:paraId="118F4F4C">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p>
        </w:tc>
        <w:tc>
          <w:tcPr>
            <w:tcW w:w="908" w:type="pct"/>
            <w:tcBorders>
              <w:tl2br w:val="nil"/>
              <w:tr2bl w:val="nil"/>
            </w:tcBorders>
            <w:vAlign w:val="center"/>
          </w:tcPr>
          <w:p w14:paraId="12C8DA3F">
            <w:pPr>
              <w:widowControl/>
              <w:adjustRightInd w:val="0"/>
              <w:jc w:val="center"/>
              <w:textAlignment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917" w:type="pct"/>
            <w:tcBorders>
              <w:tl2br w:val="nil"/>
              <w:tr2bl w:val="nil"/>
            </w:tcBorders>
            <w:shd w:val="clear" w:color="auto" w:fill="auto"/>
            <w:vAlign w:val="center"/>
          </w:tcPr>
          <w:p w14:paraId="4D175B71">
            <w:pPr>
              <w:widowControl/>
              <w:jc w:val="center"/>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eastAsia" w:cs="Times New Roman"/>
                <w:color w:val="000000" w:themeColor="text1"/>
                <w:kern w:val="2"/>
                <w:sz w:val="21"/>
                <w:szCs w:val="21"/>
                <w:highlight w:val="yellow"/>
                <w:lang w:val="en-US" w:eastAsia="zh-CN"/>
                <w14:textFill>
                  <w14:solidFill>
                    <w14:schemeClr w14:val="tx1"/>
                  </w14:solidFill>
                </w14:textFill>
              </w:rPr>
              <w:t>1.72×10</w:t>
            </w:r>
            <w:r>
              <w:rPr>
                <w:rFonts w:hint="eastAsia" w:cs="Times New Roman"/>
                <w:color w:val="000000" w:themeColor="text1"/>
                <w:kern w:val="2"/>
                <w:sz w:val="21"/>
                <w:szCs w:val="21"/>
                <w:highlight w:val="yellow"/>
                <w:vertAlign w:val="superscript"/>
                <w:lang w:val="en-US" w:eastAsia="zh-CN"/>
                <w14:textFill>
                  <w14:solidFill>
                    <w14:schemeClr w14:val="tx1"/>
                  </w14:solidFill>
                </w14:textFill>
              </w:rPr>
              <w:t>-2</w:t>
            </w:r>
          </w:p>
        </w:tc>
        <w:tc>
          <w:tcPr>
            <w:tcW w:w="565" w:type="pct"/>
            <w:tcBorders>
              <w:tl2br w:val="nil"/>
              <w:tr2bl w:val="nil"/>
            </w:tcBorders>
            <w:shd w:val="clear" w:color="auto" w:fill="auto"/>
            <w:vAlign w:val="center"/>
          </w:tcPr>
          <w:p w14:paraId="1F6F9891">
            <w:pPr>
              <w:widowControl/>
              <w:jc w:val="center"/>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eastAsia" w:cs="Times New Roman"/>
                <w:color w:val="000000" w:themeColor="text1"/>
                <w:sz w:val="21"/>
                <w:szCs w:val="21"/>
                <w:highlight w:val="yellow"/>
                <w:lang w:val="en-US" w:eastAsia="zh-CN"/>
                <w14:textFill>
                  <w14:solidFill>
                    <w14:schemeClr w14:val="tx1"/>
                  </w14:solidFill>
                </w14:textFill>
              </w:rPr>
              <w:t>0.86</w:t>
            </w:r>
          </w:p>
        </w:tc>
        <w:tc>
          <w:tcPr>
            <w:tcW w:w="738" w:type="pct"/>
            <w:tcBorders>
              <w:tl2br w:val="nil"/>
              <w:tr2bl w:val="nil"/>
            </w:tcBorders>
            <w:shd w:val="clear" w:color="auto" w:fill="auto"/>
            <w:vAlign w:val="center"/>
          </w:tcPr>
          <w:p w14:paraId="1B6797FD">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w:t>
            </w:r>
          </w:p>
        </w:tc>
        <w:tc>
          <w:tcPr>
            <w:tcW w:w="740" w:type="pct"/>
            <w:tcBorders>
              <w:tl2br w:val="nil"/>
              <w:tr2bl w:val="nil"/>
            </w:tcBorders>
            <w:shd w:val="clear" w:color="auto" w:fill="auto"/>
            <w:vAlign w:val="center"/>
          </w:tcPr>
          <w:p w14:paraId="2F964AD5">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eastAsia" w:ascii="Times New Roman" w:hAnsi="Times New Roman" w:eastAsiaTheme="minorEastAsia"/>
                <w:color w:val="000000" w:themeColor="text1"/>
                <w:lang w:eastAsia="zh-CN"/>
                <w14:textFill>
                  <w14:solidFill>
                    <w14:schemeClr w14:val="tx1"/>
                  </w14:solidFill>
                </w14:textFill>
              </w:rPr>
              <w:t>三</w:t>
            </w:r>
            <w:r>
              <w:rPr>
                <w:rFonts w:hint="default" w:ascii="Times New Roman" w:hAnsi="Times New Roman" w:eastAsiaTheme="minorEastAsia"/>
                <w:color w:val="000000" w:themeColor="text1"/>
                <w14:textFill>
                  <w14:solidFill>
                    <w14:schemeClr w14:val="tx1"/>
                  </w14:solidFill>
                </w14:textFill>
              </w:rPr>
              <w:t>级</w:t>
            </w:r>
          </w:p>
        </w:tc>
      </w:tr>
    </w:tbl>
    <w:p w14:paraId="66782416">
      <w:pPr>
        <w:pStyle w:val="251"/>
        <w:ind w:left="0" w:leftChars="0" w:firstLine="480" w:firstLineChars="20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由上表可知，本项目污染物最大落地浓度TSP占标率为P</w:t>
      </w:r>
      <w:r>
        <w:rPr>
          <w:rFonts w:hint="default" w:ascii="Times New Roman" w:hAnsi="Times New Roman" w:cs="Times New Roman"/>
          <w:color w:val="000000" w:themeColor="text1"/>
          <w:vertAlign w:val="subscript"/>
          <w14:textFill>
            <w14:solidFill>
              <w14:schemeClr w14:val="tx1"/>
            </w14:solidFill>
          </w14:textFill>
        </w:rPr>
        <w:t>max</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7.83</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P</w:t>
      </w:r>
      <w:r>
        <w:rPr>
          <w:rFonts w:hint="default" w:ascii="Times New Roman" w:hAnsi="Times New Roman" w:cs="Times New Roman"/>
          <w:color w:val="000000" w:themeColor="text1"/>
          <w:vertAlign w:val="subscript"/>
          <w14:textFill>
            <w14:solidFill>
              <w14:schemeClr w14:val="tx1"/>
            </w14:solidFill>
          </w14:textFill>
        </w:rPr>
        <w:t>max</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10%，对照表评价工作等级划分依据，结合上述估算模式的计算结果，本项目大气环境影响评价等级为</w:t>
      </w:r>
      <w:r>
        <w:rPr>
          <w:rFonts w:hint="default" w:ascii="Times New Roman" w:hAnsi="Times New Roman" w:cs="Times New Roman"/>
          <w:color w:val="000000" w:themeColor="text1"/>
          <w:lang w:val="en-US" w:eastAsia="zh-CN"/>
          <w14:textFill>
            <w14:solidFill>
              <w14:schemeClr w14:val="tx1"/>
            </w14:solidFill>
          </w14:textFill>
        </w:rPr>
        <w:t>二</w:t>
      </w:r>
      <w:r>
        <w:rPr>
          <w:rFonts w:hint="default" w:ascii="Times New Roman" w:hAnsi="Times New Roman" w:cs="Times New Roman"/>
          <w:color w:val="000000" w:themeColor="text1"/>
          <w14:textFill>
            <w14:solidFill>
              <w14:schemeClr w14:val="tx1"/>
            </w14:solidFill>
          </w14:textFill>
        </w:rPr>
        <w:t>级。</w:t>
      </w:r>
    </w:p>
    <w:p w14:paraId="58F9D926">
      <w:pPr>
        <w:pStyle w:val="3159"/>
        <w:rPr>
          <w:rFonts w:hint="default" w:ascii="Times New Roman" w:hAnsi="Times New Roman" w:eastAsia="黑体" w:cs="Times New Roman"/>
          <w:b w:val="0"/>
          <w:color w:val="000000" w:themeColor="text1"/>
          <w14:textFill>
            <w14:solidFill>
              <w14:schemeClr w14:val="tx1"/>
            </w14:solidFill>
          </w14:textFill>
        </w:rPr>
      </w:pPr>
      <w:bookmarkStart w:id="27" w:name="_Toc173837619"/>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3</w:t>
      </w:r>
      <w:r>
        <w:rPr>
          <w:rFonts w:hint="default" w:ascii="Times New Roman" w:hAnsi="Times New Roman" w:eastAsia="黑体" w:cs="Times New Roman"/>
          <w:b w:val="0"/>
          <w:color w:val="000000" w:themeColor="text1"/>
          <w14:textFill>
            <w14:solidFill>
              <w14:schemeClr w14:val="tx1"/>
            </w14:solidFill>
          </w14:textFill>
        </w:rPr>
        <w:t>.2地表水环境影响评价等级</w:t>
      </w:r>
      <w:bookmarkEnd w:id="27"/>
    </w:p>
    <w:p w14:paraId="4CA8EA9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本项目采取雨污分流；生活污水经化粪池处理后排入市政污水管网送至</w:t>
      </w:r>
      <w:r>
        <w:rPr>
          <w:rFonts w:hint="eastAsia" w:ascii="Times New Roman" w:hAnsi="Times New Roman" w:cs="Times New Roman"/>
          <w:color w:val="000000" w:themeColor="text1"/>
          <w:sz w:val="24"/>
          <w:lang w:eastAsia="zh-CN"/>
          <w14:textFill>
            <w14:solidFill>
              <w14:schemeClr w14:val="tx1"/>
            </w14:solidFill>
          </w14:textFill>
        </w:rPr>
        <w:t>毛集实验区</w:t>
      </w:r>
      <w:r>
        <w:rPr>
          <w:rFonts w:hint="default" w:ascii="Times New Roman" w:hAnsi="Times New Roman" w:cs="Times New Roman"/>
          <w:color w:val="000000" w:themeColor="text1"/>
          <w:sz w:val="24"/>
          <w14:textFill>
            <w14:solidFill>
              <w14:schemeClr w14:val="tx1"/>
            </w14:solidFill>
          </w14:textFill>
        </w:rPr>
        <w:t>污水处理厂进行处理；冷却水循环使用，</w:t>
      </w:r>
      <w:r>
        <w:rPr>
          <w:rFonts w:hint="eastAsia" w:cs="Times New Roman"/>
          <w:color w:val="000000" w:themeColor="text1"/>
          <w:sz w:val="24"/>
          <w:lang w:eastAsia="zh-CN"/>
          <w14:textFill>
            <w14:solidFill>
              <w14:schemeClr w14:val="tx1"/>
            </w14:solidFill>
          </w14:textFill>
        </w:rPr>
        <w:t>定期外排水用于物料清洗；</w:t>
      </w:r>
      <w:r>
        <w:rPr>
          <w:rFonts w:hint="default" w:ascii="Times New Roman" w:hAnsi="Times New Roman" w:cs="Times New Roman"/>
          <w:color w:val="000000" w:themeColor="text1"/>
          <w:sz w:val="24"/>
          <w14:textFill>
            <w14:solidFill>
              <w14:schemeClr w14:val="tx1"/>
            </w14:solidFill>
          </w14:textFill>
        </w:rPr>
        <w:t>瓶片清洗废水经厂区自建污水处理站处理后</w:t>
      </w:r>
      <w:r>
        <w:rPr>
          <w:rFonts w:hint="default" w:ascii="Times New Roman" w:hAnsi="Times New Roman" w:cs="Times New Roman"/>
          <w:color w:val="000000" w:themeColor="text1"/>
          <w:sz w:val="24"/>
          <w14:textFill>
            <w14:solidFill>
              <w14:schemeClr w14:val="tx1"/>
            </w14:solidFill>
          </w14:textFill>
        </w:rPr>
        <w:t>90%循环使用，10%</w:t>
      </w:r>
      <w:r>
        <w:rPr>
          <w:rFonts w:hint="eastAsia" w:cs="Times New Roman"/>
          <w:color w:val="000000" w:themeColor="text1"/>
          <w:sz w:val="24"/>
          <w:lang w:eastAsia="zh-CN"/>
          <w14:textFill>
            <w14:solidFill>
              <w14:schemeClr w14:val="tx1"/>
            </w14:solidFill>
          </w14:textFill>
        </w:rPr>
        <w:t>通过</w:t>
      </w:r>
      <w:r>
        <w:rPr>
          <w:rFonts w:hint="default" w:ascii="Times New Roman" w:hAnsi="Times New Roman" w:cs="Times New Roman"/>
          <w:color w:val="000000" w:themeColor="text1"/>
          <w:sz w:val="24"/>
          <w14:textFill>
            <w14:solidFill>
              <w14:schemeClr w14:val="tx1"/>
            </w14:solidFill>
          </w14:textFill>
        </w:rPr>
        <w:t>市政污水管网送至</w:t>
      </w:r>
      <w:r>
        <w:rPr>
          <w:rFonts w:hint="eastAsia" w:cs="Times New Roman"/>
          <w:color w:val="000000" w:themeColor="text1"/>
          <w:sz w:val="24"/>
          <w:lang w:eastAsia="zh-CN"/>
          <w14:textFill>
            <w14:solidFill>
              <w14:schemeClr w14:val="tx1"/>
            </w14:solidFill>
          </w14:textFill>
        </w:rPr>
        <w:t>毛集实验区</w:t>
      </w:r>
      <w:r>
        <w:rPr>
          <w:rFonts w:hint="default" w:ascii="Times New Roman" w:hAnsi="Times New Roman" w:cs="Times New Roman"/>
          <w:color w:val="000000" w:themeColor="text1"/>
          <w:sz w:val="24"/>
          <w14:textFill>
            <w14:solidFill>
              <w14:schemeClr w14:val="tx1"/>
            </w14:solidFill>
          </w14:textFill>
        </w:rPr>
        <w:t>污水处理厂进行</w:t>
      </w:r>
      <w:r>
        <w:rPr>
          <w:rFonts w:hint="eastAsia" w:cs="Times New Roman"/>
          <w:color w:val="000000" w:themeColor="text1"/>
          <w:sz w:val="24"/>
          <w:lang w:eastAsia="zh-CN"/>
          <w14:textFill>
            <w14:solidFill>
              <w14:schemeClr w14:val="tx1"/>
            </w14:solidFill>
          </w14:textFill>
        </w:rPr>
        <w:t>深度</w:t>
      </w:r>
      <w:r>
        <w:rPr>
          <w:rFonts w:hint="default" w:ascii="Times New Roman" w:hAnsi="Times New Roman" w:cs="Times New Roman"/>
          <w:color w:val="000000" w:themeColor="text1"/>
          <w:sz w:val="24"/>
          <w14:textFill>
            <w14:solidFill>
              <w14:schemeClr w14:val="tx1"/>
            </w14:solidFill>
          </w14:textFill>
        </w:rPr>
        <w:t>处理</w:t>
      </w:r>
      <w:r>
        <w:rPr>
          <w:rFonts w:hint="default" w:ascii="Times New Roman" w:hAnsi="Times New Roman" w:cs="Times New Roman"/>
          <w:color w:val="000000" w:themeColor="text1"/>
          <w:sz w:val="24"/>
          <w14:textFill>
            <w14:solidFill>
              <w14:schemeClr w14:val="tx1"/>
            </w14:solidFill>
          </w14:textFill>
        </w:rPr>
        <w:t>。</w:t>
      </w:r>
    </w:p>
    <w:p w14:paraId="2F5AB2F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根据《环境影响评价技术导则地表水环境》（HJ2.3-2018），本项目地表水评价等级为三级B，具体见下表。</w:t>
      </w:r>
    </w:p>
    <w:p w14:paraId="58D8064F">
      <w:pPr>
        <w:adjustRightInd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3</w:t>
      </w:r>
      <w:r>
        <w:rPr>
          <w:rFonts w:hint="default" w:ascii="Times New Roman" w:hAnsi="Times New Roman" w:eastAsia="黑体" w:cs="Times New Roman"/>
          <w:bCs/>
          <w:color w:val="000000" w:themeColor="text1"/>
          <w:sz w:val="24"/>
          <w14:textFill>
            <w14:solidFill>
              <w14:schemeClr w14:val="tx1"/>
            </w14:solidFill>
          </w14:textFill>
        </w:rPr>
        <w:t>-4水污染影响型建设项目评价等级判定</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93"/>
        <w:gridCol w:w="2269"/>
        <w:gridCol w:w="4160"/>
      </w:tblGrid>
      <w:tr w14:paraId="6C7688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8" w:type="pct"/>
            <w:vMerge w:val="restart"/>
            <w:vAlign w:val="center"/>
          </w:tcPr>
          <w:p w14:paraId="0980BF05">
            <w:pPr>
              <w:adjustRightInd w:val="0"/>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评价等级</w:t>
            </w:r>
          </w:p>
        </w:tc>
        <w:tc>
          <w:tcPr>
            <w:tcW w:w="3772" w:type="pct"/>
            <w:gridSpan w:val="2"/>
            <w:vAlign w:val="center"/>
          </w:tcPr>
          <w:p w14:paraId="2F122676">
            <w:pPr>
              <w:adjustRightInd w:val="0"/>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判定依据</w:t>
            </w:r>
          </w:p>
        </w:tc>
      </w:tr>
      <w:tr w14:paraId="5942C2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8" w:type="pct"/>
            <w:vMerge w:val="continue"/>
            <w:vAlign w:val="center"/>
          </w:tcPr>
          <w:p w14:paraId="35E26791">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331" w:type="pct"/>
            <w:vAlign w:val="center"/>
          </w:tcPr>
          <w:p w14:paraId="525556E0">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排放方式</w:t>
            </w:r>
          </w:p>
        </w:tc>
        <w:tc>
          <w:tcPr>
            <w:tcW w:w="2441" w:type="pct"/>
            <w:vAlign w:val="center"/>
          </w:tcPr>
          <w:p w14:paraId="47CE150A">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废水排放量Q/（m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/d）</w:t>
            </w:r>
          </w:p>
          <w:p w14:paraId="68FD938F">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水污染物当量数W/（无量纲）</w:t>
            </w:r>
          </w:p>
        </w:tc>
      </w:tr>
      <w:tr w14:paraId="23056F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8" w:type="pct"/>
            <w:vAlign w:val="center"/>
          </w:tcPr>
          <w:p w14:paraId="290CCE9B">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一级</w:t>
            </w:r>
          </w:p>
        </w:tc>
        <w:tc>
          <w:tcPr>
            <w:tcW w:w="1331" w:type="pct"/>
            <w:vAlign w:val="center"/>
          </w:tcPr>
          <w:p w14:paraId="02B1BE42">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直接排放</w:t>
            </w:r>
          </w:p>
        </w:tc>
        <w:tc>
          <w:tcPr>
            <w:tcW w:w="2441" w:type="pct"/>
            <w:vAlign w:val="center"/>
          </w:tcPr>
          <w:p w14:paraId="2A305A5B">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Q≥20000或W≥600000</w:t>
            </w:r>
          </w:p>
        </w:tc>
      </w:tr>
      <w:tr w14:paraId="02FF12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8" w:type="pct"/>
            <w:vAlign w:val="center"/>
          </w:tcPr>
          <w:p w14:paraId="2DD78372">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二级</w:t>
            </w:r>
          </w:p>
        </w:tc>
        <w:tc>
          <w:tcPr>
            <w:tcW w:w="1331" w:type="pct"/>
            <w:vAlign w:val="center"/>
          </w:tcPr>
          <w:p w14:paraId="129ADDD2">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直接排放</w:t>
            </w:r>
          </w:p>
        </w:tc>
        <w:tc>
          <w:tcPr>
            <w:tcW w:w="2441" w:type="pct"/>
            <w:vAlign w:val="center"/>
          </w:tcPr>
          <w:p w14:paraId="399CD4D1">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其他</w:t>
            </w:r>
          </w:p>
        </w:tc>
      </w:tr>
      <w:tr w14:paraId="4FA74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8" w:type="pct"/>
            <w:tcBorders>
              <w:bottom w:val="single" w:color="auto" w:sz="4" w:space="0"/>
            </w:tcBorders>
            <w:vAlign w:val="center"/>
          </w:tcPr>
          <w:p w14:paraId="1B8E345D">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三级A</w:t>
            </w:r>
          </w:p>
        </w:tc>
        <w:tc>
          <w:tcPr>
            <w:tcW w:w="1331" w:type="pct"/>
            <w:tcBorders>
              <w:bottom w:val="single" w:color="auto" w:sz="4" w:space="0"/>
            </w:tcBorders>
            <w:vAlign w:val="center"/>
          </w:tcPr>
          <w:p w14:paraId="731A15EC">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直接排放</w:t>
            </w:r>
          </w:p>
        </w:tc>
        <w:tc>
          <w:tcPr>
            <w:tcW w:w="2441" w:type="pct"/>
            <w:tcBorders>
              <w:bottom w:val="single" w:color="auto" w:sz="4" w:space="0"/>
            </w:tcBorders>
            <w:vAlign w:val="center"/>
          </w:tcPr>
          <w:p w14:paraId="37BC82D1">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Q＜200且W＜6000</w:t>
            </w:r>
          </w:p>
        </w:tc>
      </w:tr>
      <w:tr w14:paraId="54B20B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8" w:type="pct"/>
            <w:tcBorders>
              <w:top w:val="single" w:color="auto" w:sz="4" w:space="0"/>
              <w:bottom w:val="single" w:color="auto" w:sz="4" w:space="0"/>
            </w:tcBorders>
            <w:shd w:val="clear" w:color="auto" w:fill="D9D9D9"/>
            <w:vAlign w:val="center"/>
          </w:tcPr>
          <w:p w14:paraId="35A6EDF0">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三级B</w:t>
            </w:r>
          </w:p>
        </w:tc>
        <w:tc>
          <w:tcPr>
            <w:tcW w:w="1331" w:type="pct"/>
            <w:tcBorders>
              <w:top w:val="single" w:color="auto" w:sz="4" w:space="0"/>
              <w:bottom w:val="single" w:color="auto" w:sz="4" w:space="0"/>
            </w:tcBorders>
            <w:shd w:val="clear" w:color="auto" w:fill="D9D9D9"/>
            <w:vAlign w:val="center"/>
          </w:tcPr>
          <w:p w14:paraId="14454C93">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间接排放</w:t>
            </w:r>
          </w:p>
        </w:tc>
        <w:tc>
          <w:tcPr>
            <w:tcW w:w="2441" w:type="pct"/>
            <w:tcBorders>
              <w:top w:val="single" w:color="auto" w:sz="4" w:space="0"/>
              <w:bottom w:val="single" w:color="auto" w:sz="4" w:space="0"/>
            </w:tcBorders>
            <w:shd w:val="clear" w:color="auto" w:fill="D9D9D9"/>
            <w:vAlign w:val="center"/>
          </w:tcPr>
          <w:p w14:paraId="1F5E6598">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33C291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3"/>
            <w:tcBorders>
              <w:top w:val="single" w:color="auto" w:sz="4" w:space="0"/>
            </w:tcBorders>
            <w:vAlign w:val="center"/>
          </w:tcPr>
          <w:p w14:paraId="0FB33A6E">
            <w:pPr>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注：建设项目生产工艺中有废水产生，但作为回水利用，不排放到外环境的，按三级B评价。</w:t>
            </w:r>
          </w:p>
        </w:tc>
      </w:tr>
    </w:tbl>
    <w:p w14:paraId="72C43BCD">
      <w:pPr>
        <w:pStyle w:val="3159"/>
        <w:rPr>
          <w:rFonts w:hint="default" w:ascii="Times New Roman" w:hAnsi="Times New Roman" w:eastAsia="黑体" w:cs="Times New Roman"/>
          <w:b w:val="0"/>
          <w:color w:val="000000" w:themeColor="text1"/>
          <w14:textFill>
            <w14:solidFill>
              <w14:schemeClr w14:val="tx1"/>
            </w14:solidFill>
          </w14:textFill>
        </w:rPr>
      </w:pPr>
      <w:bookmarkStart w:id="28" w:name="_Toc173837620"/>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3</w:t>
      </w:r>
      <w:r>
        <w:rPr>
          <w:rFonts w:hint="default" w:ascii="Times New Roman" w:hAnsi="Times New Roman" w:eastAsia="黑体" w:cs="Times New Roman"/>
          <w:b w:val="0"/>
          <w:color w:val="000000" w:themeColor="text1"/>
          <w14:textFill>
            <w14:solidFill>
              <w14:schemeClr w14:val="tx1"/>
            </w14:solidFill>
          </w14:textFill>
        </w:rPr>
        <w:t>.3声环境影响评价等级</w:t>
      </w:r>
      <w:bookmarkEnd w:id="28"/>
    </w:p>
    <w:p w14:paraId="614B369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厂址所在区域执行《声环境质量标准》（GB3096-2008）中3类标准。经调查，厂界外200m范围内无声环境保护目标。预测结果表明，受影响人口数量变化不大，按《环境影响评价技术导则声环境》（HJ2.4-2021）规定，声环境影响评价等级为三级。</w:t>
      </w:r>
    </w:p>
    <w:p w14:paraId="0821995F">
      <w:pPr>
        <w:pStyle w:val="3159"/>
        <w:rPr>
          <w:rFonts w:hint="default" w:ascii="Times New Roman" w:hAnsi="Times New Roman" w:eastAsia="黑体" w:cs="Times New Roman"/>
          <w:b w:val="0"/>
          <w:color w:val="000000" w:themeColor="text1"/>
          <w14:textFill>
            <w14:solidFill>
              <w14:schemeClr w14:val="tx1"/>
            </w14:solidFill>
          </w14:textFill>
        </w:rPr>
      </w:pPr>
      <w:bookmarkStart w:id="29" w:name="_Toc173837621"/>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3</w:t>
      </w:r>
      <w:r>
        <w:rPr>
          <w:rFonts w:hint="default" w:ascii="Times New Roman" w:hAnsi="Times New Roman" w:eastAsia="黑体" w:cs="Times New Roman"/>
          <w:b w:val="0"/>
          <w:color w:val="000000" w:themeColor="text1"/>
          <w14:textFill>
            <w14:solidFill>
              <w14:schemeClr w14:val="tx1"/>
            </w14:solidFill>
          </w14:textFill>
        </w:rPr>
        <w:t>.4地下水环境影响评价等级</w:t>
      </w:r>
      <w:bookmarkEnd w:id="29"/>
    </w:p>
    <w:p w14:paraId="1B0EEC9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本项目为</w:t>
      </w:r>
      <w:r>
        <w:rPr>
          <w:rFonts w:hint="default" w:ascii="Times New Roman" w:hAnsi="Times New Roman" w:cs="Times New Roman"/>
          <w:color w:val="000000" w:themeColor="text1"/>
          <w:lang w:eastAsia="zh-CN"/>
          <w14:textFill>
            <w14:solidFill>
              <w14:schemeClr w14:val="tx1"/>
            </w14:solidFill>
          </w14:textFill>
        </w:rPr>
        <w:t>C4220非金属废料和碎屑加工处理</w:t>
      </w:r>
      <w:r>
        <w:rPr>
          <w:rFonts w:hint="eastAsia" w:ascii="Times New Roman" w:hAnsi="Times New Roman" w:cs="Times New Roman"/>
          <w:color w:val="000000" w:themeColor="text1"/>
          <w:lang w:eastAsia="zh-CN"/>
          <w14:textFill>
            <w14:solidFill>
              <w14:schemeClr w14:val="tx1"/>
            </w14:solidFill>
          </w14:textFill>
        </w:rPr>
        <w:t>和C2929塑料零件及其他塑料制品制造</w:t>
      </w:r>
      <w:r>
        <w:rPr>
          <w:rFonts w:hint="default" w:ascii="Times New Roman" w:hAnsi="Times New Roman" w:cs="Times New Roman"/>
          <w:color w:val="000000" w:themeColor="text1"/>
          <w14:textFill>
            <w14:solidFill>
              <w14:schemeClr w14:val="tx1"/>
            </w14:solidFill>
          </w14:textFill>
        </w:rPr>
        <w:t>，根据《环境影响评价技术导则地下水环境》（HJ610-2016）附录A，属于地下水环境影响评价</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 3 \* ROMAN \* MERGEFORMAT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III</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类项目</w:t>
      </w:r>
      <w:r>
        <w:rPr>
          <w:rFonts w:hint="eastAsia" w:ascii="Times New Roman" w:hAnsi="Times New Roman" w:cs="Times New Roman"/>
          <w:color w:val="000000" w:themeColor="text1"/>
          <w:lang w:eastAsia="zh-CN"/>
          <w14:textFill>
            <w14:solidFill>
              <w14:schemeClr w14:val="tx1"/>
            </w14:solidFill>
          </w14:textFill>
        </w:rPr>
        <w:t>和</w:t>
      </w:r>
      <w:r>
        <w:rPr>
          <w:rFonts w:hint="eastAsia" w:ascii="Times New Roman" w:hAnsi="Times New Roman" w:cs="Times New Roman"/>
          <w:color w:val="000000" w:themeColor="text1"/>
          <w:lang w:eastAsia="zh-CN"/>
          <w14:textFill>
            <w14:solidFill>
              <w14:schemeClr w14:val="tx1"/>
            </w14:solidFill>
          </w14:textFill>
        </w:rPr>
        <w:fldChar w:fldCharType="begin"/>
      </w:r>
      <w:r>
        <w:rPr>
          <w:rFonts w:hint="eastAsia" w:ascii="Times New Roman" w:hAnsi="Times New Roman" w:cs="Times New Roman"/>
          <w:color w:val="000000" w:themeColor="text1"/>
          <w:lang w:eastAsia="zh-CN"/>
          <w14:textFill>
            <w14:solidFill>
              <w14:schemeClr w14:val="tx1"/>
            </w14:solidFill>
          </w14:textFill>
        </w:rPr>
        <w:instrText xml:space="preserve"> = 2 \* ROMAN \* MERGEFORMAT </w:instrText>
      </w:r>
      <w:r>
        <w:rPr>
          <w:rFonts w:hint="eastAsia" w:ascii="Times New Roman" w:hAnsi="Times New Roman" w:cs="Times New Roman"/>
          <w:color w:val="000000" w:themeColor="text1"/>
          <w:lang w:eastAsia="zh-CN"/>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II</w:t>
      </w:r>
      <w:r>
        <w:rPr>
          <w:rFonts w:hint="eastAsia" w:ascii="Times New Roman" w:hAnsi="Times New Roman" w:cs="Times New Roman"/>
          <w:color w:val="000000" w:themeColor="text1"/>
          <w:lang w:eastAsia="zh-CN"/>
          <w14:textFill>
            <w14:solidFill>
              <w14:schemeClr w14:val="tx1"/>
            </w14:solidFill>
          </w14:textFill>
        </w:rPr>
        <w:fldChar w:fldCharType="end"/>
      </w:r>
      <w:r>
        <w:rPr>
          <w:rFonts w:hint="eastAsia" w:ascii="Times New Roman" w:hAnsi="Times New Roman" w:cs="Times New Roman"/>
          <w:color w:val="000000" w:themeColor="text1"/>
          <w:lang w:eastAsia="zh-CN"/>
          <w14:textFill>
            <w14:solidFill>
              <w14:schemeClr w14:val="tx1"/>
            </w14:solidFill>
          </w14:textFill>
        </w:rPr>
        <w:t>类项目</w:t>
      </w:r>
      <w:r>
        <w:rPr>
          <w:rFonts w:hint="default" w:ascii="Times New Roman" w:hAnsi="Times New Roman" w:cs="Times New Roman"/>
          <w:color w:val="000000" w:themeColor="text1"/>
          <w14:textFill>
            <w14:solidFill>
              <w14:schemeClr w14:val="tx1"/>
            </w14:solidFill>
          </w14:textFill>
        </w:rPr>
        <w:t>。本项目位于</w:t>
      </w:r>
      <w:r>
        <w:rPr>
          <w:rFonts w:hint="default" w:ascii="Times New Roman" w:hAnsi="Times New Roman"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14:textFill>
            <w14:solidFill>
              <w14:schemeClr w14:val="tx1"/>
            </w14:solidFill>
          </w14:textFill>
        </w:rPr>
        <w:t>，经调查，厂址所在区域周边内无地下水集中式饮用水水源保护区及处集中式饮用水水源以外的国家或地方政府设定的与地下水环境相关的其他保护区。根据表2.</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-5规定的地下水环境敏感程度分级原则，地下水环境敏感程度为“不敏感”。地下水分级依据见表2.</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-6。</w:t>
      </w:r>
    </w:p>
    <w:p w14:paraId="023C5948">
      <w:pPr>
        <w:adjustRightInd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3</w:t>
      </w:r>
      <w:r>
        <w:rPr>
          <w:rFonts w:hint="default" w:ascii="Times New Roman" w:hAnsi="Times New Roman" w:eastAsia="黑体" w:cs="Times New Roman"/>
          <w:bCs/>
          <w:color w:val="000000" w:themeColor="text1"/>
          <w:sz w:val="24"/>
          <w14:textFill>
            <w14:solidFill>
              <w14:schemeClr w14:val="tx1"/>
            </w14:solidFill>
          </w14:textFill>
        </w:rPr>
        <w:t>-5地下水环境敏感程度分级表</w:t>
      </w:r>
    </w:p>
    <w:tbl>
      <w:tblPr>
        <w:tblStyle w:val="88"/>
        <w:tblW w:w="852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7139"/>
      </w:tblGrid>
      <w:tr w14:paraId="59413C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78AC4D4B">
            <w:pPr>
              <w:spacing w:line="264" w:lineRule="auto"/>
              <w:jc w:val="center"/>
              <w:rPr>
                <w:rFonts w:hint="default" w:ascii="Times New Roman" w:hAnsi="Times New Roman" w:cs="Times New Roman"/>
                <w:b/>
                <w:color w:val="000000" w:themeColor="text1"/>
                <w:kern w:val="2"/>
                <w:sz w:val="21"/>
                <w:szCs w:val="22"/>
                <w14:textFill>
                  <w14:solidFill>
                    <w14:schemeClr w14:val="tx1"/>
                  </w14:solidFill>
                </w14:textFill>
              </w:rPr>
            </w:pPr>
            <w:r>
              <w:rPr>
                <w:rFonts w:hint="default" w:ascii="Times New Roman" w:hAnsi="Times New Roman" w:cs="Times New Roman"/>
                <w:b/>
                <w:color w:val="000000" w:themeColor="text1"/>
                <w:kern w:val="2"/>
                <w:sz w:val="21"/>
                <w:szCs w:val="22"/>
                <w14:textFill>
                  <w14:solidFill>
                    <w14:schemeClr w14:val="tx1"/>
                  </w14:solidFill>
                </w14:textFill>
              </w:rPr>
              <w:t>敏感程度</w:t>
            </w:r>
          </w:p>
        </w:tc>
        <w:tc>
          <w:tcPr>
            <w:tcW w:w="7139" w:type="dxa"/>
            <w:vAlign w:val="center"/>
          </w:tcPr>
          <w:p w14:paraId="3C869C18">
            <w:pPr>
              <w:spacing w:line="264" w:lineRule="auto"/>
              <w:jc w:val="center"/>
              <w:rPr>
                <w:rFonts w:hint="default" w:ascii="Times New Roman" w:hAnsi="Times New Roman" w:cs="Times New Roman"/>
                <w:b/>
                <w:color w:val="000000" w:themeColor="text1"/>
                <w:kern w:val="2"/>
                <w:sz w:val="21"/>
                <w:szCs w:val="22"/>
                <w14:textFill>
                  <w14:solidFill>
                    <w14:schemeClr w14:val="tx1"/>
                  </w14:solidFill>
                </w14:textFill>
              </w:rPr>
            </w:pPr>
            <w:r>
              <w:rPr>
                <w:rFonts w:hint="default" w:ascii="Times New Roman" w:hAnsi="Times New Roman" w:cs="Times New Roman"/>
                <w:b/>
                <w:color w:val="000000" w:themeColor="text1"/>
                <w:kern w:val="2"/>
                <w:sz w:val="21"/>
                <w:szCs w:val="22"/>
                <w14:textFill>
                  <w14:solidFill>
                    <w14:schemeClr w14:val="tx1"/>
                  </w14:solidFill>
                </w14:textFill>
              </w:rPr>
              <w:t>地下水环境敏感特征</w:t>
            </w:r>
          </w:p>
        </w:tc>
      </w:tr>
      <w:tr w14:paraId="260A1A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14:paraId="36ADA777">
            <w:pPr>
              <w:spacing w:line="264" w:lineRule="auto"/>
              <w:jc w:val="center"/>
              <w:rPr>
                <w:rFonts w:hint="default" w:ascii="Times New Roman" w:hAnsi="Times New Roman" w:cs="Times New Roman"/>
                <w:color w:val="000000" w:themeColor="text1"/>
                <w:kern w:val="2"/>
                <w:sz w:val="21"/>
                <w:szCs w:val="22"/>
                <w14:textFill>
                  <w14:solidFill>
                    <w14:schemeClr w14:val="tx1"/>
                  </w14:solidFill>
                </w14:textFill>
              </w:rPr>
            </w:pPr>
            <w:r>
              <w:rPr>
                <w:rFonts w:hint="default" w:ascii="Times New Roman" w:hAnsi="Times New Roman" w:cs="Times New Roman"/>
                <w:color w:val="000000" w:themeColor="text1"/>
                <w:kern w:val="2"/>
                <w:sz w:val="21"/>
                <w:szCs w:val="22"/>
                <w14:textFill>
                  <w14:solidFill>
                    <w14:schemeClr w14:val="tx1"/>
                  </w14:solidFill>
                </w14:textFill>
              </w:rPr>
              <w:t>敏感</w:t>
            </w:r>
          </w:p>
        </w:tc>
        <w:tc>
          <w:tcPr>
            <w:tcW w:w="7139" w:type="dxa"/>
            <w:vAlign w:val="center"/>
          </w:tcPr>
          <w:p w14:paraId="17370711">
            <w:pPr>
              <w:spacing w:line="264" w:lineRule="auto"/>
              <w:jc w:val="center"/>
              <w:rPr>
                <w:rFonts w:hint="default" w:ascii="Times New Roman" w:hAnsi="Times New Roman" w:cs="Times New Roman"/>
                <w:color w:val="000000" w:themeColor="text1"/>
                <w:kern w:val="2"/>
                <w:sz w:val="21"/>
                <w:szCs w:val="22"/>
                <w14:textFill>
                  <w14:solidFill>
                    <w14:schemeClr w14:val="tx1"/>
                  </w14:solidFill>
                </w14:textFill>
              </w:rPr>
            </w:pPr>
            <w:r>
              <w:rPr>
                <w:rFonts w:hint="default" w:ascii="Times New Roman" w:hAnsi="Times New Roman" w:cs="Times New Roman"/>
                <w:color w:val="000000" w:themeColor="text1"/>
                <w:kern w:val="2"/>
                <w:sz w:val="21"/>
                <w:szCs w:val="22"/>
                <w14:textFill>
                  <w14:solidFill>
                    <w14:schemeClr w14:val="tx1"/>
                  </w14:solidFill>
                </w14:textFill>
              </w:rPr>
              <w:t>集中式饮用水水源（包括已建成的再用、备用、应急水源，在建和规划的引用水源）准保护区；除集中式饮用水水源以外的国家或地方政府设定的与地下水环境相关的其他保护区，如热水、矿泉水、温泉等特殊地下水资源保护区</w:t>
            </w:r>
          </w:p>
        </w:tc>
      </w:tr>
      <w:tr w14:paraId="6CF44A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tcBorders>
              <w:bottom w:val="single" w:color="auto" w:sz="4" w:space="0"/>
            </w:tcBorders>
            <w:vAlign w:val="center"/>
          </w:tcPr>
          <w:p w14:paraId="2FB46D62">
            <w:pPr>
              <w:spacing w:line="264" w:lineRule="auto"/>
              <w:jc w:val="center"/>
              <w:rPr>
                <w:rFonts w:hint="default" w:ascii="Times New Roman" w:hAnsi="Times New Roman" w:cs="Times New Roman"/>
                <w:color w:val="000000" w:themeColor="text1"/>
                <w:kern w:val="2"/>
                <w:sz w:val="21"/>
                <w:szCs w:val="22"/>
                <w14:textFill>
                  <w14:solidFill>
                    <w14:schemeClr w14:val="tx1"/>
                  </w14:solidFill>
                </w14:textFill>
              </w:rPr>
            </w:pPr>
            <w:r>
              <w:rPr>
                <w:rFonts w:hint="default" w:ascii="Times New Roman" w:hAnsi="Times New Roman" w:cs="Times New Roman"/>
                <w:color w:val="000000" w:themeColor="text1"/>
                <w:kern w:val="2"/>
                <w:sz w:val="21"/>
                <w:szCs w:val="22"/>
                <w14:textFill>
                  <w14:solidFill>
                    <w14:schemeClr w14:val="tx1"/>
                  </w14:solidFill>
                </w14:textFill>
              </w:rPr>
              <w:t>较敏感</w:t>
            </w:r>
          </w:p>
        </w:tc>
        <w:tc>
          <w:tcPr>
            <w:tcW w:w="7139" w:type="dxa"/>
            <w:tcBorders>
              <w:bottom w:val="single" w:color="auto" w:sz="4" w:space="0"/>
            </w:tcBorders>
            <w:vAlign w:val="center"/>
          </w:tcPr>
          <w:p w14:paraId="66863591">
            <w:pPr>
              <w:spacing w:line="264" w:lineRule="auto"/>
              <w:jc w:val="center"/>
              <w:rPr>
                <w:rFonts w:hint="default" w:ascii="Times New Roman" w:hAnsi="Times New Roman" w:cs="Times New Roman"/>
                <w:color w:val="000000" w:themeColor="text1"/>
                <w:kern w:val="2"/>
                <w:sz w:val="21"/>
                <w:szCs w:val="22"/>
                <w14:textFill>
                  <w14:solidFill>
                    <w14:schemeClr w14:val="tx1"/>
                  </w14:solidFill>
                </w14:textFill>
              </w:rPr>
            </w:pPr>
            <w:r>
              <w:rPr>
                <w:rFonts w:hint="default" w:ascii="Times New Roman" w:hAnsi="Times New Roman" w:cs="Times New Roman"/>
                <w:color w:val="000000" w:themeColor="text1"/>
                <w:kern w:val="2"/>
                <w:sz w:val="21"/>
                <w:szCs w:val="22"/>
                <w14:textFill>
                  <w14:solidFill>
                    <w14:schemeClr w14:val="tx1"/>
                  </w14:solidFill>
                </w14:textFill>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p>
        </w:tc>
      </w:tr>
      <w:tr w14:paraId="61762E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4" w:type="dxa"/>
            <w:tcBorders>
              <w:top w:val="single" w:color="auto" w:sz="4" w:space="0"/>
              <w:bottom w:val="single" w:color="auto" w:sz="4" w:space="0"/>
            </w:tcBorders>
            <w:shd w:val="clear" w:color="auto" w:fill="D9D9D9"/>
            <w:vAlign w:val="center"/>
          </w:tcPr>
          <w:p w14:paraId="19C249D4">
            <w:pPr>
              <w:spacing w:line="264" w:lineRule="auto"/>
              <w:jc w:val="center"/>
              <w:rPr>
                <w:rFonts w:hint="default" w:ascii="Times New Roman" w:hAnsi="Times New Roman" w:cs="Times New Roman"/>
                <w:color w:val="000000" w:themeColor="text1"/>
                <w:kern w:val="2"/>
                <w:sz w:val="21"/>
                <w:szCs w:val="22"/>
                <w14:textFill>
                  <w14:solidFill>
                    <w14:schemeClr w14:val="tx1"/>
                  </w14:solidFill>
                </w14:textFill>
              </w:rPr>
            </w:pPr>
            <w:r>
              <w:rPr>
                <w:rFonts w:hint="default" w:ascii="Times New Roman" w:hAnsi="Times New Roman" w:cs="Times New Roman"/>
                <w:color w:val="000000" w:themeColor="text1"/>
                <w:kern w:val="2"/>
                <w:sz w:val="21"/>
                <w:szCs w:val="22"/>
                <w14:textFill>
                  <w14:solidFill>
                    <w14:schemeClr w14:val="tx1"/>
                  </w14:solidFill>
                </w14:textFill>
              </w:rPr>
              <w:t>不敏感</w:t>
            </w:r>
          </w:p>
        </w:tc>
        <w:tc>
          <w:tcPr>
            <w:tcW w:w="7139" w:type="dxa"/>
            <w:tcBorders>
              <w:top w:val="single" w:color="auto" w:sz="4" w:space="0"/>
              <w:bottom w:val="single" w:color="auto" w:sz="4" w:space="0"/>
            </w:tcBorders>
            <w:shd w:val="clear" w:color="auto" w:fill="D9D9D9"/>
            <w:vAlign w:val="center"/>
          </w:tcPr>
          <w:p w14:paraId="0C96FFB9">
            <w:pPr>
              <w:spacing w:line="264" w:lineRule="auto"/>
              <w:jc w:val="center"/>
              <w:rPr>
                <w:rFonts w:hint="default" w:ascii="Times New Roman" w:hAnsi="Times New Roman" w:cs="Times New Roman"/>
                <w:color w:val="000000" w:themeColor="text1"/>
                <w:kern w:val="2"/>
                <w:sz w:val="21"/>
                <w:szCs w:val="22"/>
                <w14:textFill>
                  <w14:solidFill>
                    <w14:schemeClr w14:val="tx1"/>
                  </w14:solidFill>
                </w14:textFill>
              </w:rPr>
            </w:pPr>
            <w:r>
              <w:rPr>
                <w:rFonts w:hint="default" w:ascii="Times New Roman" w:hAnsi="Times New Roman" w:cs="Times New Roman"/>
                <w:color w:val="000000" w:themeColor="text1"/>
                <w:kern w:val="2"/>
                <w:sz w:val="21"/>
                <w:szCs w:val="22"/>
                <w14:textFill>
                  <w14:solidFill>
                    <w14:schemeClr w14:val="tx1"/>
                  </w14:solidFill>
                </w14:textFill>
              </w:rPr>
              <w:t>上述地区之外的其他地区</w:t>
            </w:r>
          </w:p>
        </w:tc>
      </w:tr>
      <w:tr w14:paraId="0EEE68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23" w:type="dxa"/>
            <w:gridSpan w:val="2"/>
            <w:tcBorders>
              <w:top w:val="single" w:color="auto" w:sz="4" w:space="0"/>
            </w:tcBorders>
            <w:vAlign w:val="center"/>
          </w:tcPr>
          <w:p w14:paraId="43B9242A">
            <w:pPr>
              <w:spacing w:line="264" w:lineRule="auto"/>
              <w:jc w:val="left"/>
              <w:rPr>
                <w:rFonts w:hint="default" w:ascii="Times New Roman" w:hAnsi="Times New Roman" w:cs="Times New Roman"/>
                <w:color w:val="000000" w:themeColor="text1"/>
                <w:kern w:val="2"/>
                <w:sz w:val="21"/>
                <w:szCs w:val="22"/>
                <w14:textFill>
                  <w14:solidFill>
                    <w14:schemeClr w14:val="tx1"/>
                  </w14:solidFill>
                </w14:textFill>
              </w:rPr>
            </w:pPr>
            <w:r>
              <w:rPr>
                <w:rFonts w:hint="default" w:ascii="Times New Roman" w:hAnsi="Times New Roman" w:cs="Times New Roman"/>
                <w:color w:val="000000" w:themeColor="text1"/>
                <w:kern w:val="2"/>
                <w:sz w:val="21"/>
                <w:szCs w:val="22"/>
                <w14:textFill>
                  <w14:solidFill>
                    <w14:schemeClr w14:val="tx1"/>
                  </w14:solidFill>
                </w14:textFill>
              </w:rPr>
              <w:t>注：a“环境敏感区”是指《建设项目环境影响评价分类管理名录》中所界定的涉及地下水的环境敏感区</w:t>
            </w:r>
          </w:p>
        </w:tc>
      </w:tr>
    </w:tbl>
    <w:p w14:paraId="22E71A86">
      <w:pPr>
        <w:adjustRightInd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3</w:t>
      </w:r>
      <w:r>
        <w:rPr>
          <w:rFonts w:hint="default" w:ascii="Times New Roman" w:hAnsi="Times New Roman" w:eastAsia="黑体" w:cs="Times New Roman"/>
          <w:bCs/>
          <w:color w:val="000000" w:themeColor="text1"/>
          <w:sz w:val="24"/>
          <w14:textFill>
            <w14:solidFill>
              <w14:schemeClr w14:val="tx1"/>
            </w14:solidFill>
          </w14:textFill>
        </w:rPr>
        <w:t>-6建设项目地下水评价等级划分</w:t>
      </w:r>
    </w:p>
    <w:tbl>
      <w:tblPr>
        <w:tblStyle w:val="8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518"/>
        <w:gridCol w:w="2001"/>
        <w:gridCol w:w="2001"/>
        <w:gridCol w:w="2002"/>
      </w:tblGrid>
      <w:tr w14:paraId="26BDF9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18" w:type="dxa"/>
            <w:tcBorders>
              <w:top w:val="single" w:color="auto" w:sz="12" w:space="0"/>
              <w:bottom w:val="single" w:color="auto" w:sz="6" w:space="0"/>
              <w:tl2br w:val="single" w:color="auto" w:sz="6" w:space="0"/>
            </w:tcBorders>
            <w:vAlign w:val="center"/>
          </w:tcPr>
          <w:p w14:paraId="4823BC18">
            <w:pPr>
              <w:adjustRightInd w:val="0"/>
              <w:spacing w:line="276" w:lineRule="auto"/>
              <w:jc w:val="right"/>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项目类别</w:t>
            </w:r>
          </w:p>
          <w:p w14:paraId="4CCA3A29">
            <w:pPr>
              <w:adjustRightInd w:val="0"/>
              <w:spacing w:line="276" w:lineRule="auto"/>
              <w:jc w:val="left"/>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环境敏感程度</w:t>
            </w:r>
          </w:p>
        </w:tc>
        <w:tc>
          <w:tcPr>
            <w:tcW w:w="2001" w:type="dxa"/>
            <w:tcBorders>
              <w:top w:val="single" w:color="auto" w:sz="12" w:space="0"/>
              <w:bottom w:val="single" w:color="auto" w:sz="6" w:space="0"/>
            </w:tcBorders>
            <w:vAlign w:val="center"/>
          </w:tcPr>
          <w:p w14:paraId="5D92E366">
            <w:pPr>
              <w:adjustRightInd w:val="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Ⅰ类项目</w:t>
            </w:r>
          </w:p>
        </w:tc>
        <w:tc>
          <w:tcPr>
            <w:tcW w:w="2001" w:type="dxa"/>
            <w:tcBorders>
              <w:top w:val="single" w:color="auto" w:sz="12" w:space="0"/>
              <w:bottom w:val="single" w:color="auto" w:sz="6" w:space="0"/>
            </w:tcBorders>
            <w:vAlign w:val="center"/>
          </w:tcPr>
          <w:p w14:paraId="233E2803">
            <w:pPr>
              <w:adjustRightInd w:val="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Ⅱ类项目</w:t>
            </w:r>
          </w:p>
        </w:tc>
        <w:tc>
          <w:tcPr>
            <w:tcW w:w="2002" w:type="dxa"/>
            <w:tcBorders>
              <w:top w:val="single" w:color="auto" w:sz="12" w:space="0"/>
              <w:bottom w:val="single" w:color="auto" w:sz="6" w:space="0"/>
            </w:tcBorders>
            <w:vAlign w:val="center"/>
          </w:tcPr>
          <w:p w14:paraId="6760FBCD">
            <w:pPr>
              <w:adjustRightInd w:val="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Ⅲ类项目</w:t>
            </w:r>
          </w:p>
        </w:tc>
      </w:tr>
      <w:tr w14:paraId="0E7781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18" w:type="dxa"/>
            <w:tcBorders>
              <w:top w:val="single" w:color="auto" w:sz="6" w:space="0"/>
              <w:bottom w:val="single" w:color="auto" w:sz="6" w:space="0"/>
            </w:tcBorders>
            <w:vAlign w:val="center"/>
          </w:tcPr>
          <w:p w14:paraId="1A05A0A9">
            <w:pPr>
              <w:adjustRightInd w:val="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敏感</w:t>
            </w:r>
          </w:p>
        </w:tc>
        <w:tc>
          <w:tcPr>
            <w:tcW w:w="2001" w:type="dxa"/>
            <w:tcBorders>
              <w:top w:val="single" w:color="auto" w:sz="6" w:space="0"/>
              <w:bottom w:val="single" w:color="auto" w:sz="6" w:space="0"/>
            </w:tcBorders>
            <w:vAlign w:val="center"/>
          </w:tcPr>
          <w:p w14:paraId="07DC07A6">
            <w:pPr>
              <w:adjustRightInd w:val="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一</w:t>
            </w:r>
          </w:p>
        </w:tc>
        <w:tc>
          <w:tcPr>
            <w:tcW w:w="2001" w:type="dxa"/>
            <w:tcBorders>
              <w:top w:val="single" w:color="auto" w:sz="6" w:space="0"/>
              <w:bottom w:val="single" w:color="auto" w:sz="6" w:space="0"/>
            </w:tcBorders>
            <w:vAlign w:val="center"/>
          </w:tcPr>
          <w:p w14:paraId="5F96544C">
            <w:pPr>
              <w:adjustRightInd w:val="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一</w:t>
            </w:r>
          </w:p>
        </w:tc>
        <w:tc>
          <w:tcPr>
            <w:tcW w:w="2002" w:type="dxa"/>
            <w:tcBorders>
              <w:top w:val="single" w:color="auto" w:sz="6" w:space="0"/>
              <w:bottom w:val="single" w:color="auto" w:sz="6" w:space="0"/>
            </w:tcBorders>
            <w:vAlign w:val="center"/>
          </w:tcPr>
          <w:p w14:paraId="2A68FBB5">
            <w:pPr>
              <w:adjustRightInd w:val="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二</w:t>
            </w:r>
          </w:p>
        </w:tc>
      </w:tr>
      <w:tr w14:paraId="2ADD91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18" w:type="dxa"/>
            <w:tcBorders>
              <w:top w:val="single" w:color="auto" w:sz="6" w:space="0"/>
              <w:bottom w:val="single" w:color="auto" w:sz="6" w:space="0"/>
            </w:tcBorders>
            <w:vAlign w:val="center"/>
          </w:tcPr>
          <w:p w14:paraId="72E3634A">
            <w:pPr>
              <w:adjustRightInd w:val="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较敏感</w:t>
            </w:r>
          </w:p>
        </w:tc>
        <w:tc>
          <w:tcPr>
            <w:tcW w:w="2001" w:type="dxa"/>
            <w:tcBorders>
              <w:top w:val="single" w:color="auto" w:sz="6" w:space="0"/>
              <w:bottom w:val="single" w:color="auto" w:sz="6" w:space="0"/>
            </w:tcBorders>
            <w:vAlign w:val="center"/>
          </w:tcPr>
          <w:p w14:paraId="6CE5C3A3">
            <w:pPr>
              <w:adjustRightInd w:val="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一</w:t>
            </w:r>
          </w:p>
        </w:tc>
        <w:tc>
          <w:tcPr>
            <w:tcW w:w="2001" w:type="dxa"/>
            <w:tcBorders>
              <w:top w:val="single" w:color="auto" w:sz="6" w:space="0"/>
              <w:bottom w:val="single" w:color="auto" w:sz="6" w:space="0"/>
            </w:tcBorders>
            <w:vAlign w:val="center"/>
          </w:tcPr>
          <w:p w14:paraId="4494E31C">
            <w:pPr>
              <w:adjustRightInd w:val="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二</w:t>
            </w:r>
          </w:p>
        </w:tc>
        <w:tc>
          <w:tcPr>
            <w:tcW w:w="2002" w:type="dxa"/>
            <w:tcBorders>
              <w:top w:val="single" w:color="auto" w:sz="6" w:space="0"/>
              <w:bottom w:val="single" w:color="auto" w:sz="6" w:space="0"/>
            </w:tcBorders>
            <w:shd w:val="clear" w:color="auto" w:fill="FFFFFF"/>
            <w:vAlign w:val="center"/>
          </w:tcPr>
          <w:p w14:paraId="54277BB9">
            <w:pPr>
              <w:adjustRightInd w:val="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三</w:t>
            </w:r>
          </w:p>
        </w:tc>
      </w:tr>
      <w:tr w14:paraId="2CA269B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18" w:type="dxa"/>
            <w:tcBorders>
              <w:top w:val="single" w:color="auto" w:sz="6" w:space="0"/>
              <w:bottom w:val="single" w:color="auto" w:sz="12" w:space="0"/>
            </w:tcBorders>
            <w:shd w:val="clear" w:color="auto" w:fill="auto"/>
            <w:vAlign w:val="center"/>
          </w:tcPr>
          <w:p w14:paraId="5AD5C1BA">
            <w:pPr>
              <w:adjustRightInd w:val="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不敏感</w:t>
            </w:r>
          </w:p>
        </w:tc>
        <w:tc>
          <w:tcPr>
            <w:tcW w:w="2001" w:type="dxa"/>
            <w:tcBorders>
              <w:top w:val="single" w:color="auto" w:sz="6" w:space="0"/>
              <w:bottom w:val="single" w:color="auto" w:sz="12" w:space="0"/>
            </w:tcBorders>
            <w:shd w:val="clear" w:color="auto" w:fill="auto"/>
            <w:vAlign w:val="center"/>
          </w:tcPr>
          <w:p w14:paraId="666651E0">
            <w:pPr>
              <w:adjustRightInd w:val="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二</w:t>
            </w:r>
          </w:p>
        </w:tc>
        <w:tc>
          <w:tcPr>
            <w:tcW w:w="2001" w:type="dxa"/>
            <w:tcBorders>
              <w:top w:val="single" w:color="auto" w:sz="6" w:space="0"/>
              <w:bottom w:val="single" w:color="auto" w:sz="12" w:space="0"/>
            </w:tcBorders>
            <w:shd w:val="clear" w:color="auto" w:fill="BEBEBE" w:themeFill="background1" w:themeFillShade="BF"/>
            <w:vAlign w:val="center"/>
          </w:tcPr>
          <w:p w14:paraId="7E1AAD52">
            <w:pPr>
              <w:adjustRightInd w:val="0"/>
              <w:spacing w:line="276" w:lineRule="auto"/>
              <w:jc w:val="center"/>
              <w:rPr>
                <w:rFonts w:hint="default" w:ascii="Times New Roman" w:hAnsi="Times New Roman" w:cs="Times New Roman"/>
                <w:color w:val="000000" w:themeColor="text1"/>
                <w:kern w:val="2"/>
                <w:sz w:val="21"/>
                <w:szCs w:val="21"/>
                <w:shd w:val="clear" w:color="auto" w:fill="auto"/>
                <w14:textFill>
                  <w14:solidFill>
                    <w14:schemeClr w14:val="tx1"/>
                  </w14:solidFill>
                </w14:textFill>
              </w:rPr>
            </w:pPr>
            <w:r>
              <w:rPr>
                <w:rFonts w:hint="default" w:ascii="Times New Roman" w:hAnsi="Times New Roman" w:cs="Times New Roman"/>
                <w:color w:val="000000" w:themeColor="text1"/>
                <w:kern w:val="2"/>
                <w:sz w:val="21"/>
                <w:szCs w:val="21"/>
                <w:shd w:val="clear" w:color="auto" w:fill="auto"/>
                <w14:textFill>
                  <w14:solidFill>
                    <w14:schemeClr w14:val="tx1"/>
                  </w14:solidFill>
                </w14:textFill>
              </w:rPr>
              <w:t>三</w:t>
            </w:r>
          </w:p>
        </w:tc>
        <w:tc>
          <w:tcPr>
            <w:tcW w:w="2002" w:type="dxa"/>
            <w:tcBorders>
              <w:top w:val="single" w:color="auto" w:sz="6" w:space="0"/>
              <w:bottom w:val="single" w:color="auto" w:sz="12" w:space="0"/>
            </w:tcBorders>
            <w:shd w:val="clear" w:color="auto" w:fill="BEBEBE" w:themeFill="background1" w:themeFillShade="BF"/>
            <w:vAlign w:val="center"/>
          </w:tcPr>
          <w:p w14:paraId="13F2CCF3">
            <w:pPr>
              <w:adjustRightInd w:val="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三</w:t>
            </w:r>
          </w:p>
        </w:tc>
      </w:tr>
    </w:tbl>
    <w:p w14:paraId="0209A43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根据《环境影响评价技术导则地下水环境》（HJ610-2016）中</w:t>
      </w:r>
      <w:r>
        <w:rPr>
          <w:rFonts w:hint="eastAsia" w:ascii="Times New Roman" w:hAnsi="Times New Roman" w:cs="Times New Roman"/>
          <w:color w:val="000000" w:themeColor="text1"/>
          <w:lang w:eastAsia="zh-CN"/>
          <w14:textFill>
            <w14:solidFill>
              <w14:schemeClr w14:val="tx1"/>
            </w14:solidFill>
          </w14:textFill>
        </w:rPr>
        <w:fldChar w:fldCharType="begin"/>
      </w:r>
      <w:r>
        <w:rPr>
          <w:rFonts w:hint="eastAsia" w:ascii="Times New Roman" w:hAnsi="Times New Roman" w:cs="Times New Roman"/>
          <w:color w:val="000000" w:themeColor="text1"/>
          <w:lang w:eastAsia="zh-CN"/>
          <w14:textFill>
            <w14:solidFill>
              <w14:schemeClr w14:val="tx1"/>
            </w14:solidFill>
          </w14:textFill>
        </w:rPr>
        <w:instrText xml:space="preserve"> = 2 \* ROMAN \* MERGEFORMAT </w:instrText>
      </w:r>
      <w:r>
        <w:rPr>
          <w:rFonts w:hint="eastAsia" w:ascii="Times New Roman" w:hAnsi="Times New Roman" w:cs="Times New Roman"/>
          <w:color w:val="000000" w:themeColor="text1"/>
          <w:lang w:eastAsia="zh-CN"/>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II</w:t>
      </w:r>
      <w:r>
        <w:rPr>
          <w:rFonts w:hint="eastAsia" w:ascii="Times New Roman" w:hAnsi="Times New Roman" w:cs="Times New Roman"/>
          <w:color w:val="000000" w:themeColor="text1"/>
          <w:lang w:eastAsia="zh-CN"/>
          <w14:textFill>
            <w14:solidFill>
              <w14:schemeClr w14:val="tx1"/>
            </w14:solidFill>
          </w14:textFill>
        </w:rPr>
        <w:fldChar w:fldCharType="end"/>
      </w:r>
      <w:r>
        <w:rPr>
          <w:rFonts w:hint="eastAsia" w:ascii="Times New Roman" w:hAnsi="Times New Roman" w:cs="Times New Roman"/>
          <w:color w:val="000000" w:themeColor="text1"/>
          <w:lang w:eastAsia="zh-CN"/>
          <w14:textFill>
            <w14:solidFill>
              <w14:schemeClr w14:val="tx1"/>
            </w14:solidFill>
          </w14:textFill>
        </w:rPr>
        <w:t>类和</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 3 \* ROMAN \* MERGEFORMAT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III</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类建设项目评价工作等级分级判据，本项目地下水环境敏感特征为“不敏感”，确定本项目地下水评价等级为</w:t>
      </w:r>
      <w:r>
        <w:rPr>
          <w:rFonts w:hint="default" w:ascii="Times New Roman" w:hAnsi="Times New Roman" w:cs="Times New Roman"/>
          <w:color w:val="000000" w:themeColor="text1"/>
          <w:lang w:val="en-US" w:eastAsia="zh-CN"/>
          <w14:textFill>
            <w14:solidFill>
              <w14:schemeClr w14:val="tx1"/>
            </w14:solidFill>
          </w14:textFill>
        </w:rPr>
        <w:t>三</w:t>
      </w:r>
      <w:r>
        <w:rPr>
          <w:rFonts w:hint="default" w:ascii="Times New Roman" w:hAnsi="Times New Roman" w:cs="Times New Roman"/>
          <w:color w:val="000000" w:themeColor="text1"/>
          <w14:textFill>
            <w14:solidFill>
              <w14:schemeClr w14:val="tx1"/>
            </w14:solidFill>
          </w14:textFill>
        </w:rPr>
        <w:t>级。</w:t>
      </w:r>
    </w:p>
    <w:p w14:paraId="67468705">
      <w:pPr>
        <w:pStyle w:val="3159"/>
        <w:spacing w:line="360" w:lineRule="auto"/>
        <w:rPr>
          <w:rFonts w:hint="default" w:ascii="Times New Roman" w:hAnsi="Times New Roman" w:eastAsia="黑体" w:cs="Times New Roman"/>
          <w:b w:val="0"/>
          <w:color w:val="000000" w:themeColor="text1"/>
          <w14:textFill>
            <w14:solidFill>
              <w14:schemeClr w14:val="tx1"/>
            </w14:solidFill>
          </w14:textFill>
        </w:rPr>
      </w:pPr>
      <w:bookmarkStart w:id="30" w:name="_Toc173837622"/>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3</w:t>
      </w:r>
      <w:r>
        <w:rPr>
          <w:rFonts w:hint="default" w:ascii="Times New Roman" w:hAnsi="Times New Roman" w:eastAsia="黑体" w:cs="Times New Roman"/>
          <w:b w:val="0"/>
          <w:color w:val="000000" w:themeColor="text1"/>
          <w14:textFill>
            <w14:solidFill>
              <w14:schemeClr w14:val="tx1"/>
            </w14:solidFill>
          </w14:textFill>
        </w:rPr>
        <w:t>.5环境风险评价等级</w:t>
      </w:r>
      <w:bookmarkEnd w:id="30"/>
    </w:p>
    <w:p w14:paraId="599CA963">
      <w:pPr>
        <w:keepNext w:val="0"/>
        <w:keepLines w:val="0"/>
        <w:pageBreakBefore w:val="0"/>
        <w:kinsoku/>
        <w:wordWrap/>
        <w:overflowPunct/>
        <w:topLinePunct w:val="0"/>
        <w:bidi w:val="0"/>
        <w:spacing w:line="360" w:lineRule="auto"/>
        <w:ind w:firstLine="480"/>
        <w:jc w:val="left"/>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根据《建设项目环境风险评价技术导则》（HJ169-2018），对环境风险评价工作等级进行判定。</w:t>
      </w:r>
    </w:p>
    <w:p w14:paraId="5BC487D4">
      <w:pPr>
        <w:keepNext w:val="0"/>
        <w:keepLines w:val="0"/>
        <w:pageBreakBefore w:val="0"/>
        <w:kinsoku/>
        <w:wordWrap/>
        <w:overflowPunct/>
        <w:topLinePunct w:val="0"/>
        <w:bidi w:val="0"/>
        <w:spacing w:line="360" w:lineRule="auto"/>
        <w:ind w:firstLine="480"/>
        <w:jc w:val="left"/>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a</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w:t>
      </w:r>
      <w:r>
        <w:rPr>
          <w:rFonts w:hint="eastAsia"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危险物质及工艺系统危险性（P）</w:t>
      </w:r>
    </w:p>
    <w:p w14:paraId="0EE98E1C">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fldChar w:fldCharType="begin"/>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instrText xml:space="preserve"> </w:instrText>
      </w:r>
      <w:r>
        <w:rPr>
          <w:rFonts w:hint="eastAsia"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instrText xml:space="preserve">= 1 \* GB3</w:instrTex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instrText xml:space="preserve"> </w:instrTex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fldChar w:fldCharType="separate"/>
      </w:r>
      <w:r>
        <w:rPr>
          <w:rFonts w:hint="eastAsia"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①</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fldChar w:fldCharType="end"/>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危险物质数量与临界量比值（Q）的分级</w:t>
      </w:r>
    </w:p>
    <w:p w14:paraId="42E173A2">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根据《建设项目环境风险评价技术导则》（HJ169-2018），计算本项目所涉及的每种危险物质在厂界内的最大存在总量与其在《建设项目环境风险评价技术导则》（HJ169-2018）附录B中对应的临界量的比值Q。</w:t>
      </w:r>
    </w:p>
    <w:p w14:paraId="1F79D43C">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当只涉及一种危险物质时，计算该物质的总量与其临界量比值，即为Q。</w:t>
      </w:r>
    </w:p>
    <w:p w14:paraId="46642DE6">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当存在多种危险物质时，则按下式计算物质总量与其临界量比值（Q）：</w:t>
      </w:r>
    </w:p>
    <w:p w14:paraId="324D0A43">
      <w:pPr>
        <w:keepNext w:val="0"/>
        <w:keepLines w:val="0"/>
        <w:pageBreakBefore w:val="0"/>
        <w:kinsoku/>
        <w:wordWrap/>
        <w:overflowPunct/>
        <w:topLinePunct w:val="0"/>
        <w:bidi w:val="0"/>
        <w:spacing w:line="360" w:lineRule="auto"/>
        <w:ind w:firstLine="480"/>
        <w:jc w:val="center"/>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Q=q1/Q1+q2/Q2+q3/Q3+…qn/Qn</w:t>
      </w:r>
    </w:p>
    <w:p w14:paraId="0C16F899">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式中：q1</w:t>
      </w:r>
      <w:r>
        <w:rPr>
          <w:rFonts w:hint="eastAsia"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q2</w:t>
      </w:r>
      <w:r>
        <w:rPr>
          <w:rFonts w:hint="eastAsia"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q3</w:t>
      </w:r>
      <w:r>
        <w:rPr>
          <w:rFonts w:hint="eastAsia"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…qn-每种危险物质的最大存在总量，单位为t；</w:t>
      </w:r>
    </w:p>
    <w:p w14:paraId="6D01AA60">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Q1</w:t>
      </w:r>
      <w:r>
        <w:rPr>
          <w:rFonts w:hint="eastAsia"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Q2</w:t>
      </w:r>
      <w:r>
        <w:rPr>
          <w:rFonts w:hint="eastAsia"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Q3</w:t>
      </w:r>
      <w:r>
        <w:rPr>
          <w:rFonts w:hint="eastAsia"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w:t>
      </w:r>
      <w:r>
        <w:rPr>
          <w:rFonts w:hint="eastAsia"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Qn-每种危险物质的临界量，单位为t</w:t>
      </w:r>
      <w:bookmarkStart w:id="31" w:name="_Hlk105668080"/>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当Q＜1时，该项目环境风险潜势为Ⅰ。</w:t>
      </w:r>
    </w:p>
    <w:bookmarkEnd w:id="31"/>
    <w:p w14:paraId="263E0974">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当Q≥1时，将Q值划分为：1≤Q＜10，10≤Q＜100，Q≥100。</w:t>
      </w:r>
    </w:p>
    <w:p w14:paraId="32C18EC5">
      <w:pPr>
        <w:adjustRightInd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eastAsia" w:ascii="Times New Roman" w:hAnsi="Times New Roman" w:eastAsia="黑体" w:cs="Times New Roman"/>
          <w:bCs/>
          <w:color w:val="000000" w:themeColor="text1"/>
          <w:sz w:val="24"/>
          <w14:textFill>
            <w14:solidFill>
              <w14:schemeClr w14:val="tx1"/>
            </w14:solidFill>
          </w14:textFill>
        </w:rPr>
        <w:t>2</w:t>
      </w:r>
      <w:r>
        <w:rPr>
          <w:rFonts w:hint="default" w:ascii="Times New Roman" w:hAnsi="Times New Roman" w:eastAsia="黑体" w:cs="Times New Roman"/>
          <w:bCs/>
          <w:color w:val="000000" w:themeColor="text1"/>
          <w:sz w:val="24"/>
          <w14:textFill>
            <w14:solidFill>
              <w14:schemeClr w14:val="tx1"/>
            </w14:solidFill>
          </w14:textFill>
        </w:rPr>
        <w:t>.</w:t>
      </w:r>
      <w:r>
        <w:rPr>
          <w:rFonts w:hint="eastAsia" w:eastAsia="黑体" w:cs="Times New Roman"/>
          <w:bCs/>
          <w:color w:val="000000" w:themeColor="text1"/>
          <w:sz w:val="24"/>
          <w:lang w:val="en-US" w:eastAsia="zh-CN"/>
          <w14:textFill>
            <w14:solidFill>
              <w14:schemeClr w14:val="tx1"/>
            </w14:solidFill>
          </w14:textFill>
        </w:rPr>
        <w:t>3</w:t>
      </w:r>
      <w:r>
        <w:rPr>
          <w:rFonts w:hint="default" w:ascii="Times New Roman" w:hAnsi="Times New Roman" w:eastAsia="黑体" w:cs="Times New Roman"/>
          <w:bCs/>
          <w:color w:val="000000" w:themeColor="text1"/>
          <w:sz w:val="24"/>
          <w14:textFill>
            <w14:solidFill>
              <w14:schemeClr w14:val="tx1"/>
            </w14:solidFill>
          </w14:textFill>
        </w:rPr>
        <w:t>-</w:t>
      </w:r>
      <w:r>
        <w:rPr>
          <w:rFonts w:hint="eastAsia" w:eastAsia="黑体" w:cs="Times New Roman"/>
          <w:bCs/>
          <w:color w:val="000000" w:themeColor="text1"/>
          <w:sz w:val="24"/>
          <w:lang w:val="en-US" w:eastAsia="zh-CN"/>
          <w14:textFill>
            <w14:solidFill>
              <w14:schemeClr w14:val="tx1"/>
            </w14:solidFill>
          </w14:textFill>
        </w:rPr>
        <w:t>7</w:t>
      </w:r>
      <w:r>
        <w:rPr>
          <w:rFonts w:hint="default" w:ascii="Times New Roman" w:hAnsi="Times New Roman" w:eastAsia="黑体" w:cs="Times New Roman"/>
          <w:bCs/>
          <w:color w:val="000000" w:themeColor="text1"/>
          <w:sz w:val="24"/>
          <w14:textFill>
            <w14:solidFill>
              <w14:schemeClr w14:val="tx1"/>
            </w14:solidFill>
          </w14:textFill>
        </w:rPr>
        <w:t>建设项目Q值确定表</w:t>
      </w:r>
    </w:p>
    <w:tbl>
      <w:tblPr>
        <w:tblStyle w:val="8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2236"/>
        <w:gridCol w:w="1733"/>
        <w:gridCol w:w="1700"/>
        <w:gridCol w:w="1750"/>
      </w:tblGrid>
      <w:tr w14:paraId="2849BC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7" w:type="pct"/>
            <w:tcBorders>
              <w:tl2br w:val="nil"/>
              <w:tr2bl w:val="nil"/>
            </w:tcBorders>
            <w:vAlign w:val="center"/>
          </w:tcPr>
          <w:p w14:paraId="5FD3120A">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序号</w:t>
            </w:r>
          </w:p>
        </w:tc>
        <w:tc>
          <w:tcPr>
            <w:tcW w:w="1311" w:type="pct"/>
            <w:tcBorders>
              <w:tl2br w:val="nil"/>
              <w:tr2bl w:val="nil"/>
            </w:tcBorders>
            <w:vAlign w:val="center"/>
          </w:tcPr>
          <w:p w14:paraId="4CCA488C">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危险物质名称</w:t>
            </w:r>
          </w:p>
        </w:tc>
        <w:tc>
          <w:tcPr>
            <w:tcW w:w="1016" w:type="pct"/>
            <w:tcBorders>
              <w:tl2br w:val="nil"/>
              <w:tr2bl w:val="nil"/>
            </w:tcBorders>
            <w:vAlign w:val="center"/>
          </w:tcPr>
          <w:p w14:paraId="4307B352">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eastAsia" w:cs="Times New Roman"/>
                <w:color w:val="000000" w:themeColor="text1"/>
                <w:kern w:val="2"/>
                <w:sz w:val="21"/>
                <w:szCs w:val="21"/>
                <w:lang w:eastAsia="zh-CN"/>
                <w14:textFill>
                  <w14:solidFill>
                    <w14:schemeClr w14:val="tx1"/>
                  </w14:solidFill>
                </w14:textFill>
              </w:rPr>
              <w:t>最大存在量</w:t>
            </w:r>
            <w:r>
              <w:rPr>
                <w:rFonts w:hint="default" w:ascii="Times New Roman" w:hAnsi="Times New Roman" w:eastAsia="宋体" w:cs="Times New Roman"/>
                <w:color w:val="000000" w:themeColor="text1"/>
                <w:kern w:val="2"/>
                <w:sz w:val="21"/>
                <w:szCs w:val="21"/>
                <w14:textFill>
                  <w14:solidFill>
                    <w14:schemeClr w14:val="tx1"/>
                  </w14:solidFill>
                </w14:textFill>
              </w:rPr>
              <w:t>t</w:t>
            </w:r>
          </w:p>
        </w:tc>
        <w:tc>
          <w:tcPr>
            <w:tcW w:w="997" w:type="pct"/>
            <w:tcBorders>
              <w:tl2br w:val="nil"/>
              <w:tr2bl w:val="nil"/>
            </w:tcBorders>
            <w:vAlign w:val="center"/>
          </w:tcPr>
          <w:p w14:paraId="655A1F3C">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临界量t</w:t>
            </w:r>
          </w:p>
        </w:tc>
        <w:tc>
          <w:tcPr>
            <w:tcW w:w="1026" w:type="pct"/>
            <w:tcBorders>
              <w:tl2br w:val="nil"/>
              <w:tr2bl w:val="nil"/>
            </w:tcBorders>
            <w:vAlign w:val="center"/>
          </w:tcPr>
          <w:p w14:paraId="48520E2D">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Q值</w:t>
            </w:r>
          </w:p>
        </w:tc>
      </w:tr>
      <w:tr w14:paraId="6240D4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7" w:type="pct"/>
            <w:tcBorders>
              <w:tl2br w:val="nil"/>
              <w:tr2bl w:val="nil"/>
            </w:tcBorders>
            <w:vAlign w:val="center"/>
          </w:tcPr>
          <w:p w14:paraId="26AE1B8E">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1</w:t>
            </w:r>
          </w:p>
        </w:tc>
        <w:tc>
          <w:tcPr>
            <w:tcW w:w="1311" w:type="pct"/>
            <w:tcBorders>
              <w:tl2br w:val="nil"/>
              <w:tr2bl w:val="nil"/>
            </w:tcBorders>
            <w:vAlign w:val="center"/>
          </w:tcPr>
          <w:p w14:paraId="75526355">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矿物油（</w:t>
            </w:r>
            <w:r>
              <w:rPr>
                <w:rFonts w:hint="eastAsia" w:cs="Times New Roman"/>
                <w:color w:val="000000" w:themeColor="text1"/>
                <w:kern w:val="2"/>
                <w:sz w:val="21"/>
                <w:szCs w:val="21"/>
                <w:lang w:eastAsia="zh-CN"/>
                <w14:textFill>
                  <w14:solidFill>
                    <w14:schemeClr w14:val="tx1"/>
                  </w14:solidFill>
                </w14:textFill>
              </w:rPr>
              <w:t>润滑油</w:t>
            </w: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w:t>
            </w:r>
          </w:p>
        </w:tc>
        <w:tc>
          <w:tcPr>
            <w:tcW w:w="1016" w:type="pct"/>
            <w:tcBorders>
              <w:tl2br w:val="nil"/>
              <w:tr2bl w:val="nil"/>
            </w:tcBorders>
            <w:vAlign w:val="center"/>
          </w:tcPr>
          <w:p w14:paraId="484C2686">
            <w:pPr>
              <w:pStyle w:val="30"/>
              <w:spacing w:line="276" w:lineRule="auto"/>
              <w:jc w:val="center"/>
              <w:rPr>
                <w:rFonts w:hint="eastAsia" w:ascii="Times New Roman" w:hAnsi="Times New Roman" w:eastAsia="宋体" w:cs="Times New Roman"/>
                <w:color w:val="000000" w:themeColor="text1"/>
                <w:kern w:val="2"/>
                <w:sz w:val="21"/>
                <w:szCs w:val="21"/>
                <w:lang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2</w:t>
            </w:r>
          </w:p>
        </w:tc>
        <w:tc>
          <w:tcPr>
            <w:tcW w:w="997" w:type="pct"/>
            <w:tcBorders>
              <w:tl2br w:val="nil"/>
              <w:tr2bl w:val="nil"/>
            </w:tcBorders>
            <w:vAlign w:val="center"/>
          </w:tcPr>
          <w:p w14:paraId="7764CE92">
            <w:pPr>
              <w:pStyle w:val="30"/>
              <w:spacing w:line="276" w:lineRule="auto"/>
              <w:jc w:val="center"/>
              <w:rPr>
                <w:rFonts w:hint="default" w:ascii="Times New Roman" w:hAnsi="Times New Roman" w:eastAsia="宋体" w:cs="Times New Roman"/>
                <w:color w:val="000000" w:themeColor="text1"/>
                <w:kern w:val="2"/>
                <w:sz w:val="21"/>
                <w:szCs w:val="21"/>
                <w:lang w:val="en-US"/>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2500</w:t>
            </w:r>
          </w:p>
        </w:tc>
        <w:tc>
          <w:tcPr>
            <w:tcW w:w="1026" w:type="pct"/>
            <w:tcBorders>
              <w:tl2br w:val="nil"/>
              <w:tr2bl w:val="nil"/>
            </w:tcBorders>
            <w:vAlign w:val="center"/>
          </w:tcPr>
          <w:p w14:paraId="4718823E">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0.00</w:t>
            </w:r>
            <w:r>
              <w:rPr>
                <w:rFonts w:hint="eastAsia" w:cs="Times New Roman"/>
                <w:color w:val="000000" w:themeColor="text1"/>
                <w:kern w:val="2"/>
                <w:sz w:val="21"/>
                <w:szCs w:val="21"/>
                <w:lang w:val="en-US" w:eastAsia="zh-CN"/>
                <w14:textFill>
                  <w14:solidFill>
                    <w14:schemeClr w14:val="tx1"/>
                  </w14:solidFill>
                </w14:textFill>
              </w:rPr>
              <w:t>08</w:t>
            </w:r>
          </w:p>
        </w:tc>
      </w:tr>
      <w:tr w14:paraId="62AFDE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7" w:type="pct"/>
            <w:tcBorders>
              <w:tl2br w:val="nil"/>
              <w:tr2bl w:val="nil"/>
            </w:tcBorders>
            <w:vAlign w:val="center"/>
          </w:tcPr>
          <w:p w14:paraId="2CD063E7">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2</w:t>
            </w:r>
          </w:p>
        </w:tc>
        <w:tc>
          <w:tcPr>
            <w:tcW w:w="1311" w:type="pct"/>
            <w:tcBorders>
              <w:tl2br w:val="nil"/>
              <w:tr2bl w:val="nil"/>
            </w:tcBorders>
            <w:shd w:val="clear" w:color="auto" w:fill="auto"/>
            <w:vAlign w:val="center"/>
          </w:tcPr>
          <w:p w14:paraId="52C6E18F">
            <w:pPr>
              <w:pStyle w:val="30"/>
              <w:spacing w:line="276" w:lineRule="auto"/>
              <w:jc w:val="center"/>
              <w:rPr>
                <w:rFonts w:hint="default"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矿物油（</w:t>
            </w:r>
            <w:r>
              <w:rPr>
                <w:rFonts w:hint="eastAsia" w:cs="Times New Roman"/>
                <w:color w:val="000000" w:themeColor="text1"/>
                <w:kern w:val="2"/>
                <w:sz w:val="21"/>
                <w:szCs w:val="21"/>
                <w:lang w:eastAsia="zh-CN"/>
                <w14:textFill>
                  <w14:solidFill>
                    <w14:schemeClr w14:val="tx1"/>
                  </w14:solidFill>
                </w14:textFill>
              </w:rPr>
              <w:t>废润滑油</w:t>
            </w: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w:t>
            </w:r>
          </w:p>
        </w:tc>
        <w:tc>
          <w:tcPr>
            <w:tcW w:w="1016" w:type="pct"/>
            <w:tcBorders>
              <w:tl2br w:val="nil"/>
              <w:tr2bl w:val="nil"/>
            </w:tcBorders>
            <w:shd w:val="clear" w:color="auto" w:fill="auto"/>
            <w:vAlign w:val="center"/>
          </w:tcPr>
          <w:p w14:paraId="5B139F80">
            <w:pPr>
              <w:pStyle w:val="30"/>
              <w:spacing w:line="276" w:lineRule="auto"/>
              <w:jc w:val="cente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2</w:t>
            </w:r>
          </w:p>
        </w:tc>
        <w:tc>
          <w:tcPr>
            <w:tcW w:w="997" w:type="pct"/>
            <w:tcBorders>
              <w:tl2br w:val="nil"/>
              <w:tr2bl w:val="nil"/>
            </w:tcBorders>
            <w:shd w:val="clear" w:color="auto" w:fill="auto"/>
            <w:vAlign w:val="center"/>
          </w:tcPr>
          <w:p w14:paraId="2C0A15C9">
            <w:pPr>
              <w:pStyle w:val="30"/>
              <w:spacing w:line="276" w:lineRule="auto"/>
              <w:jc w:val="center"/>
              <w:rPr>
                <w:rFonts w:hint="default"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kern w:val="2"/>
                <w:sz w:val="21"/>
                <w:szCs w:val="21"/>
                <w14:textFill>
                  <w14:solidFill>
                    <w14:schemeClr w14:val="tx1"/>
                  </w14:solidFill>
                </w14:textFill>
              </w:rPr>
              <w:t>0</w:t>
            </w:r>
          </w:p>
        </w:tc>
        <w:tc>
          <w:tcPr>
            <w:tcW w:w="1026" w:type="pct"/>
            <w:tcBorders>
              <w:tl2br w:val="nil"/>
              <w:tr2bl w:val="nil"/>
            </w:tcBorders>
            <w:shd w:val="clear" w:color="auto" w:fill="auto"/>
            <w:vAlign w:val="center"/>
          </w:tcPr>
          <w:p w14:paraId="6215049E">
            <w:pPr>
              <w:pStyle w:val="30"/>
              <w:spacing w:line="276" w:lineRule="auto"/>
              <w:jc w:val="cente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0.0</w:t>
            </w:r>
            <w:r>
              <w:rPr>
                <w:rFonts w:hint="eastAsia" w:cs="Times New Roman"/>
                <w:color w:val="000000" w:themeColor="text1"/>
                <w:kern w:val="2"/>
                <w:sz w:val="21"/>
                <w:szCs w:val="21"/>
                <w:lang w:val="en-US" w:eastAsia="zh-CN"/>
                <w14:textFill>
                  <w14:solidFill>
                    <w14:schemeClr w14:val="tx1"/>
                  </w14:solidFill>
                </w14:textFill>
              </w:rPr>
              <w:t>4</w:t>
            </w:r>
          </w:p>
        </w:tc>
      </w:tr>
      <w:tr w14:paraId="080971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7" w:type="pct"/>
            <w:tcBorders>
              <w:tl2br w:val="nil"/>
              <w:tr2bl w:val="nil"/>
            </w:tcBorders>
            <w:vAlign w:val="center"/>
          </w:tcPr>
          <w:p w14:paraId="740FB40D">
            <w:pPr>
              <w:pStyle w:val="30"/>
              <w:spacing w:line="276" w:lineRule="auto"/>
              <w:jc w:val="center"/>
              <w:rPr>
                <w:rFonts w:hint="default"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合计</w:t>
            </w:r>
          </w:p>
        </w:tc>
        <w:tc>
          <w:tcPr>
            <w:tcW w:w="1311" w:type="pct"/>
            <w:tcBorders>
              <w:tl2br w:val="nil"/>
              <w:tr2bl w:val="nil"/>
            </w:tcBorders>
            <w:shd w:val="clear" w:color="auto" w:fill="auto"/>
            <w:vAlign w:val="center"/>
          </w:tcPr>
          <w:p w14:paraId="7F0C74BB">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w:t>
            </w:r>
          </w:p>
        </w:tc>
        <w:tc>
          <w:tcPr>
            <w:tcW w:w="1016" w:type="pct"/>
            <w:tcBorders>
              <w:tl2br w:val="nil"/>
              <w:tr2bl w:val="nil"/>
            </w:tcBorders>
            <w:shd w:val="clear" w:color="auto" w:fill="auto"/>
            <w:vAlign w:val="center"/>
          </w:tcPr>
          <w:p w14:paraId="665E8BCD">
            <w:pPr>
              <w:pStyle w:val="30"/>
              <w:spacing w:line="276" w:lineRule="auto"/>
              <w:jc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w:t>
            </w:r>
          </w:p>
        </w:tc>
        <w:tc>
          <w:tcPr>
            <w:tcW w:w="997" w:type="pct"/>
            <w:tcBorders>
              <w:tl2br w:val="nil"/>
              <w:tr2bl w:val="nil"/>
            </w:tcBorders>
            <w:shd w:val="clear" w:color="auto" w:fill="auto"/>
            <w:vAlign w:val="center"/>
          </w:tcPr>
          <w:p w14:paraId="4B74E695">
            <w:pPr>
              <w:pStyle w:val="30"/>
              <w:spacing w:line="276" w:lineRule="auto"/>
              <w:jc w:val="center"/>
              <w:rPr>
                <w:rFonts w:hint="default"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w:t>
            </w:r>
          </w:p>
        </w:tc>
        <w:tc>
          <w:tcPr>
            <w:tcW w:w="1026" w:type="pct"/>
            <w:tcBorders>
              <w:tl2br w:val="nil"/>
              <w:tr2bl w:val="nil"/>
            </w:tcBorders>
            <w:shd w:val="clear" w:color="auto" w:fill="auto"/>
            <w:vAlign w:val="center"/>
          </w:tcPr>
          <w:p w14:paraId="6F313EF1">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0.0408</w:t>
            </w:r>
          </w:p>
        </w:tc>
      </w:tr>
    </w:tbl>
    <w:p w14:paraId="297798A6">
      <w:pPr>
        <w:keepNext w:val="0"/>
        <w:keepLines w:val="0"/>
        <w:pageBreakBefore w:val="0"/>
        <w:kinsoku/>
        <w:wordWrap/>
        <w:overflowPunct/>
        <w:topLinePunct w:val="0"/>
        <w:bidi w:val="0"/>
        <w:spacing w:line="360" w:lineRule="auto"/>
        <w:ind w:firstLine="480"/>
        <w:textAlignment w:val="auto"/>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由上表可知，本项目危险物质数量与临界量比值Q=</w:t>
      </w:r>
      <w:r>
        <w:rPr>
          <w:rFonts w:hint="eastAsia"/>
          <w:color w:val="000000" w:themeColor="text1"/>
          <w:sz w:val="24"/>
          <w:szCs w:val="24"/>
          <w:lang w:eastAsia="zh-CN"/>
          <w14:textFill>
            <w14:solidFill>
              <w14:schemeClr w14:val="tx1"/>
            </w14:solidFill>
          </w14:textFill>
        </w:rPr>
        <w:t>0.0408</w:t>
      </w:r>
      <w:r>
        <w:rPr>
          <w:rFonts w:hint="eastAsia" w:ascii="Times New Roman" w:hAnsi="Times New Roman"/>
          <w:color w:val="000000" w:themeColor="text1"/>
          <w:sz w:val="24"/>
          <w:szCs w:val="24"/>
          <w14:textFill>
            <w14:solidFill>
              <w14:schemeClr w14:val="tx1"/>
            </w14:solidFill>
          </w14:textFill>
        </w:rPr>
        <w:t>，</w:t>
      </w:r>
      <w:r>
        <w:rPr>
          <w:rFonts w:ascii="Times New Roman" w:hAnsi="Times New Roman"/>
          <w:color w:val="000000" w:themeColor="text1"/>
          <w:kern w:val="0"/>
          <w:sz w:val="24"/>
          <w:szCs w:val="24"/>
          <w14:textFill>
            <w14:solidFill>
              <w14:schemeClr w14:val="tx1"/>
            </w14:solidFill>
          </w14:textFill>
        </w:rPr>
        <w:t>Q＜1</w:t>
      </w:r>
      <w:r>
        <w:rPr>
          <w:rFonts w:hint="eastAsia" w:ascii="Times New Roman" w:hAnsi="Times New Roman"/>
          <w:color w:val="000000" w:themeColor="text1"/>
          <w:kern w:val="0"/>
          <w:sz w:val="24"/>
          <w:szCs w:val="24"/>
          <w14:textFill>
            <w14:solidFill>
              <w14:schemeClr w14:val="tx1"/>
            </w14:solidFill>
          </w14:textFill>
        </w:rPr>
        <w:t>，</w:t>
      </w:r>
      <w:r>
        <w:rPr>
          <w:rFonts w:ascii="Times New Roman" w:hAnsi="Times New Roman"/>
          <w:color w:val="000000" w:themeColor="text1"/>
          <w:kern w:val="0"/>
          <w:sz w:val="24"/>
          <w:szCs w:val="24"/>
          <w14:textFill>
            <w14:solidFill>
              <w14:schemeClr w14:val="tx1"/>
            </w14:solidFill>
          </w14:textFill>
        </w:rPr>
        <w:t>环境风险潜势为Ⅰ</w:t>
      </w:r>
      <w:r>
        <w:rPr>
          <w:rFonts w:hint="eastAsia" w:ascii="Times New Roman" w:hAnsi="Times New Roman"/>
          <w:color w:val="000000" w:themeColor="text1"/>
          <w:sz w:val="24"/>
          <w:szCs w:val="24"/>
          <w14:textFill>
            <w14:solidFill>
              <w14:schemeClr w14:val="tx1"/>
            </w14:solidFill>
          </w14:textFill>
        </w:rPr>
        <w:t>。</w:t>
      </w:r>
    </w:p>
    <w:p w14:paraId="46D87B45">
      <w:pPr>
        <w:keepNext w:val="0"/>
        <w:keepLines w:val="0"/>
        <w:pageBreakBefore w:val="0"/>
        <w:kinsoku/>
        <w:wordWrap/>
        <w:overflowPunct/>
        <w:topLinePunct w:val="0"/>
        <w:bidi w:val="0"/>
        <w:ind w:firstLine="480"/>
        <w:textAlignment w:val="auto"/>
        <w:rPr>
          <w:rStyle w:val="4100"/>
          <w:rFonts w:hint="default" w:ascii="Times New Roman" w:hAnsi="Times New Roman"/>
          <w:color w:val="000000" w:themeColor="text1"/>
          <w:sz w:val="24"/>
          <w:szCs w:val="24"/>
          <w14:textFill>
            <w14:solidFill>
              <w14:schemeClr w14:val="tx1"/>
            </w14:solidFill>
          </w14:textFill>
        </w:rPr>
      </w:pPr>
      <w:r>
        <w:rPr>
          <w:rStyle w:val="4100"/>
          <w:rFonts w:hint="default" w:ascii="Times New Roman" w:hAnsi="Times New Roman"/>
          <w:color w:val="000000" w:themeColor="text1"/>
          <w:sz w:val="24"/>
          <w:szCs w:val="24"/>
          <w14:textFill>
            <w14:solidFill>
              <w14:schemeClr w14:val="tx1"/>
            </w14:solidFill>
          </w14:textFill>
        </w:rPr>
        <w:t>根据《建设项目环境风险评价技术导则》（HJ 169-2018），确定评价工作等级。</w:t>
      </w:r>
    </w:p>
    <w:p w14:paraId="1FAA3E15">
      <w:pPr>
        <w:adjustRightInd w:val="0"/>
        <w:spacing w:line="360" w:lineRule="auto"/>
        <w:jc w:val="center"/>
        <w:rPr>
          <w:rFonts w:ascii="Times New Roman" w:hAnsi="Times New Roman"/>
          <w:b/>
          <w:bCs/>
          <w:color w:val="000000" w:themeColor="text1"/>
          <w:sz w:val="21"/>
          <w:szCs w:val="21"/>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3</w:t>
      </w:r>
      <w:r>
        <w:rPr>
          <w:rFonts w:hint="default" w:ascii="Times New Roman" w:hAnsi="Times New Roman" w:eastAsia="黑体" w:cs="Times New Roman"/>
          <w:bCs/>
          <w:color w:val="000000" w:themeColor="text1"/>
          <w:sz w:val="24"/>
          <w14:textFill>
            <w14:solidFill>
              <w14:schemeClr w14:val="tx1"/>
            </w14:solidFill>
          </w14:textFill>
        </w:rPr>
        <w:t>-</w:t>
      </w:r>
      <w:r>
        <w:rPr>
          <w:rFonts w:hint="eastAsia" w:eastAsia="黑体" w:cs="Times New Roman"/>
          <w:bCs/>
          <w:color w:val="000000" w:themeColor="text1"/>
          <w:sz w:val="24"/>
          <w:lang w:val="en-US" w:eastAsia="zh-CN"/>
          <w14:textFill>
            <w14:solidFill>
              <w14:schemeClr w14:val="tx1"/>
            </w14:solidFill>
          </w14:textFill>
        </w:rPr>
        <w:t>8</w:t>
      </w:r>
      <w:r>
        <w:rPr>
          <w:rFonts w:hint="eastAsia" w:ascii="Times New Roman" w:hAnsi="Times New Roman" w:eastAsia="黑体" w:cs="Times New Roman"/>
          <w:bCs/>
          <w:color w:val="000000" w:themeColor="text1"/>
          <w:sz w:val="24"/>
          <w14:textFill>
            <w14:solidFill>
              <w14:schemeClr w14:val="tx1"/>
            </w14:solidFill>
          </w14:textFill>
        </w:rPr>
        <w:t>建设项目环境风险评价等级划分</w:t>
      </w:r>
    </w:p>
    <w:tbl>
      <w:tblPr>
        <w:tblStyle w:val="8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52"/>
        <w:gridCol w:w="1524"/>
        <w:gridCol w:w="2025"/>
        <w:gridCol w:w="1695"/>
        <w:gridCol w:w="1323"/>
      </w:tblGrid>
      <w:tr w14:paraId="1E70BB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5" w:type="pct"/>
            <w:tcBorders>
              <w:tl2br w:val="nil"/>
              <w:tr2bl w:val="nil"/>
            </w:tcBorders>
            <w:vAlign w:val="center"/>
          </w:tcPr>
          <w:p w14:paraId="588EB12B">
            <w:pPr>
              <w:pStyle w:val="2123"/>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环境风险潜势</w:t>
            </w:r>
          </w:p>
        </w:tc>
        <w:tc>
          <w:tcPr>
            <w:tcW w:w="894" w:type="pct"/>
            <w:tcBorders>
              <w:tl2br w:val="nil"/>
              <w:tr2bl w:val="nil"/>
            </w:tcBorders>
            <w:vAlign w:val="center"/>
          </w:tcPr>
          <w:p w14:paraId="5632AEC7">
            <w:pPr>
              <w:pStyle w:val="2123"/>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Ⅳ、Ⅳ+</w:t>
            </w:r>
          </w:p>
        </w:tc>
        <w:tc>
          <w:tcPr>
            <w:tcW w:w="1188" w:type="pct"/>
            <w:tcBorders>
              <w:tl2br w:val="nil"/>
              <w:tr2bl w:val="nil"/>
            </w:tcBorders>
            <w:vAlign w:val="center"/>
          </w:tcPr>
          <w:p w14:paraId="373893F9">
            <w:pPr>
              <w:pStyle w:val="2123"/>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Ⅲ</w:t>
            </w:r>
          </w:p>
        </w:tc>
        <w:tc>
          <w:tcPr>
            <w:tcW w:w="994" w:type="pct"/>
            <w:tcBorders>
              <w:tl2br w:val="nil"/>
              <w:tr2bl w:val="nil"/>
            </w:tcBorders>
            <w:vAlign w:val="center"/>
          </w:tcPr>
          <w:p w14:paraId="3D383B4D">
            <w:pPr>
              <w:pStyle w:val="2123"/>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Ⅱ</w:t>
            </w:r>
          </w:p>
        </w:tc>
        <w:tc>
          <w:tcPr>
            <w:tcW w:w="776" w:type="pct"/>
            <w:tcBorders>
              <w:tl2br w:val="nil"/>
              <w:tr2bl w:val="nil"/>
            </w:tcBorders>
            <w:vAlign w:val="center"/>
          </w:tcPr>
          <w:p w14:paraId="5AC98763">
            <w:pPr>
              <w:pStyle w:val="2123"/>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Ⅰ</w:t>
            </w:r>
          </w:p>
        </w:tc>
      </w:tr>
      <w:tr w14:paraId="1C56E5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5" w:type="pct"/>
            <w:tcBorders>
              <w:tl2br w:val="nil"/>
              <w:tr2bl w:val="nil"/>
            </w:tcBorders>
            <w:shd w:val="clear" w:color="auto" w:fill="auto"/>
            <w:vAlign w:val="center"/>
          </w:tcPr>
          <w:p w14:paraId="359B87E4">
            <w:pPr>
              <w:pStyle w:val="2123"/>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评价工作等级</w:t>
            </w:r>
          </w:p>
        </w:tc>
        <w:tc>
          <w:tcPr>
            <w:tcW w:w="894" w:type="pct"/>
            <w:tcBorders>
              <w:tl2br w:val="nil"/>
              <w:tr2bl w:val="nil"/>
            </w:tcBorders>
            <w:shd w:val="clear" w:color="auto" w:fill="auto"/>
            <w:vAlign w:val="center"/>
          </w:tcPr>
          <w:p w14:paraId="651C3AE1">
            <w:pPr>
              <w:pStyle w:val="2123"/>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一</w:t>
            </w:r>
          </w:p>
        </w:tc>
        <w:tc>
          <w:tcPr>
            <w:tcW w:w="1188" w:type="pct"/>
            <w:tcBorders>
              <w:tl2br w:val="nil"/>
              <w:tr2bl w:val="nil"/>
            </w:tcBorders>
            <w:shd w:val="clear" w:color="auto" w:fill="auto"/>
            <w:vAlign w:val="center"/>
          </w:tcPr>
          <w:p w14:paraId="0491C466">
            <w:pPr>
              <w:pStyle w:val="2123"/>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二</w:t>
            </w:r>
          </w:p>
        </w:tc>
        <w:tc>
          <w:tcPr>
            <w:tcW w:w="994" w:type="pct"/>
            <w:tcBorders>
              <w:tl2br w:val="nil"/>
              <w:tr2bl w:val="nil"/>
            </w:tcBorders>
            <w:shd w:val="clear" w:color="auto" w:fill="auto"/>
            <w:vAlign w:val="center"/>
          </w:tcPr>
          <w:p w14:paraId="4E26A486">
            <w:pPr>
              <w:pStyle w:val="2123"/>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三</w:t>
            </w:r>
          </w:p>
        </w:tc>
        <w:tc>
          <w:tcPr>
            <w:tcW w:w="776" w:type="pct"/>
            <w:tcBorders>
              <w:tl2br w:val="nil"/>
              <w:tr2bl w:val="nil"/>
            </w:tcBorders>
            <w:shd w:val="clear" w:color="auto" w:fill="BEBEBE" w:themeFill="background1" w:themeFillShade="BF"/>
            <w:vAlign w:val="center"/>
          </w:tcPr>
          <w:p w14:paraId="3B9E42DE">
            <w:pPr>
              <w:pStyle w:val="2123"/>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简单分析</w:t>
            </w:r>
          </w:p>
        </w:tc>
      </w:tr>
    </w:tbl>
    <w:p w14:paraId="4F4875C8">
      <w:pPr>
        <w:pStyle w:val="251"/>
        <w:ind w:firstLine="480"/>
        <w:rPr>
          <w:rFonts w:hint="default" w:ascii="Times New Roman" w:hAnsi="Times New Roman" w:cs="Times New Roman"/>
          <w:color w:val="000000" w:themeColor="text1"/>
          <w14:textFill>
            <w14:solidFill>
              <w14:schemeClr w14:val="tx1"/>
            </w14:solidFill>
          </w14:textFill>
        </w:rPr>
      </w:pPr>
      <w:r>
        <w:rPr>
          <w:color w:val="000000" w:themeColor="text1"/>
          <w14:textFill>
            <w14:solidFill>
              <w14:schemeClr w14:val="tx1"/>
            </w14:solidFill>
          </w14:textFill>
        </w:rPr>
        <w:t>由上表可知，本项</w:t>
      </w:r>
      <w:r>
        <w:rPr>
          <w:rFonts w:hint="eastAsia"/>
          <w:color w:val="000000" w:themeColor="text1"/>
          <w14:textFill>
            <w14:solidFill>
              <w14:schemeClr w14:val="tx1"/>
            </w14:solidFill>
          </w14:textFill>
        </w:rPr>
        <w:t>目风</w:t>
      </w:r>
      <w:r>
        <w:rPr>
          <w:color w:val="000000" w:themeColor="text1"/>
          <w14:textFill>
            <w14:solidFill>
              <w14:schemeClr w14:val="tx1"/>
            </w14:solidFill>
          </w14:textFill>
        </w:rPr>
        <w:t>险评价等级为简单分析。</w:t>
      </w:r>
    </w:p>
    <w:p w14:paraId="76414AFD">
      <w:pPr>
        <w:pStyle w:val="3159"/>
        <w:rPr>
          <w:rFonts w:hint="default" w:ascii="Times New Roman" w:hAnsi="Times New Roman" w:cs="Times New Roman"/>
          <w:color w:val="000000" w:themeColor="text1"/>
          <w14:textFill>
            <w14:solidFill>
              <w14:schemeClr w14:val="tx1"/>
            </w14:solidFill>
          </w14:textFill>
        </w:rPr>
      </w:pPr>
      <w:bookmarkStart w:id="32" w:name="_Toc173837623"/>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3</w:t>
      </w:r>
      <w:r>
        <w:rPr>
          <w:rFonts w:hint="default" w:ascii="Times New Roman" w:hAnsi="Times New Roman" w:eastAsia="黑体" w:cs="Times New Roman"/>
          <w:b w:val="0"/>
          <w:color w:val="000000" w:themeColor="text1"/>
          <w14:textFill>
            <w14:solidFill>
              <w14:schemeClr w14:val="tx1"/>
            </w14:solidFill>
          </w14:textFill>
        </w:rPr>
        <w:t>.6生态环境影响评价等级</w:t>
      </w:r>
      <w:bookmarkEnd w:id="32"/>
    </w:p>
    <w:p w14:paraId="2AC5501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本项目位于</w:t>
      </w:r>
      <w:r>
        <w:rPr>
          <w:rFonts w:hint="default" w:ascii="Times New Roman" w:hAnsi="Times New Roman"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14:textFill>
            <w14:solidFill>
              <w14:schemeClr w14:val="tx1"/>
            </w14:solidFill>
          </w14:textFill>
        </w:rPr>
        <w:t>，2011年7月，</w:t>
      </w:r>
      <w:r>
        <w:rPr>
          <w:rFonts w:hint="default" w:ascii="Times New Roman" w:hAnsi="Times New Roman"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14:textFill>
            <w14:solidFill>
              <w14:schemeClr w14:val="tx1"/>
            </w14:solidFill>
          </w14:textFill>
        </w:rPr>
        <w:t>已编制《</w:t>
      </w:r>
      <w:r>
        <w:rPr>
          <w:rFonts w:hint="eastAsia" w:ascii="Times New Roman" w:hAnsi="Times New Roman" w:cs="Times New Roman"/>
          <w:color w:val="000000" w:themeColor="text1"/>
          <w:lang w:eastAsia="zh-CN"/>
          <w14:textFill>
            <w14:solidFill>
              <w14:schemeClr w14:val="tx1"/>
            </w14:solidFill>
          </w14:textFill>
        </w:rPr>
        <w:t>安徽淮南毛集经济开发区规划环境影响报告书</w:t>
      </w:r>
      <w:r>
        <w:rPr>
          <w:rFonts w:hint="default" w:ascii="Times New Roman" w:hAnsi="Times New Roman" w:cs="Times New Roman"/>
          <w:color w:val="000000" w:themeColor="text1"/>
          <w14:textFill>
            <w14:solidFill>
              <w14:schemeClr w14:val="tx1"/>
            </w14:solidFill>
          </w14:textFill>
        </w:rPr>
        <w:t>》并取得原安徽省环境保护厅《关于</w:t>
      </w:r>
      <w:r>
        <w:rPr>
          <w:rFonts w:hint="eastAsia" w:ascii="Times New Roman" w:hAnsi="Times New Roman" w:cs="Times New Roman"/>
          <w:color w:val="000000" w:themeColor="text1"/>
          <w:lang w:eastAsia="zh-CN"/>
          <w14:textFill>
            <w14:solidFill>
              <w14:schemeClr w14:val="tx1"/>
            </w14:solidFill>
          </w14:textFill>
        </w:rPr>
        <w:t>安徽淮南毛集经济开发区规划环境影响报告书</w:t>
      </w:r>
      <w:r>
        <w:rPr>
          <w:rFonts w:hint="default" w:ascii="Times New Roman" w:hAnsi="Times New Roman" w:cs="Times New Roman"/>
          <w:color w:val="000000" w:themeColor="text1"/>
          <w14:textFill>
            <w14:solidFill>
              <w14:schemeClr w14:val="tx1"/>
            </w14:solidFill>
          </w14:textFill>
        </w:rPr>
        <w:t>审查意见的函》（皖环函〔2012〕1306号）》，本项目不属于规划环评生态环境准入清单内的禁止类和限制类，与园区主导产业不冲突，符合入园条件；同时项目区域不涉及国家公园、自然保护区、自然公园、生态保护红线等生态敏感区，对照《环境影响评价技术导则生态影响》（HJ19-2022），本项目属于导则中“位于已批准规划环评的产业园区内且符合规划环评要求、不涉及生态敏感区的污染影响类建设项目，可不确定评价等级，直接进行生态影响简单分析”。</w:t>
      </w:r>
    </w:p>
    <w:p w14:paraId="3E9B3A0C">
      <w:pPr>
        <w:pStyle w:val="3159"/>
        <w:rPr>
          <w:rFonts w:hint="default" w:ascii="Times New Roman" w:hAnsi="Times New Roman" w:eastAsia="黑体" w:cs="Times New Roman"/>
          <w:b w:val="0"/>
          <w:color w:val="000000" w:themeColor="text1"/>
          <w14:textFill>
            <w14:solidFill>
              <w14:schemeClr w14:val="tx1"/>
            </w14:solidFill>
          </w14:textFill>
        </w:rPr>
      </w:pPr>
      <w:bookmarkStart w:id="33" w:name="_Toc173837624"/>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3</w:t>
      </w:r>
      <w:r>
        <w:rPr>
          <w:rFonts w:hint="default" w:ascii="Times New Roman" w:hAnsi="Times New Roman" w:eastAsia="黑体" w:cs="Times New Roman"/>
          <w:b w:val="0"/>
          <w:color w:val="000000" w:themeColor="text1"/>
          <w14:textFill>
            <w14:solidFill>
              <w14:schemeClr w14:val="tx1"/>
            </w14:solidFill>
          </w14:textFill>
        </w:rPr>
        <w:t>.7土壤环境影响评价等级</w:t>
      </w:r>
      <w:bookmarkEnd w:id="33"/>
    </w:p>
    <w:p w14:paraId="2660ADA5">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按照《环境影响评价技术导则土壤环境（试行）》（HJ964-2018）评价工作等级划分原则与方法，本项目为污染影响型建设项目，主要工艺为</w:t>
      </w:r>
      <w:r>
        <w:rPr>
          <w:rFonts w:hint="default" w:ascii="Times New Roman" w:hAnsi="Times New Roman" w:cs="Times New Roman"/>
          <w:color w:val="000000" w:themeColor="text1"/>
          <w:lang w:val="en-US" w:eastAsia="zh-CN"/>
          <w14:textFill>
            <w14:solidFill>
              <w14:schemeClr w14:val="tx1"/>
            </w14:solidFill>
          </w14:textFill>
        </w:rPr>
        <w:t>废塑料瓶破碎清洗及造粒</w:t>
      </w:r>
      <w:r>
        <w:rPr>
          <w:rFonts w:hint="default" w:ascii="Times New Roman" w:hAnsi="Times New Roman" w:cs="Times New Roman"/>
          <w:color w:val="000000" w:themeColor="text1"/>
          <w14:textFill>
            <w14:solidFill>
              <w14:schemeClr w14:val="tx1"/>
            </w14:solidFill>
          </w14:textFill>
        </w:rPr>
        <w:t>，行业类别为</w:t>
      </w:r>
      <w:r>
        <w:rPr>
          <w:rFonts w:hint="default" w:ascii="Times New Roman" w:hAnsi="Times New Roman" w:cs="Times New Roman"/>
          <w:color w:val="000000" w:themeColor="text1"/>
          <w:lang w:eastAsia="zh-CN"/>
          <w14:textFill>
            <w14:solidFill>
              <w14:schemeClr w14:val="tx1"/>
            </w14:solidFill>
          </w14:textFill>
        </w:rPr>
        <w:t>C4220 非金属废料和碎屑加工处理</w:t>
      </w:r>
      <w:r>
        <w:rPr>
          <w:rFonts w:hint="default" w:ascii="Times New Roman" w:hAnsi="Times New Roman" w:cs="Times New Roman"/>
          <w:color w:val="000000" w:themeColor="text1"/>
          <w14:textFill>
            <w14:solidFill>
              <w14:schemeClr w14:val="tx1"/>
            </w14:solidFill>
          </w14:textFill>
        </w:rPr>
        <w:t>；占地规模为小型，根据附录A，本项目为</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 3 \* ROMAN \* MERGEFORMAT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III</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类建设项目。评价等级判别依据见表2.</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8、表2.</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9及表2.</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0。</w:t>
      </w:r>
    </w:p>
    <w:p w14:paraId="09106BF0">
      <w:pPr>
        <w:adjustRightInd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3</w:t>
      </w:r>
      <w:r>
        <w:rPr>
          <w:rFonts w:hint="default" w:ascii="Times New Roman" w:hAnsi="Times New Roman" w:eastAsia="黑体" w:cs="Times New Roman"/>
          <w:bCs/>
          <w:color w:val="000000" w:themeColor="text1"/>
          <w:sz w:val="24"/>
          <w14:textFill>
            <w14:solidFill>
              <w14:schemeClr w14:val="tx1"/>
            </w14:solidFill>
          </w14:textFill>
        </w:rPr>
        <w:t>-</w:t>
      </w:r>
      <w:r>
        <w:rPr>
          <w:rFonts w:hint="eastAsia" w:eastAsia="黑体" w:cs="Times New Roman"/>
          <w:bCs/>
          <w:color w:val="000000" w:themeColor="text1"/>
          <w:sz w:val="24"/>
          <w:lang w:val="en-US" w:eastAsia="zh-CN"/>
          <w14:textFill>
            <w14:solidFill>
              <w14:schemeClr w14:val="tx1"/>
            </w14:solidFill>
          </w14:textFill>
        </w:rPr>
        <w:t>1</w:t>
      </w:r>
      <w:r>
        <w:rPr>
          <w:rFonts w:hint="default" w:ascii="Times New Roman" w:hAnsi="Times New Roman" w:eastAsia="黑体" w:cs="Times New Roman"/>
          <w:bCs/>
          <w:color w:val="000000" w:themeColor="text1"/>
          <w:sz w:val="24"/>
          <w14:textFill>
            <w14:solidFill>
              <w14:schemeClr w14:val="tx1"/>
            </w14:solidFill>
          </w14:textFill>
        </w:rPr>
        <w:t>8土壤环境影响评价项目类别划分</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994"/>
        <w:gridCol w:w="2269"/>
        <w:gridCol w:w="2204"/>
        <w:gridCol w:w="793"/>
        <w:gridCol w:w="1021"/>
      </w:tblGrid>
      <w:tr w14:paraId="6AAF56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8" w:type="pct"/>
            <w:vMerge w:val="restart"/>
            <w:vAlign w:val="center"/>
          </w:tcPr>
          <w:p w14:paraId="68BEC2A6">
            <w:pPr>
              <w:pStyle w:val="731"/>
              <w:spacing w:before="0" w:after="0" w:line="276" w:lineRule="auto"/>
              <w:rPr>
                <w:rFonts w:hint="default" w:ascii="Times New Roman" w:hAnsi="Times New Roman" w:eastAsia="宋体" w:cs="Times New Roman"/>
                <w:b/>
                <w:color w:val="000000" w:themeColor="text1"/>
                <w:kern w:val="0"/>
                <w:szCs w:val="21"/>
                <w14:textFill>
                  <w14:solidFill>
                    <w14:schemeClr w14:val="tx1"/>
                  </w14:solidFill>
                </w14:textFill>
              </w:rPr>
            </w:pPr>
            <w:r>
              <w:rPr>
                <w:rFonts w:hint="default" w:ascii="Times New Roman" w:hAnsi="Times New Roman" w:eastAsia="宋体" w:cs="Times New Roman"/>
                <w:b/>
                <w:color w:val="000000" w:themeColor="text1"/>
                <w:kern w:val="0"/>
                <w:szCs w:val="21"/>
                <w14:textFill>
                  <w14:solidFill>
                    <w14:schemeClr w14:val="tx1"/>
                  </w14:solidFill>
                </w14:textFill>
              </w:rPr>
              <w:t>行业类别</w:t>
            </w:r>
          </w:p>
        </w:tc>
        <w:tc>
          <w:tcPr>
            <w:tcW w:w="3672" w:type="pct"/>
            <w:gridSpan w:val="4"/>
            <w:vAlign w:val="center"/>
          </w:tcPr>
          <w:p w14:paraId="342E98E6">
            <w:pPr>
              <w:pStyle w:val="731"/>
              <w:spacing w:before="0" w:after="0" w:line="276" w:lineRule="auto"/>
              <w:rPr>
                <w:rFonts w:hint="default" w:ascii="Times New Roman" w:hAnsi="Times New Roman" w:eastAsia="宋体" w:cs="Times New Roman"/>
                <w:b/>
                <w:color w:val="000000" w:themeColor="text1"/>
                <w:kern w:val="0"/>
                <w:szCs w:val="21"/>
                <w14:textFill>
                  <w14:solidFill>
                    <w14:schemeClr w14:val="tx1"/>
                  </w14:solidFill>
                </w14:textFill>
              </w:rPr>
            </w:pPr>
            <w:r>
              <w:rPr>
                <w:rFonts w:hint="default" w:ascii="Times New Roman" w:hAnsi="Times New Roman" w:eastAsia="宋体" w:cs="Times New Roman"/>
                <w:b/>
                <w:color w:val="000000" w:themeColor="text1"/>
                <w:kern w:val="0"/>
                <w:szCs w:val="21"/>
                <w14:textFill>
                  <w14:solidFill>
                    <w14:schemeClr w14:val="tx1"/>
                  </w14:solidFill>
                </w14:textFill>
              </w:rPr>
              <w:t>项目类别</w:t>
            </w:r>
          </w:p>
        </w:tc>
        <w:tc>
          <w:tcPr>
            <w:tcW w:w="599" w:type="pct"/>
            <w:vMerge w:val="restart"/>
            <w:vAlign w:val="center"/>
          </w:tcPr>
          <w:p w14:paraId="070C50FE">
            <w:pPr>
              <w:pStyle w:val="731"/>
              <w:spacing w:before="0" w:after="0" w:line="276" w:lineRule="auto"/>
              <w:rPr>
                <w:rFonts w:hint="default" w:ascii="Times New Roman" w:hAnsi="Times New Roman" w:eastAsia="宋体" w:cs="Times New Roman"/>
                <w:b/>
                <w:color w:val="000000" w:themeColor="text1"/>
                <w:kern w:val="0"/>
                <w:szCs w:val="21"/>
                <w14:textFill>
                  <w14:solidFill>
                    <w14:schemeClr w14:val="tx1"/>
                  </w14:solidFill>
                </w14:textFill>
              </w:rPr>
            </w:pPr>
            <w:r>
              <w:rPr>
                <w:rFonts w:hint="default" w:ascii="Times New Roman" w:hAnsi="Times New Roman" w:eastAsia="宋体" w:cs="Times New Roman"/>
                <w:b/>
                <w:color w:val="000000" w:themeColor="text1"/>
                <w:kern w:val="0"/>
                <w:szCs w:val="21"/>
                <w14:textFill>
                  <w14:solidFill>
                    <w14:schemeClr w14:val="tx1"/>
                  </w14:solidFill>
                </w14:textFill>
              </w:rPr>
              <w:t>本项目类别</w:t>
            </w:r>
          </w:p>
        </w:tc>
      </w:tr>
      <w:tr w14:paraId="6096A4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8" w:type="pct"/>
            <w:vMerge w:val="continue"/>
            <w:vAlign w:val="center"/>
          </w:tcPr>
          <w:p w14:paraId="335F7F42">
            <w:pPr>
              <w:pStyle w:val="731"/>
              <w:spacing w:before="0" w:after="0" w:line="276" w:lineRule="auto"/>
              <w:rPr>
                <w:rFonts w:hint="default" w:ascii="Times New Roman" w:hAnsi="Times New Roman" w:eastAsia="宋体" w:cs="Times New Roman"/>
                <w:color w:val="000000" w:themeColor="text1"/>
                <w:kern w:val="0"/>
                <w:szCs w:val="21"/>
                <w14:textFill>
                  <w14:solidFill>
                    <w14:schemeClr w14:val="tx1"/>
                  </w14:solidFill>
                </w14:textFill>
              </w:rPr>
            </w:pPr>
          </w:p>
        </w:tc>
        <w:tc>
          <w:tcPr>
            <w:tcW w:w="583" w:type="pct"/>
            <w:vAlign w:val="center"/>
          </w:tcPr>
          <w:p w14:paraId="0A0BDC60">
            <w:pPr>
              <w:pStyle w:val="731"/>
              <w:spacing w:before="0" w:after="0" w:line="276" w:lineRule="auto"/>
              <w:rPr>
                <w:rFonts w:hint="default" w:ascii="Times New Roman" w:hAnsi="Times New Roman" w:eastAsia="宋体" w:cs="Times New Roman"/>
                <w:b/>
                <w:color w:val="000000" w:themeColor="text1"/>
                <w:kern w:val="0"/>
                <w:szCs w:val="21"/>
                <w14:textFill>
                  <w14:solidFill>
                    <w14:schemeClr w14:val="tx1"/>
                  </w14:solidFill>
                </w14:textFill>
              </w:rPr>
            </w:pPr>
            <w:r>
              <w:rPr>
                <w:rFonts w:hint="default" w:ascii="Times New Roman" w:hAnsi="Times New Roman" w:eastAsia="宋体" w:cs="Times New Roman"/>
                <w:b/>
                <w:color w:val="000000" w:themeColor="text1"/>
                <w:kern w:val="0"/>
                <w:szCs w:val="21"/>
                <w14:textFill>
                  <w14:solidFill>
                    <w14:schemeClr w14:val="tx1"/>
                  </w14:solidFill>
                </w14:textFill>
              </w:rPr>
              <w:t>I类</w:t>
            </w:r>
          </w:p>
        </w:tc>
        <w:tc>
          <w:tcPr>
            <w:tcW w:w="1331" w:type="pct"/>
            <w:vAlign w:val="center"/>
          </w:tcPr>
          <w:p w14:paraId="4DFD1CD4">
            <w:pPr>
              <w:pStyle w:val="731"/>
              <w:spacing w:before="0" w:after="0" w:line="276" w:lineRule="auto"/>
              <w:rPr>
                <w:rFonts w:hint="default" w:ascii="Times New Roman" w:hAnsi="Times New Roman" w:eastAsia="宋体" w:cs="Times New Roman"/>
                <w:b/>
                <w:color w:val="000000" w:themeColor="text1"/>
                <w:kern w:val="0"/>
                <w:szCs w:val="21"/>
                <w14:textFill>
                  <w14:solidFill>
                    <w14:schemeClr w14:val="tx1"/>
                  </w14:solidFill>
                </w14:textFill>
              </w:rPr>
            </w:pPr>
            <w:r>
              <w:rPr>
                <w:rFonts w:hint="default" w:ascii="Times New Roman" w:hAnsi="Times New Roman" w:eastAsia="宋体" w:cs="Times New Roman"/>
                <w:b/>
                <w:color w:val="000000" w:themeColor="text1"/>
                <w:kern w:val="0"/>
                <w:szCs w:val="21"/>
                <w14:textFill>
                  <w14:solidFill>
                    <w14:schemeClr w14:val="tx1"/>
                  </w14:solidFill>
                </w14:textFill>
              </w:rPr>
              <w:t>II类</w:t>
            </w:r>
          </w:p>
        </w:tc>
        <w:tc>
          <w:tcPr>
            <w:tcW w:w="1293" w:type="pct"/>
            <w:vAlign w:val="center"/>
          </w:tcPr>
          <w:p w14:paraId="5DCA11E5">
            <w:pPr>
              <w:pStyle w:val="731"/>
              <w:spacing w:before="0" w:after="0" w:line="276" w:lineRule="auto"/>
              <w:rPr>
                <w:rFonts w:hint="default" w:ascii="Times New Roman" w:hAnsi="Times New Roman" w:eastAsia="宋体" w:cs="Times New Roman"/>
                <w:b/>
                <w:color w:val="000000" w:themeColor="text1"/>
                <w:kern w:val="0"/>
                <w:szCs w:val="21"/>
                <w14:textFill>
                  <w14:solidFill>
                    <w14:schemeClr w14:val="tx1"/>
                  </w14:solidFill>
                </w14:textFill>
              </w:rPr>
            </w:pPr>
            <w:r>
              <w:rPr>
                <w:rFonts w:hint="default" w:ascii="Times New Roman" w:hAnsi="Times New Roman" w:eastAsia="宋体" w:cs="Times New Roman"/>
                <w:b/>
                <w:color w:val="000000" w:themeColor="text1"/>
                <w:kern w:val="0"/>
                <w:szCs w:val="21"/>
                <w14:textFill>
                  <w14:solidFill>
                    <w14:schemeClr w14:val="tx1"/>
                  </w14:solidFill>
                </w14:textFill>
              </w:rPr>
              <w:t>Ⅲ类</w:t>
            </w:r>
          </w:p>
        </w:tc>
        <w:tc>
          <w:tcPr>
            <w:tcW w:w="465" w:type="pct"/>
            <w:vAlign w:val="center"/>
          </w:tcPr>
          <w:p w14:paraId="4544C68F">
            <w:pPr>
              <w:pStyle w:val="731"/>
              <w:spacing w:before="0" w:after="0" w:line="276" w:lineRule="auto"/>
              <w:rPr>
                <w:rFonts w:hint="default" w:ascii="Times New Roman" w:hAnsi="Times New Roman" w:eastAsia="宋体" w:cs="Times New Roman"/>
                <w:b/>
                <w:color w:val="000000" w:themeColor="text1"/>
                <w:kern w:val="0"/>
                <w:szCs w:val="21"/>
                <w14:textFill>
                  <w14:solidFill>
                    <w14:schemeClr w14:val="tx1"/>
                  </w14:solidFill>
                </w14:textFill>
              </w:rPr>
            </w:pPr>
            <w:r>
              <w:rPr>
                <w:rFonts w:hint="default" w:ascii="Times New Roman" w:hAnsi="Times New Roman" w:eastAsia="宋体" w:cs="Times New Roman"/>
                <w:b/>
                <w:color w:val="000000" w:themeColor="text1"/>
                <w:kern w:val="0"/>
                <w:szCs w:val="21"/>
                <w14:textFill>
                  <w14:solidFill>
                    <w14:schemeClr w14:val="tx1"/>
                  </w14:solidFill>
                </w14:textFill>
              </w:rPr>
              <w:fldChar w:fldCharType="begin"/>
            </w:r>
            <w:r>
              <w:rPr>
                <w:rFonts w:hint="default" w:ascii="Times New Roman" w:hAnsi="Times New Roman" w:eastAsia="宋体" w:cs="Times New Roman"/>
                <w:b/>
                <w:color w:val="000000" w:themeColor="text1"/>
                <w:kern w:val="0"/>
                <w:szCs w:val="21"/>
                <w14:textFill>
                  <w14:solidFill>
                    <w14:schemeClr w14:val="tx1"/>
                  </w14:solidFill>
                </w14:textFill>
              </w:rPr>
              <w:instrText xml:space="preserve"> = 4 \* ROMAN </w:instrText>
            </w:r>
            <w:r>
              <w:rPr>
                <w:rFonts w:hint="default" w:ascii="Times New Roman" w:hAnsi="Times New Roman" w:eastAsia="宋体" w:cs="Times New Roman"/>
                <w:b/>
                <w:color w:val="000000" w:themeColor="text1"/>
                <w:kern w:val="0"/>
                <w:szCs w:val="21"/>
                <w14:textFill>
                  <w14:solidFill>
                    <w14:schemeClr w14:val="tx1"/>
                  </w14:solidFill>
                </w14:textFill>
              </w:rPr>
              <w:fldChar w:fldCharType="separate"/>
            </w:r>
            <w:r>
              <w:rPr>
                <w:rFonts w:hint="default" w:ascii="Times New Roman" w:hAnsi="Times New Roman" w:eastAsia="宋体" w:cs="Times New Roman"/>
                <w:b/>
                <w:color w:val="000000" w:themeColor="text1"/>
                <w:kern w:val="0"/>
                <w:szCs w:val="21"/>
                <w14:textFill>
                  <w14:solidFill>
                    <w14:schemeClr w14:val="tx1"/>
                  </w14:solidFill>
                </w14:textFill>
              </w:rPr>
              <w:t>Ⅳ</w:t>
            </w:r>
            <w:r>
              <w:rPr>
                <w:rFonts w:hint="default" w:ascii="Times New Roman" w:hAnsi="Times New Roman" w:eastAsia="宋体" w:cs="Times New Roman"/>
                <w:b/>
                <w:color w:val="000000" w:themeColor="text1"/>
                <w:kern w:val="0"/>
                <w:szCs w:val="21"/>
                <w14:textFill>
                  <w14:solidFill>
                    <w14:schemeClr w14:val="tx1"/>
                  </w14:solidFill>
                </w14:textFill>
              </w:rPr>
              <w:fldChar w:fldCharType="end"/>
            </w:r>
            <w:r>
              <w:rPr>
                <w:rFonts w:hint="default" w:ascii="Times New Roman" w:hAnsi="Times New Roman" w:eastAsia="宋体" w:cs="Times New Roman"/>
                <w:b/>
                <w:color w:val="000000" w:themeColor="text1"/>
                <w:kern w:val="0"/>
                <w:szCs w:val="21"/>
                <w14:textFill>
                  <w14:solidFill>
                    <w14:schemeClr w14:val="tx1"/>
                  </w14:solidFill>
                </w14:textFill>
              </w:rPr>
              <w:t>类</w:t>
            </w:r>
          </w:p>
        </w:tc>
        <w:tc>
          <w:tcPr>
            <w:tcW w:w="599" w:type="pct"/>
            <w:vMerge w:val="continue"/>
            <w:vAlign w:val="center"/>
          </w:tcPr>
          <w:p w14:paraId="480CA30F">
            <w:pPr>
              <w:pStyle w:val="731"/>
              <w:spacing w:before="0" w:after="0" w:line="276" w:lineRule="auto"/>
              <w:rPr>
                <w:rFonts w:hint="default" w:ascii="Times New Roman" w:hAnsi="Times New Roman" w:eastAsia="宋体" w:cs="Times New Roman"/>
                <w:color w:val="000000" w:themeColor="text1"/>
                <w:kern w:val="0"/>
                <w:szCs w:val="21"/>
                <w14:textFill>
                  <w14:solidFill>
                    <w14:schemeClr w14:val="tx1"/>
                  </w14:solidFill>
                </w14:textFill>
              </w:rPr>
            </w:pPr>
          </w:p>
        </w:tc>
      </w:tr>
      <w:tr w14:paraId="6C9A9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8" w:type="pct"/>
            <w:vAlign w:val="center"/>
          </w:tcPr>
          <w:p w14:paraId="6C8D430D">
            <w:pPr>
              <w:pStyle w:val="731"/>
              <w:spacing w:before="0" w:after="0" w:line="276" w:lineRule="auto"/>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环境和公共设施管理业</w:t>
            </w:r>
          </w:p>
        </w:tc>
        <w:tc>
          <w:tcPr>
            <w:tcW w:w="583" w:type="pct"/>
            <w:vAlign w:val="center"/>
          </w:tcPr>
          <w:p w14:paraId="72CB8819">
            <w:pPr>
              <w:pStyle w:val="731"/>
              <w:spacing w:before="0" w:after="0" w:line="276" w:lineRule="auto"/>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危险废物利用及处置</w:t>
            </w:r>
          </w:p>
        </w:tc>
        <w:tc>
          <w:tcPr>
            <w:tcW w:w="1331" w:type="pct"/>
            <w:vAlign w:val="center"/>
          </w:tcPr>
          <w:p w14:paraId="4E1A4472">
            <w:pPr>
              <w:pStyle w:val="731"/>
              <w:spacing w:before="0" w:after="0" w:line="276" w:lineRule="auto"/>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采取填埋和焚烧方式的一般工业固体废物处置及综合利用；城镇生活垃圾（不含餐厨废弃物）集中处置</w:t>
            </w:r>
          </w:p>
        </w:tc>
        <w:tc>
          <w:tcPr>
            <w:tcW w:w="1293" w:type="pct"/>
            <w:vAlign w:val="center"/>
          </w:tcPr>
          <w:p w14:paraId="63AA9C32">
            <w:pPr>
              <w:pStyle w:val="731"/>
              <w:spacing w:before="0" w:after="0" w:line="276" w:lineRule="auto"/>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一般工业固体废物处置及综合利用（除采取填埋和焚烧方式以外的）；废旧资源加工、再生利用</w:t>
            </w:r>
          </w:p>
        </w:tc>
        <w:tc>
          <w:tcPr>
            <w:tcW w:w="465" w:type="pct"/>
            <w:vAlign w:val="center"/>
          </w:tcPr>
          <w:p w14:paraId="112E57F3">
            <w:pPr>
              <w:pStyle w:val="731"/>
              <w:spacing w:before="0" w:after="0" w:line="276" w:lineRule="auto"/>
              <w:rPr>
                <w:rFonts w:hint="default" w:ascii="Times New Roman" w:hAnsi="Times New Roman" w:eastAsia="宋体" w:cs="Times New Roman"/>
                <w:b/>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其他</w:t>
            </w:r>
          </w:p>
        </w:tc>
        <w:tc>
          <w:tcPr>
            <w:tcW w:w="599" w:type="pct"/>
            <w:vAlign w:val="center"/>
          </w:tcPr>
          <w:p w14:paraId="13EEA1A8">
            <w:pPr>
              <w:pStyle w:val="731"/>
              <w:spacing w:before="0" w:after="0" w:line="276" w:lineRule="auto"/>
              <w:rPr>
                <w:rFonts w:hint="default" w:ascii="Times New Roman" w:hAnsi="Times New Roman" w:eastAsia="宋体" w:cs="Times New Roman"/>
                <w:color w:val="000000" w:themeColor="text1"/>
                <w:kern w:val="0"/>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本项目属于</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 3 \* ROMAN \* MERGEFORMAT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III</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eastAsia="宋体" w:cs="Times New Roman"/>
                <w:color w:val="000000" w:themeColor="text1"/>
                <w:kern w:val="0"/>
                <w:szCs w:val="21"/>
                <w14:textFill>
                  <w14:solidFill>
                    <w14:schemeClr w14:val="tx1"/>
                  </w14:solidFill>
                </w14:textFill>
              </w:rPr>
              <w:t>类</w:t>
            </w:r>
          </w:p>
        </w:tc>
      </w:tr>
    </w:tbl>
    <w:p w14:paraId="3D3E9BA1">
      <w:pPr>
        <w:adjustRightInd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3</w:t>
      </w:r>
      <w:r>
        <w:rPr>
          <w:rFonts w:hint="default" w:ascii="Times New Roman" w:hAnsi="Times New Roman" w:eastAsia="黑体" w:cs="Times New Roman"/>
          <w:bCs/>
          <w:color w:val="000000" w:themeColor="text1"/>
          <w:sz w:val="24"/>
          <w14:textFill>
            <w14:solidFill>
              <w14:schemeClr w14:val="tx1"/>
            </w14:solidFill>
          </w14:textFill>
        </w:rPr>
        <w:t>-</w:t>
      </w:r>
      <w:r>
        <w:rPr>
          <w:rFonts w:hint="eastAsia" w:eastAsia="黑体" w:cs="Times New Roman"/>
          <w:bCs/>
          <w:color w:val="000000" w:themeColor="text1"/>
          <w:sz w:val="24"/>
          <w:lang w:val="en-US" w:eastAsia="zh-CN"/>
          <w14:textFill>
            <w14:solidFill>
              <w14:schemeClr w14:val="tx1"/>
            </w14:solidFill>
          </w14:textFill>
        </w:rPr>
        <w:t>1</w:t>
      </w:r>
      <w:r>
        <w:rPr>
          <w:rFonts w:hint="default" w:ascii="Times New Roman" w:hAnsi="Times New Roman" w:eastAsia="黑体" w:cs="Times New Roman"/>
          <w:bCs/>
          <w:color w:val="000000" w:themeColor="text1"/>
          <w:sz w:val="24"/>
          <w14:textFill>
            <w14:solidFill>
              <w14:schemeClr w14:val="tx1"/>
            </w14:solidFill>
          </w14:textFill>
        </w:rPr>
        <w:t>9污染影响型敏感程度分级表</w:t>
      </w:r>
    </w:p>
    <w:tbl>
      <w:tblPr>
        <w:tblStyle w:val="88"/>
        <w:tblW w:w="8523"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84"/>
        <w:gridCol w:w="7139"/>
      </w:tblGrid>
      <w:tr w14:paraId="0F843D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84" w:type="dxa"/>
            <w:vAlign w:val="center"/>
          </w:tcPr>
          <w:p w14:paraId="201BB44C">
            <w:pPr>
              <w:pStyle w:val="641"/>
              <w:spacing w:line="276" w:lineRule="auto"/>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敏感程度</w:t>
            </w:r>
          </w:p>
        </w:tc>
        <w:tc>
          <w:tcPr>
            <w:tcW w:w="7139" w:type="dxa"/>
            <w:vAlign w:val="center"/>
          </w:tcPr>
          <w:p w14:paraId="1BDDF30A">
            <w:pPr>
              <w:pStyle w:val="641"/>
              <w:spacing w:line="276" w:lineRule="auto"/>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判定依据</w:t>
            </w:r>
          </w:p>
        </w:tc>
      </w:tr>
      <w:tr w14:paraId="5CFB8E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84" w:type="dxa"/>
            <w:vAlign w:val="center"/>
          </w:tcPr>
          <w:p w14:paraId="18B3A5F3">
            <w:pPr>
              <w:pStyle w:val="641"/>
              <w:spacing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敏感</w:t>
            </w:r>
          </w:p>
        </w:tc>
        <w:tc>
          <w:tcPr>
            <w:tcW w:w="7139" w:type="dxa"/>
            <w:vAlign w:val="center"/>
          </w:tcPr>
          <w:p w14:paraId="0555DC38">
            <w:pPr>
              <w:pStyle w:val="641"/>
              <w:spacing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建设项目周边存在耕地、园地、牧草地、饮用水源地或居民区、学校、医院、疗养院、养老院等土壤环境敏感目标的</w:t>
            </w:r>
          </w:p>
        </w:tc>
      </w:tr>
      <w:tr w14:paraId="1A0780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84" w:type="dxa"/>
            <w:vAlign w:val="center"/>
          </w:tcPr>
          <w:p w14:paraId="7481562A">
            <w:pPr>
              <w:pStyle w:val="641"/>
              <w:spacing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较敏感</w:t>
            </w:r>
          </w:p>
        </w:tc>
        <w:tc>
          <w:tcPr>
            <w:tcW w:w="7139" w:type="dxa"/>
            <w:vAlign w:val="center"/>
          </w:tcPr>
          <w:p w14:paraId="4F4020DE">
            <w:pPr>
              <w:pStyle w:val="641"/>
              <w:spacing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建设项目周边存在其他土壤环境敏感目标的</w:t>
            </w:r>
          </w:p>
        </w:tc>
      </w:tr>
      <w:tr w14:paraId="0F876D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84" w:type="dxa"/>
            <w:vAlign w:val="center"/>
          </w:tcPr>
          <w:p w14:paraId="45E29259">
            <w:pPr>
              <w:pStyle w:val="641"/>
              <w:spacing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不敏感</w:t>
            </w:r>
          </w:p>
        </w:tc>
        <w:tc>
          <w:tcPr>
            <w:tcW w:w="7139" w:type="dxa"/>
            <w:vAlign w:val="center"/>
          </w:tcPr>
          <w:p w14:paraId="4E1BE32A">
            <w:pPr>
              <w:pStyle w:val="641"/>
              <w:spacing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其他情况</w:t>
            </w:r>
          </w:p>
        </w:tc>
      </w:tr>
    </w:tbl>
    <w:p w14:paraId="38F317D7">
      <w:pPr>
        <w:pStyle w:val="251"/>
        <w:ind w:firstLine="480"/>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据现场调查，本项目位于安徽淮南毛集经济开发区，</w:t>
      </w:r>
      <w:r>
        <w:rPr>
          <w:rFonts w:hint="default" w:ascii="Times New Roman" w:hAnsi="Times New Roman" w:cs="Times New Roman"/>
          <w:color w:val="000000" w:themeColor="text1"/>
          <w14:textFill>
            <w14:solidFill>
              <w14:schemeClr w14:val="tx1"/>
            </w14:solidFill>
          </w14:textFill>
        </w:rPr>
        <w:t>周边</w:t>
      </w:r>
      <w:r>
        <w:rPr>
          <w:rFonts w:hint="eastAsia" w:ascii="Times New Roman" w:hAnsi="Times New Roman" w:cs="Times New Roman"/>
          <w:color w:val="000000" w:themeColor="text1"/>
          <w:lang w:val="en-US" w:eastAsia="zh-CN"/>
          <w14:textFill>
            <w14:solidFill>
              <w14:schemeClr w14:val="tx1"/>
            </w14:solidFill>
          </w14:textFill>
        </w:rPr>
        <w:t>98m（本项目污染物TSP最大落地浓度距离）范围内不</w:t>
      </w:r>
      <w:r>
        <w:rPr>
          <w:rFonts w:hint="default" w:ascii="Times New Roman" w:hAnsi="Times New Roman" w:cs="Times New Roman"/>
          <w:color w:val="000000" w:themeColor="text1"/>
          <w14:textFill>
            <w14:solidFill>
              <w14:schemeClr w14:val="tx1"/>
            </w14:solidFill>
          </w14:textFill>
        </w:rPr>
        <w:t>涉及敏感区域，</w:t>
      </w:r>
      <w:r>
        <w:rPr>
          <w:rFonts w:hint="eastAsia" w:ascii="Times New Roman" w:hAnsi="Times New Roman" w:cs="Times New Roman"/>
          <w:color w:val="000000" w:themeColor="text1"/>
          <w:lang w:eastAsia="zh-CN"/>
          <w14:textFill>
            <w14:solidFill>
              <w14:schemeClr w14:val="tx1"/>
            </w14:solidFill>
          </w14:textFill>
        </w:rPr>
        <w:t>但涉及耕地，</w:t>
      </w:r>
      <w:r>
        <w:rPr>
          <w:rFonts w:hint="default" w:ascii="Times New Roman" w:hAnsi="Times New Roman" w:cs="Times New Roman"/>
          <w:color w:val="000000" w:themeColor="text1"/>
          <w14:textFill>
            <w14:solidFill>
              <w14:schemeClr w14:val="tx1"/>
            </w14:solidFill>
          </w14:textFill>
        </w:rPr>
        <w:t>因此，确定区内土壤环境敏感程度为“敏感”。</w:t>
      </w:r>
    </w:p>
    <w:p w14:paraId="40138435">
      <w:pPr>
        <w:adjustRightInd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-69215</wp:posOffset>
                </wp:positionH>
                <wp:positionV relativeFrom="paragraph">
                  <wp:posOffset>644525</wp:posOffset>
                </wp:positionV>
                <wp:extent cx="1321435" cy="265430"/>
                <wp:effectExtent l="635" t="4445" r="11430" b="9525"/>
                <wp:wrapNone/>
                <wp:docPr id="339" name="AutoShape 387"/>
                <wp:cNvGraphicFramePr/>
                <a:graphic xmlns:a="http://schemas.openxmlformats.org/drawingml/2006/main">
                  <a:graphicData uri="http://schemas.microsoft.com/office/word/2010/wordprocessingShape">
                    <wps:wsp>
                      <wps:cNvCnPr>
                        <a:cxnSpLocks noChangeShapeType="1"/>
                      </wps:cNvCnPr>
                      <wps:spPr bwMode="auto">
                        <a:xfrm>
                          <a:off x="0" y="0"/>
                          <a:ext cx="1321435" cy="265430"/>
                        </a:xfrm>
                        <a:prstGeom prst="straightConnector1">
                          <a:avLst/>
                        </a:prstGeom>
                        <a:noFill/>
                        <a:ln w="6350">
                          <a:solidFill>
                            <a:srgbClr val="000000"/>
                          </a:solidFill>
                          <a:round/>
                        </a:ln>
                        <a:effectLst/>
                      </wps:spPr>
                      <wps:bodyPr/>
                    </wps:wsp>
                  </a:graphicData>
                </a:graphic>
              </wp:anchor>
            </w:drawing>
          </mc:Choice>
          <mc:Fallback>
            <w:pict>
              <v:shape id="AutoShape 387" o:spid="_x0000_s1026" o:spt="32" type="#_x0000_t32" style="position:absolute;left:0pt;margin-left:-5.45pt;margin-top:50.75pt;height:20.9pt;width:104.05pt;z-index:251668480;mso-width-relative:page;mso-height-relative:page;" filled="f" stroked="t" coordsize="21600,21600" o:gfxdata="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GxsF42QAA&#10;AAsBAAAPAAAAAAAAAAEAIAAAACIAAABkcnMvZG93bnJldi54bWxQSwECFAAUAAAACACHTuJAplgb&#10;HeQBAADJAwAADgAAAAAAAAABACAAAAAoAQAAZHJzL2Uyb0RvYy54bWxQSwUGAAAAAAYABgBZAQAA&#10;fgUAAAAA&#10;">
                <v:fill on="f" focussize="0,0"/>
                <v:stroke weight="0.5pt" color="#000000" joinstyle="round"/>
                <v:imagedata o:title=""/>
                <o:lock v:ext="edit" aspectratio="f"/>
              </v:shape>
            </w:pict>
          </mc:Fallback>
        </mc:AlternateContent>
      </w:r>
      <w:r>
        <w:rPr>
          <w:rFonts w:hint="default" w:ascii="Times New Roman" w:hAnsi="Times New Roman" w:eastAsia="黑体" w:cs="Times New Roman"/>
          <w:bCs/>
          <w:color w:val="000000" w:themeColor="text1"/>
          <w:sz w:val="24"/>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438150</wp:posOffset>
                </wp:positionH>
                <wp:positionV relativeFrom="paragraph">
                  <wp:posOffset>306070</wp:posOffset>
                </wp:positionV>
                <wp:extent cx="810260" cy="606425"/>
                <wp:effectExtent l="2540" t="3810" r="12700" b="12065"/>
                <wp:wrapNone/>
                <wp:docPr id="338" name="AutoShape 388"/>
                <wp:cNvGraphicFramePr/>
                <a:graphic xmlns:a="http://schemas.openxmlformats.org/drawingml/2006/main">
                  <a:graphicData uri="http://schemas.microsoft.com/office/word/2010/wordprocessingShape">
                    <wps:wsp>
                      <wps:cNvCnPr>
                        <a:cxnSpLocks noChangeShapeType="1"/>
                      </wps:cNvCnPr>
                      <wps:spPr bwMode="auto">
                        <a:xfrm>
                          <a:off x="0" y="0"/>
                          <a:ext cx="810260" cy="606425"/>
                        </a:xfrm>
                        <a:prstGeom prst="straightConnector1">
                          <a:avLst/>
                        </a:prstGeom>
                        <a:noFill/>
                        <a:ln w="6350">
                          <a:solidFill>
                            <a:srgbClr val="000000"/>
                          </a:solidFill>
                          <a:round/>
                        </a:ln>
                        <a:effectLst/>
                      </wps:spPr>
                      <wps:bodyPr/>
                    </wps:wsp>
                  </a:graphicData>
                </a:graphic>
              </wp:anchor>
            </w:drawing>
          </mc:Choice>
          <mc:Fallback>
            <w:pict>
              <v:shape id="AutoShape 388" o:spid="_x0000_s1026" o:spt="32" type="#_x0000_t32" style="position:absolute;left:0pt;margin-left:34.5pt;margin-top:24.1pt;height:47.75pt;width:63.8pt;z-index:251669504;mso-width-relative:page;mso-height-relative:page;" filled="f" stroked="t" coordsize="21600,21600" o:gfxdata="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ZvJgTNgAAAAJAQAA&#10;DwAAAAAAAAABACAAAAAiAAAAZHJzL2Rvd25yZXYueG1sUEsBAhQAFAAAAAgAh07iQHvP8t/gAQAA&#10;yAMAAA4AAAAAAAAAAQAgAAAAJwEAAGRycy9lMm9Eb2MueG1sUEsFBgAAAAAGAAYAWQEAAHkFAAAA&#10;AA==&#10;">
                <v:fill on="f" focussize="0,0"/>
                <v:stroke weight="0.5pt" color="#000000" joinstyle="round"/>
                <v:imagedata o:title=""/>
                <o:lock v:ext="edit" aspectratio="f"/>
              </v:shape>
            </w:pict>
          </mc:Fallback>
        </mc:AlternateContent>
      </w: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3</w:t>
      </w:r>
      <w:r>
        <w:rPr>
          <w:rFonts w:hint="default" w:ascii="Times New Roman" w:hAnsi="Times New Roman" w:eastAsia="黑体" w:cs="Times New Roman"/>
          <w:bCs/>
          <w:color w:val="000000" w:themeColor="text1"/>
          <w:sz w:val="24"/>
          <w14:textFill>
            <w14:solidFill>
              <w14:schemeClr w14:val="tx1"/>
            </w14:solidFill>
          </w14:textFill>
        </w:rPr>
        <w:t>-</w:t>
      </w:r>
      <w:r>
        <w:rPr>
          <w:rFonts w:hint="eastAsia" w:eastAsia="黑体" w:cs="Times New Roman"/>
          <w:bCs/>
          <w:color w:val="000000" w:themeColor="text1"/>
          <w:sz w:val="24"/>
          <w:lang w:val="en-US" w:eastAsia="zh-CN"/>
          <w14:textFill>
            <w14:solidFill>
              <w14:schemeClr w14:val="tx1"/>
            </w14:solidFill>
          </w14:textFill>
        </w:rPr>
        <w:t>2</w:t>
      </w:r>
      <w:r>
        <w:rPr>
          <w:rFonts w:hint="default" w:ascii="Times New Roman" w:hAnsi="Times New Roman" w:eastAsia="黑体" w:cs="Times New Roman"/>
          <w:bCs/>
          <w:color w:val="000000" w:themeColor="text1"/>
          <w:sz w:val="24"/>
          <w14:textFill>
            <w14:solidFill>
              <w14:schemeClr w14:val="tx1"/>
            </w14:solidFill>
          </w14:textFill>
        </w:rPr>
        <w:t>0污染影响型评价工作等级划分表</w:t>
      </w:r>
    </w:p>
    <w:tbl>
      <w:tblPr>
        <w:tblStyle w:val="88"/>
        <w:tblW w:w="8523" w:type="dxa"/>
        <w:jc w:val="center"/>
        <w:tblLayout w:type="fixed"/>
        <w:tblCellMar>
          <w:top w:w="0" w:type="dxa"/>
          <w:left w:w="108" w:type="dxa"/>
          <w:bottom w:w="0" w:type="dxa"/>
          <w:right w:w="108" w:type="dxa"/>
        </w:tblCellMar>
      </w:tblPr>
      <w:tblGrid>
        <w:gridCol w:w="2081"/>
        <w:gridCol w:w="716"/>
        <w:gridCol w:w="716"/>
        <w:gridCol w:w="716"/>
        <w:gridCol w:w="716"/>
        <w:gridCol w:w="716"/>
        <w:gridCol w:w="716"/>
        <w:gridCol w:w="716"/>
        <w:gridCol w:w="716"/>
        <w:gridCol w:w="714"/>
      </w:tblGrid>
      <w:tr w14:paraId="61FD8831">
        <w:tblPrEx>
          <w:tblCellMar>
            <w:top w:w="0" w:type="dxa"/>
            <w:left w:w="108" w:type="dxa"/>
            <w:bottom w:w="0" w:type="dxa"/>
            <w:right w:w="108" w:type="dxa"/>
          </w:tblCellMar>
        </w:tblPrEx>
        <w:trPr>
          <w:trHeight w:val="340" w:hRule="atLeast"/>
          <w:jc w:val="center"/>
        </w:trPr>
        <w:tc>
          <w:tcPr>
            <w:tcW w:w="2081" w:type="dxa"/>
            <w:vMerge w:val="restart"/>
            <w:tcBorders>
              <w:top w:val="single" w:color="auto" w:sz="12" w:space="0"/>
              <w:right w:val="single" w:color="auto" w:sz="4" w:space="0"/>
            </w:tcBorders>
            <w:noWrap/>
            <w:vAlign w:val="bottom"/>
          </w:tcPr>
          <w:p w14:paraId="5F36A08A">
            <w:pPr>
              <w:spacing w:line="276" w:lineRule="auto"/>
              <w:jc w:val="right"/>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占地面积</w:t>
            </w:r>
          </w:p>
          <w:p w14:paraId="756C4467">
            <w:pPr>
              <w:spacing w:line="276" w:lineRule="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评价工作等级</w:t>
            </w:r>
          </w:p>
          <w:p w14:paraId="7A036AB8">
            <w:pPr>
              <w:spacing w:line="276" w:lineRule="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敏感程度</w:t>
            </w:r>
          </w:p>
        </w:tc>
        <w:tc>
          <w:tcPr>
            <w:tcW w:w="2148" w:type="dxa"/>
            <w:gridSpan w:val="3"/>
            <w:tcBorders>
              <w:top w:val="single" w:color="auto" w:sz="12" w:space="0"/>
              <w:left w:val="nil"/>
              <w:bottom w:val="single" w:color="auto" w:sz="4" w:space="0"/>
              <w:right w:val="single" w:color="000000" w:sz="4" w:space="0"/>
            </w:tcBorders>
            <w:noWrap/>
            <w:vAlign w:val="center"/>
          </w:tcPr>
          <w:p w14:paraId="1392D871">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Ⅰ类项目</w:t>
            </w:r>
          </w:p>
        </w:tc>
        <w:tc>
          <w:tcPr>
            <w:tcW w:w="2148" w:type="dxa"/>
            <w:gridSpan w:val="3"/>
            <w:tcBorders>
              <w:top w:val="single" w:color="auto" w:sz="12" w:space="0"/>
              <w:left w:val="nil"/>
              <w:bottom w:val="single" w:color="auto" w:sz="4" w:space="0"/>
              <w:right w:val="single" w:color="000000" w:sz="4" w:space="0"/>
            </w:tcBorders>
            <w:noWrap/>
            <w:vAlign w:val="center"/>
          </w:tcPr>
          <w:p w14:paraId="732C524B">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Ⅱ类项目</w:t>
            </w:r>
          </w:p>
        </w:tc>
        <w:tc>
          <w:tcPr>
            <w:tcW w:w="2146" w:type="dxa"/>
            <w:gridSpan w:val="3"/>
            <w:tcBorders>
              <w:top w:val="single" w:color="auto" w:sz="12" w:space="0"/>
              <w:left w:val="nil"/>
              <w:bottom w:val="single" w:color="auto" w:sz="4" w:space="0"/>
            </w:tcBorders>
            <w:noWrap/>
            <w:vAlign w:val="center"/>
          </w:tcPr>
          <w:p w14:paraId="18C5E61F">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Ⅲ类项目</w:t>
            </w:r>
          </w:p>
        </w:tc>
      </w:tr>
      <w:tr w14:paraId="0059FFE0">
        <w:tblPrEx>
          <w:tblCellMar>
            <w:top w:w="0" w:type="dxa"/>
            <w:left w:w="108" w:type="dxa"/>
            <w:bottom w:w="0" w:type="dxa"/>
            <w:right w:w="108" w:type="dxa"/>
          </w:tblCellMar>
        </w:tblPrEx>
        <w:trPr>
          <w:trHeight w:val="340" w:hRule="atLeast"/>
          <w:jc w:val="center"/>
        </w:trPr>
        <w:tc>
          <w:tcPr>
            <w:tcW w:w="2081" w:type="dxa"/>
            <w:vMerge w:val="continue"/>
            <w:tcBorders>
              <w:bottom w:val="single" w:color="auto" w:sz="4" w:space="0"/>
              <w:right w:val="single" w:color="auto" w:sz="4" w:space="0"/>
            </w:tcBorders>
            <w:noWrap/>
            <w:vAlign w:val="bottom"/>
          </w:tcPr>
          <w:p w14:paraId="2D602727">
            <w:pPr>
              <w:spacing w:line="276" w:lineRule="auto"/>
              <w:rPr>
                <w:rFonts w:hint="default" w:ascii="Times New Roman" w:hAnsi="Times New Roman" w:cs="Times New Roman"/>
                <w:color w:val="000000" w:themeColor="text1"/>
                <w:sz w:val="21"/>
                <w:szCs w:val="21"/>
                <w14:textFill>
                  <w14:solidFill>
                    <w14:schemeClr w14:val="tx1"/>
                  </w14:solidFill>
                </w14:textFill>
              </w:rPr>
            </w:pPr>
          </w:p>
        </w:tc>
        <w:tc>
          <w:tcPr>
            <w:tcW w:w="716" w:type="dxa"/>
            <w:tcBorders>
              <w:top w:val="nil"/>
              <w:left w:val="nil"/>
              <w:bottom w:val="single" w:color="auto" w:sz="4" w:space="0"/>
              <w:right w:val="single" w:color="auto" w:sz="4" w:space="0"/>
            </w:tcBorders>
            <w:noWrap/>
            <w:vAlign w:val="center"/>
          </w:tcPr>
          <w:p w14:paraId="75E35C7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大</w:t>
            </w:r>
          </w:p>
        </w:tc>
        <w:tc>
          <w:tcPr>
            <w:tcW w:w="716" w:type="dxa"/>
            <w:tcBorders>
              <w:top w:val="nil"/>
              <w:left w:val="nil"/>
              <w:bottom w:val="single" w:color="auto" w:sz="4" w:space="0"/>
              <w:right w:val="single" w:color="auto" w:sz="4" w:space="0"/>
            </w:tcBorders>
            <w:noWrap/>
            <w:vAlign w:val="center"/>
          </w:tcPr>
          <w:p w14:paraId="249E6C5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中</w:t>
            </w:r>
          </w:p>
        </w:tc>
        <w:tc>
          <w:tcPr>
            <w:tcW w:w="716" w:type="dxa"/>
            <w:tcBorders>
              <w:top w:val="nil"/>
              <w:left w:val="nil"/>
              <w:bottom w:val="single" w:color="auto" w:sz="4" w:space="0"/>
              <w:right w:val="single" w:color="auto" w:sz="4" w:space="0"/>
            </w:tcBorders>
            <w:noWrap/>
            <w:vAlign w:val="center"/>
          </w:tcPr>
          <w:p w14:paraId="1BD5973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小</w:t>
            </w:r>
          </w:p>
        </w:tc>
        <w:tc>
          <w:tcPr>
            <w:tcW w:w="716" w:type="dxa"/>
            <w:tcBorders>
              <w:top w:val="nil"/>
              <w:left w:val="nil"/>
              <w:bottom w:val="single" w:color="auto" w:sz="4" w:space="0"/>
              <w:right w:val="single" w:color="auto" w:sz="4" w:space="0"/>
            </w:tcBorders>
            <w:noWrap/>
            <w:vAlign w:val="center"/>
          </w:tcPr>
          <w:p w14:paraId="66E8DE6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大</w:t>
            </w:r>
          </w:p>
        </w:tc>
        <w:tc>
          <w:tcPr>
            <w:tcW w:w="716" w:type="dxa"/>
            <w:tcBorders>
              <w:top w:val="nil"/>
              <w:left w:val="nil"/>
              <w:bottom w:val="single" w:color="auto" w:sz="4" w:space="0"/>
              <w:right w:val="single" w:color="auto" w:sz="4" w:space="0"/>
            </w:tcBorders>
            <w:noWrap/>
            <w:vAlign w:val="center"/>
          </w:tcPr>
          <w:p w14:paraId="30C3A39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中</w:t>
            </w:r>
          </w:p>
        </w:tc>
        <w:tc>
          <w:tcPr>
            <w:tcW w:w="716" w:type="dxa"/>
            <w:tcBorders>
              <w:top w:val="nil"/>
              <w:left w:val="nil"/>
              <w:bottom w:val="single" w:color="auto" w:sz="4" w:space="0"/>
              <w:right w:val="single" w:color="auto" w:sz="4" w:space="0"/>
            </w:tcBorders>
            <w:noWrap/>
            <w:vAlign w:val="center"/>
          </w:tcPr>
          <w:p w14:paraId="3CFF16F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小</w:t>
            </w:r>
          </w:p>
        </w:tc>
        <w:tc>
          <w:tcPr>
            <w:tcW w:w="716" w:type="dxa"/>
            <w:tcBorders>
              <w:top w:val="nil"/>
              <w:left w:val="nil"/>
              <w:bottom w:val="single" w:color="auto" w:sz="4" w:space="0"/>
              <w:right w:val="single" w:color="auto" w:sz="4" w:space="0"/>
            </w:tcBorders>
            <w:noWrap/>
            <w:vAlign w:val="center"/>
          </w:tcPr>
          <w:p w14:paraId="780988D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大</w:t>
            </w:r>
          </w:p>
        </w:tc>
        <w:tc>
          <w:tcPr>
            <w:tcW w:w="716" w:type="dxa"/>
            <w:tcBorders>
              <w:top w:val="nil"/>
              <w:left w:val="nil"/>
              <w:bottom w:val="single" w:color="auto" w:sz="4" w:space="0"/>
              <w:right w:val="single" w:color="auto" w:sz="4" w:space="0"/>
            </w:tcBorders>
            <w:noWrap/>
            <w:vAlign w:val="center"/>
          </w:tcPr>
          <w:p w14:paraId="2508D4B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中</w:t>
            </w:r>
          </w:p>
        </w:tc>
        <w:tc>
          <w:tcPr>
            <w:tcW w:w="714" w:type="dxa"/>
            <w:tcBorders>
              <w:top w:val="nil"/>
              <w:left w:val="nil"/>
              <w:bottom w:val="single" w:color="auto" w:sz="4" w:space="0"/>
            </w:tcBorders>
            <w:noWrap/>
            <w:vAlign w:val="center"/>
          </w:tcPr>
          <w:p w14:paraId="42D654C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小</w:t>
            </w:r>
          </w:p>
        </w:tc>
      </w:tr>
      <w:tr w14:paraId="683D1CB2">
        <w:tblPrEx>
          <w:tblCellMar>
            <w:top w:w="0" w:type="dxa"/>
            <w:left w:w="108" w:type="dxa"/>
            <w:bottom w:w="0" w:type="dxa"/>
            <w:right w:w="108" w:type="dxa"/>
          </w:tblCellMar>
        </w:tblPrEx>
        <w:trPr>
          <w:trHeight w:val="340" w:hRule="atLeast"/>
          <w:jc w:val="center"/>
        </w:trPr>
        <w:tc>
          <w:tcPr>
            <w:tcW w:w="2081" w:type="dxa"/>
            <w:tcBorders>
              <w:top w:val="nil"/>
              <w:bottom w:val="single" w:color="auto" w:sz="4" w:space="0"/>
              <w:right w:val="single" w:color="auto" w:sz="4" w:space="0"/>
            </w:tcBorders>
            <w:noWrap/>
            <w:vAlign w:val="bottom"/>
          </w:tcPr>
          <w:p w14:paraId="2C50300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敏感</w:t>
            </w:r>
          </w:p>
        </w:tc>
        <w:tc>
          <w:tcPr>
            <w:tcW w:w="716" w:type="dxa"/>
            <w:tcBorders>
              <w:top w:val="nil"/>
              <w:left w:val="nil"/>
              <w:bottom w:val="single" w:color="auto" w:sz="4" w:space="0"/>
              <w:right w:val="single" w:color="auto" w:sz="4" w:space="0"/>
            </w:tcBorders>
            <w:noWrap/>
            <w:vAlign w:val="center"/>
          </w:tcPr>
          <w:p w14:paraId="1102A86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一级</w:t>
            </w:r>
          </w:p>
        </w:tc>
        <w:tc>
          <w:tcPr>
            <w:tcW w:w="716" w:type="dxa"/>
            <w:tcBorders>
              <w:top w:val="nil"/>
              <w:left w:val="nil"/>
              <w:bottom w:val="single" w:color="auto" w:sz="4" w:space="0"/>
              <w:right w:val="single" w:color="auto" w:sz="4" w:space="0"/>
            </w:tcBorders>
            <w:shd w:val="clear" w:color="auto" w:fill="auto"/>
            <w:noWrap/>
            <w:vAlign w:val="center"/>
          </w:tcPr>
          <w:p w14:paraId="5445A8B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一级</w:t>
            </w:r>
          </w:p>
        </w:tc>
        <w:tc>
          <w:tcPr>
            <w:tcW w:w="716" w:type="dxa"/>
            <w:tcBorders>
              <w:top w:val="single" w:color="auto" w:sz="4" w:space="0"/>
              <w:left w:val="nil"/>
              <w:bottom w:val="single" w:color="auto" w:sz="4" w:space="0"/>
              <w:right w:val="single" w:color="auto" w:sz="4" w:space="0"/>
            </w:tcBorders>
            <w:shd w:val="clear" w:color="auto" w:fill="auto"/>
            <w:noWrap/>
            <w:vAlign w:val="center"/>
          </w:tcPr>
          <w:p w14:paraId="00841D6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一级</w:t>
            </w:r>
          </w:p>
        </w:tc>
        <w:tc>
          <w:tcPr>
            <w:tcW w:w="716" w:type="dxa"/>
            <w:tcBorders>
              <w:top w:val="nil"/>
              <w:left w:val="nil"/>
              <w:bottom w:val="single" w:color="auto" w:sz="4" w:space="0"/>
              <w:right w:val="single" w:color="auto" w:sz="4" w:space="0"/>
            </w:tcBorders>
            <w:noWrap/>
            <w:vAlign w:val="center"/>
          </w:tcPr>
          <w:p w14:paraId="22AE1F2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二级</w:t>
            </w:r>
          </w:p>
        </w:tc>
        <w:tc>
          <w:tcPr>
            <w:tcW w:w="716" w:type="dxa"/>
            <w:tcBorders>
              <w:top w:val="nil"/>
              <w:left w:val="nil"/>
              <w:bottom w:val="single" w:color="auto" w:sz="4" w:space="0"/>
              <w:right w:val="single" w:color="auto" w:sz="4" w:space="0"/>
            </w:tcBorders>
            <w:noWrap/>
            <w:vAlign w:val="center"/>
          </w:tcPr>
          <w:p w14:paraId="58C1CAB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二级</w:t>
            </w:r>
          </w:p>
        </w:tc>
        <w:tc>
          <w:tcPr>
            <w:tcW w:w="716" w:type="dxa"/>
            <w:tcBorders>
              <w:top w:val="nil"/>
              <w:left w:val="nil"/>
              <w:bottom w:val="single" w:color="auto" w:sz="4" w:space="0"/>
              <w:right w:val="single" w:color="auto" w:sz="4" w:space="0"/>
            </w:tcBorders>
            <w:noWrap/>
            <w:vAlign w:val="center"/>
          </w:tcPr>
          <w:p w14:paraId="12F5E54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二级</w:t>
            </w:r>
          </w:p>
        </w:tc>
        <w:tc>
          <w:tcPr>
            <w:tcW w:w="716" w:type="dxa"/>
            <w:tcBorders>
              <w:top w:val="nil"/>
              <w:left w:val="nil"/>
              <w:bottom w:val="single" w:color="auto" w:sz="4" w:space="0"/>
              <w:right w:val="single" w:color="auto" w:sz="4" w:space="0"/>
            </w:tcBorders>
            <w:noWrap/>
            <w:vAlign w:val="center"/>
          </w:tcPr>
          <w:p w14:paraId="292BAD4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三级</w:t>
            </w:r>
          </w:p>
        </w:tc>
        <w:tc>
          <w:tcPr>
            <w:tcW w:w="716" w:type="dxa"/>
            <w:tcBorders>
              <w:top w:val="single" w:color="auto" w:sz="4" w:space="0"/>
              <w:left w:val="nil"/>
              <w:bottom w:val="single" w:color="auto" w:sz="4" w:space="0"/>
              <w:right w:val="single" w:color="auto" w:sz="4" w:space="0"/>
            </w:tcBorders>
            <w:shd w:val="clear" w:color="auto" w:fill="FFFFFF"/>
            <w:noWrap/>
            <w:vAlign w:val="center"/>
          </w:tcPr>
          <w:p w14:paraId="03CD9F4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三级</w:t>
            </w:r>
          </w:p>
        </w:tc>
        <w:tc>
          <w:tcPr>
            <w:tcW w:w="714" w:type="dxa"/>
            <w:tcBorders>
              <w:top w:val="single" w:color="auto" w:sz="4" w:space="0"/>
              <w:left w:val="nil"/>
              <w:bottom w:val="single" w:color="auto" w:sz="4" w:space="0"/>
            </w:tcBorders>
            <w:shd w:val="clear" w:color="auto" w:fill="BEBEBE" w:themeFill="background1" w:themeFillShade="BF"/>
            <w:noWrap/>
            <w:vAlign w:val="center"/>
          </w:tcPr>
          <w:p w14:paraId="71F9768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三级</w:t>
            </w:r>
          </w:p>
        </w:tc>
      </w:tr>
      <w:tr w14:paraId="77577961">
        <w:tblPrEx>
          <w:tblCellMar>
            <w:top w:w="0" w:type="dxa"/>
            <w:left w:w="108" w:type="dxa"/>
            <w:bottom w:w="0" w:type="dxa"/>
            <w:right w:w="108" w:type="dxa"/>
          </w:tblCellMar>
        </w:tblPrEx>
        <w:trPr>
          <w:trHeight w:val="340" w:hRule="atLeast"/>
          <w:jc w:val="center"/>
        </w:trPr>
        <w:tc>
          <w:tcPr>
            <w:tcW w:w="2081" w:type="dxa"/>
            <w:tcBorders>
              <w:top w:val="nil"/>
              <w:bottom w:val="single" w:color="auto" w:sz="4" w:space="0"/>
              <w:right w:val="single" w:color="auto" w:sz="4" w:space="0"/>
            </w:tcBorders>
            <w:noWrap/>
            <w:vAlign w:val="bottom"/>
          </w:tcPr>
          <w:p w14:paraId="1FBBC7B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较敏感</w:t>
            </w:r>
          </w:p>
        </w:tc>
        <w:tc>
          <w:tcPr>
            <w:tcW w:w="716" w:type="dxa"/>
            <w:tcBorders>
              <w:top w:val="nil"/>
              <w:left w:val="nil"/>
              <w:bottom w:val="single" w:color="auto" w:sz="4" w:space="0"/>
              <w:right w:val="single" w:color="auto" w:sz="4" w:space="0"/>
            </w:tcBorders>
            <w:noWrap/>
            <w:vAlign w:val="center"/>
          </w:tcPr>
          <w:p w14:paraId="2C0390F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一级</w:t>
            </w:r>
          </w:p>
        </w:tc>
        <w:tc>
          <w:tcPr>
            <w:tcW w:w="716" w:type="dxa"/>
            <w:tcBorders>
              <w:top w:val="nil"/>
              <w:left w:val="nil"/>
              <w:bottom w:val="single" w:color="auto" w:sz="4" w:space="0"/>
              <w:right w:val="single" w:color="auto" w:sz="4" w:space="0"/>
            </w:tcBorders>
            <w:noWrap/>
            <w:vAlign w:val="center"/>
          </w:tcPr>
          <w:p w14:paraId="320ADA4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一级</w:t>
            </w:r>
          </w:p>
        </w:tc>
        <w:tc>
          <w:tcPr>
            <w:tcW w:w="716" w:type="dxa"/>
            <w:tcBorders>
              <w:top w:val="nil"/>
              <w:left w:val="nil"/>
              <w:bottom w:val="single" w:color="auto" w:sz="4" w:space="0"/>
              <w:right w:val="single" w:color="auto" w:sz="4" w:space="0"/>
            </w:tcBorders>
            <w:noWrap/>
            <w:vAlign w:val="center"/>
          </w:tcPr>
          <w:p w14:paraId="67CB4FD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二级</w:t>
            </w:r>
          </w:p>
        </w:tc>
        <w:tc>
          <w:tcPr>
            <w:tcW w:w="716" w:type="dxa"/>
            <w:tcBorders>
              <w:top w:val="nil"/>
              <w:left w:val="nil"/>
              <w:bottom w:val="single" w:color="auto" w:sz="4" w:space="0"/>
              <w:right w:val="single" w:color="auto" w:sz="4" w:space="0"/>
            </w:tcBorders>
            <w:noWrap/>
            <w:vAlign w:val="center"/>
          </w:tcPr>
          <w:p w14:paraId="794CB05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二级</w:t>
            </w:r>
          </w:p>
        </w:tc>
        <w:tc>
          <w:tcPr>
            <w:tcW w:w="716" w:type="dxa"/>
            <w:tcBorders>
              <w:top w:val="nil"/>
              <w:left w:val="nil"/>
              <w:bottom w:val="single" w:color="auto" w:sz="4" w:space="0"/>
              <w:right w:val="single" w:color="auto" w:sz="4" w:space="0"/>
            </w:tcBorders>
            <w:noWrap/>
            <w:vAlign w:val="center"/>
          </w:tcPr>
          <w:p w14:paraId="7772519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二级</w:t>
            </w:r>
          </w:p>
        </w:tc>
        <w:tc>
          <w:tcPr>
            <w:tcW w:w="716" w:type="dxa"/>
            <w:tcBorders>
              <w:top w:val="nil"/>
              <w:left w:val="nil"/>
              <w:bottom w:val="single" w:color="auto" w:sz="4" w:space="0"/>
              <w:right w:val="single" w:color="auto" w:sz="4" w:space="0"/>
            </w:tcBorders>
            <w:noWrap/>
            <w:vAlign w:val="center"/>
          </w:tcPr>
          <w:p w14:paraId="620741E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三级</w:t>
            </w:r>
          </w:p>
        </w:tc>
        <w:tc>
          <w:tcPr>
            <w:tcW w:w="716" w:type="dxa"/>
            <w:tcBorders>
              <w:top w:val="nil"/>
              <w:left w:val="nil"/>
              <w:bottom w:val="single" w:color="auto" w:sz="4" w:space="0"/>
              <w:right w:val="single" w:color="auto" w:sz="4" w:space="0"/>
            </w:tcBorders>
            <w:noWrap/>
            <w:vAlign w:val="center"/>
          </w:tcPr>
          <w:p w14:paraId="2D7A5A7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三级</w:t>
            </w:r>
          </w:p>
        </w:tc>
        <w:tc>
          <w:tcPr>
            <w:tcW w:w="716" w:type="dxa"/>
            <w:tcBorders>
              <w:top w:val="nil"/>
              <w:left w:val="nil"/>
              <w:bottom w:val="single" w:color="auto" w:sz="4" w:space="0"/>
              <w:right w:val="single" w:color="auto" w:sz="4" w:space="0"/>
            </w:tcBorders>
            <w:noWrap/>
            <w:vAlign w:val="center"/>
          </w:tcPr>
          <w:p w14:paraId="71CCDD9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三级</w:t>
            </w:r>
          </w:p>
        </w:tc>
        <w:tc>
          <w:tcPr>
            <w:tcW w:w="714" w:type="dxa"/>
            <w:tcBorders>
              <w:top w:val="nil"/>
              <w:left w:val="nil"/>
              <w:bottom w:val="single" w:color="auto" w:sz="4" w:space="0"/>
            </w:tcBorders>
            <w:noWrap/>
            <w:vAlign w:val="center"/>
          </w:tcPr>
          <w:p w14:paraId="69E911E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1C88F9B1">
        <w:tblPrEx>
          <w:tblCellMar>
            <w:top w:w="0" w:type="dxa"/>
            <w:left w:w="108" w:type="dxa"/>
            <w:bottom w:w="0" w:type="dxa"/>
            <w:right w:w="108" w:type="dxa"/>
          </w:tblCellMar>
        </w:tblPrEx>
        <w:trPr>
          <w:trHeight w:val="340" w:hRule="atLeast"/>
          <w:jc w:val="center"/>
        </w:trPr>
        <w:tc>
          <w:tcPr>
            <w:tcW w:w="2081" w:type="dxa"/>
            <w:tcBorders>
              <w:top w:val="nil"/>
              <w:bottom w:val="single" w:color="auto" w:sz="4" w:space="0"/>
              <w:right w:val="single" w:color="auto" w:sz="4" w:space="0"/>
            </w:tcBorders>
            <w:noWrap/>
            <w:vAlign w:val="bottom"/>
          </w:tcPr>
          <w:p w14:paraId="3B45B91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不敏感</w:t>
            </w:r>
          </w:p>
        </w:tc>
        <w:tc>
          <w:tcPr>
            <w:tcW w:w="716" w:type="dxa"/>
            <w:tcBorders>
              <w:top w:val="nil"/>
              <w:left w:val="nil"/>
              <w:bottom w:val="single" w:color="auto" w:sz="4" w:space="0"/>
              <w:right w:val="single" w:color="auto" w:sz="4" w:space="0"/>
            </w:tcBorders>
            <w:noWrap/>
            <w:vAlign w:val="center"/>
          </w:tcPr>
          <w:p w14:paraId="03226FB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一级</w:t>
            </w:r>
          </w:p>
        </w:tc>
        <w:tc>
          <w:tcPr>
            <w:tcW w:w="716" w:type="dxa"/>
            <w:tcBorders>
              <w:top w:val="nil"/>
              <w:left w:val="nil"/>
              <w:bottom w:val="single" w:color="auto" w:sz="4" w:space="0"/>
              <w:right w:val="single" w:color="auto" w:sz="4" w:space="0"/>
            </w:tcBorders>
            <w:shd w:val="clear" w:color="auto" w:fill="auto"/>
            <w:noWrap/>
            <w:vAlign w:val="center"/>
          </w:tcPr>
          <w:p w14:paraId="72AB443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二级</w:t>
            </w:r>
          </w:p>
        </w:tc>
        <w:tc>
          <w:tcPr>
            <w:tcW w:w="716" w:type="dxa"/>
            <w:tcBorders>
              <w:top w:val="single" w:color="auto" w:sz="4" w:space="0"/>
              <w:left w:val="nil"/>
              <w:bottom w:val="single" w:color="auto" w:sz="4" w:space="0"/>
              <w:right w:val="single" w:color="auto" w:sz="4" w:space="0"/>
            </w:tcBorders>
            <w:shd w:val="clear" w:color="auto" w:fill="auto"/>
            <w:noWrap/>
            <w:vAlign w:val="center"/>
          </w:tcPr>
          <w:p w14:paraId="55B356A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二级</w:t>
            </w:r>
          </w:p>
        </w:tc>
        <w:tc>
          <w:tcPr>
            <w:tcW w:w="716" w:type="dxa"/>
            <w:tcBorders>
              <w:top w:val="nil"/>
              <w:left w:val="nil"/>
              <w:bottom w:val="single" w:color="auto" w:sz="4" w:space="0"/>
              <w:right w:val="single" w:color="auto" w:sz="4" w:space="0"/>
            </w:tcBorders>
            <w:noWrap/>
            <w:vAlign w:val="center"/>
          </w:tcPr>
          <w:p w14:paraId="7A8AD8F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二级</w:t>
            </w:r>
          </w:p>
        </w:tc>
        <w:tc>
          <w:tcPr>
            <w:tcW w:w="716" w:type="dxa"/>
            <w:tcBorders>
              <w:top w:val="single" w:color="auto" w:sz="4" w:space="0"/>
              <w:left w:val="nil"/>
              <w:bottom w:val="single" w:color="auto" w:sz="4" w:space="0"/>
              <w:right w:val="single" w:color="auto" w:sz="4" w:space="0"/>
            </w:tcBorders>
            <w:shd w:val="clear" w:color="auto" w:fill="FFFFFF"/>
            <w:noWrap/>
            <w:vAlign w:val="center"/>
          </w:tcPr>
          <w:p w14:paraId="4AA884B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三级</w:t>
            </w:r>
          </w:p>
        </w:tc>
        <w:tc>
          <w:tcPr>
            <w:tcW w:w="716" w:type="dxa"/>
            <w:tcBorders>
              <w:top w:val="single" w:color="auto" w:sz="4" w:space="0"/>
              <w:left w:val="nil"/>
              <w:bottom w:val="single" w:color="auto" w:sz="4" w:space="0"/>
              <w:right w:val="single" w:color="auto" w:sz="4" w:space="0"/>
            </w:tcBorders>
            <w:shd w:val="clear" w:color="auto" w:fill="FFFFFF"/>
            <w:noWrap/>
            <w:vAlign w:val="center"/>
          </w:tcPr>
          <w:p w14:paraId="0B8D354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三级</w:t>
            </w:r>
          </w:p>
        </w:tc>
        <w:tc>
          <w:tcPr>
            <w:tcW w:w="716" w:type="dxa"/>
            <w:tcBorders>
              <w:top w:val="nil"/>
              <w:left w:val="nil"/>
              <w:bottom w:val="single" w:color="auto" w:sz="4" w:space="0"/>
              <w:right w:val="single" w:color="auto" w:sz="4" w:space="0"/>
            </w:tcBorders>
            <w:noWrap/>
            <w:vAlign w:val="center"/>
          </w:tcPr>
          <w:p w14:paraId="6AEA45B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三级</w:t>
            </w:r>
          </w:p>
        </w:tc>
        <w:tc>
          <w:tcPr>
            <w:tcW w:w="716" w:type="dxa"/>
            <w:tcBorders>
              <w:top w:val="nil"/>
              <w:left w:val="nil"/>
              <w:bottom w:val="single" w:color="auto" w:sz="4" w:space="0"/>
              <w:right w:val="single" w:color="auto" w:sz="4" w:space="0"/>
            </w:tcBorders>
            <w:noWrap/>
            <w:vAlign w:val="center"/>
          </w:tcPr>
          <w:p w14:paraId="3B88088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714" w:type="dxa"/>
            <w:tcBorders>
              <w:top w:val="nil"/>
              <w:left w:val="nil"/>
              <w:bottom w:val="single" w:color="auto" w:sz="4" w:space="0"/>
            </w:tcBorders>
            <w:noWrap/>
            <w:vAlign w:val="center"/>
          </w:tcPr>
          <w:p w14:paraId="578AD96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501D68EF">
        <w:tblPrEx>
          <w:tblCellMar>
            <w:top w:w="0" w:type="dxa"/>
            <w:left w:w="108" w:type="dxa"/>
            <w:bottom w:w="0" w:type="dxa"/>
            <w:right w:w="108" w:type="dxa"/>
          </w:tblCellMar>
        </w:tblPrEx>
        <w:trPr>
          <w:trHeight w:val="288" w:hRule="atLeast"/>
          <w:jc w:val="center"/>
        </w:trPr>
        <w:tc>
          <w:tcPr>
            <w:tcW w:w="8523" w:type="dxa"/>
            <w:gridSpan w:val="10"/>
            <w:tcBorders>
              <w:top w:val="nil"/>
              <w:bottom w:val="single" w:color="auto" w:sz="12" w:space="0"/>
            </w:tcBorders>
            <w:noWrap/>
            <w:vAlign w:val="bottom"/>
          </w:tcPr>
          <w:p w14:paraId="14E4732E">
            <w:pPr>
              <w:spacing w:line="276"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注：“-”表示可不开展土壤环境影响评价工作。</w:t>
            </w:r>
          </w:p>
        </w:tc>
      </w:tr>
    </w:tbl>
    <w:p w14:paraId="594E562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本项目为</w:t>
      </w:r>
      <w:r>
        <w:rPr>
          <w:rFonts w:hint="default" w:ascii="Times New Roman" w:hAnsi="Times New Roman" w:cs="Times New Roman"/>
          <w:color w:val="000000" w:themeColor="text1"/>
          <w14:textFill>
            <w14:solidFill>
              <w14:schemeClr w14:val="tx1"/>
            </w14:solidFill>
          </w14:textFill>
        </w:rPr>
        <w:fldChar w:fldCharType="begin"/>
      </w:r>
      <w:r>
        <w:rPr>
          <w:rFonts w:hint="default" w:ascii="Times New Roman" w:hAnsi="Times New Roman" w:cs="Times New Roman"/>
          <w:color w:val="000000" w:themeColor="text1"/>
          <w14:textFill>
            <w14:solidFill>
              <w14:schemeClr w14:val="tx1"/>
            </w14:solidFill>
          </w14:textFill>
        </w:rPr>
        <w:instrText xml:space="preserve"> = 3 \* ROMAN \* MERGEFORMAT </w:instrText>
      </w:r>
      <w:r>
        <w:rPr>
          <w:rFonts w:hint="default" w:ascii="Times New Roman" w:hAnsi="Times New Roman" w:cs="Times New Roman"/>
          <w:color w:val="000000" w:themeColor="text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III</w:t>
      </w:r>
      <w:r>
        <w:rPr>
          <w:rFonts w:hint="default" w:ascii="Times New Roman" w:hAnsi="Times New Roman" w:cs="Times New Roman"/>
          <w:color w:val="000000" w:themeColor="text1"/>
          <w14:textFill>
            <w14:solidFill>
              <w14:schemeClr w14:val="tx1"/>
            </w14:solidFill>
          </w14:textFill>
        </w:rPr>
        <w:fldChar w:fldCharType="end"/>
      </w:r>
      <w:r>
        <w:rPr>
          <w:rFonts w:hint="default" w:ascii="Times New Roman" w:hAnsi="Times New Roman" w:cs="Times New Roman"/>
          <w:color w:val="000000" w:themeColor="text1"/>
          <w14:textFill>
            <w14:solidFill>
              <w14:schemeClr w14:val="tx1"/>
            </w14:solidFill>
          </w14:textFill>
        </w:rPr>
        <w:t>类建设项目，项目占地面积为1.</w:t>
      </w:r>
      <w:r>
        <w:rPr>
          <w:rFonts w:hint="default"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hm</w:t>
      </w:r>
      <w:r>
        <w:rPr>
          <w:rFonts w:hint="default" w:ascii="Times New Roman" w:hAnsi="Times New Roman" w:cs="Times New Roman"/>
          <w:color w:val="000000" w:themeColor="text1"/>
          <w:vertAlign w:val="superscript"/>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，占地规模为小型，环境敏感程度为“敏感”，依据上表，本项目土壤评价等级为</w:t>
      </w:r>
      <w:r>
        <w:rPr>
          <w:rFonts w:hint="eastAsia" w:ascii="Times New Roman" w:hAnsi="Times New Roman" w:cs="Times New Roman"/>
          <w:color w:val="000000" w:themeColor="text1"/>
          <w:lang w:val="en-US" w:eastAsia="zh-CN"/>
          <w14:textFill>
            <w14:solidFill>
              <w14:schemeClr w14:val="tx1"/>
            </w14:solidFill>
          </w14:textFill>
        </w:rPr>
        <w:t>三级</w:t>
      </w:r>
      <w:r>
        <w:rPr>
          <w:rFonts w:hint="default" w:ascii="Times New Roman" w:hAnsi="Times New Roman" w:cs="Times New Roman"/>
          <w:color w:val="000000" w:themeColor="text1"/>
          <w14:textFill>
            <w14:solidFill>
              <w14:schemeClr w14:val="tx1"/>
            </w14:solidFill>
          </w14:textFill>
        </w:rPr>
        <w:t>。</w:t>
      </w:r>
    </w:p>
    <w:p w14:paraId="7532CB33">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34" w:name="_Toc173837625"/>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4</w:t>
      </w:r>
      <w:r>
        <w:rPr>
          <w:rFonts w:hint="default" w:ascii="Times New Roman" w:hAnsi="Times New Roman" w:eastAsia="黑体" w:cs="Times New Roman"/>
          <w:b w:val="0"/>
          <w:color w:val="000000" w:themeColor="text1"/>
          <w14:textFill>
            <w14:solidFill>
              <w14:schemeClr w14:val="tx1"/>
            </w14:solidFill>
          </w14:textFill>
        </w:rPr>
        <w:t>评价范围</w:t>
      </w:r>
      <w:bookmarkEnd w:id="34"/>
    </w:p>
    <w:p w14:paraId="06A8314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1、大气环境影响评价范围</w:t>
      </w:r>
    </w:p>
    <w:p w14:paraId="09E56963">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本项目评价工作等级为</w:t>
      </w:r>
      <w:r>
        <w:rPr>
          <w:rFonts w:hint="default" w:ascii="Times New Roman" w:hAnsi="Times New Roman" w:cs="Times New Roman"/>
          <w:color w:val="000000" w:themeColor="text1"/>
          <w:lang w:val="en-US" w:eastAsia="zh-CN"/>
          <w14:textFill>
            <w14:solidFill>
              <w14:schemeClr w14:val="tx1"/>
            </w14:solidFill>
          </w14:textFill>
        </w:rPr>
        <w:t>二</w:t>
      </w:r>
      <w:r>
        <w:rPr>
          <w:rFonts w:hint="default" w:ascii="Times New Roman" w:hAnsi="Times New Roman" w:cs="Times New Roman"/>
          <w:color w:val="000000" w:themeColor="text1"/>
          <w14:textFill>
            <w14:solidFill>
              <w14:schemeClr w14:val="tx1"/>
            </w14:solidFill>
          </w14:textFill>
        </w:rPr>
        <w:t>级，按《环境影响评价技术导则大气环境》（HJ2.2-2018）要求，确定本项目大气环境影响评价范围为以拟建项目厂址为中心区域，边长为5km的矩形区域。</w:t>
      </w:r>
    </w:p>
    <w:p w14:paraId="7ADEDA5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2、地表水环境影响评价范围</w:t>
      </w:r>
    </w:p>
    <w:p w14:paraId="288360A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本项目采取雨污分流；生活污水经化粪池处理后排入市政污水管网送至污水处理厂进行处理；冷却水循环使用，</w:t>
      </w:r>
      <w:r>
        <w:rPr>
          <w:rFonts w:hint="eastAsia" w:cs="Times New Roman"/>
          <w:color w:val="000000" w:themeColor="text1"/>
          <w:sz w:val="24"/>
          <w:lang w:eastAsia="zh-CN"/>
          <w14:textFill>
            <w14:solidFill>
              <w14:schemeClr w14:val="tx1"/>
            </w14:solidFill>
          </w14:textFill>
        </w:rPr>
        <w:t>定期外排水用于物料清洗；</w:t>
      </w:r>
      <w:r>
        <w:rPr>
          <w:rFonts w:hint="default" w:ascii="Times New Roman" w:hAnsi="Times New Roman" w:cs="Times New Roman"/>
          <w:color w:val="000000" w:themeColor="text1"/>
          <w:sz w:val="24"/>
          <w14:textFill>
            <w14:solidFill>
              <w14:schemeClr w14:val="tx1"/>
            </w14:solidFill>
          </w14:textFill>
        </w:rPr>
        <w:t>瓶片清洗废水经厂区自建污水处理站处理后排入市政污水管网送至污水处理厂进行处理。</w:t>
      </w:r>
    </w:p>
    <w:p w14:paraId="3E0A4CD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根据《环境影响评价技术导则地表水环境》（HJ2.3-2018），本项目地表水评价等级为三级B，故本项目不划定地表水环境评价范围。</w:t>
      </w:r>
    </w:p>
    <w:p w14:paraId="2B9D0263">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3、声环境影响评价范围</w:t>
      </w:r>
    </w:p>
    <w:p w14:paraId="36B718B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根据《环境影响评价技术导则声环境》（HJ2.4-2021）中的有关规定，确定本项目声环境评价范围为</w:t>
      </w:r>
      <w:r>
        <w:rPr>
          <w:rFonts w:hint="default" w:ascii="Times New Roman" w:hAnsi="Times New Roman" w:cs="Times New Roman"/>
          <w:color w:val="000000" w:themeColor="text1"/>
          <w14:textFill>
            <w14:solidFill>
              <w14:schemeClr w14:val="tx1"/>
            </w14:solidFill>
          </w14:textFill>
        </w:rPr>
        <w:t>建设项目场区边界</w:t>
      </w:r>
      <w:r>
        <w:rPr>
          <w:rFonts w:hint="default" w:ascii="Times New Roman" w:hAnsi="Times New Roman" w:cs="Times New Roman"/>
          <w:color w:val="000000" w:themeColor="text1"/>
          <w14:textFill>
            <w14:solidFill>
              <w14:schemeClr w14:val="tx1"/>
            </w14:solidFill>
          </w14:textFill>
        </w:rPr>
        <w:t>。</w:t>
      </w:r>
    </w:p>
    <w:p w14:paraId="03429AA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4、地下水环境影响评价范围</w:t>
      </w:r>
    </w:p>
    <w:p w14:paraId="63F3D5D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本项目周边无明确的水文地质分界，因此本项目地下水环境影响评价范围以厂址为中心，</w:t>
      </w:r>
      <w:r>
        <w:rPr>
          <w:rFonts w:hint="default" w:ascii="Times New Roman" w:hAnsi="Times New Roman" w:cs="Times New Roman"/>
          <w:color w:val="000000" w:themeColor="text1"/>
          <w:lang w:val="en-US" w:eastAsia="zh-CN"/>
          <w14:textFill>
            <w14:solidFill>
              <w14:schemeClr w14:val="tx1"/>
            </w14:solidFill>
          </w14:textFill>
        </w:rPr>
        <w:t>6</w:t>
      </w:r>
      <w:r>
        <w:rPr>
          <w:rFonts w:hint="default" w:ascii="Times New Roman" w:hAnsi="Times New Roman" w:cs="Times New Roman"/>
          <w:color w:val="000000" w:themeColor="text1"/>
          <w14:textFill>
            <w14:solidFill>
              <w14:schemeClr w14:val="tx1"/>
            </w14:solidFill>
          </w14:textFill>
        </w:rPr>
        <w:t>km</w:t>
      </w:r>
      <w:r>
        <w:rPr>
          <w:rFonts w:hint="default" w:ascii="Times New Roman" w:hAnsi="Times New Roman" w:cs="Times New Roman"/>
          <w:color w:val="000000" w:themeColor="text1"/>
          <w:vertAlign w:val="superscript"/>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范围。</w:t>
      </w:r>
    </w:p>
    <w:p w14:paraId="71F4D6D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5、环境风险评价范围</w:t>
      </w:r>
    </w:p>
    <w:p w14:paraId="718C5FDD">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本项目大气环境风险评价等级为</w:t>
      </w:r>
      <w:r>
        <w:rPr>
          <w:rFonts w:hint="default" w:ascii="Times New Roman" w:hAnsi="Times New Roman" w:cs="Times New Roman"/>
          <w:color w:val="000000" w:themeColor="text1"/>
          <w:lang w:val="en-US" w:eastAsia="zh-CN"/>
          <w14:textFill>
            <w14:solidFill>
              <w14:schemeClr w14:val="tx1"/>
            </w14:solidFill>
          </w14:textFill>
        </w:rPr>
        <w:t>简单分析。</w:t>
      </w:r>
    </w:p>
    <w:p w14:paraId="01970C5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6、土壤环境</w:t>
      </w:r>
    </w:p>
    <w:p w14:paraId="7606FC8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本项目土壤环境评价等级为</w:t>
      </w:r>
      <w:r>
        <w:rPr>
          <w:rFonts w:hint="eastAsia" w:ascii="Times New Roman" w:hAnsi="Times New Roman" w:cs="Times New Roman"/>
          <w:color w:val="000000" w:themeColor="text1"/>
          <w:lang w:val="en-US" w:eastAsia="zh-CN"/>
          <w14:textFill>
            <w14:solidFill>
              <w14:schemeClr w14:val="tx1"/>
            </w14:solidFill>
          </w14:textFill>
        </w:rPr>
        <w:t>三级</w:t>
      </w:r>
      <w:r>
        <w:rPr>
          <w:rFonts w:hint="default" w:ascii="Times New Roman" w:hAnsi="Times New Roman" w:cs="Times New Roman"/>
          <w:color w:val="000000" w:themeColor="text1"/>
          <w14:textFill>
            <w14:solidFill>
              <w14:schemeClr w14:val="tx1"/>
            </w14:solidFill>
          </w14:textFill>
        </w:rPr>
        <w:t>，确定项目土壤环境评价范围为项目占地范围内及厂区占地范围外</w:t>
      </w:r>
      <w:r>
        <w:rPr>
          <w:rFonts w:hint="default" w:ascii="Times New Roman" w:hAnsi="Times New Roman" w:cs="Times New Roman"/>
          <w:color w:val="000000" w:themeColor="text1"/>
          <w:lang w:val="en-US" w:eastAsia="zh-CN"/>
          <w14:textFill>
            <w14:solidFill>
              <w14:schemeClr w14:val="tx1"/>
            </w14:solidFill>
          </w14:textFill>
        </w:rPr>
        <w:t>50</w:t>
      </w:r>
      <w:r>
        <w:rPr>
          <w:rFonts w:hint="default" w:ascii="Times New Roman" w:hAnsi="Times New Roman" w:cs="Times New Roman"/>
          <w:color w:val="000000" w:themeColor="text1"/>
          <w14:textFill>
            <w14:solidFill>
              <w14:schemeClr w14:val="tx1"/>
            </w14:solidFill>
          </w14:textFill>
        </w:rPr>
        <w:t>m的区域。</w:t>
      </w:r>
    </w:p>
    <w:p w14:paraId="727763EE">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35" w:name="_Toc173837627"/>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5</w:t>
      </w:r>
      <w:r>
        <w:rPr>
          <w:rFonts w:hint="default" w:ascii="Times New Roman" w:hAnsi="Times New Roman" w:eastAsia="黑体" w:cs="Times New Roman"/>
          <w:b w:val="0"/>
          <w:color w:val="000000" w:themeColor="text1"/>
          <w14:textFill>
            <w14:solidFill>
              <w14:schemeClr w14:val="tx1"/>
            </w14:solidFill>
          </w14:textFill>
        </w:rPr>
        <w:t>评价标准</w:t>
      </w:r>
      <w:bookmarkEnd w:id="35"/>
    </w:p>
    <w:p w14:paraId="49727BE5">
      <w:pPr>
        <w:pStyle w:val="3159"/>
        <w:rPr>
          <w:rFonts w:hint="default" w:ascii="Times New Roman" w:hAnsi="Times New Roman" w:eastAsia="黑体" w:cs="Times New Roman"/>
          <w:b w:val="0"/>
          <w:color w:val="000000" w:themeColor="text1"/>
          <w14:textFill>
            <w14:solidFill>
              <w14:schemeClr w14:val="tx1"/>
            </w14:solidFill>
          </w14:textFill>
        </w:rPr>
      </w:pPr>
      <w:bookmarkStart w:id="36" w:name="_Toc173837628"/>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5</w:t>
      </w:r>
      <w:r>
        <w:rPr>
          <w:rFonts w:hint="default" w:ascii="Times New Roman" w:hAnsi="Times New Roman" w:eastAsia="黑体" w:cs="Times New Roman"/>
          <w:b w:val="0"/>
          <w:color w:val="000000" w:themeColor="text1"/>
          <w14:textFill>
            <w14:solidFill>
              <w14:schemeClr w14:val="tx1"/>
            </w14:solidFill>
          </w14:textFill>
        </w:rPr>
        <w:t>.1环境质量评价标准</w:t>
      </w:r>
      <w:bookmarkEnd w:id="36"/>
    </w:p>
    <w:p w14:paraId="6D51633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1、环境空气质量标准</w:t>
      </w:r>
    </w:p>
    <w:p w14:paraId="58D069AF">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评价区域内SO</w:t>
      </w:r>
      <w:r>
        <w:rPr>
          <w:rFonts w:hint="default" w:ascii="Times New Roman" w:hAnsi="Times New Roman" w:cs="Times New Roman"/>
          <w:color w:val="000000" w:themeColor="text1"/>
          <w:vertAlign w:val="subscript"/>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、NO</w:t>
      </w:r>
      <w:r>
        <w:rPr>
          <w:rFonts w:hint="default" w:ascii="Times New Roman" w:hAnsi="Times New Roman" w:cs="Times New Roman"/>
          <w:color w:val="000000" w:themeColor="text1"/>
          <w:vertAlign w:val="subscript"/>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、PM</w:t>
      </w:r>
      <w:r>
        <w:rPr>
          <w:rFonts w:hint="default" w:ascii="Times New Roman" w:hAnsi="Times New Roman" w:cs="Times New Roman"/>
          <w:color w:val="000000" w:themeColor="text1"/>
          <w:vertAlign w:val="subscript"/>
          <w14:textFill>
            <w14:solidFill>
              <w14:schemeClr w14:val="tx1"/>
            </w14:solidFill>
          </w14:textFill>
        </w:rPr>
        <w:t>2.5</w:t>
      </w:r>
      <w:r>
        <w:rPr>
          <w:rFonts w:hint="default" w:ascii="Times New Roman" w:hAnsi="Times New Roman" w:cs="Times New Roman"/>
          <w:color w:val="000000" w:themeColor="text1"/>
          <w14:textFill>
            <w14:solidFill>
              <w14:schemeClr w14:val="tx1"/>
            </w14:solidFill>
          </w14:textFill>
        </w:rPr>
        <w:t>、PM</w:t>
      </w:r>
      <w:r>
        <w:rPr>
          <w:rFonts w:hint="default" w:ascii="Times New Roman" w:hAnsi="Times New Roman" w:cs="Times New Roman"/>
          <w:color w:val="000000" w:themeColor="text1"/>
          <w:vertAlign w:val="subscript"/>
          <w14:textFill>
            <w14:solidFill>
              <w14:schemeClr w14:val="tx1"/>
            </w14:solidFill>
          </w14:textFill>
        </w:rPr>
        <w:t>10</w:t>
      </w:r>
      <w:r>
        <w:rPr>
          <w:rFonts w:hint="default" w:ascii="Times New Roman" w:hAnsi="Times New Roman" w:cs="Times New Roman"/>
          <w:color w:val="000000" w:themeColor="text1"/>
          <w14:textFill>
            <w14:solidFill>
              <w14:schemeClr w14:val="tx1"/>
            </w14:solidFill>
          </w14:textFill>
        </w:rPr>
        <w:t>、CO、O</w:t>
      </w:r>
      <w:r>
        <w:rPr>
          <w:rFonts w:hint="default" w:ascii="Times New Roman" w:hAnsi="Times New Roman" w:cs="Times New Roman"/>
          <w:color w:val="000000" w:themeColor="text1"/>
          <w:vertAlign w:val="sub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、TSP执行《环境空气质量标准》（GB3095-2012）中二级标准及2018年修改单中要求；</w:t>
      </w:r>
      <w:r>
        <w:rPr>
          <w:rFonts w:hint="default" w:ascii="Times New Roman" w:hAnsi="Times New Roman" w:cs="Times New Roman"/>
          <w:color w:val="000000" w:themeColor="text1"/>
          <w:lang w:val="en-US" w:eastAsia="zh-CN"/>
          <w14:textFill>
            <w14:solidFill>
              <w14:schemeClr w14:val="tx1"/>
            </w14:solidFill>
          </w14:textFill>
        </w:rPr>
        <w:t>硫化氢</w:t>
      </w:r>
      <w:r>
        <w:rPr>
          <w:rFonts w:hint="default" w:ascii="Times New Roman" w:hAnsi="Times New Roman" w:cs="Times New Roman"/>
          <w:color w:val="000000" w:themeColor="text1"/>
          <w14:textFill>
            <w14:solidFill>
              <w14:schemeClr w14:val="tx1"/>
            </w14:solidFill>
          </w14:textFill>
        </w:rPr>
        <w:t>、氨执行《环境影响评价技术导则大气环境》（HJ2.2-2018）附录D中相关标准要求；非甲烷总烃执行《大气污染物综合排放标准详解》的标准。详见表2.</w:t>
      </w:r>
      <w:r>
        <w:rPr>
          <w:rFonts w:hint="eastAsia"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-1。</w:t>
      </w:r>
    </w:p>
    <w:p w14:paraId="5FB9F791">
      <w:pPr>
        <w:pStyle w:val="251"/>
        <w:ind w:firstLine="199" w:firstLineChars="83"/>
        <w:jc w:val="center"/>
        <w:rPr>
          <w:rFonts w:hint="default" w:ascii="Times New Roman" w:hAnsi="Times New Roman" w:eastAsia="黑体" w:cs="Times New Roman"/>
          <w:bCs/>
          <w:color w:val="000000" w:themeColor="text1"/>
          <w14:textFill>
            <w14:solidFill>
              <w14:schemeClr w14:val="tx1"/>
            </w14:solidFill>
          </w14:textFill>
        </w:rPr>
      </w:pPr>
      <w:r>
        <w:rPr>
          <w:rFonts w:hint="default" w:ascii="Times New Roman" w:hAnsi="Times New Roman" w:eastAsia="黑体" w:cs="Times New Roman"/>
          <w:bCs/>
          <w:color w:val="000000" w:themeColor="text1"/>
          <w14:textFill>
            <w14:solidFill>
              <w14:schemeClr w14:val="tx1"/>
            </w14:solidFill>
          </w14:textFill>
        </w:rPr>
        <w:t>表2.</w:t>
      </w:r>
      <w:r>
        <w:rPr>
          <w:rFonts w:hint="eastAsia" w:ascii="Times New Roman" w:hAnsi="Times New Roman" w:eastAsia="黑体" w:cs="Times New Roman"/>
          <w:bCs/>
          <w:color w:val="000000" w:themeColor="text1"/>
          <w:lang w:val="en-US" w:eastAsia="zh-CN"/>
          <w14:textFill>
            <w14:solidFill>
              <w14:schemeClr w14:val="tx1"/>
            </w14:solidFill>
          </w14:textFill>
        </w:rPr>
        <w:t>5</w:t>
      </w:r>
      <w:r>
        <w:rPr>
          <w:rFonts w:hint="default" w:ascii="Times New Roman" w:hAnsi="Times New Roman" w:eastAsia="黑体" w:cs="Times New Roman"/>
          <w:bCs/>
          <w:color w:val="000000" w:themeColor="text1"/>
          <w14:textFill>
            <w14:solidFill>
              <w14:schemeClr w14:val="tx1"/>
            </w14:solidFill>
          </w14:textFill>
        </w:rPr>
        <w:t>-1环境空气质量评价标准</w:t>
      </w:r>
    </w:p>
    <w:tbl>
      <w:tblPr>
        <w:tblStyle w:val="88"/>
        <w:tblW w:w="852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0"/>
        <w:gridCol w:w="1984"/>
        <w:gridCol w:w="1737"/>
        <w:gridCol w:w="3312"/>
      </w:tblGrid>
      <w:tr w14:paraId="312AE6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Align w:val="center"/>
          </w:tcPr>
          <w:p w14:paraId="408CDAD2">
            <w:pPr>
              <w:spacing w:line="276" w:lineRule="auto"/>
              <w:jc w:val="center"/>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名称</w:t>
            </w:r>
          </w:p>
        </w:tc>
        <w:tc>
          <w:tcPr>
            <w:tcW w:w="1984" w:type="dxa"/>
            <w:vAlign w:val="center"/>
          </w:tcPr>
          <w:p w14:paraId="6111CE17">
            <w:pPr>
              <w:spacing w:line="276" w:lineRule="auto"/>
              <w:jc w:val="center"/>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取值时间</w:t>
            </w:r>
          </w:p>
        </w:tc>
        <w:tc>
          <w:tcPr>
            <w:tcW w:w="1737" w:type="dxa"/>
            <w:vAlign w:val="center"/>
          </w:tcPr>
          <w:p w14:paraId="2F6C9A9F">
            <w:pPr>
              <w:spacing w:line="276" w:lineRule="auto"/>
              <w:jc w:val="center"/>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标准值</w:t>
            </w:r>
          </w:p>
        </w:tc>
        <w:tc>
          <w:tcPr>
            <w:tcW w:w="3312" w:type="dxa"/>
            <w:vAlign w:val="center"/>
          </w:tcPr>
          <w:p w14:paraId="78C4CD4D">
            <w:pPr>
              <w:spacing w:line="276" w:lineRule="auto"/>
              <w:jc w:val="center"/>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标准来源</w:t>
            </w:r>
          </w:p>
        </w:tc>
      </w:tr>
      <w:tr w14:paraId="6BEC69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Merge w:val="restart"/>
            <w:vAlign w:val="center"/>
          </w:tcPr>
          <w:p w14:paraId="009CA26C">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shd w:val="clear" w:color="auto" w:fill="FFFFFF"/>
                <w14:textFill>
                  <w14:solidFill>
                    <w14:schemeClr w14:val="tx1"/>
                  </w14:solidFill>
                </w14:textFill>
              </w:rPr>
              <w:t>SO</w:t>
            </w:r>
            <w:r>
              <w:rPr>
                <w:rFonts w:hint="default" w:ascii="Times New Roman" w:hAnsi="Times New Roman" w:cs="Times New Roman"/>
                <w:color w:val="000000" w:themeColor="text1"/>
                <w:sz w:val="21"/>
                <w:szCs w:val="21"/>
                <w:shd w:val="clear" w:color="auto" w:fill="FFFFFF"/>
                <w:vertAlign w:val="subscript"/>
                <w14:textFill>
                  <w14:solidFill>
                    <w14:schemeClr w14:val="tx1"/>
                  </w14:solidFill>
                </w14:textFill>
              </w:rPr>
              <w:t>2</w:t>
            </w:r>
          </w:p>
        </w:tc>
        <w:tc>
          <w:tcPr>
            <w:tcW w:w="1984" w:type="dxa"/>
            <w:vAlign w:val="center"/>
          </w:tcPr>
          <w:p w14:paraId="470BDDA0">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1小时平均</w:t>
            </w:r>
          </w:p>
        </w:tc>
        <w:tc>
          <w:tcPr>
            <w:tcW w:w="1737" w:type="dxa"/>
            <w:vAlign w:val="center"/>
          </w:tcPr>
          <w:p w14:paraId="51A8521E">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500μg/m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restart"/>
            <w:vAlign w:val="center"/>
          </w:tcPr>
          <w:p w14:paraId="186FA29B">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《环境空气质量标准》（GB3095-2012）中二级标准及2018年修改单</w:t>
            </w:r>
          </w:p>
        </w:tc>
      </w:tr>
      <w:tr w14:paraId="07E2A6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Merge w:val="continue"/>
            <w:vAlign w:val="center"/>
          </w:tcPr>
          <w:p w14:paraId="3FE9FD6A">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c>
          <w:tcPr>
            <w:tcW w:w="1984" w:type="dxa"/>
            <w:vAlign w:val="center"/>
          </w:tcPr>
          <w:p w14:paraId="270B7FB4">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24小时平均</w:t>
            </w:r>
          </w:p>
        </w:tc>
        <w:tc>
          <w:tcPr>
            <w:tcW w:w="1737" w:type="dxa"/>
            <w:vAlign w:val="center"/>
          </w:tcPr>
          <w:p w14:paraId="4EE4BB87">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150μg/m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continue"/>
            <w:vAlign w:val="center"/>
          </w:tcPr>
          <w:p w14:paraId="4B5841D0">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r>
      <w:tr w14:paraId="1B32A2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Merge w:val="continue"/>
            <w:vAlign w:val="center"/>
          </w:tcPr>
          <w:p w14:paraId="26B6E7E7">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c>
          <w:tcPr>
            <w:tcW w:w="1984" w:type="dxa"/>
            <w:vAlign w:val="center"/>
          </w:tcPr>
          <w:p w14:paraId="17F819CD">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年平均</w:t>
            </w:r>
          </w:p>
        </w:tc>
        <w:tc>
          <w:tcPr>
            <w:tcW w:w="1737" w:type="dxa"/>
            <w:vAlign w:val="center"/>
          </w:tcPr>
          <w:p w14:paraId="5E7E4783">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60μg/m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continue"/>
            <w:vAlign w:val="center"/>
          </w:tcPr>
          <w:p w14:paraId="10DB5C46">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r>
      <w:tr w14:paraId="5AF9C7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Merge w:val="restart"/>
            <w:vAlign w:val="center"/>
          </w:tcPr>
          <w:p w14:paraId="40B9EF3F">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shd w:val="clear" w:color="auto" w:fill="FFFFFF"/>
                <w14:textFill>
                  <w14:solidFill>
                    <w14:schemeClr w14:val="tx1"/>
                  </w14:solidFill>
                </w14:textFill>
              </w:rPr>
              <w:t>NO</w:t>
            </w:r>
            <w:r>
              <w:rPr>
                <w:rFonts w:hint="default" w:ascii="Times New Roman" w:hAnsi="Times New Roman" w:cs="Times New Roman"/>
                <w:color w:val="000000" w:themeColor="text1"/>
                <w:sz w:val="21"/>
                <w:szCs w:val="21"/>
                <w:shd w:val="clear" w:color="auto" w:fill="FFFFFF"/>
                <w:vertAlign w:val="subscript"/>
                <w14:textFill>
                  <w14:solidFill>
                    <w14:schemeClr w14:val="tx1"/>
                  </w14:solidFill>
                </w14:textFill>
              </w:rPr>
              <w:t>2</w:t>
            </w:r>
          </w:p>
        </w:tc>
        <w:tc>
          <w:tcPr>
            <w:tcW w:w="1984" w:type="dxa"/>
            <w:vAlign w:val="center"/>
          </w:tcPr>
          <w:p w14:paraId="2ED64E5D">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1小时平均</w:t>
            </w:r>
          </w:p>
        </w:tc>
        <w:tc>
          <w:tcPr>
            <w:tcW w:w="1737" w:type="dxa"/>
            <w:vAlign w:val="center"/>
          </w:tcPr>
          <w:p w14:paraId="5AF45ADC">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200μg/m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continue"/>
            <w:vAlign w:val="center"/>
          </w:tcPr>
          <w:p w14:paraId="67C17431">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r>
      <w:tr w14:paraId="0CC35F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Merge w:val="continue"/>
            <w:vAlign w:val="center"/>
          </w:tcPr>
          <w:p w14:paraId="109639B9">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c>
          <w:tcPr>
            <w:tcW w:w="1984" w:type="dxa"/>
            <w:vAlign w:val="center"/>
          </w:tcPr>
          <w:p w14:paraId="757EF988">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24小时平均</w:t>
            </w:r>
          </w:p>
        </w:tc>
        <w:tc>
          <w:tcPr>
            <w:tcW w:w="1737" w:type="dxa"/>
            <w:vAlign w:val="center"/>
          </w:tcPr>
          <w:p w14:paraId="5474E81E">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80μg/m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continue"/>
            <w:vAlign w:val="center"/>
          </w:tcPr>
          <w:p w14:paraId="33FF6904">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r>
      <w:tr w14:paraId="6275E5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Merge w:val="continue"/>
            <w:vAlign w:val="center"/>
          </w:tcPr>
          <w:p w14:paraId="59C53CA8">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c>
          <w:tcPr>
            <w:tcW w:w="1984" w:type="dxa"/>
            <w:vAlign w:val="center"/>
          </w:tcPr>
          <w:p w14:paraId="37E59F7F">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年平均</w:t>
            </w:r>
          </w:p>
        </w:tc>
        <w:tc>
          <w:tcPr>
            <w:tcW w:w="1737" w:type="dxa"/>
            <w:vAlign w:val="center"/>
          </w:tcPr>
          <w:p w14:paraId="04ADAD88">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40μg/m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continue"/>
            <w:vAlign w:val="center"/>
          </w:tcPr>
          <w:p w14:paraId="4FC14EDD">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r>
      <w:tr w14:paraId="506AD6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Merge w:val="restart"/>
            <w:vAlign w:val="center"/>
          </w:tcPr>
          <w:p w14:paraId="4D86B9F1">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2.5</w:t>
            </w:r>
          </w:p>
        </w:tc>
        <w:tc>
          <w:tcPr>
            <w:tcW w:w="1984" w:type="dxa"/>
            <w:vAlign w:val="center"/>
          </w:tcPr>
          <w:p w14:paraId="335D9D13">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24小时平均</w:t>
            </w:r>
          </w:p>
        </w:tc>
        <w:tc>
          <w:tcPr>
            <w:tcW w:w="1737" w:type="dxa"/>
            <w:vAlign w:val="center"/>
          </w:tcPr>
          <w:p w14:paraId="0CF9CDBE">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75μg/m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continue"/>
            <w:vAlign w:val="center"/>
          </w:tcPr>
          <w:p w14:paraId="2CF610D7">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r>
      <w:tr w14:paraId="65E25B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Merge w:val="continue"/>
            <w:vAlign w:val="center"/>
          </w:tcPr>
          <w:p w14:paraId="5107BAE1">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c>
          <w:tcPr>
            <w:tcW w:w="1984" w:type="dxa"/>
            <w:vAlign w:val="center"/>
          </w:tcPr>
          <w:p w14:paraId="767FF897">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年平均</w:t>
            </w:r>
          </w:p>
        </w:tc>
        <w:tc>
          <w:tcPr>
            <w:tcW w:w="1737" w:type="dxa"/>
            <w:vAlign w:val="center"/>
          </w:tcPr>
          <w:p w14:paraId="5A21E53F">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35μg/m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continue"/>
            <w:vAlign w:val="center"/>
          </w:tcPr>
          <w:p w14:paraId="2B74AF5F">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r>
      <w:tr w14:paraId="51387F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Merge w:val="restart"/>
            <w:vAlign w:val="center"/>
          </w:tcPr>
          <w:p w14:paraId="40CA89D3">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10</w:t>
            </w:r>
          </w:p>
        </w:tc>
        <w:tc>
          <w:tcPr>
            <w:tcW w:w="1984" w:type="dxa"/>
            <w:vAlign w:val="center"/>
          </w:tcPr>
          <w:p w14:paraId="5D935706">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24小时平均</w:t>
            </w:r>
          </w:p>
        </w:tc>
        <w:tc>
          <w:tcPr>
            <w:tcW w:w="1737" w:type="dxa"/>
            <w:vAlign w:val="center"/>
          </w:tcPr>
          <w:p w14:paraId="7FBEDF5A">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150μg/m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continue"/>
            <w:vAlign w:val="center"/>
          </w:tcPr>
          <w:p w14:paraId="4B88E93F">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r>
      <w:tr w14:paraId="7E69C2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Merge w:val="continue"/>
            <w:vAlign w:val="center"/>
          </w:tcPr>
          <w:p w14:paraId="660639B5">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c>
          <w:tcPr>
            <w:tcW w:w="1984" w:type="dxa"/>
            <w:vAlign w:val="center"/>
          </w:tcPr>
          <w:p w14:paraId="45E1D2BA">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年平均</w:t>
            </w:r>
          </w:p>
        </w:tc>
        <w:tc>
          <w:tcPr>
            <w:tcW w:w="1737" w:type="dxa"/>
            <w:vAlign w:val="center"/>
          </w:tcPr>
          <w:p w14:paraId="35E92A1A">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70μg/m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continue"/>
            <w:vAlign w:val="center"/>
          </w:tcPr>
          <w:p w14:paraId="2176FDB8">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r>
      <w:tr w14:paraId="61CD92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Merge w:val="restart"/>
            <w:vAlign w:val="center"/>
          </w:tcPr>
          <w:p w14:paraId="6541EFDD">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CO</w:t>
            </w:r>
          </w:p>
        </w:tc>
        <w:tc>
          <w:tcPr>
            <w:tcW w:w="1984" w:type="dxa"/>
            <w:vAlign w:val="center"/>
          </w:tcPr>
          <w:p w14:paraId="54EF2DBF">
            <w:pPr>
              <w:keepNext/>
              <w:keepLines/>
              <w:spacing w:before="340" w:after="330" w:line="276" w:lineRule="auto"/>
              <w:jc w:val="center"/>
              <w:outlineLvl w:val="0"/>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1小时平均</w:t>
            </w:r>
          </w:p>
        </w:tc>
        <w:tc>
          <w:tcPr>
            <w:tcW w:w="1737" w:type="dxa"/>
            <w:vAlign w:val="center"/>
          </w:tcPr>
          <w:p w14:paraId="31DA13CF">
            <w:pPr>
              <w:keepNext/>
              <w:keepLines/>
              <w:spacing w:before="340" w:after="330" w:line="276" w:lineRule="auto"/>
              <w:jc w:val="center"/>
              <w:outlineLvl w:val="0"/>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10mg/m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continue"/>
            <w:vAlign w:val="center"/>
          </w:tcPr>
          <w:p w14:paraId="699D9A34">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r>
      <w:tr w14:paraId="2C1116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Merge w:val="continue"/>
            <w:vAlign w:val="center"/>
          </w:tcPr>
          <w:p w14:paraId="40677F45">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c>
          <w:tcPr>
            <w:tcW w:w="1984" w:type="dxa"/>
            <w:vAlign w:val="center"/>
          </w:tcPr>
          <w:p w14:paraId="64D6D635">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24小时平均</w:t>
            </w:r>
          </w:p>
        </w:tc>
        <w:tc>
          <w:tcPr>
            <w:tcW w:w="1737" w:type="dxa"/>
            <w:vAlign w:val="center"/>
          </w:tcPr>
          <w:p w14:paraId="151EC56D">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4mg/m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continue"/>
            <w:vAlign w:val="center"/>
          </w:tcPr>
          <w:p w14:paraId="44DAA903">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r>
      <w:tr w14:paraId="0B32FC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Merge w:val="restart"/>
            <w:vAlign w:val="center"/>
          </w:tcPr>
          <w:p w14:paraId="3322F8DC">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O</w:t>
            </w:r>
            <w:r>
              <w:rPr>
                <w:rFonts w:hint="default" w:ascii="Times New Roman" w:hAnsi="Times New Roman" w:cs="Times New Roman"/>
                <w:snapToGrid w:val="0"/>
                <w:color w:val="000000" w:themeColor="text1"/>
                <w:sz w:val="21"/>
                <w:szCs w:val="21"/>
                <w:vertAlign w:val="subscript"/>
                <w14:textFill>
                  <w14:solidFill>
                    <w14:schemeClr w14:val="tx1"/>
                  </w14:solidFill>
                </w14:textFill>
              </w:rPr>
              <w:t>3</w:t>
            </w:r>
          </w:p>
        </w:tc>
        <w:tc>
          <w:tcPr>
            <w:tcW w:w="1984" w:type="dxa"/>
            <w:vAlign w:val="center"/>
          </w:tcPr>
          <w:p w14:paraId="51326FA3">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1小时平均</w:t>
            </w:r>
          </w:p>
        </w:tc>
        <w:tc>
          <w:tcPr>
            <w:tcW w:w="1737" w:type="dxa"/>
            <w:vAlign w:val="center"/>
          </w:tcPr>
          <w:p w14:paraId="4CEAE681">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200μg/m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continue"/>
            <w:vAlign w:val="center"/>
          </w:tcPr>
          <w:p w14:paraId="79664F12">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r>
      <w:tr w14:paraId="5FA368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Merge w:val="continue"/>
            <w:vAlign w:val="center"/>
          </w:tcPr>
          <w:p w14:paraId="72845E4C">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c>
          <w:tcPr>
            <w:tcW w:w="1984" w:type="dxa"/>
            <w:vAlign w:val="center"/>
          </w:tcPr>
          <w:p w14:paraId="0F09A031">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日最大8小时平均</w:t>
            </w:r>
          </w:p>
        </w:tc>
        <w:tc>
          <w:tcPr>
            <w:tcW w:w="1737" w:type="dxa"/>
            <w:vAlign w:val="center"/>
          </w:tcPr>
          <w:p w14:paraId="0845076D">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160μg/m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continue"/>
            <w:vAlign w:val="center"/>
          </w:tcPr>
          <w:p w14:paraId="7B2A0481">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r>
      <w:tr w14:paraId="58F81D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Merge w:val="restart"/>
            <w:vAlign w:val="center"/>
          </w:tcPr>
          <w:p w14:paraId="46DA75C7">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TSP</w:t>
            </w:r>
          </w:p>
        </w:tc>
        <w:tc>
          <w:tcPr>
            <w:tcW w:w="1984" w:type="dxa"/>
            <w:vAlign w:val="center"/>
          </w:tcPr>
          <w:p w14:paraId="3E7CDC07">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年平均</w:t>
            </w:r>
          </w:p>
        </w:tc>
        <w:tc>
          <w:tcPr>
            <w:tcW w:w="1737" w:type="dxa"/>
            <w:vAlign w:val="center"/>
          </w:tcPr>
          <w:p w14:paraId="02F2B32B">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200μg/m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continue"/>
            <w:vAlign w:val="center"/>
          </w:tcPr>
          <w:p w14:paraId="3AAB8A52">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r>
      <w:tr w14:paraId="16C2D4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Merge w:val="continue"/>
            <w:vAlign w:val="center"/>
          </w:tcPr>
          <w:p w14:paraId="23380837">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c>
          <w:tcPr>
            <w:tcW w:w="1984" w:type="dxa"/>
            <w:vAlign w:val="center"/>
          </w:tcPr>
          <w:p w14:paraId="6430DEF5">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24小时平均</w:t>
            </w:r>
          </w:p>
        </w:tc>
        <w:tc>
          <w:tcPr>
            <w:tcW w:w="1737" w:type="dxa"/>
            <w:vAlign w:val="center"/>
          </w:tcPr>
          <w:p w14:paraId="474DE2E2">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300μg/m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continue"/>
            <w:vAlign w:val="center"/>
          </w:tcPr>
          <w:p w14:paraId="2C412376">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r>
      <w:tr w14:paraId="1C1477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Align w:val="center"/>
          </w:tcPr>
          <w:p w14:paraId="54CFF329">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shd w:val="clear" w:color="auto" w:fill="FFFFFF"/>
                <w:lang w:val="en-US" w:eastAsia="zh-CN"/>
                <w14:textFill>
                  <w14:solidFill>
                    <w14:schemeClr w14:val="tx1"/>
                  </w14:solidFill>
                </w14:textFill>
              </w:rPr>
              <w:t>硫</w:t>
            </w:r>
            <w:r>
              <w:rPr>
                <w:rFonts w:hint="default" w:ascii="Times New Roman" w:hAnsi="Times New Roman" w:cs="Times New Roman"/>
                <w:color w:val="000000" w:themeColor="text1"/>
                <w:sz w:val="21"/>
                <w:szCs w:val="21"/>
                <w:shd w:val="clear" w:color="auto" w:fill="FFFFFF"/>
                <w14:textFill>
                  <w14:solidFill>
                    <w14:schemeClr w14:val="tx1"/>
                  </w14:solidFill>
                </w14:textFill>
              </w:rPr>
              <w:t>化氢</w:t>
            </w:r>
          </w:p>
        </w:tc>
        <w:tc>
          <w:tcPr>
            <w:tcW w:w="1984" w:type="dxa"/>
            <w:vAlign w:val="center"/>
          </w:tcPr>
          <w:p w14:paraId="6D09967D">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1小时平均</w:t>
            </w:r>
          </w:p>
        </w:tc>
        <w:tc>
          <w:tcPr>
            <w:tcW w:w="1737" w:type="dxa"/>
            <w:vAlign w:val="center"/>
          </w:tcPr>
          <w:p w14:paraId="4C52EC17">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lang w:val="en-US" w:eastAsia="zh-CN"/>
                <w14:textFill>
                  <w14:solidFill>
                    <w14:schemeClr w14:val="tx1"/>
                  </w14:solidFill>
                </w14:textFill>
              </w:rPr>
              <w:t>1</w:t>
            </w:r>
            <w:r>
              <w:rPr>
                <w:rFonts w:hint="default" w:ascii="Times New Roman" w:hAnsi="Times New Roman" w:cs="Times New Roman"/>
                <w:snapToGrid w:val="0"/>
                <w:color w:val="000000" w:themeColor="text1"/>
                <w:sz w:val="21"/>
                <w:szCs w:val="21"/>
                <w14:textFill>
                  <w14:solidFill>
                    <w14:schemeClr w14:val="tx1"/>
                  </w14:solidFill>
                </w14:textFill>
              </w:rPr>
              <w:t>0μg/m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restart"/>
            <w:vAlign w:val="center"/>
          </w:tcPr>
          <w:p w14:paraId="3FC351DD">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环境影响评价技术导则大气环境》（HJ2.2-2018）附录D</w:t>
            </w:r>
          </w:p>
        </w:tc>
      </w:tr>
      <w:tr w14:paraId="15F5BF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Align w:val="center"/>
          </w:tcPr>
          <w:p w14:paraId="7B8465FD">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p>
        </w:tc>
        <w:tc>
          <w:tcPr>
            <w:tcW w:w="1984" w:type="dxa"/>
            <w:vAlign w:val="center"/>
          </w:tcPr>
          <w:p w14:paraId="70191F43">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1小时平均</w:t>
            </w:r>
          </w:p>
        </w:tc>
        <w:tc>
          <w:tcPr>
            <w:tcW w:w="1737" w:type="dxa"/>
            <w:vAlign w:val="center"/>
          </w:tcPr>
          <w:p w14:paraId="6540CB67">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200μg/m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Merge w:val="continue"/>
            <w:vAlign w:val="center"/>
          </w:tcPr>
          <w:p w14:paraId="6C9EA6E9">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p>
        </w:tc>
      </w:tr>
      <w:tr w14:paraId="15707E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dxa"/>
            <w:vAlign w:val="center"/>
          </w:tcPr>
          <w:p w14:paraId="5377A76D">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非甲烷总烃</w:t>
            </w:r>
          </w:p>
        </w:tc>
        <w:tc>
          <w:tcPr>
            <w:tcW w:w="1984" w:type="dxa"/>
            <w:vAlign w:val="center"/>
          </w:tcPr>
          <w:p w14:paraId="3A8076C3">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1小时平均</w:t>
            </w:r>
          </w:p>
        </w:tc>
        <w:tc>
          <w:tcPr>
            <w:tcW w:w="1737" w:type="dxa"/>
            <w:vAlign w:val="center"/>
          </w:tcPr>
          <w:p w14:paraId="2C0C434E">
            <w:pPr>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2mg/m</w:t>
            </w:r>
            <w:r>
              <w:rPr>
                <w:rFonts w:hint="default" w:ascii="Times New Roman" w:hAnsi="Times New Roman" w:cs="Times New Roman"/>
                <w:snapToGrid w:val="0"/>
                <w:color w:val="000000" w:themeColor="text1"/>
                <w:sz w:val="21"/>
                <w:szCs w:val="21"/>
                <w:vertAlign w:val="superscript"/>
                <w14:textFill>
                  <w14:solidFill>
                    <w14:schemeClr w14:val="tx1"/>
                  </w14:solidFill>
                </w14:textFill>
              </w:rPr>
              <w:t>3</w:t>
            </w:r>
          </w:p>
        </w:tc>
        <w:tc>
          <w:tcPr>
            <w:tcW w:w="3312" w:type="dxa"/>
            <w:vAlign w:val="center"/>
          </w:tcPr>
          <w:p w14:paraId="3227D8B7">
            <w:pPr>
              <w:widowControl/>
              <w:spacing w:line="276"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《大气污染物综合排放标准详解》</w:t>
            </w:r>
          </w:p>
        </w:tc>
      </w:tr>
    </w:tbl>
    <w:p w14:paraId="723595F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2、地表水环境质量标准</w:t>
      </w:r>
    </w:p>
    <w:p w14:paraId="2DC88B15">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地表水西淝河</w:t>
      </w:r>
      <w:r>
        <w:rPr>
          <w:rFonts w:hint="eastAsia" w:ascii="Times New Roman" w:hAnsi="Times New Roman" w:cs="Times New Roman"/>
          <w:color w:val="000000" w:themeColor="text1"/>
          <w:lang w:eastAsia="zh-CN"/>
          <w14:textFill>
            <w14:solidFill>
              <w14:schemeClr w14:val="tx1"/>
            </w14:solidFill>
          </w14:textFill>
        </w:rPr>
        <w:t>和淮河</w:t>
      </w:r>
      <w:r>
        <w:rPr>
          <w:rFonts w:hint="default" w:ascii="Times New Roman" w:hAnsi="Times New Roman" w:cs="Times New Roman"/>
          <w:color w:val="000000" w:themeColor="text1"/>
          <w14:textFill>
            <w14:solidFill>
              <w14:schemeClr w14:val="tx1"/>
            </w14:solidFill>
          </w14:textFill>
        </w:rPr>
        <w:t>水质执行《地表水环境质量标准》（GB3838-2002）中</w:t>
      </w:r>
      <w:r>
        <w:rPr>
          <w:rFonts w:hint="default" w:ascii="Times New Roman" w:hAnsi="Times New Roman" w:cs="Times New Roman"/>
          <w:color w:val="000000" w:themeColor="text1"/>
          <w:highlight w:val="yellow"/>
          <w14:textFill>
            <w14:solidFill>
              <w14:schemeClr w14:val="tx1"/>
            </w14:solidFill>
          </w14:textFill>
        </w:rPr>
        <w:t>Ⅲ类</w:t>
      </w:r>
      <w:r>
        <w:rPr>
          <w:rFonts w:hint="default" w:ascii="Times New Roman" w:hAnsi="Times New Roman" w:cs="Times New Roman"/>
          <w:color w:val="000000" w:themeColor="text1"/>
          <w14:textFill>
            <w14:solidFill>
              <w14:schemeClr w14:val="tx1"/>
            </w14:solidFill>
          </w14:textFill>
        </w:rPr>
        <w:t>水质标准，主要污染物的评价标准列于表2.</w:t>
      </w:r>
      <w:r>
        <w:rPr>
          <w:rFonts w:hint="eastAsia"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-2中。</w:t>
      </w:r>
    </w:p>
    <w:p w14:paraId="2A79A59B">
      <w:pPr>
        <w:adjustRightInd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5</w:t>
      </w:r>
      <w:r>
        <w:rPr>
          <w:rFonts w:hint="default" w:ascii="Times New Roman" w:hAnsi="Times New Roman" w:eastAsia="黑体" w:cs="Times New Roman"/>
          <w:bCs/>
          <w:color w:val="000000" w:themeColor="text1"/>
          <w:sz w:val="24"/>
          <w14:textFill>
            <w14:solidFill>
              <w14:schemeClr w14:val="tx1"/>
            </w14:solidFill>
          </w14:textFill>
        </w:rPr>
        <w:t>-2地表水环境质量标准</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34"/>
        <w:gridCol w:w="3566"/>
        <w:gridCol w:w="3122"/>
      </w:tblGrid>
      <w:tr w14:paraId="15A6A1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76" w:type="pct"/>
            <w:vAlign w:val="center"/>
          </w:tcPr>
          <w:p w14:paraId="1A0AF8A2">
            <w:pPr>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标准类别</w:t>
            </w:r>
          </w:p>
        </w:tc>
        <w:tc>
          <w:tcPr>
            <w:tcW w:w="2092" w:type="pct"/>
            <w:vAlign w:val="center"/>
          </w:tcPr>
          <w:p w14:paraId="4D5EB05F">
            <w:pPr>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项目</w:t>
            </w:r>
          </w:p>
        </w:tc>
        <w:tc>
          <w:tcPr>
            <w:tcW w:w="1831" w:type="pct"/>
            <w:vAlign w:val="center"/>
          </w:tcPr>
          <w:p w14:paraId="1F1448F3">
            <w:pPr>
              <w:jc w:val="center"/>
              <w:rPr>
                <w:rFonts w:hint="default" w:ascii="Times New Roman" w:hAnsi="Times New Roman" w:cs="Times New Roman"/>
                <w:b/>
                <w:color w:val="000000" w:themeColor="text1"/>
                <w:sz w:val="21"/>
                <w14:textFill>
                  <w14:solidFill>
                    <w14:schemeClr w14:val="tx1"/>
                  </w14:solidFill>
                </w14:textFill>
              </w:rPr>
            </w:pPr>
            <w:r>
              <w:rPr>
                <w:rFonts w:hint="default" w:ascii="Times New Roman" w:hAnsi="Times New Roman" w:cs="Times New Roman"/>
                <w:b/>
                <w:color w:val="000000" w:themeColor="text1"/>
                <w:sz w:val="21"/>
                <w14:textFill>
                  <w14:solidFill>
                    <w14:schemeClr w14:val="tx1"/>
                  </w14:solidFill>
                </w14:textFill>
              </w:rPr>
              <w:t>Ⅲ</w:t>
            </w:r>
            <w:r>
              <w:rPr>
                <w:rFonts w:hint="default" w:ascii="Times New Roman" w:hAnsi="Times New Roman" w:cs="Times New Roman"/>
                <w:b/>
                <w:color w:val="000000" w:themeColor="text1"/>
                <w:kern w:val="2"/>
                <w:sz w:val="21"/>
                <w:szCs w:val="21"/>
                <w14:textFill>
                  <w14:solidFill>
                    <w14:schemeClr w14:val="tx1"/>
                  </w14:solidFill>
                </w14:textFill>
              </w:rPr>
              <w:t>类标准值</w:t>
            </w:r>
            <w:r>
              <w:rPr>
                <w:rFonts w:hint="default" w:ascii="Times New Roman" w:hAnsi="Times New Roman" w:cs="Times New Roman"/>
                <w:b/>
                <w:color w:val="000000" w:themeColor="text1"/>
                <w:kern w:val="2"/>
                <w:sz w:val="21"/>
                <w:szCs w:val="21"/>
                <w:lang w:val="en-GB"/>
                <w14:textFill>
                  <w14:solidFill>
                    <w14:schemeClr w14:val="tx1"/>
                  </w14:solidFill>
                </w14:textFill>
              </w:rPr>
              <w:t>（</w:t>
            </w:r>
            <w:r>
              <w:rPr>
                <w:rFonts w:hint="default" w:ascii="Times New Roman" w:hAnsi="Times New Roman" w:cs="Times New Roman"/>
                <w:b/>
                <w:color w:val="000000" w:themeColor="text1"/>
                <w:kern w:val="2"/>
                <w:sz w:val="21"/>
                <w:szCs w:val="21"/>
                <w14:textFill>
                  <w14:solidFill>
                    <w14:schemeClr w14:val="tx1"/>
                  </w14:solidFill>
                </w14:textFill>
              </w:rPr>
              <w:t>mg/L，pH除外</w:t>
            </w:r>
            <w:r>
              <w:rPr>
                <w:rFonts w:hint="default" w:ascii="Times New Roman" w:hAnsi="Times New Roman" w:cs="Times New Roman"/>
                <w:b/>
                <w:color w:val="000000" w:themeColor="text1"/>
                <w:kern w:val="2"/>
                <w:sz w:val="21"/>
                <w:szCs w:val="21"/>
                <w:lang w:val="en-GB"/>
                <w14:textFill>
                  <w14:solidFill>
                    <w14:schemeClr w14:val="tx1"/>
                  </w14:solidFill>
                </w14:textFill>
              </w:rPr>
              <w:t>）</w:t>
            </w:r>
          </w:p>
        </w:tc>
      </w:tr>
      <w:tr w14:paraId="0377FC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76" w:type="pct"/>
            <w:vMerge w:val="restart"/>
            <w:vAlign w:val="center"/>
          </w:tcPr>
          <w:p w14:paraId="7953078B">
            <w:pPr>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GB3838-2002</w:t>
            </w:r>
          </w:p>
        </w:tc>
        <w:tc>
          <w:tcPr>
            <w:tcW w:w="2092" w:type="pct"/>
            <w:vAlign w:val="center"/>
          </w:tcPr>
          <w:p w14:paraId="0268EFB9">
            <w:pPr>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pH</w:t>
            </w:r>
          </w:p>
        </w:tc>
        <w:tc>
          <w:tcPr>
            <w:tcW w:w="1831" w:type="pct"/>
            <w:vAlign w:val="center"/>
          </w:tcPr>
          <w:p w14:paraId="0757530F">
            <w:pPr>
              <w:pStyle w:val="3606"/>
              <w:spacing w:line="240" w:lineRule="auto"/>
              <w:ind w:firstLine="0"/>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6～9</w:t>
            </w:r>
          </w:p>
        </w:tc>
      </w:tr>
      <w:tr w14:paraId="0F9014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76" w:type="pct"/>
            <w:vMerge w:val="continue"/>
            <w:vAlign w:val="center"/>
          </w:tcPr>
          <w:p w14:paraId="1A869ABE">
            <w:pPr>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2092" w:type="pct"/>
            <w:vAlign w:val="center"/>
          </w:tcPr>
          <w:p w14:paraId="16164121">
            <w:pPr>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化学需氧量（</w:t>
            </w:r>
            <w:r>
              <w:rPr>
                <w:rFonts w:hint="default" w:ascii="Times New Roman" w:hAnsi="Times New Roman" w:cs="Times New Roman"/>
                <w:bCs/>
                <w:color w:val="000000" w:themeColor="text1"/>
                <w:kern w:val="2"/>
                <w:sz w:val="21"/>
                <w:szCs w:val="21"/>
                <w14:textFill>
                  <w14:solidFill>
                    <w14:schemeClr w14:val="tx1"/>
                  </w14:solidFill>
                </w14:textFill>
              </w:rPr>
              <w:t>COD</w:t>
            </w:r>
            <w:r>
              <w:rPr>
                <w:rFonts w:hint="default" w:ascii="Times New Roman" w:hAnsi="Times New Roman" w:cs="Times New Roman"/>
                <w:bCs/>
                <w:color w:val="000000" w:themeColor="text1"/>
                <w:kern w:val="2"/>
                <w:sz w:val="21"/>
                <w:szCs w:val="21"/>
                <w:vertAlign w:val="subscript"/>
                <w14:textFill>
                  <w14:solidFill>
                    <w14:schemeClr w14:val="tx1"/>
                  </w14:solidFill>
                </w14:textFill>
              </w:rPr>
              <w:t>Cr</w:t>
            </w:r>
            <w:r>
              <w:rPr>
                <w:rFonts w:hint="default" w:ascii="Times New Roman" w:hAnsi="Times New Roman" w:cs="Times New Roman"/>
                <w:color w:val="000000" w:themeColor="text1"/>
                <w:kern w:val="2"/>
                <w:sz w:val="21"/>
                <w:szCs w:val="21"/>
                <w14:textFill>
                  <w14:solidFill>
                    <w14:schemeClr w14:val="tx1"/>
                  </w14:solidFill>
                </w14:textFill>
              </w:rPr>
              <w:t>）</w:t>
            </w:r>
          </w:p>
        </w:tc>
        <w:tc>
          <w:tcPr>
            <w:tcW w:w="1831" w:type="pct"/>
            <w:vAlign w:val="center"/>
          </w:tcPr>
          <w:p w14:paraId="5CE6635A">
            <w:pPr>
              <w:pStyle w:val="3606"/>
              <w:spacing w:line="240" w:lineRule="auto"/>
              <w:ind w:firstLine="0"/>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20</w:t>
            </w:r>
          </w:p>
        </w:tc>
      </w:tr>
      <w:tr w14:paraId="346AC0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76" w:type="pct"/>
            <w:vMerge w:val="continue"/>
            <w:vAlign w:val="center"/>
          </w:tcPr>
          <w:p w14:paraId="4CBE3207">
            <w:pPr>
              <w:jc w:val="center"/>
              <w:rPr>
                <w:rFonts w:hint="default" w:ascii="Times New Roman" w:hAnsi="Times New Roman" w:cs="Times New Roman"/>
                <w:color w:val="000000" w:themeColor="text1"/>
                <w:kern w:val="2"/>
                <w:sz w:val="21"/>
                <w:szCs w:val="21"/>
                <w:vertAlign w:val="subscript"/>
                <w14:textFill>
                  <w14:solidFill>
                    <w14:schemeClr w14:val="tx1"/>
                  </w14:solidFill>
                </w14:textFill>
              </w:rPr>
            </w:pPr>
          </w:p>
        </w:tc>
        <w:tc>
          <w:tcPr>
            <w:tcW w:w="2092" w:type="pct"/>
            <w:vAlign w:val="center"/>
          </w:tcPr>
          <w:p w14:paraId="0E9DC2D9">
            <w:pPr>
              <w:jc w:val="center"/>
              <w:rPr>
                <w:rFonts w:hint="default" w:ascii="Times New Roman" w:hAnsi="Times New Roman" w:cs="Times New Roman"/>
                <w:color w:val="000000" w:themeColor="text1"/>
                <w:kern w:val="2"/>
                <w:sz w:val="21"/>
                <w:szCs w:val="21"/>
                <w:vertAlign w:val="subscript"/>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BOD</w:t>
            </w:r>
            <w:r>
              <w:rPr>
                <w:rFonts w:hint="default" w:ascii="Times New Roman" w:hAnsi="Times New Roman" w:cs="Times New Roman"/>
                <w:color w:val="000000" w:themeColor="text1"/>
                <w:kern w:val="2"/>
                <w:sz w:val="21"/>
                <w:szCs w:val="21"/>
                <w:vertAlign w:val="subscript"/>
                <w14:textFill>
                  <w14:solidFill>
                    <w14:schemeClr w14:val="tx1"/>
                  </w14:solidFill>
                </w14:textFill>
              </w:rPr>
              <w:t>5</w:t>
            </w:r>
          </w:p>
        </w:tc>
        <w:tc>
          <w:tcPr>
            <w:tcW w:w="1831" w:type="pct"/>
            <w:vAlign w:val="center"/>
          </w:tcPr>
          <w:p w14:paraId="57D6FF3D">
            <w:pPr>
              <w:pStyle w:val="3606"/>
              <w:spacing w:line="240" w:lineRule="auto"/>
              <w:ind w:firstLine="0"/>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4</w:t>
            </w:r>
          </w:p>
        </w:tc>
      </w:tr>
      <w:tr w14:paraId="0DD1B5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76" w:type="pct"/>
            <w:vMerge w:val="continue"/>
            <w:vAlign w:val="center"/>
          </w:tcPr>
          <w:p w14:paraId="08E4B342">
            <w:pPr>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2092" w:type="pct"/>
            <w:vAlign w:val="center"/>
          </w:tcPr>
          <w:p w14:paraId="4B6721EA">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NH</w:t>
            </w:r>
            <w:r>
              <w:rPr>
                <w:rFonts w:hint="default" w:ascii="Times New Roman" w:hAnsi="Times New Roman" w:cs="Times New Roman"/>
                <w:bCs/>
                <w:color w:val="000000" w:themeColor="text1"/>
                <w:sz w:val="21"/>
                <w:szCs w:val="21"/>
                <w:vertAlign w:val="subscript"/>
                <w14:textFill>
                  <w14:solidFill>
                    <w14:schemeClr w14:val="tx1"/>
                  </w14:solidFill>
                </w14:textFill>
              </w:rPr>
              <w:t>3</w:t>
            </w:r>
            <w:r>
              <w:rPr>
                <w:rFonts w:hint="default" w:ascii="Times New Roman" w:hAnsi="Times New Roman" w:cs="Times New Roman"/>
                <w:bCs/>
                <w:color w:val="000000" w:themeColor="text1"/>
                <w:sz w:val="21"/>
                <w:szCs w:val="21"/>
                <w14:textFill>
                  <w14:solidFill>
                    <w14:schemeClr w14:val="tx1"/>
                  </w14:solidFill>
                </w14:textFill>
              </w:rPr>
              <w:t>-N</w:t>
            </w:r>
          </w:p>
        </w:tc>
        <w:tc>
          <w:tcPr>
            <w:tcW w:w="1831" w:type="pct"/>
            <w:vAlign w:val="center"/>
          </w:tcPr>
          <w:p w14:paraId="117306A1">
            <w:pPr>
              <w:pStyle w:val="3606"/>
              <w:spacing w:line="240" w:lineRule="auto"/>
              <w:ind w:firstLine="0"/>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1.0</w:t>
            </w:r>
          </w:p>
        </w:tc>
      </w:tr>
      <w:tr w14:paraId="5975B1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76" w:type="pct"/>
            <w:vMerge w:val="continue"/>
            <w:vAlign w:val="center"/>
          </w:tcPr>
          <w:p w14:paraId="20BDF67C">
            <w:pPr>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2092" w:type="pct"/>
            <w:vAlign w:val="center"/>
          </w:tcPr>
          <w:p w14:paraId="5B1E66CE">
            <w:pPr>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TP</w:t>
            </w:r>
          </w:p>
        </w:tc>
        <w:tc>
          <w:tcPr>
            <w:tcW w:w="1831" w:type="pct"/>
            <w:vAlign w:val="center"/>
          </w:tcPr>
          <w:p w14:paraId="4A4D4D04">
            <w:pPr>
              <w:pStyle w:val="3606"/>
              <w:spacing w:line="240" w:lineRule="auto"/>
              <w:ind w:firstLine="0"/>
              <w:jc w:val="center"/>
              <w:rPr>
                <w:rFonts w:hint="default" w:ascii="Times New Roman" w:hAnsi="Times New Roman" w:eastAsia="宋体" w:cs="Times New Roman"/>
                <w:snapToGrid w:val="0"/>
                <w:color w:val="000000" w:themeColor="text1"/>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0.2</w:t>
            </w:r>
          </w:p>
        </w:tc>
      </w:tr>
    </w:tbl>
    <w:p w14:paraId="3B6A41E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3、声环境质量标准</w:t>
      </w:r>
    </w:p>
    <w:p w14:paraId="1D87D0B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项目所在区域声环境质量执行《声环境质量标准》（GB3096-2008）中3类标准，其标准限值列于表2.</w:t>
      </w:r>
      <w:r>
        <w:rPr>
          <w:rFonts w:hint="eastAsia"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-3中。</w:t>
      </w:r>
    </w:p>
    <w:p w14:paraId="14214726">
      <w:pPr>
        <w:adjustRightInd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5</w:t>
      </w:r>
      <w:r>
        <w:rPr>
          <w:rFonts w:hint="default" w:ascii="Times New Roman" w:hAnsi="Times New Roman" w:eastAsia="黑体" w:cs="Times New Roman"/>
          <w:bCs/>
          <w:color w:val="000000" w:themeColor="text1"/>
          <w:sz w:val="24"/>
          <w14:textFill>
            <w14:solidFill>
              <w14:schemeClr w14:val="tx1"/>
            </w14:solidFill>
          </w14:textFill>
        </w:rPr>
        <w:t>-3区域环境噪声标准限值</w:t>
      </w:r>
    </w:p>
    <w:tbl>
      <w:tblPr>
        <w:tblStyle w:val="88"/>
        <w:tblW w:w="852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227"/>
        <w:gridCol w:w="2647"/>
        <w:gridCol w:w="2648"/>
      </w:tblGrid>
      <w:tr w14:paraId="354FE3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227" w:type="dxa"/>
            <w:vMerge w:val="restart"/>
            <w:vAlign w:val="center"/>
          </w:tcPr>
          <w:p w14:paraId="036834FA">
            <w:pPr>
              <w:adjustRightInd w:val="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执行标准类别</w:t>
            </w:r>
          </w:p>
        </w:tc>
        <w:tc>
          <w:tcPr>
            <w:tcW w:w="5295" w:type="dxa"/>
            <w:gridSpan w:val="2"/>
            <w:vAlign w:val="center"/>
          </w:tcPr>
          <w:p w14:paraId="10E369EC">
            <w:pPr>
              <w:adjustRightInd w:val="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标准值[dB(A)]</w:t>
            </w:r>
          </w:p>
        </w:tc>
      </w:tr>
      <w:tr w14:paraId="1527C0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227" w:type="dxa"/>
            <w:vMerge w:val="continue"/>
            <w:vAlign w:val="center"/>
          </w:tcPr>
          <w:p w14:paraId="2A4ADA19">
            <w:pPr>
              <w:adjustRightInd w:val="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p>
        </w:tc>
        <w:tc>
          <w:tcPr>
            <w:tcW w:w="2647" w:type="dxa"/>
            <w:vAlign w:val="center"/>
          </w:tcPr>
          <w:p w14:paraId="22EA081B">
            <w:pPr>
              <w:adjustRightInd w:val="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昼间</w:t>
            </w:r>
          </w:p>
        </w:tc>
        <w:tc>
          <w:tcPr>
            <w:tcW w:w="2648" w:type="dxa"/>
            <w:vAlign w:val="center"/>
          </w:tcPr>
          <w:p w14:paraId="74F3BD15">
            <w:pPr>
              <w:adjustRightInd w:val="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夜间</w:t>
            </w:r>
          </w:p>
        </w:tc>
      </w:tr>
      <w:tr w14:paraId="688DBA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227" w:type="dxa"/>
            <w:vAlign w:val="center"/>
          </w:tcPr>
          <w:p w14:paraId="5DDBB797">
            <w:pPr>
              <w:adjustRightInd w:val="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GB3096-2008中3类标准</w:t>
            </w:r>
          </w:p>
        </w:tc>
        <w:tc>
          <w:tcPr>
            <w:tcW w:w="2647" w:type="dxa"/>
            <w:vAlign w:val="center"/>
          </w:tcPr>
          <w:p w14:paraId="7C89A6F6">
            <w:pPr>
              <w:adjustRightInd w:val="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65</w:t>
            </w:r>
          </w:p>
        </w:tc>
        <w:tc>
          <w:tcPr>
            <w:tcW w:w="2648" w:type="dxa"/>
            <w:vAlign w:val="center"/>
          </w:tcPr>
          <w:p w14:paraId="49C06292">
            <w:pPr>
              <w:adjustRightInd w:val="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55</w:t>
            </w:r>
          </w:p>
        </w:tc>
      </w:tr>
    </w:tbl>
    <w:p w14:paraId="25835DA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4、地下水环境质量评价标准</w:t>
      </w:r>
    </w:p>
    <w:p w14:paraId="2E5F7F93">
      <w:pPr>
        <w:pStyle w:val="251"/>
        <w:ind w:firstLine="480"/>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项目所在区域地下水环境质量执行《地下水质量标准》（GB/T4848-2017）Ⅲ类标准。详见表2.</w:t>
      </w:r>
      <w:r>
        <w:rPr>
          <w:rFonts w:hint="eastAsia"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-4。</w:t>
      </w:r>
    </w:p>
    <w:p w14:paraId="08CD2AF6">
      <w:pPr>
        <w:adjustRightInd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5</w:t>
      </w:r>
      <w:r>
        <w:rPr>
          <w:rFonts w:hint="default" w:ascii="Times New Roman" w:hAnsi="Times New Roman" w:eastAsia="黑体" w:cs="Times New Roman"/>
          <w:bCs/>
          <w:color w:val="000000" w:themeColor="text1"/>
          <w:sz w:val="24"/>
          <w14:textFill>
            <w14:solidFill>
              <w14:schemeClr w14:val="tx1"/>
            </w14:solidFill>
          </w14:textFill>
        </w:rPr>
        <w:t>-4地下水环境质量标准</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63"/>
        <w:gridCol w:w="2671"/>
        <w:gridCol w:w="1725"/>
        <w:gridCol w:w="1963"/>
      </w:tblGrid>
      <w:tr w14:paraId="38B25B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Align w:val="center"/>
          </w:tcPr>
          <w:p w14:paraId="695EC346">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标准类别</w:t>
            </w:r>
          </w:p>
        </w:tc>
        <w:tc>
          <w:tcPr>
            <w:tcW w:w="1567" w:type="pct"/>
            <w:vAlign w:val="center"/>
          </w:tcPr>
          <w:p w14:paraId="546A8ECA">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项目</w:t>
            </w:r>
          </w:p>
        </w:tc>
        <w:tc>
          <w:tcPr>
            <w:tcW w:w="1012" w:type="pct"/>
            <w:vAlign w:val="center"/>
          </w:tcPr>
          <w:p w14:paraId="2E1D3C4D">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单位</w:t>
            </w:r>
          </w:p>
        </w:tc>
        <w:tc>
          <w:tcPr>
            <w:tcW w:w="1152" w:type="pct"/>
            <w:vAlign w:val="center"/>
          </w:tcPr>
          <w:p w14:paraId="77C18974">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fldChar w:fldCharType="begin"/>
            </w:r>
            <w:r>
              <w:rPr>
                <w:rFonts w:hint="default" w:ascii="Times New Roman" w:hAnsi="Times New Roman" w:cs="Times New Roman"/>
                <w:b/>
                <w:color w:val="000000" w:themeColor="text1"/>
                <w:sz w:val="21"/>
                <w:szCs w:val="21"/>
                <w14:textFill>
                  <w14:solidFill>
                    <w14:schemeClr w14:val="tx1"/>
                  </w14:solidFill>
                </w14:textFill>
              </w:rPr>
              <w:instrText xml:space="preserve"> = 3 \* ROMAN </w:instrText>
            </w:r>
            <w:r>
              <w:rPr>
                <w:rFonts w:hint="default" w:ascii="Times New Roman" w:hAnsi="Times New Roman" w:cs="Times New Roman"/>
                <w:b/>
                <w:color w:val="000000" w:themeColor="text1"/>
                <w:sz w:val="21"/>
                <w:szCs w:val="21"/>
                <w14:textFill>
                  <w14:solidFill>
                    <w14:schemeClr w14:val="tx1"/>
                  </w14:solidFill>
                </w14:textFill>
              </w:rPr>
              <w:fldChar w:fldCharType="separate"/>
            </w:r>
            <w:r>
              <w:rPr>
                <w:rFonts w:hint="default" w:ascii="Times New Roman" w:hAnsi="Times New Roman" w:cs="Times New Roman"/>
                <w:b/>
                <w:color w:val="000000" w:themeColor="text1"/>
                <w:sz w:val="21"/>
                <w:szCs w:val="21"/>
                <w14:textFill>
                  <w14:solidFill>
                    <w14:schemeClr w14:val="tx1"/>
                  </w14:solidFill>
                </w14:textFill>
              </w:rPr>
              <w:t>III</w:t>
            </w:r>
            <w:r>
              <w:rPr>
                <w:rFonts w:hint="default" w:ascii="Times New Roman" w:hAnsi="Times New Roman" w:cs="Times New Roman"/>
                <w:b/>
                <w:color w:val="000000" w:themeColor="text1"/>
                <w:sz w:val="21"/>
                <w:szCs w:val="21"/>
                <w14:textFill>
                  <w14:solidFill>
                    <w14:schemeClr w14:val="tx1"/>
                  </w14:solidFill>
                </w14:textFill>
              </w:rPr>
              <w:fldChar w:fldCharType="end"/>
            </w:r>
            <w:r>
              <w:rPr>
                <w:rFonts w:hint="default" w:ascii="Times New Roman" w:hAnsi="Times New Roman" w:cs="Times New Roman"/>
                <w:b/>
                <w:color w:val="000000" w:themeColor="text1"/>
                <w:sz w:val="21"/>
                <w:szCs w:val="21"/>
                <w14:textFill>
                  <w14:solidFill>
                    <w14:schemeClr w14:val="tx1"/>
                  </w14:solidFill>
                </w14:textFill>
              </w:rPr>
              <w:t>类</w:t>
            </w:r>
          </w:p>
        </w:tc>
      </w:tr>
      <w:tr w14:paraId="378C7C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restart"/>
            <w:vAlign w:val="center"/>
          </w:tcPr>
          <w:p w14:paraId="77C6AC0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GB/T14848-2017中标准</w:t>
            </w:r>
          </w:p>
        </w:tc>
        <w:tc>
          <w:tcPr>
            <w:tcW w:w="1567" w:type="pct"/>
            <w:vAlign w:val="center"/>
          </w:tcPr>
          <w:p w14:paraId="7C4953D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pH</w:t>
            </w:r>
          </w:p>
        </w:tc>
        <w:tc>
          <w:tcPr>
            <w:tcW w:w="1012" w:type="pct"/>
            <w:vAlign w:val="center"/>
          </w:tcPr>
          <w:p w14:paraId="7A5A70A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152" w:type="pct"/>
            <w:vAlign w:val="center"/>
          </w:tcPr>
          <w:p w14:paraId="7A1BEC5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6.5～8.5</w:t>
            </w:r>
          </w:p>
        </w:tc>
      </w:tr>
      <w:tr w14:paraId="318B93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716BA76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4062A73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色度</w:t>
            </w:r>
          </w:p>
        </w:tc>
        <w:tc>
          <w:tcPr>
            <w:tcW w:w="1012" w:type="pct"/>
            <w:vAlign w:val="center"/>
          </w:tcPr>
          <w:p w14:paraId="430F67D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152" w:type="pct"/>
            <w:vAlign w:val="center"/>
          </w:tcPr>
          <w:p w14:paraId="15E1A52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r>
      <w:tr w14:paraId="7D1EF2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764AD61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2C8E1CD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嗅和味</w:t>
            </w:r>
          </w:p>
        </w:tc>
        <w:tc>
          <w:tcPr>
            <w:tcW w:w="1012" w:type="pct"/>
            <w:vAlign w:val="center"/>
          </w:tcPr>
          <w:p w14:paraId="7CE8AF2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152" w:type="pct"/>
            <w:vAlign w:val="center"/>
          </w:tcPr>
          <w:p w14:paraId="3376AA7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无</w:t>
            </w:r>
          </w:p>
        </w:tc>
      </w:tr>
      <w:tr w14:paraId="15BEB1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22B903B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76CAA25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浑浊度</w:t>
            </w:r>
          </w:p>
        </w:tc>
        <w:tc>
          <w:tcPr>
            <w:tcW w:w="1012" w:type="pct"/>
            <w:vAlign w:val="center"/>
          </w:tcPr>
          <w:p w14:paraId="1B4D964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NTU</w:t>
            </w:r>
            <w:r>
              <w:rPr>
                <w:rFonts w:hint="default" w:ascii="Times New Roman" w:hAnsi="Times New Roman" w:cs="Times New Roman"/>
                <w:color w:val="000000" w:themeColor="text1"/>
                <w:sz w:val="21"/>
                <w:szCs w:val="21"/>
                <w:vertAlign w:val="superscript"/>
                <w14:textFill>
                  <w14:solidFill>
                    <w14:schemeClr w14:val="tx1"/>
                  </w14:solidFill>
                </w14:textFill>
              </w:rPr>
              <w:t>a</w:t>
            </w:r>
          </w:p>
        </w:tc>
        <w:tc>
          <w:tcPr>
            <w:tcW w:w="1152" w:type="pct"/>
            <w:vAlign w:val="center"/>
          </w:tcPr>
          <w:p w14:paraId="5F460E8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r>
      <w:tr w14:paraId="5698D6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21E1194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46F32E6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肉眼可见物</w:t>
            </w:r>
          </w:p>
        </w:tc>
        <w:tc>
          <w:tcPr>
            <w:tcW w:w="1012" w:type="pct"/>
            <w:vAlign w:val="center"/>
          </w:tcPr>
          <w:p w14:paraId="02E31EC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152" w:type="pct"/>
            <w:vAlign w:val="center"/>
          </w:tcPr>
          <w:p w14:paraId="0946217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无</w:t>
            </w:r>
          </w:p>
        </w:tc>
      </w:tr>
      <w:tr w14:paraId="097AA7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4FC5B3B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649B6A3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铜</w:t>
            </w:r>
          </w:p>
        </w:tc>
        <w:tc>
          <w:tcPr>
            <w:tcW w:w="1012" w:type="pct"/>
            <w:vAlign w:val="center"/>
          </w:tcPr>
          <w:p w14:paraId="595CE94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5C9945A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r>
      <w:tr w14:paraId="0FDC42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1D78258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60116DC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锌</w:t>
            </w:r>
          </w:p>
        </w:tc>
        <w:tc>
          <w:tcPr>
            <w:tcW w:w="1012" w:type="pct"/>
            <w:vAlign w:val="center"/>
          </w:tcPr>
          <w:p w14:paraId="266B47D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715D99E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r>
      <w:tr w14:paraId="65A9CD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43A601B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60AF7C5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铝</w:t>
            </w:r>
          </w:p>
        </w:tc>
        <w:tc>
          <w:tcPr>
            <w:tcW w:w="1012" w:type="pct"/>
            <w:vAlign w:val="center"/>
          </w:tcPr>
          <w:p w14:paraId="404E1E1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125BEDC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≤0.2</w:t>
            </w:r>
          </w:p>
        </w:tc>
      </w:tr>
      <w:tr w14:paraId="2758E6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7A2CFC8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219B93D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钠</w:t>
            </w:r>
          </w:p>
        </w:tc>
        <w:tc>
          <w:tcPr>
            <w:tcW w:w="1012" w:type="pct"/>
          </w:tcPr>
          <w:p w14:paraId="3C38CE64">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1D59856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≤200</w:t>
            </w:r>
          </w:p>
        </w:tc>
      </w:tr>
      <w:tr w14:paraId="25E772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24630DD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3167F74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阴离子表面活性剂</w:t>
            </w:r>
          </w:p>
        </w:tc>
        <w:tc>
          <w:tcPr>
            <w:tcW w:w="1012" w:type="pct"/>
          </w:tcPr>
          <w:p w14:paraId="559FFDC9">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4A4E417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≤0.3</w:t>
            </w:r>
          </w:p>
        </w:tc>
      </w:tr>
      <w:tr w14:paraId="5D5AE9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73E06DC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0D5B2E0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氨氮</w:t>
            </w:r>
          </w:p>
        </w:tc>
        <w:tc>
          <w:tcPr>
            <w:tcW w:w="1012" w:type="pct"/>
          </w:tcPr>
          <w:p w14:paraId="44617062">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26813D1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≤0.5</w:t>
            </w:r>
          </w:p>
        </w:tc>
      </w:tr>
      <w:tr w14:paraId="3ABC13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1F67B52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5080B9A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硝酸盐</w:t>
            </w:r>
          </w:p>
        </w:tc>
        <w:tc>
          <w:tcPr>
            <w:tcW w:w="1012" w:type="pct"/>
          </w:tcPr>
          <w:p w14:paraId="6F2ECDB2">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5083E99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w:t>
            </w:r>
          </w:p>
        </w:tc>
      </w:tr>
      <w:tr w14:paraId="74B365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4C69C28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2031F39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亚硝酸盐</w:t>
            </w:r>
          </w:p>
        </w:tc>
        <w:tc>
          <w:tcPr>
            <w:tcW w:w="1012" w:type="pct"/>
          </w:tcPr>
          <w:p w14:paraId="7E2E4026">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74F1EB5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r>
      <w:tr w14:paraId="6083B4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52896CB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070B12E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挥发性酚类</w:t>
            </w:r>
          </w:p>
        </w:tc>
        <w:tc>
          <w:tcPr>
            <w:tcW w:w="1012" w:type="pct"/>
          </w:tcPr>
          <w:p w14:paraId="6C82FD46">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6960173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≤0.002</w:t>
            </w:r>
          </w:p>
        </w:tc>
      </w:tr>
      <w:tr w14:paraId="7439C1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7A1140A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2B778D2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氰化物</w:t>
            </w:r>
          </w:p>
        </w:tc>
        <w:tc>
          <w:tcPr>
            <w:tcW w:w="1012" w:type="pct"/>
          </w:tcPr>
          <w:p w14:paraId="2912AD5C">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3194117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≤0.05</w:t>
            </w:r>
          </w:p>
        </w:tc>
      </w:tr>
      <w:tr w14:paraId="2B3027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23A08D6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1DFD43D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砷</w:t>
            </w:r>
          </w:p>
        </w:tc>
        <w:tc>
          <w:tcPr>
            <w:tcW w:w="1012" w:type="pct"/>
          </w:tcPr>
          <w:p w14:paraId="15E33BB3">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10973B9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≤0.01</w:t>
            </w:r>
          </w:p>
        </w:tc>
      </w:tr>
      <w:tr w14:paraId="53B4B1B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68902CA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70A23CF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汞</w:t>
            </w:r>
          </w:p>
        </w:tc>
        <w:tc>
          <w:tcPr>
            <w:tcW w:w="1012" w:type="pct"/>
          </w:tcPr>
          <w:p w14:paraId="7CBFE424">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12759CA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≤0.001</w:t>
            </w:r>
          </w:p>
        </w:tc>
      </w:tr>
      <w:tr w14:paraId="0FE3DD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2AA6C9F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7AAA5CE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铬（六价铬）</w:t>
            </w:r>
          </w:p>
        </w:tc>
        <w:tc>
          <w:tcPr>
            <w:tcW w:w="1012" w:type="pct"/>
          </w:tcPr>
          <w:p w14:paraId="53BCE4DE">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4DC28A0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≤0.05</w:t>
            </w:r>
          </w:p>
        </w:tc>
      </w:tr>
      <w:tr w14:paraId="6519EF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42C9A3F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019DC64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总硬度（以碳酸钙计）</w:t>
            </w:r>
          </w:p>
        </w:tc>
        <w:tc>
          <w:tcPr>
            <w:tcW w:w="1012" w:type="pct"/>
          </w:tcPr>
          <w:p w14:paraId="266BB42E">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6B544AA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≤450</w:t>
            </w:r>
          </w:p>
        </w:tc>
      </w:tr>
      <w:tr w14:paraId="6B69E6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5B17519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64E868E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铅</w:t>
            </w:r>
          </w:p>
        </w:tc>
        <w:tc>
          <w:tcPr>
            <w:tcW w:w="1012" w:type="pct"/>
          </w:tcPr>
          <w:p w14:paraId="73E40AD1">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2623E46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≤0.01</w:t>
            </w:r>
          </w:p>
        </w:tc>
      </w:tr>
      <w:tr w14:paraId="12BF2B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181CA35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1F259F0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氟化物</w:t>
            </w:r>
          </w:p>
        </w:tc>
        <w:tc>
          <w:tcPr>
            <w:tcW w:w="1012" w:type="pct"/>
          </w:tcPr>
          <w:p w14:paraId="30B9CC0E">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48AFA61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r>
      <w:tr w14:paraId="4FFB52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0BC528A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31F60FD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镉</w:t>
            </w:r>
          </w:p>
        </w:tc>
        <w:tc>
          <w:tcPr>
            <w:tcW w:w="1012" w:type="pct"/>
          </w:tcPr>
          <w:p w14:paraId="23D922D3">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1555539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≤0.005</w:t>
            </w:r>
          </w:p>
        </w:tc>
      </w:tr>
      <w:tr w14:paraId="60ED9E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7B959C9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0B5E20F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锰</w:t>
            </w:r>
          </w:p>
        </w:tc>
        <w:tc>
          <w:tcPr>
            <w:tcW w:w="1012" w:type="pct"/>
          </w:tcPr>
          <w:p w14:paraId="16A02D15">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2F39883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≤0.1</w:t>
            </w:r>
          </w:p>
        </w:tc>
      </w:tr>
      <w:tr w14:paraId="5ACB17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0C767B8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05AE6E5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铁</w:t>
            </w:r>
          </w:p>
        </w:tc>
        <w:tc>
          <w:tcPr>
            <w:tcW w:w="1012" w:type="pct"/>
          </w:tcPr>
          <w:p w14:paraId="62B85161">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29476D6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≤0.3</w:t>
            </w:r>
          </w:p>
        </w:tc>
      </w:tr>
      <w:tr w14:paraId="5AC660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6837B02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674C30D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溶解性总固体</w:t>
            </w:r>
          </w:p>
        </w:tc>
        <w:tc>
          <w:tcPr>
            <w:tcW w:w="1012" w:type="pct"/>
          </w:tcPr>
          <w:p w14:paraId="71F46335">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5B939BA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≤1000</w:t>
            </w:r>
          </w:p>
        </w:tc>
      </w:tr>
      <w:tr w14:paraId="393DCD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2D3FF20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293B82D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耗氧量</w:t>
            </w:r>
          </w:p>
        </w:tc>
        <w:tc>
          <w:tcPr>
            <w:tcW w:w="1012" w:type="pct"/>
          </w:tcPr>
          <w:p w14:paraId="1282014A">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426F96C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≤3.0</w:t>
            </w:r>
          </w:p>
        </w:tc>
      </w:tr>
      <w:tr w14:paraId="6110D5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637061D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7F17199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硫酸盐</w:t>
            </w:r>
          </w:p>
        </w:tc>
        <w:tc>
          <w:tcPr>
            <w:tcW w:w="1012" w:type="pct"/>
          </w:tcPr>
          <w:p w14:paraId="4F020C6F">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23E5325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≤250</w:t>
            </w:r>
          </w:p>
        </w:tc>
      </w:tr>
      <w:tr w14:paraId="4260EB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6F48B68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429D045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氯化物</w:t>
            </w:r>
          </w:p>
        </w:tc>
        <w:tc>
          <w:tcPr>
            <w:tcW w:w="1012" w:type="pct"/>
          </w:tcPr>
          <w:p w14:paraId="005F05DB">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613FBC8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≤250</w:t>
            </w:r>
          </w:p>
        </w:tc>
      </w:tr>
      <w:tr w14:paraId="629816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4383908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5BAD866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硫化物</w:t>
            </w:r>
          </w:p>
        </w:tc>
        <w:tc>
          <w:tcPr>
            <w:tcW w:w="1012" w:type="pct"/>
          </w:tcPr>
          <w:p w14:paraId="58B1D08E">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mg/L</w:t>
            </w:r>
          </w:p>
        </w:tc>
        <w:tc>
          <w:tcPr>
            <w:tcW w:w="1152" w:type="pct"/>
            <w:vAlign w:val="center"/>
          </w:tcPr>
          <w:p w14:paraId="0E3E070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≤0.02</w:t>
            </w:r>
          </w:p>
        </w:tc>
      </w:tr>
      <w:tr w14:paraId="5C014B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6766E45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1118F15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总大肠菌群</w:t>
            </w:r>
          </w:p>
        </w:tc>
        <w:tc>
          <w:tcPr>
            <w:tcW w:w="1012" w:type="pct"/>
          </w:tcPr>
          <w:p w14:paraId="27FC63E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MPN</w:t>
            </w:r>
            <w:r>
              <w:rPr>
                <w:rFonts w:hint="default" w:ascii="Times New Roman" w:hAnsi="Times New Roman" w:cs="Times New Roman"/>
                <w:color w:val="000000" w:themeColor="text1"/>
                <w:sz w:val="21"/>
                <w:szCs w:val="21"/>
                <w:vertAlign w:val="superscript"/>
                <w14:textFill>
                  <w14:solidFill>
                    <w14:schemeClr w14:val="tx1"/>
                  </w14:solidFill>
                </w14:textFill>
              </w:rPr>
              <w:t>b</w:t>
            </w:r>
            <w:r>
              <w:rPr>
                <w:rFonts w:hint="default" w:ascii="Times New Roman" w:hAnsi="Times New Roman" w:cs="Times New Roman"/>
                <w:color w:val="000000" w:themeColor="text1"/>
                <w:sz w:val="21"/>
                <w:szCs w:val="21"/>
                <w14:textFill>
                  <w14:solidFill>
                    <w14:schemeClr w14:val="tx1"/>
                  </w14:solidFill>
                </w14:textFill>
              </w:rPr>
              <w:t>/100mL</w:t>
            </w:r>
          </w:p>
        </w:tc>
        <w:tc>
          <w:tcPr>
            <w:tcW w:w="1152" w:type="pct"/>
            <w:vAlign w:val="center"/>
          </w:tcPr>
          <w:p w14:paraId="4E60ACF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14:textFill>
                  <w14:solidFill>
                    <w14:schemeClr w14:val="tx1"/>
                  </w14:solidFill>
                </w14:textFill>
              </w:rPr>
              <w:t>3.0</w:t>
            </w:r>
          </w:p>
        </w:tc>
      </w:tr>
      <w:tr w14:paraId="11CF9D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269" w:type="pct"/>
            <w:vMerge w:val="continue"/>
            <w:vAlign w:val="center"/>
          </w:tcPr>
          <w:p w14:paraId="065AB19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67" w:type="pct"/>
            <w:vAlign w:val="center"/>
          </w:tcPr>
          <w:p w14:paraId="097DB46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菌落总数</w:t>
            </w:r>
          </w:p>
        </w:tc>
        <w:tc>
          <w:tcPr>
            <w:tcW w:w="1012" w:type="pct"/>
          </w:tcPr>
          <w:p w14:paraId="134AC17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CFU/mL</w:t>
            </w:r>
          </w:p>
        </w:tc>
        <w:tc>
          <w:tcPr>
            <w:tcW w:w="1152" w:type="pct"/>
            <w:vAlign w:val="center"/>
          </w:tcPr>
          <w:p w14:paraId="3C8646C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default" w:ascii="Times New Roman" w:hAnsi="Times New Roman" w:cs="Times New Roman"/>
                <w:bCs/>
                <w:color w:val="000000" w:themeColor="text1"/>
                <w:sz w:val="21"/>
                <w:szCs w:val="21"/>
                <w14:textFill>
                  <w14:solidFill>
                    <w14:schemeClr w14:val="tx1"/>
                  </w14:solidFill>
                </w14:textFill>
              </w:rPr>
              <w:t>00</w:t>
            </w:r>
          </w:p>
        </w:tc>
      </w:tr>
    </w:tbl>
    <w:p w14:paraId="1910CEB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5、土壤环境质量评价标准</w:t>
      </w:r>
    </w:p>
    <w:p w14:paraId="635BC75D">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highlight w:val="yellow"/>
          <w14:textFill>
            <w14:solidFill>
              <w14:schemeClr w14:val="tx1"/>
            </w14:solidFill>
          </w14:textFill>
        </w:rPr>
        <w:t>评价范围内</w:t>
      </w:r>
      <w:r>
        <w:rPr>
          <w:rFonts w:hint="default" w:ascii="Times New Roman" w:hAnsi="Times New Roman" w:cs="Times New Roman"/>
          <w:color w:val="000000" w:themeColor="text1"/>
          <w14:textFill>
            <w14:solidFill>
              <w14:schemeClr w14:val="tx1"/>
            </w14:solidFill>
          </w14:textFill>
        </w:rPr>
        <w:t>建设用地土壤环境质量执行</w:t>
      </w:r>
      <w:r>
        <w:rPr>
          <w:rFonts w:hint="default" w:ascii="Times New Roman" w:hAnsi="Times New Roman" w:cs="Times New Roman"/>
          <w:bCs/>
          <w:color w:val="000000" w:themeColor="text1"/>
          <w14:textFill>
            <w14:solidFill>
              <w14:schemeClr w14:val="tx1"/>
            </w14:solidFill>
          </w14:textFill>
        </w:rPr>
        <w:t>《土壤环境质量建设用地土壤污染风险管控标准》（试行）（GB36600-2018）中第二类用地筛选值</w:t>
      </w:r>
      <w:r>
        <w:rPr>
          <w:rFonts w:hint="eastAsia" w:ascii="Times New Roman" w:hAnsi="Times New Roman" w:cs="Times New Roman"/>
          <w:bCs/>
          <w:color w:val="000000" w:themeColor="text1"/>
          <w:lang w:eastAsia="zh-CN"/>
          <w14:textFill>
            <w14:solidFill>
              <w14:schemeClr w14:val="tx1"/>
            </w14:solidFill>
          </w14:textFill>
        </w:rPr>
        <w:t>；</w:t>
      </w:r>
      <w:r>
        <w:rPr>
          <w:rFonts w:hint="eastAsia" w:ascii="Times New Roman" w:hAnsi="Times New Roman" w:cs="Times New Roman"/>
          <w:bCs/>
          <w:color w:val="000000" w:themeColor="text1"/>
          <w:lang w:eastAsia="zh-CN"/>
          <w14:textFill>
            <w14:solidFill>
              <w14:schemeClr w14:val="tx1"/>
            </w14:solidFill>
          </w14:textFill>
        </w:rPr>
        <w:t>项目区域外农用地pH、铜、镍、铅、镉、砷、汞、铬、锌土壤环境质量执行《土壤环境质量农用地土壤污染风险管控标准》（试行）（GB15618-2018）中风险筛选值</w:t>
      </w:r>
      <w:r>
        <w:rPr>
          <w:rFonts w:hint="default" w:ascii="Times New Roman" w:hAnsi="Times New Roman" w:cs="Times New Roman"/>
          <w:color w:val="000000" w:themeColor="text1"/>
          <w14:textFill>
            <w14:solidFill>
              <w14:schemeClr w14:val="tx1"/>
            </w14:solidFill>
          </w14:textFill>
        </w:rPr>
        <w:t>。主要污染物的评价标准列于表2.</w:t>
      </w:r>
      <w:r>
        <w:rPr>
          <w:rFonts w:hint="eastAsia"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-5中。</w:t>
      </w:r>
    </w:p>
    <w:p w14:paraId="47305E9A">
      <w:pPr>
        <w:adjustRightInd w:val="0"/>
        <w:spacing w:line="360" w:lineRule="auto"/>
        <w:jc w:val="center"/>
        <w:rPr>
          <w:rFonts w:hint="default" w:ascii="Times New Roman" w:hAnsi="Times New Roman" w:cs="Times New Roman"/>
          <w:b/>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5</w:t>
      </w:r>
      <w:r>
        <w:rPr>
          <w:rFonts w:hint="default" w:ascii="Times New Roman" w:hAnsi="Times New Roman" w:eastAsia="黑体" w:cs="Times New Roman"/>
          <w:bCs/>
          <w:color w:val="000000" w:themeColor="text1"/>
          <w:sz w:val="24"/>
          <w14:textFill>
            <w14:solidFill>
              <w14:schemeClr w14:val="tx1"/>
            </w14:solidFill>
          </w14:textFill>
        </w:rPr>
        <w:t>-5建设用地土壤环境质量执行标准单位：mg/kg</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0"/>
        <w:gridCol w:w="2275"/>
        <w:gridCol w:w="1853"/>
        <w:gridCol w:w="1796"/>
        <w:gridCol w:w="1778"/>
      </w:tblGrid>
      <w:tr w14:paraId="6B1E0D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763BC0F8">
            <w:pPr>
              <w:pStyle w:val="808"/>
              <w:snapToGrid/>
              <w:spacing w:line="276" w:lineRule="auto"/>
              <w:ind w:left="0" w:left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序号</w:t>
            </w:r>
          </w:p>
        </w:tc>
        <w:tc>
          <w:tcPr>
            <w:tcW w:w="1335" w:type="pct"/>
            <w:shd w:val="clear" w:color="auto" w:fill="auto"/>
            <w:vAlign w:val="center"/>
          </w:tcPr>
          <w:p w14:paraId="22969A6C">
            <w:pPr>
              <w:pStyle w:val="808"/>
              <w:snapToGrid/>
              <w:spacing w:line="276" w:lineRule="auto"/>
              <w:ind w:left="0" w:left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污染物项目</w:t>
            </w:r>
          </w:p>
        </w:tc>
        <w:tc>
          <w:tcPr>
            <w:tcW w:w="1087" w:type="pct"/>
            <w:shd w:val="clear" w:color="auto" w:fill="auto"/>
            <w:vAlign w:val="center"/>
          </w:tcPr>
          <w:p w14:paraId="3F862972">
            <w:pPr>
              <w:pStyle w:val="808"/>
              <w:snapToGrid/>
              <w:spacing w:line="276" w:lineRule="auto"/>
              <w:ind w:left="0" w:left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CAS编号</w:t>
            </w:r>
          </w:p>
        </w:tc>
        <w:tc>
          <w:tcPr>
            <w:tcW w:w="1054" w:type="pct"/>
            <w:shd w:val="clear" w:color="auto" w:fill="D9D9D9"/>
            <w:vAlign w:val="center"/>
          </w:tcPr>
          <w:p w14:paraId="0F4160A1">
            <w:pPr>
              <w:pStyle w:val="808"/>
              <w:snapToGrid/>
              <w:spacing w:line="276" w:lineRule="auto"/>
              <w:ind w:left="0" w:left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第一类用地</w:t>
            </w:r>
          </w:p>
        </w:tc>
        <w:tc>
          <w:tcPr>
            <w:tcW w:w="1040" w:type="pct"/>
            <w:shd w:val="clear" w:color="auto" w:fill="D9D9D9"/>
            <w:vAlign w:val="center"/>
          </w:tcPr>
          <w:p w14:paraId="0418E23E">
            <w:pPr>
              <w:pStyle w:val="808"/>
              <w:snapToGrid/>
              <w:spacing w:line="276" w:lineRule="auto"/>
              <w:ind w:left="0" w:left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第二类用地</w:t>
            </w:r>
          </w:p>
        </w:tc>
      </w:tr>
      <w:tr w14:paraId="4D229C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5"/>
            <w:shd w:val="clear" w:color="auto" w:fill="D9D9D9"/>
            <w:vAlign w:val="center"/>
          </w:tcPr>
          <w:p w14:paraId="2C87CD85">
            <w:pPr>
              <w:pStyle w:val="808"/>
              <w:snapToGrid/>
              <w:spacing w:line="276" w:lineRule="auto"/>
              <w:ind w:left="0" w:leftChars="0"/>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重金属和无机物</w:t>
            </w:r>
          </w:p>
        </w:tc>
      </w:tr>
      <w:tr w14:paraId="2C69FC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1D867DF5">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335" w:type="pct"/>
            <w:shd w:val="clear" w:color="auto" w:fill="auto"/>
            <w:vAlign w:val="center"/>
          </w:tcPr>
          <w:p w14:paraId="69392635">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砷</w:t>
            </w:r>
          </w:p>
        </w:tc>
        <w:tc>
          <w:tcPr>
            <w:tcW w:w="1087" w:type="pct"/>
            <w:shd w:val="clear" w:color="auto" w:fill="auto"/>
            <w:vAlign w:val="center"/>
          </w:tcPr>
          <w:p w14:paraId="75B5B689">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7440-38-2</w:t>
            </w:r>
          </w:p>
        </w:tc>
        <w:tc>
          <w:tcPr>
            <w:tcW w:w="1054" w:type="pct"/>
            <w:shd w:val="clear" w:color="auto" w:fill="D9D9D9"/>
            <w:vAlign w:val="center"/>
          </w:tcPr>
          <w:p w14:paraId="75A665E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w:t>
            </w:r>
          </w:p>
        </w:tc>
        <w:tc>
          <w:tcPr>
            <w:tcW w:w="1040" w:type="pct"/>
            <w:shd w:val="clear" w:color="auto" w:fill="D9D9D9"/>
            <w:vAlign w:val="center"/>
          </w:tcPr>
          <w:p w14:paraId="00A0EB4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60</w:t>
            </w:r>
          </w:p>
        </w:tc>
      </w:tr>
      <w:tr w14:paraId="36BC15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591A2CE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1335" w:type="pct"/>
            <w:shd w:val="clear" w:color="auto" w:fill="auto"/>
            <w:vAlign w:val="center"/>
          </w:tcPr>
          <w:p w14:paraId="697B005F">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镉</w:t>
            </w:r>
          </w:p>
        </w:tc>
        <w:tc>
          <w:tcPr>
            <w:tcW w:w="1087" w:type="pct"/>
            <w:shd w:val="clear" w:color="auto" w:fill="auto"/>
            <w:vAlign w:val="center"/>
          </w:tcPr>
          <w:p w14:paraId="58892D68">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7440-43-9</w:t>
            </w:r>
          </w:p>
        </w:tc>
        <w:tc>
          <w:tcPr>
            <w:tcW w:w="1054" w:type="pct"/>
            <w:shd w:val="clear" w:color="auto" w:fill="D9D9D9"/>
            <w:vAlign w:val="center"/>
          </w:tcPr>
          <w:p w14:paraId="458BF45E">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w:t>
            </w:r>
          </w:p>
        </w:tc>
        <w:tc>
          <w:tcPr>
            <w:tcW w:w="1040" w:type="pct"/>
            <w:shd w:val="clear" w:color="auto" w:fill="D9D9D9"/>
            <w:vAlign w:val="center"/>
          </w:tcPr>
          <w:p w14:paraId="0D733C10">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65</w:t>
            </w:r>
          </w:p>
        </w:tc>
      </w:tr>
      <w:tr w14:paraId="263E4B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3CC76D5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1335" w:type="pct"/>
            <w:shd w:val="clear" w:color="auto" w:fill="auto"/>
            <w:vAlign w:val="center"/>
          </w:tcPr>
          <w:p w14:paraId="51553AE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六价铬</w:t>
            </w:r>
          </w:p>
        </w:tc>
        <w:tc>
          <w:tcPr>
            <w:tcW w:w="1087" w:type="pct"/>
            <w:shd w:val="clear" w:color="auto" w:fill="auto"/>
            <w:vAlign w:val="center"/>
          </w:tcPr>
          <w:p w14:paraId="39527096">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18540-29-9</w:t>
            </w:r>
          </w:p>
        </w:tc>
        <w:tc>
          <w:tcPr>
            <w:tcW w:w="1054" w:type="pct"/>
            <w:shd w:val="clear" w:color="auto" w:fill="D9D9D9"/>
            <w:vAlign w:val="center"/>
          </w:tcPr>
          <w:p w14:paraId="573C50F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3.0</w:t>
            </w:r>
          </w:p>
        </w:tc>
        <w:tc>
          <w:tcPr>
            <w:tcW w:w="1040" w:type="pct"/>
            <w:shd w:val="clear" w:color="auto" w:fill="D9D9D9"/>
            <w:vAlign w:val="center"/>
          </w:tcPr>
          <w:p w14:paraId="4D8C27BE">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5.7</w:t>
            </w:r>
          </w:p>
        </w:tc>
      </w:tr>
      <w:tr w14:paraId="38B8AD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23075CF6">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1335" w:type="pct"/>
            <w:shd w:val="clear" w:color="auto" w:fill="auto"/>
            <w:vAlign w:val="center"/>
          </w:tcPr>
          <w:p w14:paraId="17F2D637">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铜</w:t>
            </w:r>
          </w:p>
        </w:tc>
        <w:tc>
          <w:tcPr>
            <w:tcW w:w="1087" w:type="pct"/>
            <w:shd w:val="clear" w:color="auto" w:fill="auto"/>
            <w:vAlign w:val="center"/>
          </w:tcPr>
          <w:p w14:paraId="16EBF16B">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7440-50-8</w:t>
            </w:r>
          </w:p>
        </w:tc>
        <w:tc>
          <w:tcPr>
            <w:tcW w:w="1054" w:type="pct"/>
            <w:shd w:val="clear" w:color="auto" w:fill="D9D9D9"/>
            <w:vAlign w:val="center"/>
          </w:tcPr>
          <w:p w14:paraId="4449C35B">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2000</w:t>
            </w:r>
          </w:p>
        </w:tc>
        <w:tc>
          <w:tcPr>
            <w:tcW w:w="1040" w:type="pct"/>
            <w:shd w:val="clear" w:color="auto" w:fill="D9D9D9"/>
            <w:vAlign w:val="center"/>
          </w:tcPr>
          <w:p w14:paraId="465CE22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18000</w:t>
            </w:r>
          </w:p>
        </w:tc>
      </w:tr>
      <w:tr w14:paraId="645E73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2CE12C6E">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1335" w:type="pct"/>
            <w:shd w:val="clear" w:color="auto" w:fill="auto"/>
            <w:vAlign w:val="center"/>
          </w:tcPr>
          <w:p w14:paraId="504D61FD">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铅</w:t>
            </w:r>
          </w:p>
        </w:tc>
        <w:tc>
          <w:tcPr>
            <w:tcW w:w="1087" w:type="pct"/>
            <w:shd w:val="clear" w:color="auto" w:fill="auto"/>
            <w:vAlign w:val="center"/>
          </w:tcPr>
          <w:p w14:paraId="371620F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7439-92-1</w:t>
            </w:r>
          </w:p>
        </w:tc>
        <w:tc>
          <w:tcPr>
            <w:tcW w:w="1054" w:type="pct"/>
            <w:shd w:val="clear" w:color="auto" w:fill="D9D9D9"/>
            <w:vAlign w:val="center"/>
          </w:tcPr>
          <w:p w14:paraId="4A9AD20B">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400</w:t>
            </w:r>
          </w:p>
        </w:tc>
        <w:tc>
          <w:tcPr>
            <w:tcW w:w="1040" w:type="pct"/>
            <w:shd w:val="clear" w:color="auto" w:fill="D9D9D9"/>
            <w:vAlign w:val="center"/>
          </w:tcPr>
          <w:p w14:paraId="261C849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800</w:t>
            </w:r>
          </w:p>
        </w:tc>
      </w:tr>
      <w:tr w14:paraId="6E311F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1E8267F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1335" w:type="pct"/>
            <w:shd w:val="clear" w:color="auto" w:fill="auto"/>
            <w:vAlign w:val="center"/>
          </w:tcPr>
          <w:p w14:paraId="5640D0E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汞</w:t>
            </w:r>
          </w:p>
        </w:tc>
        <w:tc>
          <w:tcPr>
            <w:tcW w:w="1087" w:type="pct"/>
            <w:shd w:val="clear" w:color="auto" w:fill="auto"/>
            <w:vAlign w:val="center"/>
          </w:tcPr>
          <w:p w14:paraId="7EF9D1AB">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7439-97-6</w:t>
            </w:r>
          </w:p>
        </w:tc>
        <w:tc>
          <w:tcPr>
            <w:tcW w:w="1054" w:type="pct"/>
            <w:shd w:val="clear" w:color="auto" w:fill="D9D9D9"/>
            <w:vAlign w:val="center"/>
          </w:tcPr>
          <w:p w14:paraId="6B202D4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1040" w:type="pct"/>
            <w:shd w:val="clear" w:color="auto" w:fill="D9D9D9"/>
            <w:vAlign w:val="center"/>
          </w:tcPr>
          <w:p w14:paraId="58B6E3F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38</w:t>
            </w:r>
          </w:p>
        </w:tc>
      </w:tr>
      <w:tr w14:paraId="50135D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5E7CA878">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1335" w:type="pct"/>
            <w:shd w:val="clear" w:color="auto" w:fill="auto"/>
            <w:vAlign w:val="center"/>
          </w:tcPr>
          <w:p w14:paraId="7D3BB3C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镍</w:t>
            </w:r>
          </w:p>
        </w:tc>
        <w:tc>
          <w:tcPr>
            <w:tcW w:w="1087" w:type="pct"/>
            <w:shd w:val="clear" w:color="auto" w:fill="auto"/>
            <w:vAlign w:val="center"/>
          </w:tcPr>
          <w:p w14:paraId="2210A2B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7440-02-0</w:t>
            </w:r>
          </w:p>
        </w:tc>
        <w:tc>
          <w:tcPr>
            <w:tcW w:w="1054" w:type="pct"/>
            <w:shd w:val="clear" w:color="auto" w:fill="D9D9D9"/>
            <w:vAlign w:val="center"/>
          </w:tcPr>
          <w:p w14:paraId="19A2734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150</w:t>
            </w:r>
          </w:p>
        </w:tc>
        <w:tc>
          <w:tcPr>
            <w:tcW w:w="1040" w:type="pct"/>
            <w:shd w:val="clear" w:color="auto" w:fill="D9D9D9"/>
            <w:vAlign w:val="center"/>
          </w:tcPr>
          <w:p w14:paraId="4DFD974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w:t>
            </w:r>
          </w:p>
        </w:tc>
      </w:tr>
      <w:tr w14:paraId="741619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5"/>
            <w:shd w:val="clear" w:color="auto" w:fill="D9D9D9"/>
            <w:vAlign w:val="center"/>
          </w:tcPr>
          <w:p w14:paraId="11A04916">
            <w:pPr>
              <w:pStyle w:val="808"/>
              <w:snapToGrid/>
              <w:spacing w:line="276" w:lineRule="auto"/>
              <w:ind w:left="0" w:leftChars="0"/>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挥发性有机物</w:t>
            </w:r>
          </w:p>
        </w:tc>
      </w:tr>
      <w:tr w14:paraId="735896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52C16F4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1335" w:type="pct"/>
            <w:shd w:val="clear" w:color="auto" w:fill="auto"/>
            <w:vAlign w:val="center"/>
          </w:tcPr>
          <w:p w14:paraId="761C0CFD">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四氯化碳</w:t>
            </w:r>
          </w:p>
        </w:tc>
        <w:tc>
          <w:tcPr>
            <w:tcW w:w="1087" w:type="pct"/>
            <w:shd w:val="clear" w:color="auto" w:fill="auto"/>
            <w:vAlign w:val="center"/>
          </w:tcPr>
          <w:p w14:paraId="18C40E1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56-23-5</w:t>
            </w:r>
          </w:p>
        </w:tc>
        <w:tc>
          <w:tcPr>
            <w:tcW w:w="1054" w:type="pct"/>
            <w:shd w:val="clear" w:color="auto" w:fill="D9D9D9"/>
            <w:vAlign w:val="center"/>
          </w:tcPr>
          <w:p w14:paraId="23ECC766">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0.9</w:t>
            </w:r>
          </w:p>
        </w:tc>
        <w:tc>
          <w:tcPr>
            <w:tcW w:w="1040" w:type="pct"/>
            <w:shd w:val="clear" w:color="auto" w:fill="D9D9D9"/>
            <w:vAlign w:val="center"/>
          </w:tcPr>
          <w:p w14:paraId="3785F0BE">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2.8</w:t>
            </w:r>
          </w:p>
        </w:tc>
      </w:tr>
      <w:tr w14:paraId="005B9B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3D9ECD75">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w:t>
            </w:r>
          </w:p>
        </w:tc>
        <w:tc>
          <w:tcPr>
            <w:tcW w:w="1335" w:type="pct"/>
            <w:shd w:val="clear" w:color="auto" w:fill="auto"/>
            <w:vAlign w:val="center"/>
          </w:tcPr>
          <w:p w14:paraId="0233A85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氯仿</w:t>
            </w:r>
          </w:p>
        </w:tc>
        <w:tc>
          <w:tcPr>
            <w:tcW w:w="1087" w:type="pct"/>
            <w:shd w:val="clear" w:color="auto" w:fill="auto"/>
            <w:vAlign w:val="center"/>
          </w:tcPr>
          <w:p w14:paraId="29481F26">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67-66-3</w:t>
            </w:r>
          </w:p>
        </w:tc>
        <w:tc>
          <w:tcPr>
            <w:tcW w:w="1054" w:type="pct"/>
            <w:shd w:val="clear" w:color="auto" w:fill="D9D9D9"/>
            <w:vAlign w:val="center"/>
          </w:tcPr>
          <w:p w14:paraId="1388B756">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0.3</w:t>
            </w:r>
          </w:p>
        </w:tc>
        <w:tc>
          <w:tcPr>
            <w:tcW w:w="1040" w:type="pct"/>
            <w:shd w:val="clear" w:color="auto" w:fill="D9D9D9"/>
            <w:vAlign w:val="center"/>
          </w:tcPr>
          <w:p w14:paraId="10B4A7E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0.9</w:t>
            </w:r>
          </w:p>
        </w:tc>
      </w:tr>
      <w:tr w14:paraId="4A84A9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795A94C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c>
          <w:tcPr>
            <w:tcW w:w="1335" w:type="pct"/>
            <w:shd w:val="clear" w:color="auto" w:fill="auto"/>
            <w:vAlign w:val="center"/>
          </w:tcPr>
          <w:p w14:paraId="2E77717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氯甲烷</w:t>
            </w:r>
          </w:p>
        </w:tc>
        <w:tc>
          <w:tcPr>
            <w:tcW w:w="1087" w:type="pct"/>
            <w:shd w:val="clear" w:color="auto" w:fill="auto"/>
            <w:vAlign w:val="center"/>
          </w:tcPr>
          <w:p w14:paraId="1649E639">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74-87-3</w:t>
            </w:r>
          </w:p>
        </w:tc>
        <w:tc>
          <w:tcPr>
            <w:tcW w:w="1054" w:type="pct"/>
            <w:shd w:val="clear" w:color="auto" w:fill="D9D9D9"/>
            <w:vAlign w:val="center"/>
          </w:tcPr>
          <w:p w14:paraId="5AC02325">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040" w:type="pct"/>
            <w:shd w:val="clear" w:color="auto" w:fill="D9D9D9"/>
            <w:vAlign w:val="center"/>
          </w:tcPr>
          <w:p w14:paraId="66D1F77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37</w:t>
            </w:r>
          </w:p>
        </w:tc>
      </w:tr>
      <w:tr w14:paraId="13D9EA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38B3ED0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w:t>
            </w:r>
          </w:p>
        </w:tc>
        <w:tc>
          <w:tcPr>
            <w:tcW w:w="1335" w:type="pct"/>
            <w:shd w:val="clear" w:color="auto" w:fill="auto"/>
            <w:vAlign w:val="center"/>
          </w:tcPr>
          <w:p w14:paraId="380F980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1,1-二氯乙烷</w:t>
            </w:r>
          </w:p>
        </w:tc>
        <w:tc>
          <w:tcPr>
            <w:tcW w:w="1087" w:type="pct"/>
            <w:shd w:val="clear" w:color="auto" w:fill="auto"/>
            <w:vAlign w:val="center"/>
          </w:tcPr>
          <w:p w14:paraId="5DB823C5">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75-34-3</w:t>
            </w:r>
          </w:p>
        </w:tc>
        <w:tc>
          <w:tcPr>
            <w:tcW w:w="1054" w:type="pct"/>
            <w:shd w:val="clear" w:color="auto" w:fill="D9D9D9"/>
            <w:vAlign w:val="center"/>
          </w:tcPr>
          <w:p w14:paraId="28D639F7">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1040" w:type="pct"/>
            <w:shd w:val="clear" w:color="auto" w:fill="D9D9D9"/>
            <w:vAlign w:val="center"/>
          </w:tcPr>
          <w:p w14:paraId="284E13E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w:t>
            </w:r>
          </w:p>
        </w:tc>
      </w:tr>
      <w:tr w14:paraId="6E21CB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1E0FCB1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335" w:type="pct"/>
            <w:shd w:val="clear" w:color="auto" w:fill="auto"/>
            <w:vAlign w:val="center"/>
          </w:tcPr>
          <w:p w14:paraId="4BF325A8">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1,2-二氯乙烷</w:t>
            </w:r>
          </w:p>
        </w:tc>
        <w:tc>
          <w:tcPr>
            <w:tcW w:w="1087" w:type="pct"/>
            <w:shd w:val="clear" w:color="auto" w:fill="auto"/>
            <w:vAlign w:val="center"/>
          </w:tcPr>
          <w:p w14:paraId="657E17EE">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107-06-2</w:t>
            </w:r>
          </w:p>
        </w:tc>
        <w:tc>
          <w:tcPr>
            <w:tcW w:w="1054" w:type="pct"/>
            <w:shd w:val="clear" w:color="auto" w:fill="D9D9D9"/>
            <w:vAlign w:val="center"/>
          </w:tcPr>
          <w:p w14:paraId="50EB502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0.52</w:t>
            </w:r>
          </w:p>
        </w:tc>
        <w:tc>
          <w:tcPr>
            <w:tcW w:w="1040" w:type="pct"/>
            <w:shd w:val="clear" w:color="auto" w:fill="D9D9D9"/>
            <w:vAlign w:val="center"/>
          </w:tcPr>
          <w:p w14:paraId="119AE99F">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r>
      <w:tr w14:paraId="6099F1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0650593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13</w:t>
            </w:r>
          </w:p>
        </w:tc>
        <w:tc>
          <w:tcPr>
            <w:tcW w:w="1335" w:type="pct"/>
            <w:shd w:val="clear" w:color="auto" w:fill="auto"/>
            <w:vAlign w:val="center"/>
          </w:tcPr>
          <w:p w14:paraId="705A356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1,1-二氯乙烯</w:t>
            </w:r>
          </w:p>
        </w:tc>
        <w:tc>
          <w:tcPr>
            <w:tcW w:w="1087" w:type="pct"/>
            <w:shd w:val="clear" w:color="auto" w:fill="auto"/>
            <w:vAlign w:val="center"/>
          </w:tcPr>
          <w:p w14:paraId="19F91DC7">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75-35-4</w:t>
            </w:r>
          </w:p>
        </w:tc>
        <w:tc>
          <w:tcPr>
            <w:tcW w:w="1054" w:type="pct"/>
            <w:shd w:val="clear" w:color="auto" w:fill="D9D9D9"/>
            <w:vAlign w:val="center"/>
          </w:tcPr>
          <w:p w14:paraId="33589D06">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040" w:type="pct"/>
            <w:shd w:val="clear" w:color="auto" w:fill="D9D9D9"/>
            <w:vAlign w:val="center"/>
          </w:tcPr>
          <w:p w14:paraId="5030D858">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66</w:t>
            </w:r>
          </w:p>
        </w:tc>
      </w:tr>
      <w:tr w14:paraId="6A6D18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2B0F4FCE">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14</w:t>
            </w:r>
          </w:p>
        </w:tc>
        <w:tc>
          <w:tcPr>
            <w:tcW w:w="1335" w:type="pct"/>
            <w:shd w:val="clear" w:color="auto" w:fill="auto"/>
            <w:vAlign w:val="center"/>
          </w:tcPr>
          <w:p w14:paraId="164CA96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顺-1,2-二氯乙烯</w:t>
            </w:r>
          </w:p>
        </w:tc>
        <w:tc>
          <w:tcPr>
            <w:tcW w:w="1087" w:type="pct"/>
            <w:shd w:val="clear" w:color="auto" w:fill="auto"/>
            <w:vAlign w:val="center"/>
          </w:tcPr>
          <w:p w14:paraId="7000DBC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156-59-2</w:t>
            </w:r>
          </w:p>
        </w:tc>
        <w:tc>
          <w:tcPr>
            <w:tcW w:w="1054" w:type="pct"/>
            <w:shd w:val="clear" w:color="auto" w:fill="D9D9D9"/>
            <w:vAlign w:val="center"/>
          </w:tcPr>
          <w:p w14:paraId="15DDAF1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66</w:t>
            </w:r>
          </w:p>
        </w:tc>
        <w:tc>
          <w:tcPr>
            <w:tcW w:w="1040" w:type="pct"/>
            <w:shd w:val="clear" w:color="auto" w:fill="D9D9D9"/>
            <w:vAlign w:val="center"/>
          </w:tcPr>
          <w:p w14:paraId="200E24B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596</w:t>
            </w:r>
          </w:p>
        </w:tc>
      </w:tr>
      <w:tr w14:paraId="52EBF1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55034CE0">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c>
          <w:tcPr>
            <w:tcW w:w="1335" w:type="pct"/>
            <w:shd w:val="clear" w:color="auto" w:fill="auto"/>
            <w:vAlign w:val="center"/>
          </w:tcPr>
          <w:p w14:paraId="3B784889">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反-1,2-二氯乙烯</w:t>
            </w:r>
          </w:p>
        </w:tc>
        <w:tc>
          <w:tcPr>
            <w:tcW w:w="1087" w:type="pct"/>
            <w:shd w:val="clear" w:color="auto" w:fill="auto"/>
            <w:vAlign w:val="center"/>
          </w:tcPr>
          <w:p w14:paraId="28B1E65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156-60-5</w:t>
            </w:r>
          </w:p>
        </w:tc>
        <w:tc>
          <w:tcPr>
            <w:tcW w:w="1054" w:type="pct"/>
            <w:shd w:val="clear" w:color="auto" w:fill="D9D9D9"/>
            <w:vAlign w:val="center"/>
          </w:tcPr>
          <w:p w14:paraId="4F8A6B5E">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c>
          <w:tcPr>
            <w:tcW w:w="1040" w:type="pct"/>
            <w:shd w:val="clear" w:color="auto" w:fill="D9D9D9"/>
            <w:vAlign w:val="center"/>
          </w:tcPr>
          <w:p w14:paraId="5D4CC640">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54</w:t>
            </w:r>
          </w:p>
        </w:tc>
      </w:tr>
      <w:tr w14:paraId="4AA4C9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6E9F904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16</w:t>
            </w:r>
          </w:p>
        </w:tc>
        <w:tc>
          <w:tcPr>
            <w:tcW w:w="1335" w:type="pct"/>
            <w:shd w:val="clear" w:color="auto" w:fill="auto"/>
            <w:vAlign w:val="center"/>
          </w:tcPr>
          <w:p w14:paraId="4EDADEC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二氯甲烷</w:t>
            </w:r>
          </w:p>
        </w:tc>
        <w:tc>
          <w:tcPr>
            <w:tcW w:w="1087" w:type="pct"/>
            <w:shd w:val="clear" w:color="auto" w:fill="auto"/>
            <w:vAlign w:val="center"/>
          </w:tcPr>
          <w:p w14:paraId="07A8A019">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75-09-2</w:t>
            </w:r>
          </w:p>
        </w:tc>
        <w:tc>
          <w:tcPr>
            <w:tcW w:w="1054" w:type="pct"/>
            <w:shd w:val="clear" w:color="auto" w:fill="D9D9D9"/>
            <w:vAlign w:val="center"/>
          </w:tcPr>
          <w:p w14:paraId="71C210EF">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94</w:t>
            </w:r>
          </w:p>
        </w:tc>
        <w:tc>
          <w:tcPr>
            <w:tcW w:w="1040" w:type="pct"/>
            <w:shd w:val="clear" w:color="auto" w:fill="D9D9D9"/>
            <w:vAlign w:val="center"/>
          </w:tcPr>
          <w:p w14:paraId="7FE0131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616</w:t>
            </w:r>
          </w:p>
        </w:tc>
      </w:tr>
      <w:tr w14:paraId="0B2B80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278CECDE">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17</w:t>
            </w:r>
          </w:p>
        </w:tc>
        <w:tc>
          <w:tcPr>
            <w:tcW w:w="1335" w:type="pct"/>
            <w:shd w:val="clear" w:color="auto" w:fill="auto"/>
            <w:vAlign w:val="center"/>
          </w:tcPr>
          <w:p w14:paraId="2FEA589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1,2-二氯丙烷</w:t>
            </w:r>
          </w:p>
        </w:tc>
        <w:tc>
          <w:tcPr>
            <w:tcW w:w="1087" w:type="pct"/>
            <w:shd w:val="clear" w:color="auto" w:fill="auto"/>
            <w:vAlign w:val="center"/>
          </w:tcPr>
          <w:p w14:paraId="77C6BBC0">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78-87-5</w:t>
            </w:r>
          </w:p>
        </w:tc>
        <w:tc>
          <w:tcPr>
            <w:tcW w:w="1054" w:type="pct"/>
            <w:shd w:val="clear" w:color="auto" w:fill="D9D9D9"/>
            <w:vAlign w:val="center"/>
          </w:tcPr>
          <w:p w14:paraId="08E1A44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040" w:type="pct"/>
            <w:shd w:val="clear" w:color="auto" w:fill="D9D9D9"/>
            <w:vAlign w:val="center"/>
          </w:tcPr>
          <w:p w14:paraId="1391ED9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r>
      <w:tr w14:paraId="4D4233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6FD2903F">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18</w:t>
            </w:r>
          </w:p>
        </w:tc>
        <w:tc>
          <w:tcPr>
            <w:tcW w:w="1335" w:type="pct"/>
            <w:shd w:val="clear" w:color="auto" w:fill="auto"/>
            <w:vAlign w:val="center"/>
          </w:tcPr>
          <w:p w14:paraId="3B14819D">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1,1,1,2-四氯乙烷</w:t>
            </w:r>
          </w:p>
        </w:tc>
        <w:tc>
          <w:tcPr>
            <w:tcW w:w="1087" w:type="pct"/>
            <w:shd w:val="clear" w:color="auto" w:fill="auto"/>
            <w:vAlign w:val="center"/>
          </w:tcPr>
          <w:p w14:paraId="557EF6F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630-20-6</w:t>
            </w:r>
          </w:p>
        </w:tc>
        <w:tc>
          <w:tcPr>
            <w:tcW w:w="1054" w:type="pct"/>
            <w:shd w:val="clear" w:color="auto" w:fill="D9D9D9"/>
            <w:vAlign w:val="center"/>
          </w:tcPr>
          <w:p w14:paraId="4123912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2.6</w:t>
            </w:r>
          </w:p>
        </w:tc>
        <w:tc>
          <w:tcPr>
            <w:tcW w:w="1040" w:type="pct"/>
            <w:shd w:val="clear" w:color="auto" w:fill="D9D9D9"/>
            <w:vAlign w:val="center"/>
          </w:tcPr>
          <w:p w14:paraId="75B2D160">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r>
      <w:tr w14:paraId="1250C0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788B937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19</w:t>
            </w:r>
          </w:p>
        </w:tc>
        <w:tc>
          <w:tcPr>
            <w:tcW w:w="1335" w:type="pct"/>
            <w:shd w:val="clear" w:color="auto" w:fill="auto"/>
            <w:vAlign w:val="center"/>
          </w:tcPr>
          <w:p w14:paraId="4C9466DF">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1,1,2,2-四氯乙烷</w:t>
            </w:r>
          </w:p>
        </w:tc>
        <w:tc>
          <w:tcPr>
            <w:tcW w:w="1087" w:type="pct"/>
            <w:shd w:val="clear" w:color="auto" w:fill="auto"/>
            <w:vAlign w:val="center"/>
          </w:tcPr>
          <w:p w14:paraId="7807A265">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79-34-5</w:t>
            </w:r>
          </w:p>
        </w:tc>
        <w:tc>
          <w:tcPr>
            <w:tcW w:w="1054" w:type="pct"/>
            <w:shd w:val="clear" w:color="auto" w:fill="D9D9D9"/>
            <w:vAlign w:val="center"/>
          </w:tcPr>
          <w:p w14:paraId="11C943A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1.6</w:t>
            </w:r>
          </w:p>
        </w:tc>
        <w:tc>
          <w:tcPr>
            <w:tcW w:w="1040" w:type="pct"/>
            <w:shd w:val="clear" w:color="auto" w:fill="D9D9D9"/>
            <w:vAlign w:val="center"/>
          </w:tcPr>
          <w:p w14:paraId="29A45DF7">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6.8</w:t>
            </w:r>
          </w:p>
        </w:tc>
      </w:tr>
      <w:tr w14:paraId="2DD731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6497F3A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w:t>
            </w:r>
          </w:p>
        </w:tc>
        <w:tc>
          <w:tcPr>
            <w:tcW w:w="1335" w:type="pct"/>
            <w:shd w:val="clear" w:color="auto" w:fill="auto"/>
            <w:vAlign w:val="center"/>
          </w:tcPr>
          <w:p w14:paraId="78C17CC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四氯乙烯</w:t>
            </w:r>
          </w:p>
        </w:tc>
        <w:tc>
          <w:tcPr>
            <w:tcW w:w="1087" w:type="pct"/>
            <w:shd w:val="clear" w:color="auto" w:fill="auto"/>
            <w:vAlign w:val="center"/>
          </w:tcPr>
          <w:p w14:paraId="65029DD8">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127-18-4</w:t>
            </w:r>
          </w:p>
        </w:tc>
        <w:tc>
          <w:tcPr>
            <w:tcW w:w="1054" w:type="pct"/>
            <w:shd w:val="clear" w:color="auto" w:fill="D9D9D9"/>
            <w:vAlign w:val="center"/>
          </w:tcPr>
          <w:p w14:paraId="68F65A2D">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w:t>
            </w:r>
          </w:p>
        </w:tc>
        <w:tc>
          <w:tcPr>
            <w:tcW w:w="1040" w:type="pct"/>
            <w:shd w:val="clear" w:color="auto" w:fill="D9D9D9"/>
            <w:vAlign w:val="center"/>
          </w:tcPr>
          <w:p w14:paraId="3DE84146">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53</w:t>
            </w:r>
          </w:p>
        </w:tc>
      </w:tr>
      <w:tr w14:paraId="336637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3AEF6C3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21</w:t>
            </w:r>
          </w:p>
        </w:tc>
        <w:tc>
          <w:tcPr>
            <w:tcW w:w="1335" w:type="pct"/>
            <w:shd w:val="clear" w:color="auto" w:fill="auto"/>
            <w:vAlign w:val="center"/>
          </w:tcPr>
          <w:p w14:paraId="08574DA7">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1,1,1-三氯乙烷</w:t>
            </w:r>
          </w:p>
        </w:tc>
        <w:tc>
          <w:tcPr>
            <w:tcW w:w="1087" w:type="pct"/>
            <w:shd w:val="clear" w:color="auto" w:fill="auto"/>
            <w:vAlign w:val="center"/>
          </w:tcPr>
          <w:p w14:paraId="0E4B22A6">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71-55-6</w:t>
            </w:r>
          </w:p>
        </w:tc>
        <w:tc>
          <w:tcPr>
            <w:tcW w:w="1054" w:type="pct"/>
            <w:shd w:val="clear" w:color="auto" w:fill="D9D9D9"/>
            <w:vAlign w:val="center"/>
          </w:tcPr>
          <w:p w14:paraId="1C04A64F">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701</w:t>
            </w:r>
          </w:p>
        </w:tc>
        <w:tc>
          <w:tcPr>
            <w:tcW w:w="1040" w:type="pct"/>
            <w:shd w:val="clear" w:color="auto" w:fill="D9D9D9"/>
            <w:vAlign w:val="center"/>
          </w:tcPr>
          <w:p w14:paraId="7A60EE0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840</w:t>
            </w:r>
          </w:p>
        </w:tc>
      </w:tr>
      <w:tr w14:paraId="0F8921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1D17105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22</w:t>
            </w:r>
          </w:p>
        </w:tc>
        <w:tc>
          <w:tcPr>
            <w:tcW w:w="1335" w:type="pct"/>
            <w:shd w:val="clear" w:color="auto" w:fill="auto"/>
            <w:vAlign w:val="center"/>
          </w:tcPr>
          <w:p w14:paraId="71FF7018">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1,1,2-三氯乙烷</w:t>
            </w:r>
          </w:p>
        </w:tc>
        <w:tc>
          <w:tcPr>
            <w:tcW w:w="1087" w:type="pct"/>
            <w:shd w:val="clear" w:color="auto" w:fill="auto"/>
            <w:vAlign w:val="center"/>
          </w:tcPr>
          <w:p w14:paraId="10F34E45">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79-00-5</w:t>
            </w:r>
          </w:p>
        </w:tc>
        <w:tc>
          <w:tcPr>
            <w:tcW w:w="1054" w:type="pct"/>
            <w:shd w:val="clear" w:color="auto" w:fill="D9D9D9"/>
            <w:vAlign w:val="center"/>
          </w:tcPr>
          <w:p w14:paraId="231DC06B">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0.6</w:t>
            </w:r>
          </w:p>
        </w:tc>
        <w:tc>
          <w:tcPr>
            <w:tcW w:w="1040" w:type="pct"/>
            <w:shd w:val="clear" w:color="auto" w:fill="D9D9D9"/>
            <w:vAlign w:val="center"/>
          </w:tcPr>
          <w:p w14:paraId="67783D3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2.8</w:t>
            </w:r>
          </w:p>
        </w:tc>
      </w:tr>
      <w:tr w14:paraId="76CE5C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0B52321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23</w:t>
            </w:r>
          </w:p>
        </w:tc>
        <w:tc>
          <w:tcPr>
            <w:tcW w:w="1335" w:type="pct"/>
            <w:shd w:val="clear" w:color="auto" w:fill="auto"/>
            <w:vAlign w:val="center"/>
          </w:tcPr>
          <w:p w14:paraId="69AB6BDD">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三氯乙烯</w:t>
            </w:r>
          </w:p>
        </w:tc>
        <w:tc>
          <w:tcPr>
            <w:tcW w:w="1087" w:type="pct"/>
            <w:shd w:val="clear" w:color="auto" w:fill="auto"/>
            <w:vAlign w:val="center"/>
          </w:tcPr>
          <w:p w14:paraId="18F3DC66">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79-01-6</w:t>
            </w:r>
          </w:p>
        </w:tc>
        <w:tc>
          <w:tcPr>
            <w:tcW w:w="1054" w:type="pct"/>
            <w:shd w:val="clear" w:color="auto" w:fill="D9D9D9"/>
            <w:vAlign w:val="center"/>
          </w:tcPr>
          <w:p w14:paraId="1830BA26">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0.7</w:t>
            </w:r>
          </w:p>
        </w:tc>
        <w:tc>
          <w:tcPr>
            <w:tcW w:w="1040" w:type="pct"/>
            <w:shd w:val="clear" w:color="auto" w:fill="D9D9D9"/>
            <w:vAlign w:val="center"/>
          </w:tcPr>
          <w:p w14:paraId="5D9E738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2.8</w:t>
            </w:r>
          </w:p>
        </w:tc>
      </w:tr>
      <w:tr w14:paraId="212004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1BFF7029">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c>
          <w:tcPr>
            <w:tcW w:w="1335" w:type="pct"/>
            <w:shd w:val="clear" w:color="auto" w:fill="auto"/>
            <w:vAlign w:val="center"/>
          </w:tcPr>
          <w:p w14:paraId="2E4A9B57">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1,2,3-三氯丙烷</w:t>
            </w:r>
          </w:p>
        </w:tc>
        <w:tc>
          <w:tcPr>
            <w:tcW w:w="1087" w:type="pct"/>
            <w:shd w:val="clear" w:color="auto" w:fill="auto"/>
            <w:vAlign w:val="center"/>
          </w:tcPr>
          <w:p w14:paraId="63F344F8">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96-18-4</w:t>
            </w:r>
          </w:p>
        </w:tc>
        <w:tc>
          <w:tcPr>
            <w:tcW w:w="1054" w:type="pct"/>
            <w:shd w:val="clear" w:color="auto" w:fill="D9D9D9"/>
            <w:vAlign w:val="center"/>
          </w:tcPr>
          <w:p w14:paraId="38DB2A05">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0.05</w:t>
            </w:r>
          </w:p>
        </w:tc>
        <w:tc>
          <w:tcPr>
            <w:tcW w:w="1040" w:type="pct"/>
            <w:shd w:val="clear" w:color="auto" w:fill="D9D9D9"/>
            <w:vAlign w:val="center"/>
          </w:tcPr>
          <w:p w14:paraId="2AD07AE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0.5</w:t>
            </w:r>
          </w:p>
        </w:tc>
      </w:tr>
      <w:tr w14:paraId="66EC55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74A71F5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w:t>
            </w:r>
          </w:p>
        </w:tc>
        <w:tc>
          <w:tcPr>
            <w:tcW w:w="1335" w:type="pct"/>
            <w:shd w:val="clear" w:color="auto" w:fill="auto"/>
            <w:vAlign w:val="center"/>
          </w:tcPr>
          <w:p w14:paraId="50E316A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氯乙烯</w:t>
            </w:r>
          </w:p>
        </w:tc>
        <w:tc>
          <w:tcPr>
            <w:tcW w:w="1087" w:type="pct"/>
            <w:shd w:val="clear" w:color="auto" w:fill="auto"/>
            <w:vAlign w:val="center"/>
          </w:tcPr>
          <w:p w14:paraId="7112267B">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75-01-4</w:t>
            </w:r>
          </w:p>
        </w:tc>
        <w:tc>
          <w:tcPr>
            <w:tcW w:w="1054" w:type="pct"/>
            <w:shd w:val="clear" w:color="auto" w:fill="D9D9D9"/>
            <w:vAlign w:val="center"/>
          </w:tcPr>
          <w:p w14:paraId="49A2260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0.12</w:t>
            </w:r>
          </w:p>
        </w:tc>
        <w:tc>
          <w:tcPr>
            <w:tcW w:w="1040" w:type="pct"/>
            <w:shd w:val="clear" w:color="auto" w:fill="D9D9D9"/>
            <w:vAlign w:val="center"/>
          </w:tcPr>
          <w:p w14:paraId="29AEDE4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0.43</w:t>
            </w:r>
          </w:p>
        </w:tc>
      </w:tr>
      <w:tr w14:paraId="279D89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72ACADB9">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26</w:t>
            </w:r>
          </w:p>
        </w:tc>
        <w:tc>
          <w:tcPr>
            <w:tcW w:w="1335" w:type="pct"/>
            <w:shd w:val="clear" w:color="auto" w:fill="auto"/>
            <w:vAlign w:val="center"/>
          </w:tcPr>
          <w:p w14:paraId="1B2344E0">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苯</w:t>
            </w:r>
          </w:p>
        </w:tc>
        <w:tc>
          <w:tcPr>
            <w:tcW w:w="1087" w:type="pct"/>
            <w:shd w:val="clear" w:color="auto" w:fill="auto"/>
            <w:vAlign w:val="center"/>
          </w:tcPr>
          <w:p w14:paraId="4D917CF0">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71-43-2</w:t>
            </w:r>
          </w:p>
        </w:tc>
        <w:tc>
          <w:tcPr>
            <w:tcW w:w="1054" w:type="pct"/>
            <w:shd w:val="clear" w:color="auto" w:fill="D9D9D9"/>
            <w:vAlign w:val="center"/>
          </w:tcPr>
          <w:p w14:paraId="7337E76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040" w:type="pct"/>
            <w:shd w:val="clear" w:color="auto" w:fill="D9D9D9"/>
            <w:vAlign w:val="center"/>
          </w:tcPr>
          <w:p w14:paraId="4F4EEFF5">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r>
      <w:tr w14:paraId="23163F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765BE8D9">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27</w:t>
            </w:r>
          </w:p>
        </w:tc>
        <w:tc>
          <w:tcPr>
            <w:tcW w:w="1335" w:type="pct"/>
            <w:shd w:val="clear" w:color="auto" w:fill="auto"/>
            <w:vAlign w:val="center"/>
          </w:tcPr>
          <w:p w14:paraId="5753623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氯苯</w:t>
            </w:r>
          </w:p>
        </w:tc>
        <w:tc>
          <w:tcPr>
            <w:tcW w:w="1087" w:type="pct"/>
            <w:shd w:val="clear" w:color="auto" w:fill="auto"/>
            <w:vAlign w:val="center"/>
          </w:tcPr>
          <w:p w14:paraId="3486C9C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108-90-7</w:t>
            </w:r>
          </w:p>
        </w:tc>
        <w:tc>
          <w:tcPr>
            <w:tcW w:w="1054" w:type="pct"/>
            <w:shd w:val="clear" w:color="auto" w:fill="D9D9D9"/>
            <w:vAlign w:val="center"/>
          </w:tcPr>
          <w:p w14:paraId="47C6C3A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68</w:t>
            </w:r>
          </w:p>
        </w:tc>
        <w:tc>
          <w:tcPr>
            <w:tcW w:w="1040" w:type="pct"/>
            <w:shd w:val="clear" w:color="auto" w:fill="D9D9D9"/>
            <w:vAlign w:val="center"/>
          </w:tcPr>
          <w:p w14:paraId="07C5B44E">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270</w:t>
            </w:r>
          </w:p>
        </w:tc>
      </w:tr>
      <w:tr w14:paraId="4B680B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66FEEA7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28</w:t>
            </w:r>
          </w:p>
        </w:tc>
        <w:tc>
          <w:tcPr>
            <w:tcW w:w="1335" w:type="pct"/>
            <w:shd w:val="clear" w:color="auto" w:fill="auto"/>
            <w:vAlign w:val="center"/>
          </w:tcPr>
          <w:p w14:paraId="05C580C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1,2-二氯苯</w:t>
            </w:r>
          </w:p>
        </w:tc>
        <w:tc>
          <w:tcPr>
            <w:tcW w:w="1087" w:type="pct"/>
            <w:shd w:val="clear" w:color="auto" w:fill="auto"/>
            <w:vAlign w:val="center"/>
          </w:tcPr>
          <w:p w14:paraId="08D4E9F6">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95-50-1</w:t>
            </w:r>
          </w:p>
        </w:tc>
        <w:tc>
          <w:tcPr>
            <w:tcW w:w="1054" w:type="pct"/>
            <w:shd w:val="clear" w:color="auto" w:fill="D9D9D9"/>
            <w:vAlign w:val="center"/>
          </w:tcPr>
          <w:p w14:paraId="561D90C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560</w:t>
            </w:r>
          </w:p>
        </w:tc>
        <w:tc>
          <w:tcPr>
            <w:tcW w:w="1040" w:type="pct"/>
            <w:shd w:val="clear" w:color="auto" w:fill="D9D9D9"/>
            <w:vAlign w:val="center"/>
          </w:tcPr>
          <w:p w14:paraId="72FC0FF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560</w:t>
            </w:r>
          </w:p>
        </w:tc>
      </w:tr>
      <w:tr w14:paraId="46FC2B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7F76946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29</w:t>
            </w:r>
          </w:p>
        </w:tc>
        <w:tc>
          <w:tcPr>
            <w:tcW w:w="1335" w:type="pct"/>
            <w:shd w:val="clear" w:color="auto" w:fill="auto"/>
            <w:vAlign w:val="center"/>
          </w:tcPr>
          <w:p w14:paraId="1EAC053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1,4-二氯苯</w:t>
            </w:r>
          </w:p>
        </w:tc>
        <w:tc>
          <w:tcPr>
            <w:tcW w:w="1087" w:type="pct"/>
            <w:shd w:val="clear" w:color="auto" w:fill="auto"/>
            <w:vAlign w:val="center"/>
          </w:tcPr>
          <w:p w14:paraId="71B3929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106-46-7</w:t>
            </w:r>
          </w:p>
        </w:tc>
        <w:tc>
          <w:tcPr>
            <w:tcW w:w="1054" w:type="pct"/>
            <w:shd w:val="clear" w:color="auto" w:fill="D9D9D9"/>
            <w:vAlign w:val="center"/>
          </w:tcPr>
          <w:p w14:paraId="7D88265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5.6</w:t>
            </w:r>
          </w:p>
        </w:tc>
        <w:tc>
          <w:tcPr>
            <w:tcW w:w="1040" w:type="pct"/>
            <w:shd w:val="clear" w:color="auto" w:fill="D9D9D9"/>
            <w:vAlign w:val="center"/>
          </w:tcPr>
          <w:p w14:paraId="1AA4F38E">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w:t>
            </w:r>
          </w:p>
        </w:tc>
      </w:tr>
      <w:tr w14:paraId="3102DD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52D1323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30</w:t>
            </w:r>
          </w:p>
        </w:tc>
        <w:tc>
          <w:tcPr>
            <w:tcW w:w="1335" w:type="pct"/>
            <w:shd w:val="clear" w:color="auto" w:fill="auto"/>
            <w:vAlign w:val="center"/>
          </w:tcPr>
          <w:p w14:paraId="5FC8D57E">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乙苯</w:t>
            </w:r>
          </w:p>
        </w:tc>
        <w:tc>
          <w:tcPr>
            <w:tcW w:w="1087" w:type="pct"/>
            <w:shd w:val="clear" w:color="auto" w:fill="auto"/>
            <w:vAlign w:val="center"/>
          </w:tcPr>
          <w:p w14:paraId="5D5D23E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100-41-4</w:t>
            </w:r>
          </w:p>
        </w:tc>
        <w:tc>
          <w:tcPr>
            <w:tcW w:w="1054" w:type="pct"/>
            <w:shd w:val="clear" w:color="auto" w:fill="D9D9D9"/>
            <w:vAlign w:val="center"/>
          </w:tcPr>
          <w:p w14:paraId="3813286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7.2</w:t>
            </w:r>
          </w:p>
        </w:tc>
        <w:tc>
          <w:tcPr>
            <w:tcW w:w="1040" w:type="pct"/>
            <w:shd w:val="clear" w:color="auto" w:fill="D9D9D9"/>
            <w:vAlign w:val="center"/>
          </w:tcPr>
          <w:p w14:paraId="10BFF96E">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28</w:t>
            </w:r>
          </w:p>
        </w:tc>
      </w:tr>
      <w:tr w14:paraId="0CEB4C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4BFA3B1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31</w:t>
            </w:r>
          </w:p>
        </w:tc>
        <w:tc>
          <w:tcPr>
            <w:tcW w:w="1335" w:type="pct"/>
            <w:shd w:val="clear" w:color="auto" w:fill="auto"/>
            <w:vAlign w:val="center"/>
          </w:tcPr>
          <w:p w14:paraId="7323DB9D">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苯乙烯</w:t>
            </w:r>
          </w:p>
        </w:tc>
        <w:tc>
          <w:tcPr>
            <w:tcW w:w="1087" w:type="pct"/>
            <w:shd w:val="clear" w:color="auto" w:fill="auto"/>
            <w:vAlign w:val="center"/>
          </w:tcPr>
          <w:p w14:paraId="03EF95F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100-42-5</w:t>
            </w:r>
          </w:p>
        </w:tc>
        <w:tc>
          <w:tcPr>
            <w:tcW w:w="1054" w:type="pct"/>
            <w:shd w:val="clear" w:color="auto" w:fill="D9D9D9"/>
            <w:vAlign w:val="center"/>
          </w:tcPr>
          <w:p w14:paraId="4D576DDD">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1290</w:t>
            </w:r>
          </w:p>
        </w:tc>
        <w:tc>
          <w:tcPr>
            <w:tcW w:w="1040" w:type="pct"/>
            <w:shd w:val="clear" w:color="auto" w:fill="D9D9D9"/>
            <w:vAlign w:val="center"/>
          </w:tcPr>
          <w:p w14:paraId="36C0C06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1290</w:t>
            </w:r>
          </w:p>
        </w:tc>
      </w:tr>
      <w:tr w14:paraId="1CD485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6C261937">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32</w:t>
            </w:r>
          </w:p>
        </w:tc>
        <w:tc>
          <w:tcPr>
            <w:tcW w:w="1335" w:type="pct"/>
            <w:shd w:val="clear" w:color="auto" w:fill="auto"/>
            <w:vAlign w:val="center"/>
          </w:tcPr>
          <w:p w14:paraId="143C1E09">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甲苯</w:t>
            </w:r>
          </w:p>
        </w:tc>
        <w:tc>
          <w:tcPr>
            <w:tcW w:w="1087" w:type="pct"/>
            <w:shd w:val="clear" w:color="auto" w:fill="auto"/>
            <w:vAlign w:val="center"/>
          </w:tcPr>
          <w:p w14:paraId="5A92F32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108-88-3</w:t>
            </w:r>
          </w:p>
        </w:tc>
        <w:tc>
          <w:tcPr>
            <w:tcW w:w="1054" w:type="pct"/>
            <w:shd w:val="clear" w:color="auto" w:fill="D9D9D9"/>
            <w:vAlign w:val="center"/>
          </w:tcPr>
          <w:p w14:paraId="1CF5753F">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1200</w:t>
            </w:r>
          </w:p>
        </w:tc>
        <w:tc>
          <w:tcPr>
            <w:tcW w:w="1040" w:type="pct"/>
            <w:shd w:val="clear" w:color="auto" w:fill="D9D9D9"/>
            <w:vAlign w:val="center"/>
          </w:tcPr>
          <w:p w14:paraId="0D09897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1200</w:t>
            </w:r>
          </w:p>
        </w:tc>
      </w:tr>
      <w:tr w14:paraId="2F65B7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3BC17948">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33</w:t>
            </w:r>
          </w:p>
        </w:tc>
        <w:tc>
          <w:tcPr>
            <w:tcW w:w="1335" w:type="pct"/>
            <w:shd w:val="clear" w:color="auto" w:fill="auto"/>
            <w:vAlign w:val="center"/>
          </w:tcPr>
          <w:p w14:paraId="6370BB1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间二甲苯+对二甲苯</w:t>
            </w:r>
          </w:p>
        </w:tc>
        <w:tc>
          <w:tcPr>
            <w:tcW w:w="1087" w:type="pct"/>
            <w:shd w:val="clear" w:color="auto" w:fill="auto"/>
            <w:vAlign w:val="center"/>
          </w:tcPr>
          <w:p w14:paraId="6DA7854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108-38-3,106-42-3</w:t>
            </w:r>
          </w:p>
        </w:tc>
        <w:tc>
          <w:tcPr>
            <w:tcW w:w="1054" w:type="pct"/>
            <w:shd w:val="clear" w:color="auto" w:fill="D9D9D9"/>
            <w:vAlign w:val="center"/>
          </w:tcPr>
          <w:p w14:paraId="086ADF7D">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163</w:t>
            </w:r>
          </w:p>
        </w:tc>
        <w:tc>
          <w:tcPr>
            <w:tcW w:w="1040" w:type="pct"/>
            <w:shd w:val="clear" w:color="auto" w:fill="D9D9D9"/>
            <w:vAlign w:val="center"/>
          </w:tcPr>
          <w:p w14:paraId="7DC19A6F">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570</w:t>
            </w:r>
          </w:p>
        </w:tc>
      </w:tr>
      <w:tr w14:paraId="767113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1C8D361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34</w:t>
            </w:r>
          </w:p>
        </w:tc>
        <w:tc>
          <w:tcPr>
            <w:tcW w:w="1335" w:type="pct"/>
            <w:shd w:val="clear" w:color="auto" w:fill="auto"/>
            <w:vAlign w:val="center"/>
          </w:tcPr>
          <w:p w14:paraId="01E6EFDB">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邻二甲苯</w:t>
            </w:r>
          </w:p>
        </w:tc>
        <w:tc>
          <w:tcPr>
            <w:tcW w:w="1087" w:type="pct"/>
            <w:shd w:val="clear" w:color="auto" w:fill="auto"/>
            <w:vAlign w:val="center"/>
          </w:tcPr>
          <w:p w14:paraId="4B2190DD">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95-47-6</w:t>
            </w:r>
          </w:p>
        </w:tc>
        <w:tc>
          <w:tcPr>
            <w:tcW w:w="1054" w:type="pct"/>
            <w:shd w:val="clear" w:color="auto" w:fill="D9D9D9"/>
            <w:vAlign w:val="center"/>
          </w:tcPr>
          <w:p w14:paraId="5C49BD09">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222</w:t>
            </w:r>
          </w:p>
        </w:tc>
        <w:tc>
          <w:tcPr>
            <w:tcW w:w="1040" w:type="pct"/>
            <w:shd w:val="clear" w:color="auto" w:fill="D9D9D9"/>
            <w:vAlign w:val="center"/>
          </w:tcPr>
          <w:p w14:paraId="63C10BA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640</w:t>
            </w:r>
          </w:p>
        </w:tc>
      </w:tr>
      <w:tr w14:paraId="11DCB1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5"/>
            <w:shd w:val="clear" w:color="auto" w:fill="D9D9D9"/>
            <w:vAlign w:val="center"/>
          </w:tcPr>
          <w:p w14:paraId="1DE73CA1">
            <w:pPr>
              <w:pStyle w:val="808"/>
              <w:snapToGrid/>
              <w:spacing w:line="276" w:lineRule="auto"/>
              <w:ind w:left="0" w:leftChars="0"/>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半挥发性有机物</w:t>
            </w:r>
          </w:p>
        </w:tc>
      </w:tr>
      <w:tr w14:paraId="513EBD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180DCCB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35</w:t>
            </w:r>
          </w:p>
        </w:tc>
        <w:tc>
          <w:tcPr>
            <w:tcW w:w="1335" w:type="pct"/>
            <w:shd w:val="clear" w:color="auto" w:fill="auto"/>
            <w:vAlign w:val="center"/>
          </w:tcPr>
          <w:p w14:paraId="4C33A1F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硝基苯</w:t>
            </w:r>
          </w:p>
        </w:tc>
        <w:tc>
          <w:tcPr>
            <w:tcW w:w="1087" w:type="pct"/>
            <w:shd w:val="clear" w:color="auto" w:fill="auto"/>
            <w:vAlign w:val="center"/>
          </w:tcPr>
          <w:p w14:paraId="2762A6E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98-95-3</w:t>
            </w:r>
          </w:p>
        </w:tc>
        <w:tc>
          <w:tcPr>
            <w:tcW w:w="1054" w:type="pct"/>
            <w:shd w:val="clear" w:color="auto" w:fill="D9D9D9"/>
            <w:vAlign w:val="center"/>
          </w:tcPr>
          <w:p w14:paraId="11E4441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34</w:t>
            </w:r>
          </w:p>
        </w:tc>
        <w:tc>
          <w:tcPr>
            <w:tcW w:w="1040" w:type="pct"/>
            <w:shd w:val="clear" w:color="auto" w:fill="D9D9D9"/>
            <w:vAlign w:val="center"/>
          </w:tcPr>
          <w:p w14:paraId="27F21CE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76</w:t>
            </w:r>
          </w:p>
        </w:tc>
      </w:tr>
      <w:tr w14:paraId="7F8768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64F169D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36</w:t>
            </w:r>
          </w:p>
        </w:tc>
        <w:tc>
          <w:tcPr>
            <w:tcW w:w="1335" w:type="pct"/>
            <w:shd w:val="clear" w:color="auto" w:fill="auto"/>
            <w:vAlign w:val="center"/>
          </w:tcPr>
          <w:p w14:paraId="24A613A8">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苯胺</w:t>
            </w:r>
          </w:p>
        </w:tc>
        <w:tc>
          <w:tcPr>
            <w:tcW w:w="1087" w:type="pct"/>
            <w:shd w:val="clear" w:color="auto" w:fill="auto"/>
            <w:vAlign w:val="center"/>
          </w:tcPr>
          <w:p w14:paraId="3FCD1759">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62-53-3</w:t>
            </w:r>
          </w:p>
        </w:tc>
        <w:tc>
          <w:tcPr>
            <w:tcW w:w="1054" w:type="pct"/>
            <w:shd w:val="clear" w:color="auto" w:fill="D9D9D9"/>
            <w:vAlign w:val="center"/>
          </w:tcPr>
          <w:p w14:paraId="4225788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92</w:t>
            </w:r>
          </w:p>
        </w:tc>
        <w:tc>
          <w:tcPr>
            <w:tcW w:w="1040" w:type="pct"/>
            <w:shd w:val="clear" w:color="auto" w:fill="D9D9D9"/>
            <w:vAlign w:val="center"/>
          </w:tcPr>
          <w:p w14:paraId="0D83175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260</w:t>
            </w:r>
          </w:p>
        </w:tc>
      </w:tr>
      <w:tr w14:paraId="5F8E1A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025F42BB">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37</w:t>
            </w:r>
          </w:p>
        </w:tc>
        <w:tc>
          <w:tcPr>
            <w:tcW w:w="1335" w:type="pct"/>
            <w:shd w:val="clear" w:color="auto" w:fill="auto"/>
            <w:vAlign w:val="center"/>
          </w:tcPr>
          <w:p w14:paraId="6FDBFA57">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2-氯酚</w:t>
            </w:r>
          </w:p>
        </w:tc>
        <w:tc>
          <w:tcPr>
            <w:tcW w:w="1087" w:type="pct"/>
            <w:shd w:val="clear" w:color="auto" w:fill="auto"/>
            <w:vAlign w:val="center"/>
          </w:tcPr>
          <w:p w14:paraId="20E699C9">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95-57-8</w:t>
            </w:r>
          </w:p>
        </w:tc>
        <w:tc>
          <w:tcPr>
            <w:tcW w:w="1054" w:type="pct"/>
            <w:shd w:val="clear" w:color="auto" w:fill="D9D9D9"/>
            <w:vAlign w:val="center"/>
          </w:tcPr>
          <w:p w14:paraId="61B7328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250</w:t>
            </w:r>
          </w:p>
        </w:tc>
        <w:tc>
          <w:tcPr>
            <w:tcW w:w="1040" w:type="pct"/>
            <w:shd w:val="clear" w:color="auto" w:fill="D9D9D9"/>
            <w:vAlign w:val="center"/>
          </w:tcPr>
          <w:p w14:paraId="570591F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2256</w:t>
            </w:r>
          </w:p>
        </w:tc>
      </w:tr>
      <w:tr w14:paraId="0C1FB5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7BB9DBE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38</w:t>
            </w:r>
          </w:p>
        </w:tc>
        <w:tc>
          <w:tcPr>
            <w:tcW w:w="1335" w:type="pct"/>
            <w:shd w:val="clear" w:color="auto" w:fill="auto"/>
            <w:vAlign w:val="center"/>
          </w:tcPr>
          <w:p w14:paraId="127030B9">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苯并[a]蒽</w:t>
            </w:r>
          </w:p>
        </w:tc>
        <w:tc>
          <w:tcPr>
            <w:tcW w:w="1087" w:type="pct"/>
            <w:shd w:val="clear" w:color="auto" w:fill="auto"/>
            <w:vAlign w:val="center"/>
          </w:tcPr>
          <w:p w14:paraId="17A29505">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56-55-3</w:t>
            </w:r>
          </w:p>
        </w:tc>
        <w:tc>
          <w:tcPr>
            <w:tcW w:w="1054" w:type="pct"/>
            <w:shd w:val="clear" w:color="auto" w:fill="D9D9D9"/>
            <w:vAlign w:val="center"/>
          </w:tcPr>
          <w:p w14:paraId="5E71E078">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5.5</w:t>
            </w:r>
          </w:p>
        </w:tc>
        <w:tc>
          <w:tcPr>
            <w:tcW w:w="1040" w:type="pct"/>
            <w:shd w:val="clear" w:color="auto" w:fill="D9D9D9"/>
            <w:vAlign w:val="center"/>
          </w:tcPr>
          <w:p w14:paraId="0ADA9399">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r>
      <w:tr w14:paraId="58CE99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4C34DC4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39</w:t>
            </w:r>
          </w:p>
        </w:tc>
        <w:tc>
          <w:tcPr>
            <w:tcW w:w="1335" w:type="pct"/>
            <w:shd w:val="clear" w:color="auto" w:fill="auto"/>
            <w:vAlign w:val="center"/>
          </w:tcPr>
          <w:p w14:paraId="6D880A9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苯并[a]芘</w:t>
            </w:r>
          </w:p>
        </w:tc>
        <w:tc>
          <w:tcPr>
            <w:tcW w:w="1087" w:type="pct"/>
            <w:shd w:val="clear" w:color="auto" w:fill="auto"/>
            <w:vAlign w:val="center"/>
          </w:tcPr>
          <w:p w14:paraId="013E1BD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50-32-8</w:t>
            </w:r>
          </w:p>
        </w:tc>
        <w:tc>
          <w:tcPr>
            <w:tcW w:w="1054" w:type="pct"/>
            <w:shd w:val="clear" w:color="auto" w:fill="D9D9D9"/>
            <w:vAlign w:val="center"/>
          </w:tcPr>
          <w:p w14:paraId="2563777B">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0.55</w:t>
            </w:r>
          </w:p>
        </w:tc>
        <w:tc>
          <w:tcPr>
            <w:tcW w:w="1040" w:type="pct"/>
            <w:shd w:val="clear" w:color="auto" w:fill="D9D9D9"/>
            <w:vAlign w:val="center"/>
          </w:tcPr>
          <w:p w14:paraId="7399EBA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r>
      <w:tr w14:paraId="2F6C2A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63687D19">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40</w:t>
            </w:r>
          </w:p>
        </w:tc>
        <w:tc>
          <w:tcPr>
            <w:tcW w:w="1335" w:type="pct"/>
            <w:shd w:val="clear" w:color="auto" w:fill="auto"/>
            <w:vAlign w:val="center"/>
          </w:tcPr>
          <w:p w14:paraId="3E4BFE4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苯并[b]荧蒽</w:t>
            </w:r>
          </w:p>
        </w:tc>
        <w:tc>
          <w:tcPr>
            <w:tcW w:w="1087" w:type="pct"/>
            <w:shd w:val="clear" w:color="auto" w:fill="auto"/>
            <w:vAlign w:val="center"/>
          </w:tcPr>
          <w:p w14:paraId="3928F8CF">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205-99-2</w:t>
            </w:r>
          </w:p>
        </w:tc>
        <w:tc>
          <w:tcPr>
            <w:tcW w:w="1054" w:type="pct"/>
            <w:shd w:val="clear" w:color="auto" w:fill="D9D9D9"/>
            <w:vAlign w:val="center"/>
          </w:tcPr>
          <w:p w14:paraId="7E19D46F">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5.5</w:t>
            </w:r>
          </w:p>
        </w:tc>
        <w:tc>
          <w:tcPr>
            <w:tcW w:w="1040" w:type="pct"/>
            <w:shd w:val="clear" w:color="auto" w:fill="D9D9D9"/>
            <w:vAlign w:val="center"/>
          </w:tcPr>
          <w:p w14:paraId="589DF0AD">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r>
      <w:tr w14:paraId="050087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2FDCE538">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41</w:t>
            </w:r>
          </w:p>
        </w:tc>
        <w:tc>
          <w:tcPr>
            <w:tcW w:w="1335" w:type="pct"/>
            <w:shd w:val="clear" w:color="auto" w:fill="auto"/>
            <w:vAlign w:val="center"/>
          </w:tcPr>
          <w:p w14:paraId="4774F1CA">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苯并[k]荧蒽</w:t>
            </w:r>
          </w:p>
        </w:tc>
        <w:tc>
          <w:tcPr>
            <w:tcW w:w="1087" w:type="pct"/>
            <w:shd w:val="clear" w:color="auto" w:fill="auto"/>
            <w:vAlign w:val="center"/>
          </w:tcPr>
          <w:p w14:paraId="72571C49">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207-08-9</w:t>
            </w:r>
          </w:p>
        </w:tc>
        <w:tc>
          <w:tcPr>
            <w:tcW w:w="1054" w:type="pct"/>
            <w:shd w:val="clear" w:color="auto" w:fill="D9D9D9"/>
            <w:vAlign w:val="center"/>
          </w:tcPr>
          <w:p w14:paraId="618F72F8">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55</w:t>
            </w:r>
          </w:p>
        </w:tc>
        <w:tc>
          <w:tcPr>
            <w:tcW w:w="1040" w:type="pct"/>
            <w:shd w:val="clear" w:color="auto" w:fill="D9D9D9"/>
            <w:vAlign w:val="center"/>
          </w:tcPr>
          <w:p w14:paraId="35F939A0">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151</w:t>
            </w:r>
          </w:p>
        </w:tc>
      </w:tr>
      <w:tr w14:paraId="767E88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0DD59F7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42</w:t>
            </w:r>
          </w:p>
        </w:tc>
        <w:tc>
          <w:tcPr>
            <w:tcW w:w="1335" w:type="pct"/>
            <w:shd w:val="clear" w:color="auto" w:fill="auto"/>
            <w:vAlign w:val="center"/>
          </w:tcPr>
          <w:p w14:paraId="1A1FF86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䓛</w:t>
            </w:r>
          </w:p>
        </w:tc>
        <w:tc>
          <w:tcPr>
            <w:tcW w:w="1087" w:type="pct"/>
            <w:shd w:val="clear" w:color="auto" w:fill="auto"/>
            <w:vAlign w:val="center"/>
          </w:tcPr>
          <w:p w14:paraId="75B2354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218-01-9</w:t>
            </w:r>
          </w:p>
        </w:tc>
        <w:tc>
          <w:tcPr>
            <w:tcW w:w="1054" w:type="pct"/>
            <w:shd w:val="clear" w:color="auto" w:fill="D9D9D9"/>
            <w:vAlign w:val="center"/>
          </w:tcPr>
          <w:p w14:paraId="6ECA86A1">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490</w:t>
            </w:r>
          </w:p>
        </w:tc>
        <w:tc>
          <w:tcPr>
            <w:tcW w:w="1040" w:type="pct"/>
            <w:shd w:val="clear" w:color="auto" w:fill="D9D9D9"/>
            <w:vAlign w:val="center"/>
          </w:tcPr>
          <w:p w14:paraId="3A3D7F58">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1293</w:t>
            </w:r>
          </w:p>
        </w:tc>
      </w:tr>
      <w:tr w14:paraId="6DCC16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55AF989C">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43</w:t>
            </w:r>
          </w:p>
        </w:tc>
        <w:tc>
          <w:tcPr>
            <w:tcW w:w="1335" w:type="pct"/>
            <w:shd w:val="clear" w:color="auto" w:fill="auto"/>
            <w:vAlign w:val="center"/>
          </w:tcPr>
          <w:p w14:paraId="16C984E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二苯并[a,h]蒽</w:t>
            </w:r>
          </w:p>
        </w:tc>
        <w:tc>
          <w:tcPr>
            <w:tcW w:w="1087" w:type="pct"/>
            <w:shd w:val="clear" w:color="auto" w:fill="auto"/>
            <w:vAlign w:val="center"/>
          </w:tcPr>
          <w:p w14:paraId="6E759130">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53-70-3</w:t>
            </w:r>
          </w:p>
        </w:tc>
        <w:tc>
          <w:tcPr>
            <w:tcW w:w="1054" w:type="pct"/>
            <w:shd w:val="clear" w:color="auto" w:fill="D9D9D9"/>
            <w:vAlign w:val="center"/>
          </w:tcPr>
          <w:p w14:paraId="3E3CA066">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0.55</w:t>
            </w:r>
          </w:p>
        </w:tc>
        <w:tc>
          <w:tcPr>
            <w:tcW w:w="1040" w:type="pct"/>
            <w:shd w:val="clear" w:color="auto" w:fill="D9D9D9"/>
            <w:vAlign w:val="center"/>
          </w:tcPr>
          <w:p w14:paraId="1F170CD6">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r>
      <w:tr w14:paraId="78456E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6498EB1B">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44</w:t>
            </w:r>
          </w:p>
        </w:tc>
        <w:tc>
          <w:tcPr>
            <w:tcW w:w="1335" w:type="pct"/>
            <w:shd w:val="clear" w:color="auto" w:fill="auto"/>
            <w:vAlign w:val="center"/>
          </w:tcPr>
          <w:p w14:paraId="0B9D0484">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茚并[1,2,3-cd]芘</w:t>
            </w:r>
          </w:p>
        </w:tc>
        <w:tc>
          <w:tcPr>
            <w:tcW w:w="1087" w:type="pct"/>
            <w:shd w:val="clear" w:color="auto" w:fill="auto"/>
            <w:vAlign w:val="center"/>
          </w:tcPr>
          <w:p w14:paraId="6AAEA3B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193-39-5</w:t>
            </w:r>
          </w:p>
        </w:tc>
        <w:tc>
          <w:tcPr>
            <w:tcW w:w="1054" w:type="pct"/>
            <w:shd w:val="clear" w:color="auto" w:fill="D9D9D9"/>
            <w:vAlign w:val="center"/>
          </w:tcPr>
          <w:p w14:paraId="45787E2B">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5.5</w:t>
            </w:r>
          </w:p>
        </w:tc>
        <w:tc>
          <w:tcPr>
            <w:tcW w:w="1040" w:type="pct"/>
            <w:shd w:val="clear" w:color="auto" w:fill="D9D9D9"/>
            <w:vAlign w:val="center"/>
          </w:tcPr>
          <w:p w14:paraId="17BCAEA3">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r>
      <w:tr w14:paraId="3DB74B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shd w:val="clear" w:color="auto" w:fill="auto"/>
            <w:vAlign w:val="center"/>
          </w:tcPr>
          <w:p w14:paraId="224F87A6">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45</w:t>
            </w:r>
          </w:p>
        </w:tc>
        <w:tc>
          <w:tcPr>
            <w:tcW w:w="1335" w:type="pct"/>
            <w:shd w:val="clear" w:color="auto" w:fill="auto"/>
            <w:vAlign w:val="center"/>
          </w:tcPr>
          <w:p w14:paraId="57159BB2">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萘</w:t>
            </w:r>
          </w:p>
        </w:tc>
        <w:tc>
          <w:tcPr>
            <w:tcW w:w="1087" w:type="pct"/>
            <w:shd w:val="clear" w:color="auto" w:fill="auto"/>
            <w:vAlign w:val="center"/>
          </w:tcPr>
          <w:p w14:paraId="086FB769">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91-20-3</w:t>
            </w:r>
          </w:p>
        </w:tc>
        <w:tc>
          <w:tcPr>
            <w:tcW w:w="1054" w:type="pct"/>
            <w:shd w:val="clear" w:color="auto" w:fill="D9D9D9"/>
            <w:vAlign w:val="center"/>
          </w:tcPr>
          <w:p w14:paraId="29ED85DF">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w:t>
            </w:r>
          </w:p>
        </w:tc>
        <w:tc>
          <w:tcPr>
            <w:tcW w:w="1040" w:type="pct"/>
            <w:shd w:val="clear" w:color="auto" w:fill="D9D9D9"/>
            <w:vAlign w:val="center"/>
          </w:tcPr>
          <w:p w14:paraId="42E541AB">
            <w:pPr>
              <w:pStyle w:val="808"/>
              <w:snapToGrid/>
              <w:spacing w:line="276" w:lineRule="auto"/>
              <w:ind w:left="0" w:lef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70</w:t>
            </w:r>
          </w:p>
        </w:tc>
      </w:tr>
    </w:tbl>
    <w:p w14:paraId="50200738">
      <w:pPr>
        <w:pStyle w:val="641"/>
        <w:spacing w:line="360" w:lineRule="auto"/>
        <w:jc w:val="center"/>
        <w:rPr>
          <w:rFonts w:ascii="Times New Roman" w:hAnsi="黑体" w:eastAsia="黑体" w:cs="Times New Roman"/>
          <w:color w:val="000000" w:themeColor="text1"/>
          <w14:textFill>
            <w14:solidFill>
              <w14:schemeClr w14:val="tx1"/>
            </w14:solidFill>
          </w14:textFill>
        </w:rPr>
      </w:pPr>
      <w:bookmarkStart w:id="37" w:name="_Toc173837629"/>
      <w:r>
        <w:rPr>
          <w:rFonts w:hint="eastAsia" w:ascii="Times New Roman" w:hAnsi="黑体" w:eastAsia="黑体" w:cs="Times New Roman"/>
          <w:color w:val="000000" w:themeColor="text1"/>
          <w14:textFill>
            <w14:solidFill>
              <w14:schemeClr w14:val="tx1"/>
            </w14:solidFill>
          </w14:textFill>
        </w:rPr>
        <w:t>表2.</w:t>
      </w:r>
      <w:r>
        <w:rPr>
          <w:rFonts w:hint="eastAsia" w:ascii="Times New Roman" w:hAnsi="黑体" w:eastAsia="黑体" w:cs="Times New Roman"/>
          <w:color w:val="000000" w:themeColor="text1"/>
          <w:lang w:val="en-US" w:eastAsia="zh-CN"/>
          <w14:textFill>
            <w14:solidFill>
              <w14:schemeClr w14:val="tx1"/>
            </w14:solidFill>
          </w14:textFill>
        </w:rPr>
        <w:t>5</w:t>
      </w:r>
      <w:r>
        <w:rPr>
          <w:rFonts w:hint="eastAsia" w:ascii="Times New Roman" w:hAnsi="黑体" w:eastAsia="黑体" w:cs="Times New Roman"/>
          <w:color w:val="000000" w:themeColor="text1"/>
          <w14:textFill>
            <w14:solidFill>
              <w14:schemeClr w14:val="tx1"/>
            </w14:solidFill>
          </w14:textFill>
        </w:rPr>
        <w:t xml:space="preserve">-6  </w:t>
      </w:r>
      <w:r>
        <w:rPr>
          <w:rFonts w:hint="eastAsia" w:ascii="Times New Roman" w:eastAsia="黑体"/>
          <w:bCs/>
          <w:color w:val="000000" w:themeColor="text1"/>
          <w14:textFill>
            <w14:solidFill>
              <w14:schemeClr w14:val="tx1"/>
            </w14:solidFill>
          </w14:textFill>
        </w:rPr>
        <w:t>农</w:t>
      </w:r>
      <w:r>
        <w:rPr>
          <w:rFonts w:ascii="Times New Roman" w:eastAsia="黑体"/>
          <w:bCs/>
          <w:color w:val="000000" w:themeColor="text1"/>
          <w14:textFill>
            <w14:solidFill>
              <w14:schemeClr w14:val="tx1"/>
            </w14:solidFill>
          </w14:textFill>
        </w:rPr>
        <w:t>用地土壤污染风险筛选值</w:t>
      </w:r>
    </w:p>
    <w:tbl>
      <w:tblPr>
        <w:tblStyle w:val="88"/>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16"/>
        <w:gridCol w:w="960"/>
        <w:gridCol w:w="1355"/>
        <w:gridCol w:w="2016"/>
        <w:gridCol w:w="2016"/>
        <w:gridCol w:w="1359"/>
      </w:tblGrid>
      <w:tr w14:paraId="5F9471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042" w:type="pct"/>
            <w:gridSpan w:val="2"/>
            <w:vMerge w:val="restart"/>
            <w:tcBorders>
              <w:tl2br w:val="nil"/>
              <w:tr2bl w:val="nil"/>
            </w:tcBorders>
            <w:noWrap w:val="0"/>
            <w:vAlign w:val="center"/>
          </w:tcPr>
          <w:p w14:paraId="1D69401B">
            <w:pPr>
              <w:pStyle w:val="641"/>
              <w:adjustRightInd/>
              <w:spacing w:line="276"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宋体" w:eastAsia="宋体" w:cs="Times New Roman"/>
                <w:b/>
                <w:color w:val="000000" w:themeColor="text1"/>
                <w:sz w:val="21"/>
                <w:szCs w:val="21"/>
                <w14:textFill>
                  <w14:solidFill>
                    <w14:schemeClr w14:val="tx1"/>
                  </w14:solidFill>
                </w14:textFill>
              </w:rPr>
              <w:t>污染物项目</w:t>
            </w:r>
          </w:p>
        </w:tc>
        <w:tc>
          <w:tcPr>
            <w:tcW w:w="3958" w:type="pct"/>
            <w:gridSpan w:val="4"/>
            <w:tcBorders>
              <w:tl2br w:val="nil"/>
              <w:tr2bl w:val="nil"/>
            </w:tcBorders>
            <w:noWrap w:val="0"/>
            <w:vAlign w:val="center"/>
          </w:tcPr>
          <w:p w14:paraId="33C95778">
            <w:pPr>
              <w:pStyle w:val="641"/>
              <w:adjustRightInd/>
              <w:spacing w:line="276"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宋体" w:eastAsia="宋体" w:cs="Times New Roman"/>
                <w:b/>
                <w:color w:val="000000" w:themeColor="text1"/>
                <w:sz w:val="21"/>
                <w:szCs w:val="21"/>
                <w14:textFill>
                  <w14:solidFill>
                    <w14:schemeClr w14:val="tx1"/>
                  </w14:solidFill>
                </w14:textFill>
              </w:rPr>
              <w:t>风险筛选值</w:t>
            </w:r>
          </w:p>
        </w:tc>
      </w:tr>
      <w:tr w14:paraId="1B994C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042" w:type="pct"/>
            <w:gridSpan w:val="2"/>
            <w:vMerge w:val="continue"/>
            <w:tcBorders>
              <w:tl2br w:val="nil"/>
              <w:tr2bl w:val="nil"/>
            </w:tcBorders>
            <w:noWrap w:val="0"/>
            <w:vAlign w:val="center"/>
          </w:tcPr>
          <w:p w14:paraId="04179923">
            <w:pPr>
              <w:pStyle w:val="641"/>
              <w:adjustRightInd/>
              <w:spacing w:line="276" w:lineRule="auto"/>
              <w:jc w:val="center"/>
              <w:rPr>
                <w:rFonts w:ascii="Times New Roman" w:hAnsi="Times New Roman" w:eastAsia="宋体" w:cs="Times New Roman"/>
                <w:b/>
                <w:color w:val="000000" w:themeColor="text1"/>
                <w:sz w:val="21"/>
                <w:szCs w:val="21"/>
                <w14:textFill>
                  <w14:solidFill>
                    <w14:schemeClr w14:val="tx1"/>
                  </w14:solidFill>
                </w14:textFill>
              </w:rPr>
            </w:pPr>
          </w:p>
        </w:tc>
        <w:tc>
          <w:tcPr>
            <w:tcW w:w="795" w:type="pct"/>
            <w:tcBorders>
              <w:tl2br w:val="nil"/>
              <w:tr2bl w:val="nil"/>
            </w:tcBorders>
            <w:noWrap w:val="0"/>
            <w:vAlign w:val="center"/>
          </w:tcPr>
          <w:p w14:paraId="4BF02057">
            <w:pPr>
              <w:pStyle w:val="641"/>
              <w:spacing w:line="276"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pH≤5.5</w:t>
            </w:r>
          </w:p>
        </w:tc>
        <w:tc>
          <w:tcPr>
            <w:tcW w:w="1183" w:type="pct"/>
            <w:tcBorders>
              <w:tl2br w:val="nil"/>
              <w:tr2bl w:val="nil"/>
            </w:tcBorders>
            <w:noWrap w:val="0"/>
            <w:vAlign w:val="center"/>
          </w:tcPr>
          <w:p w14:paraId="66DDF2DB">
            <w:pPr>
              <w:pStyle w:val="641"/>
              <w:spacing w:line="276"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5.5</w:t>
            </w:r>
            <w:r>
              <w:rPr>
                <w:rFonts w:ascii="Times New Roman" w:hAnsi="宋体" w:eastAsia="宋体" w:cs="Times New Roman"/>
                <w:b/>
                <w:color w:val="000000" w:themeColor="text1"/>
                <w:sz w:val="21"/>
                <w:szCs w:val="21"/>
                <w14:textFill>
                  <w14:solidFill>
                    <w14:schemeClr w14:val="tx1"/>
                  </w14:solidFill>
                </w14:textFill>
              </w:rPr>
              <w:t>＜</w:t>
            </w:r>
            <w:r>
              <w:rPr>
                <w:rFonts w:ascii="Times New Roman" w:hAnsi="Times New Roman" w:eastAsia="宋体" w:cs="Times New Roman"/>
                <w:b/>
                <w:color w:val="000000" w:themeColor="text1"/>
                <w:sz w:val="21"/>
                <w:szCs w:val="21"/>
                <w14:textFill>
                  <w14:solidFill>
                    <w14:schemeClr w14:val="tx1"/>
                  </w14:solidFill>
                </w14:textFill>
              </w:rPr>
              <w:t>pH≤6.5</w:t>
            </w:r>
          </w:p>
        </w:tc>
        <w:tc>
          <w:tcPr>
            <w:tcW w:w="1183" w:type="pct"/>
            <w:tcBorders>
              <w:tl2br w:val="nil"/>
              <w:tr2bl w:val="nil"/>
            </w:tcBorders>
            <w:noWrap w:val="0"/>
            <w:vAlign w:val="center"/>
          </w:tcPr>
          <w:p w14:paraId="3AD5EB44">
            <w:pPr>
              <w:pStyle w:val="641"/>
              <w:spacing w:line="276"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6.5</w:t>
            </w:r>
            <w:r>
              <w:rPr>
                <w:rFonts w:ascii="Times New Roman" w:hAnsi="宋体" w:eastAsia="宋体" w:cs="Times New Roman"/>
                <w:b/>
                <w:color w:val="000000" w:themeColor="text1"/>
                <w:sz w:val="21"/>
                <w:szCs w:val="21"/>
                <w14:textFill>
                  <w14:solidFill>
                    <w14:schemeClr w14:val="tx1"/>
                  </w14:solidFill>
                </w14:textFill>
              </w:rPr>
              <w:t>＜</w:t>
            </w:r>
            <w:r>
              <w:rPr>
                <w:rFonts w:ascii="Times New Roman" w:hAnsi="Times New Roman" w:eastAsia="宋体" w:cs="Times New Roman"/>
                <w:b/>
                <w:color w:val="000000" w:themeColor="text1"/>
                <w:sz w:val="21"/>
                <w:szCs w:val="21"/>
                <w14:textFill>
                  <w14:solidFill>
                    <w14:schemeClr w14:val="tx1"/>
                  </w14:solidFill>
                </w14:textFill>
              </w:rPr>
              <w:t>pH≤7.5</w:t>
            </w:r>
          </w:p>
        </w:tc>
        <w:tc>
          <w:tcPr>
            <w:tcW w:w="797" w:type="pct"/>
            <w:tcBorders>
              <w:tl2br w:val="nil"/>
              <w:tr2bl w:val="nil"/>
            </w:tcBorders>
            <w:noWrap w:val="0"/>
            <w:vAlign w:val="center"/>
          </w:tcPr>
          <w:p w14:paraId="67A9DF43">
            <w:pPr>
              <w:pStyle w:val="641"/>
              <w:spacing w:line="276" w:lineRule="auto"/>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pH</w:t>
            </w:r>
            <w:r>
              <w:rPr>
                <w:rFonts w:ascii="Times New Roman" w:hAnsi="宋体" w:eastAsia="宋体" w:cs="Times New Roman"/>
                <w:b/>
                <w:color w:val="000000" w:themeColor="text1"/>
                <w:sz w:val="21"/>
                <w:szCs w:val="21"/>
                <w14:textFill>
                  <w14:solidFill>
                    <w14:schemeClr w14:val="tx1"/>
                  </w14:solidFill>
                </w14:textFill>
              </w:rPr>
              <w:t>＞</w:t>
            </w:r>
            <w:r>
              <w:rPr>
                <w:rFonts w:ascii="Times New Roman" w:hAnsi="Times New Roman" w:eastAsia="宋体" w:cs="Times New Roman"/>
                <w:b/>
                <w:color w:val="000000" w:themeColor="text1"/>
                <w:sz w:val="21"/>
                <w:szCs w:val="21"/>
                <w14:textFill>
                  <w14:solidFill>
                    <w14:schemeClr w14:val="tx1"/>
                  </w14:solidFill>
                </w14:textFill>
              </w:rPr>
              <w:t>7.5</w:t>
            </w:r>
          </w:p>
        </w:tc>
      </w:tr>
      <w:tr w14:paraId="7A038C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79" w:type="pct"/>
            <w:vMerge w:val="restart"/>
            <w:tcBorders>
              <w:tl2br w:val="nil"/>
              <w:tr2bl w:val="nil"/>
            </w:tcBorders>
            <w:noWrap w:val="0"/>
            <w:vAlign w:val="center"/>
          </w:tcPr>
          <w:p w14:paraId="4BCFDB2B">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镉</w:t>
            </w:r>
          </w:p>
        </w:tc>
        <w:tc>
          <w:tcPr>
            <w:tcW w:w="563" w:type="pct"/>
            <w:tcBorders>
              <w:tl2br w:val="nil"/>
              <w:tr2bl w:val="nil"/>
            </w:tcBorders>
            <w:noWrap w:val="0"/>
            <w:vAlign w:val="center"/>
          </w:tcPr>
          <w:p w14:paraId="6C9E6830">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水田</w:t>
            </w:r>
          </w:p>
        </w:tc>
        <w:tc>
          <w:tcPr>
            <w:tcW w:w="795" w:type="pct"/>
            <w:tcBorders>
              <w:tl2br w:val="nil"/>
              <w:tr2bl w:val="nil"/>
            </w:tcBorders>
            <w:noWrap w:val="0"/>
            <w:vAlign w:val="center"/>
          </w:tcPr>
          <w:p w14:paraId="2FF661D9">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0.3</w:t>
            </w:r>
          </w:p>
        </w:tc>
        <w:tc>
          <w:tcPr>
            <w:tcW w:w="1183" w:type="pct"/>
            <w:tcBorders>
              <w:tl2br w:val="nil"/>
              <w:tr2bl w:val="nil"/>
            </w:tcBorders>
            <w:noWrap w:val="0"/>
            <w:vAlign w:val="center"/>
          </w:tcPr>
          <w:p w14:paraId="07D16A45">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0.4</w:t>
            </w:r>
          </w:p>
        </w:tc>
        <w:tc>
          <w:tcPr>
            <w:tcW w:w="1183" w:type="pct"/>
            <w:tcBorders>
              <w:tl2br w:val="nil"/>
              <w:tr2bl w:val="nil"/>
            </w:tcBorders>
            <w:noWrap w:val="0"/>
            <w:vAlign w:val="center"/>
          </w:tcPr>
          <w:p w14:paraId="6B58E32D">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0.6</w:t>
            </w:r>
          </w:p>
        </w:tc>
        <w:tc>
          <w:tcPr>
            <w:tcW w:w="797" w:type="pct"/>
            <w:tcBorders>
              <w:tl2br w:val="nil"/>
              <w:tr2bl w:val="nil"/>
            </w:tcBorders>
            <w:noWrap w:val="0"/>
            <w:vAlign w:val="center"/>
          </w:tcPr>
          <w:p w14:paraId="3A2943F3">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0.8</w:t>
            </w:r>
          </w:p>
        </w:tc>
      </w:tr>
      <w:tr w14:paraId="323848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79" w:type="pct"/>
            <w:vMerge w:val="continue"/>
            <w:tcBorders>
              <w:tl2br w:val="nil"/>
              <w:tr2bl w:val="nil"/>
            </w:tcBorders>
            <w:noWrap w:val="0"/>
            <w:vAlign w:val="center"/>
          </w:tcPr>
          <w:p w14:paraId="62125B98">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p>
        </w:tc>
        <w:tc>
          <w:tcPr>
            <w:tcW w:w="563" w:type="pct"/>
            <w:tcBorders>
              <w:tl2br w:val="nil"/>
              <w:tr2bl w:val="nil"/>
            </w:tcBorders>
            <w:noWrap w:val="0"/>
            <w:vAlign w:val="center"/>
          </w:tcPr>
          <w:p w14:paraId="2D2EA88D">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其他</w:t>
            </w:r>
          </w:p>
        </w:tc>
        <w:tc>
          <w:tcPr>
            <w:tcW w:w="795" w:type="pct"/>
            <w:tcBorders>
              <w:tl2br w:val="nil"/>
              <w:tr2bl w:val="nil"/>
            </w:tcBorders>
            <w:noWrap w:val="0"/>
            <w:vAlign w:val="center"/>
          </w:tcPr>
          <w:p w14:paraId="09037933">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0.3</w:t>
            </w:r>
          </w:p>
        </w:tc>
        <w:tc>
          <w:tcPr>
            <w:tcW w:w="1183" w:type="pct"/>
            <w:tcBorders>
              <w:tl2br w:val="nil"/>
              <w:tr2bl w:val="nil"/>
            </w:tcBorders>
            <w:noWrap w:val="0"/>
            <w:vAlign w:val="center"/>
          </w:tcPr>
          <w:p w14:paraId="2FEC2FFE">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0.3</w:t>
            </w:r>
          </w:p>
        </w:tc>
        <w:tc>
          <w:tcPr>
            <w:tcW w:w="1183" w:type="pct"/>
            <w:tcBorders>
              <w:tl2br w:val="nil"/>
              <w:tr2bl w:val="nil"/>
            </w:tcBorders>
            <w:noWrap w:val="0"/>
            <w:vAlign w:val="center"/>
          </w:tcPr>
          <w:p w14:paraId="6DBA72E9">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0.3</w:t>
            </w:r>
          </w:p>
        </w:tc>
        <w:tc>
          <w:tcPr>
            <w:tcW w:w="797" w:type="pct"/>
            <w:tcBorders>
              <w:tl2br w:val="nil"/>
              <w:tr2bl w:val="nil"/>
            </w:tcBorders>
            <w:noWrap w:val="0"/>
            <w:vAlign w:val="center"/>
          </w:tcPr>
          <w:p w14:paraId="5D3E8EF2">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0.6</w:t>
            </w:r>
          </w:p>
        </w:tc>
      </w:tr>
      <w:tr w14:paraId="17FA21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79" w:type="pct"/>
            <w:vMerge w:val="restart"/>
            <w:tcBorders>
              <w:tl2br w:val="nil"/>
              <w:tr2bl w:val="nil"/>
            </w:tcBorders>
            <w:noWrap w:val="0"/>
            <w:vAlign w:val="center"/>
          </w:tcPr>
          <w:p w14:paraId="056E8F00">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汞</w:t>
            </w:r>
          </w:p>
        </w:tc>
        <w:tc>
          <w:tcPr>
            <w:tcW w:w="563" w:type="pct"/>
            <w:tcBorders>
              <w:tl2br w:val="nil"/>
              <w:tr2bl w:val="nil"/>
            </w:tcBorders>
            <w:noWrap w:val="0"/>
            <w:vAlign w:val="center"/>
          </w:tcPr>
          <w:p w14:paraId="27DE9EC6">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水田</w:t>
            </w:r>
          </w:p>
        </w:tc>
        <w:tc>
          <w:tcPr>
            <w:tcW w:w="795" w:type="pct"/>
            <w:tcBorders>
              <w:tl2br w:val="nil"/>
              <w:tr2bl w:val="nil"/>
            </w:tcBorders>
            <w:noWrap w:val="0"/>
            <w:vAlign w:val="center"/>
          </w:tcPr>
          <w:p w14:paraId="2355C2F8">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0.5</w:t>
            </w:r>
          </w:p>
        </w:tc>
        <w:tc>
          <w:tcPr>
            <w:tcW w:w="1183" w:type="pct"/>
            <w:tcBorders>
              <w:tl2br w:val="nil"/>
              <w:tr2bl w:val="nil"/>
            </w:tcBorders>
            <w:noWrap w:val="0"/>
            <w:vAlign w:val="center"/>
          </w:tcPr>
          <w:p w14:paraId="4EC2B809">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0.5</w:t>
            </w:r>
          </w:p>
        </w:tc>
        <w:tc>
          <w:tcPr>
            <w:tcW w:w="1183" w:type="pct"/>
            <w:tcBorders>
              <w:tl2br w:val="nil"/>
              <w:tr2bl w:val="nil"/>
            </w:tcBorders>
            <w:noWrap w:val="0"/>
            <w:vAlign w:val="center"/>
          </w:tcPr>
          <w:p w14:paraId="5E61F9E1">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0.6</w:t>
            </w:r>
          </w:p>
        </w:tc>
        <w:tc>
          <w:tcPr>
            <w:tcW w:w="797" w:type="pct"/>
            <w:tcBorders>
              <w:tl2br w:val="nil"/>
              <w:tr2bl w:val="nil"/>
            </w:tcBorders>
            <w:noWrap w:val="0"/>
            <w:vAlign w:val="center"/>
          </w:tcPr>
          <w:p w14:paraId="72742645">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1.0</w:t>
            </w:r>
          </w:p>
        </w:tc>
      </w:tr>
      <w:tr w14:paraId="7599B5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79" w:type="pct"/>
            <w:vMerge w:val="continue"/>
            <w:tcBorders>
              <w:tl2br w:val="nil"/>
              <w:tr2bl w:val="nil"/>
            </w:tcBorders>
            <w:noWrap w:val="0"/>
            <w:vAlign w:val="center"/>
          </w:tcPr>
          <w:p w14:paraId="20920187">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p>
        </w:tc>
        <w:tc>
          <w:tcPr>
            <w:tcW w:w="563" w:type="pct"/>
            <w:tcBorders>
              <w:tl2br w:val="nil"/>
              <w:tr2bl w:val="nil"/>
            </w:tcBorders>
            <w:noWrap w:val="0"/>
            <w:vAlign w:val="center"/>
          </w:tcPr>
          <w:p w14:paraId="61BB9EE1">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其他</w:t>
            </w:r>
          </w:p>
        </w:tc>
        <w:tc>
          <w:tcPr>
            <w:tcW w:w="795" w:type="pct"/>
            <w:tcBorders>
              <w:tl2br w:val="nil"/>
              <w:tr2bl w:val="nil"/>
            </w:tcBorders>
            <w:noWrap w:val="0"/>
            <w:vAlign w:val="center"/>
          </w:tcPr>
          <w:p w14:paraId="4FF51141">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1.3</w:t>
            </w:r>
          </w:p>
        </w:tc>
        <w:tc>
          <w:tcPr>
            <w:tcW w:w="1183" w:type="pct"/>
            <w:tcBorders>
              <w:tl2br w:val="nil"/>
              <w:tr2bl w:val="nil"/>
            </w:tcBorders>
            <w:noWrap w:val="0"/>
            <w:vAlign w:val="center"/>
          </w:tcPr>
          <w:p w14:paraId="2515B7E9">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1.8</w:t>
            </w:r>
          </w:p>
        </w:tc>
        <w:tc>
          <w:tcPr>
            <w:tcW w:w="1183" w:type="pct"/>
            <w:tcBorders>
              <w:tl2br w:val="nil"/>
              <w:tr2bl w:val="nil"/>
            </w:tcBorders>
            <w:noWrap w:val="0"/>
            <w:vAlign w:val="center"/>
          </w:tcPr>
          <w:p w14:paraId="1208611C">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2.4</w:t>
            </w:r>
          </w:p>
        </w:tc>
        <w:tc>
          <w:tcPr>
            <w:tcW w:w="797" w:type="pct"/>
            <w:tcBorders>
              <w:tl2br w:val="nil"/>
              <w:tr2bl w:val="nil"/>
            </w:tcBorders>
            <w:noWrap w:val="0"/>
            <w:vAlign w:val="center"/>
          </w:tcPr>
          <w:p w14:paraId="741664BE">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3.4</w:t>
            </w:r>
          </w:p>
        </w:tc>
      </w:tr>
      <w:tr w14:paraId="0EDBDE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79" w:type="pct"/>
            <w:vMerge w:val="restart"/>
            <w:tcBorders>
              <w:tl2br w:val="nil"/>
              <w:tr2bl w:val="nil"/>
            </w:tcBorders>
            <w:noWrap w:val="0"/>
            <w:vAlign w:val="center"/>
          </w:tcPr>
          <w:p w14:paraId="3B729036">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砷</w:t>
            </w:r>
          </w:p>
        </w:tc>
        <w:tc>
          <w:tcPr>
            <w:tcW w:w="563" w:type="pct"/>
            <w:tcBorders>
              <w:tl2br w:val="nil"/>
              <w:tr2bl w:val="nil"/>
            </w:tcBorders>
            <w:noWrap w:val="0"/>
            <w:vAlign w:val="center"/>
          </w:tcPr>
          <w:p w14:paraId="59A33BAB">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水田</w:t>
            </w:r>
          </w:p>
        </w:tc>
        <w:tc>
          <w:tcPr>
            <w:tcW w:w="795" w:type="pct"/>
            <w:tcBorders>
              <w:tl2br w:val="nil"/>
              <w:tr2bl w:val="nil"/>
            </w:tcBorders>
            <w:noWrap w:val="0"/>
            <w:vAlign w:val="center"/>
          </w:tcPr>
          <w:p w14:paraId="38820723">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30</w:t>
            </w:r>
          </w:p>
        </w:tc>
        <w:tc>
          <w:tcPr>
            <w:tcW w:w="1183" w:type="pct"/>
            <w:tcBorders>
              <w:tl2br w:val="nil"/>
              <w:tr2bl w:val="nil"/>
            </w:tcBorders>
            <w:noWrap w:val="0"/>
            <w:vAlign w:val="center"/>
          </w:tcPr>
          <w:p w14:paraId="5E809D58">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30</w:t>
            </w:r>
          </w:p>
        </w:tc>
        <w:tc>
          <w:tcPr>
            <w:tcW w:w="1183" w:type="pct"/>
            <w:tcBorders>
              <w:tl2br w:val="nil"/>
              <w:tr2bl w:val="nil"/>
            </w:tcBorders>
            <w:noWrap w:val="0"/>
            <w:vAlign w:val="center"/>
          </w:tcPr>
          <w:p w14:paraId="303EE185">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25</w:t>
            </w:r>
          </w:p>
        </w:tc>
        <w:tc>
          <w:tcPr>
            <w:tcW w:w="797" w:type="pct"/>
            <w:tcBorders>
              <w:tl2br w:val="nil"/>
              <w:tr2bl w:val="nil"/>
            </w:tcBorders>
            <w:noWrap w:val="0"/>
            <w:vAlign w:val="center"/>
          </w:tcPr>
          <w:p w14:paraId="0DA7F026">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20</w:t>
            </w:r>
          </w:p>
        </w:tc>
      </w:tr>
      <w:tr w14:paraId="186A97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79" w:type="pct"/>
            <w:vMerge w:val="continue"/>
            <w:tcBorders>
              <w:tl2br w:val="nil"/>
              <w:tr2bl w:val="nil"/>
            </w:tcBorders>
            <w:noWrap w:val="0"/>
            <w:vAlign w:val="center"/>
          </w:tcPr>
          <w:p w14:paraId="44915916">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p>
        </w:tc>
        <w:tc>
          <w:tcPr>
            <w:tcW w:w="563" w:type="pct"/>
            <w:tcBorders>
              <w:tl2br w:val="nil"/>
              <w:tr2bl w:val="nil"/>
            </w:tcBorders>
            <w:noWrap w:val="0"/>
            <w:vAlign w:val="center"/>
          </w:tcPr>
          <w:p w14:paraId="459401B1">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其他</w:t>
            </w:r>
          </w:p>
        </w:tc>
        <w:tc>
          <w:tcPr>
            <w:tcW w:w="795" w:type="pct"/>
            <w:tcBorders>
              <w:tl2br w:val="nil"/>
              <w:tr2bl w:val="nil"/>
            </w:tcBorders>
            <w:noWrap w:val="0"/>
            <w:vAlign w:val="center"/>
          </w:tcPr>
          <w:p w14:paraId="0ACDCC3E">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40</w:t>
            </w:r>
          </w:p>
        </w:tc>
        <w:tc>
          <w:tcPr>
            <w:tcW w:w="1183" w:type="pct"/>
            <w:tcBorders>
              <w:tl2br w:val="nil"/>
              <w:tr2bl w:val="nil"/>
            </w:tcBorders>
            <w:noWrap w:val="0"/>
            <w:vAlign w:val="center"/>
          </w:tcPr>
          <w:p w14:paraId="1F5E0B03">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40</w:t>
            </w:r>
          </w:p>
        </w:tc>
        <w:tc>
          <w:tcPr>
            <w:tcW w:w="1183" w:type="pct"/>
            <w:tcBorders>
              <w:tl2br w:val="nil"/>
              <w:tr2bl w:val="nil"/>
            </w:tcBorders>
            <w:noWrap w:val="0"/>
            <w:vAlign w:val="center"/>
          </w:tcPr>
          <w:p w14:paraId="0B3EFFAA">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30</w:t>
            </w:r>
          </w:p>
        </w:tc>
        <w:tc>
          <w:tcPr>
            <w:tcW w:w="797" w:type="pct"/>
            <w:tcBorders>
              <w:tl2br w:val="nil"/>
              <w:tr2bl w:val="nil"/>
            </w:tcBorders>
            <w:noWrap w:val="0"/>
            <w:vAlign w:val="center"/>
          </w:tcPr>
          <w:p w14:paraId="2DCE4121">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25</w:t>
            </w:r>
          </w:p>
        </w:tc>
      </w:tr>
      <w:tr w14:paraId="26D64F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79" w:type="pct"/>
            <w:vMerge w:val="restart"/>
            <w:tcBorders>
              <w:tl2br w:val="nil"/>
              <w:tr2bl w:val="nil"/>
            </w:tcBorders>
            <w:noWrap w:val="0"/>
            <w:vAlign w:val="center"/>
          </w:tcPr>
          <w:p w14:paraId="190FE33E">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铅</w:t>
            </w:r>
          </w:p>
        </w:tc>
        <w:tc>
          <w:tcPr>
            <w:tcW w:w="563" w:type="pct"/>
            <w:tcBorders>
              <w:tl2br w:val="nil"/>
              <w:tr2bl w:val="nil"/>
            </w:tcBorders>
            <w:noWrap w:val="0"/>
            <w:vAlign w:val="center"/>
          </w:tcPr>
          <w:p w14:paraId="6A291594">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水田</w:t>
            </w:r>
          </w:p>
        </w:tc>
        <w:tc>
          <w:tcPr>
            <w:tcW w:w="795" w:type="pct"/>
            <w:tcBorders>
              <w:tl2br w:val="nil"/>
              <w:tr2bl w:val="nil"/>
            </w:tcBorders>
            <w:noWrap w:val="0"/>
            <w:vAlign w:val="center"/>
          </w:tcPr>
          <w:p w14:paraId="48A61C8C">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80</w:t>
            </w:r>
          </w:p>
        </w:tc>
        <w:tc>
          <w:tcPr>
            <w:tcW w:w="1183" w:type="pct"/>
            <w:tcBorders>
              <w:tl2br w:val="nil"/>
              <w:tr2bl w:val="nil"/>
            </w:tcBorders>
            <w:noWrap w:val="0"/>
            <w:vAlign w:val="center"/>
          </w:tcPr>
          <w:p w14:paraId="2F021AA6">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100</w:t>
            </w:r>
          </w:p>
        </w:tc>
        <w:tc>
          <w:tcPr>
            <w:tcW w:w="1183" w:type="pct"/>
            <w:tcBorders>
              <w:tl2br w:val="nil"/>
              <w:tr2bl w:val="nil"/>
            </w:tcBorders>
            <w:noWrap w:val="0"/>
            <w:vAlign w:val="center"/>
          </w:tcPr>
          <w:p w14:paraId="54E46821">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140</w:t>
            </w:r>
          </w:p>
        </w:tc>
        <w:tc>
          <w:tcPr>
            <w:tcW w:w="797" w:type="pct"/>
            <w:tcBorders>
              <w:tl2br w:val="nil"/>
              <w:tr2bl w:val="nil"/>
            </w:tcBorders>
            <w:noWrap w:val="0"/>
            <w:vAlign w:val="center"/>
          </w:tcPr>
          <w:p w14:paraId="3376E914">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240</w:t>
            </w:r>
          </w:p>
        </w:tc>
      </w:tr>
      <w:tr w14:paraId="2F5FDE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79" w:type="pct"/>
            <w:vMerge w:val="continue"/>
            <w:tcBorders>
              <w:tl2br w:val="nil"/>
              <w:tr2bl w:val="nil"/>
            </w:tcBorders>
            <w:noWrap w:val="0"/>
            <w:vAlign w:val="center"/>
          </w:tcPr>
          <w:p w14:paraId="11BA5D43">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p>
        </w:tc>
        <w:tc>
          <w:tcPr>
            <w:tcW w:w="563" w:type="pct"/>
            <w:tcBorders>
              <w:tl2br w:val="nil"/>
              <w:tr2bl w:val="nil"/>
            </w:tcBorders>
            <w:noWrap w:val="0"/>
            <w:vAlign w:val="center"/>
          </w:tcPr>
          <w:p w14:paraId="0694EC02">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其他</w:t>
            </w:r>
          </w:p>
        </w:tc>
        <w:tc>
          <w:tcPr>
            <w:tcW w:w="795" w:type="pct"/>
            <w:tcBorders>
              <w:tl2br w:val="nil"/>
              <w:tr2bl w:val="nil"/>
            </w:tcBorders>
            <w:noWrap w:val="0"/>
            <w:vAlign w:val="center"/>
          </w:tcPr>
          <w:p w14:paraId="07CFD250">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70</w:t>
            </w:r>
          </w:p>
        </w:tc>
        <w:tc>
          <w:tcPr>
            <w:tcW w:w="1183" w:type="pct"/>
            <w:tcBorders>
              <w:tl2br w:val="nil"/>
              <w:tr2bl w:val="nil"/>
            </w:tcBorders>
            <w:noWrap w:val="0"/>
            <w:vAlign w:val="center"/>
          </w:tcPr>
          <w:p w14:paraId="36A8F386">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90</w:t>
            </w:r>
          </w:p>
        </w:tc>
        <w:tc>
          <w:tcPr>
            <w:tcW w:w="1183" w:type="pct"/>
            <w:tcBorders>
              <w:tl2br w:val="nil"/>
              <w:tr2bl w:val="nil"/>
            </w:tcBorders>
            <w:noWrap w:val="0"/>
            <w:vAlign w:val="center"/>
          </w:tcPr>
          <w:p w14:paraId="1894684A">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120</w:t>
            </w:r>
          </w:p>
        </w:tc>
        <w:tc>
          <w:tcPr>
            <w:tcW w:w="797" w:type="pct"/>
            <w:tcBorders>
              <w:tl2br w:val="nil"/>
              <w:tr2bl w:val="nil"/>
            </w:tcBorders>
            <w:noWrap w:val="0"/>
            <w:vAlign w:val="center"/>
          </w:tcPr>
          <w:p w14:paraId="47D1E5F1">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170</w:t>
            </w:r>
          </w:p>
        </w:tc>
      </w:tr>
      <w:tr w14:paraId="14E98A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79" w:type="pct"/>
            <w:vMerge w:val="restart"/>
            <w:tcBorders>
              <w:tl2br w:val="nil"/>
              <w:tr2bl w:val="nil"/>
            </w:tcBorders>
            <w:noWrap w:val="0"/>
            <w:vAlign w:val="center"/>
          </w:tcPr>
          <w:p w14:paraId="233EA605">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铬</w:t>
            </w:r>
          </w:p>
        </w:tc>
        <w:tc>
          <w:tcPr>
            <w:tcW w:w="563" w:type="pct"/>
            <w:tcBorders>
              <w:tl2br w:val="nil"/>
              <w:tr2bl w:val="nil"/>
            </w:tcBorders>
            <w:noWrap w:val="0"/>
            <w:vAlign w:val="center"/>
          </w:tcPr>
          <w:p w14:paraId="013FE167">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水田</w:t>
            </w:r>
          </w:p>
        </w:tc>
        <w:tc>
          <w:tcPr>
            <w:tcW w:w="795" w:type="pct"/>
            <w:tcBorders>
              <w:tl2br w:val="nil"/>
              <w:tr2bl w:val="nil"/>
            </w:tcBorders>
            <w:noWrap w:val="0"/>
            <w:vAlign w:val="center"/>
          </w:tcPr>
          <w:p w14:paraId="62FC3D7A">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250</w:t>
            </w:r>
          </w:p>
        </w:tc>
        <w:tc>
          <w:tcPr>
            <w:tcW w:w="1183" w:type="pct"/>
            <w:tcBorders>
              <w:tl2br w:val="nil"/>
              <w:tr2bl w:val="nil"/>
            </w:tcBorders>
            <w:noWrap w:val="0"/>
            <w:vAlign w:val="center"/>
          </w:tcPr>
          <w:p w14:paraId="49034E3F">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250</w:t>
            </w:r>
          </w:p>
        </w:tc>
        <w:tc>
          <w:tcPr>
            <w:tcW w:w="1183" w:type="pct"/>
            <w:tcBorders>
              <w:tl2br w:val="nil"/>
              <w:tr2bl w:val="nil"/>
            </w:tcBorders>
            <w:noWrap w:val="0"/>
            <w:vAlign w:val="center"/>
          </w:tcPr>
          <w:p w14:paraId="48350284">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300</w:t>
            </w:r>
          </w:p>
        </w:tc>
        <w:tc>
          <w:tcPr>
            <w:tcW w:w="797" w:type="pct"/>
            <w:tcBorders>
              <w:tl2br w:val="nil"/>
              <w:tr2bl w:val="nil"/>
            </w:tcBorders>
            <w:noWrap w:val="0"/>
            <w:vAlign w:val="center"/>
          </w:tcPr>
          <w:p w14:paraId="5207A52C">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350</w:t>
            </w:r>
          </w:p>
        </w:tc>
      </w:tr>
      <w:tr w14:paraId="2B616C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79" w:type="pct"/>
            <w:vMerge w:val="continue"/>
            <w:tcBorders>
              <w:tl2br w:val="nil"/>
              <w:tr2bl w:val="nil"/>
            </w:tcBorders>
            <w:noWrap w:val="0"/>
            <w:vAlign w:val="center"/>
          </w:tcPr>
          <w:p w14:paraId="13F7DD0A">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p>
        </w:tc>
        <w:tc>
          <w:tcPr>
            <w:tcW w:w="563" w:type="pct"/>
            <w:tcBorders>
              <w:tl2br w:val="nil"/>
              <w:tr2bl w:val="nil"/>
            </w:tcBorders>
            <w:noWrap w:val="0"/>
            <w:vAlign w:val="center"/>
          </w:tcPr>
          <w:p w14:paraId="2FCFD8A6">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其他</w:t>
            </w:r>
          </w:p>
        </w:tc>
        <w:tc>
          <w:tcPr>
            <w:tcW w:w="795" w:type="pct"/>
            <w:tcBorders>
              <w:tl2br w:val="nil"/>
              <w:tr2bl w:val="nil"/>
            </w:tcBorders>
            <w:noWrap w:val="0"/>
            <w:vAlign w:val="center"/>
          </w:tcPr>
          <w:p w14:paraId="689CA7C9">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150</w:t>
            </w:r>
          </w:p>
        </w:tc>
        <w:tc>
          <w:tcPr>
            <w:tcW w:w="1183" w:type="pct"/>
            <w:tcBorders>
              <w:tl2br w:val="nil"/>
              <w:tr2bl w:val="nil"/>
            </w:tcBorders>
            <w:noWrap w:val="0"/>
            <w:vAlign w:val="center"/>
          </w:tcPr>
          <w:p w14:paraId="44EA4C9A">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150</w:t>
            </w:r>
          </w:p>
        </w:tc>
        <w:tc>
          <w:tcPr>
            <w:tcW w:w="1183" w:type="pct"/>
            <w:tcBorders>
              <w:tl2br w:val="nil"/>
              <w:tr2bl w:val="nil"/>
            </w:tcBorders>
            <w:noWrap w:val="0"/>
            <w:vAlign w:val="center"/>
          </w:tcPr>
          <w:p w14:paraId="692B64CB">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200</w:t>
            </w:r>
          </w:p>
        </w:tc>
        <w:tc>
          <w:tcPr>
            <w:tcW w:w="797" w:type="pct"/>
            <w:tcBorders>
              <w:tl2br w:val="nil"/>
              <w:tr2bl w:val="nil"/>
            </w:tcBorders>
            <w:noWrap w:val="0"/>
            <w:vAlign w:val="center"/>
          </w:tcPr>
          <w:p w14:paraId="4DCD305B">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250</w:t>
            </w:r>
          </w:p>
        </w:tc>
      </w:tr>
      <w:tr w14:paraId="30D69F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79" w:type="pct"/>
            <w:vMerge w:val="restart"/>
            <w:tcBorders>
              <w:tl2br w:val="nil"/>
              <w:tr2bl w:val="nil"/>
            </w:tcBorders>
            <w:noWrap w:val="0"/>
            <w:vAlign w:val="center"/>
          </w:tcPr>
          <w:p w14:paraId="00DD78C9">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铜</w:t>
            </w:r>
          </w:p>
        </w:tc>
        <w:tc>
          <w:tcPr>
            <w:tcW w:w="563" w:type="pct"/>
            <w:tcBorders>
              <w:tl2br w:val="nil"/>
              <w:tr2bl w:val="nil"/>
            </w:tcBorders>
            <w:noWrap w:val="0"/>
            <w:vAlign w:val="center"/>
          </w:tcPr>
          <w:p w14:paraId="5B410AA4">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果园</w:t>
            </w:r>
          </w:p>
        </w:tc>
        <w:tc>
          <w:tcPr>
            <w:tcW w:w="795" w:type="pct"/>
            <w:tcBorders>
              <w:tl2br w:val="nil"/>
              <w:tr2bl w:val="nil"/>
            </w:tcBorders>
            <w:noWrap w:val="0"/>
            <w:vAlign w:val="center"/>
          </w:tcPr>
          <w:p w14:paraId="0B55CD8E">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150</w:t>
            </w:r>
          </w:p>
        </w:tc>
        <w:tc>
          <w:tcPr>
            <w:tcW w:w="1183" w:type="pct"/>
            <w:tcBorders>
              <w:tl2br w:val="nil"/>
              <w:tr2bl w:val="nil"/>
            </w:tcBorders>
            <w:noWrap w:val="0"/>
            <w:vAlign w:val="center"/>
          </w:tcPr>
          <w:p w14:paraId="48C9E1C3">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150</w:t>
            </w:r>
          </w:p>
        </w:tc>
        <w:tc>
          <w:tcPr>
            <w:tcW w:w="1183" w:type="pct"/>
            <w:tcBorders>
              <w:tl2br w:val="nil"/>
              <w:tr2bl w:val="nil"/>
            </w:tcBorders>
            <w:noWrap w:val="0"/>
            <w:vAlign w:val="center"/>
          </w:tcPr>
          <w:p w14:paraId="25458434">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200</w:t>
            </w:r>
          </w:p>
        </w:tc>
        <w:tc>
          <w:tcPr>
            <w:tcW w:w="797" w:type="pct"/>
            <w:tcBorders>
              <w:tl2br w:val="nil"/>
              <w:tr2bl w:val="nil"/>
            </w:tcBorders>
            <w:noWrap w:val="0"/>
            <w:vAlign w:val="center"/>
          </w:tcPr>
          <w:p w14:paraId="70932304">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200</w:t>
            </w:r>
          </w:p>
        </w:tc>
      </w:tr>
      <w:tr w14:paraId="5B3B9C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79" w:type="pct"/>
            <w:vMerge w:val="continue"/>
            <w:tcBorders>
              <w:tl2br w:val="nil"/>
              <w:tr2bl w:val="nil"/>
            </w:tcBorders>
            <w:noWrap w:val="0"/>
            <w:vAlign w:val="center"/>
          </w:tcPr>
          <w:p w14:paraId="39D78778">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p>
        </w:tc>
        <w:tc>
          <w:tcPr>
            <w:tcW w:w="563" w:type="pct"/>
            <w:tcBorders>
              <w:tl2br w:val="nil"/>
              <w:tr2bl w:val="nil"/>
            </w:tcBorders>
            <w:noWrap w:val="0"/>
            <w:vAlign w:val="center"/>
          </w:tcPr>
          <w:p w14:paraId="79EC1E0D">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其他</w:t>
            </w:r>
          </w:p>
        </w:tc>
        <w:tc>
          <w:tcPr>
            <w:tcW w:w="795" w:type="pct"/>
            <w:tcBorders>
              <w:tl2br w:val="nil"/>
              <w:tr2bl w:val="nil"/>
            </w:tcBorders>
            <w:noWrap w:val="0"/>
            <w:vAlign w:val="center"/>
          </w:tcPr>
          <w:p w14:paraId="71182A6F">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50</w:t>
            </w:r>
          </w:p>
        </w:tc>
        <w:tc>
          <w:tcPr>
            <w:tcW w:w="1183" w:type="pct"/>
            <w:tcBorders>
              <w:tl2br w:val="nil"/>
              <w:tr2bl w:val="nil"/>
            </w:tcBorders>
            <w:noWrap w:val="0"/>
            <w:vAlign w:val="center"/>
          </w:tcPr>
          <w:p w14:paraId="0C1CC87B">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50</w:t>
            </w:r>
          </w:p>
        </w:tc>
        <w:tc>
          <w:tcPr>
            <w:tcW w:w="1183" w:type="pct"/>
            <w:tcBorders>
              <w:tl2br w:val="nil"/>
              <w:tr2bl w:val="nil"/>
            </w:tcBorders>
            <w:noWrap w:val="0"/>
            <w:vAlign w:val="center"/>
          </w:tcPr>
          <w:p w14:paraId="766047B4">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100</w:t>
            </w:r>
          </w:p>
        </w:tc>
        <w:tc>
          <w:tcPr>
            <w:tcW w:w="797" w:type="pct"/>
            <w:tcBorders>
              <w:tl2br w:val="nil"/>
              <w:tr2bl w:val="nil"/>
            </w:tcBorders>
            <w:noWrap w:val="0"/>
            <w:vAlign w:val="center"/>
          </w:tcPr>
          <w:p w14:paraId="3A2D495E">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100</w:t>
            </w:r>
          </w:p>
        </w:tc>
      </w:tr>
      <w:tr w14:paraId="2348D9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042" w:type="pct"/>
            <w:gridSpan w:val="2"/>
            <w:tcBorders>
              <w:tl2br w:val="nil"/>
              <w:tr2bl w:val="nil"/>
            </w:tcBorders>
            <w:noWrap w:val="0"/>
            <w:vAlign w:val="center"/>
          </w:tcPr>
          <w:p w14:paraId="711C0775">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镍</w:t>
            </w:r>
          </w:p>
        </w:tc>
        <w:tc>
          <w:tcPr>
            <w:tcW w:w="795" w:type="pct"/>
            <w:tcBorders>
              <w:tl2br w:val="nil"/>
              <w:tr2bl w:val="nil"/>
            </w:tcBorders>
            <w:noWrap w:val="0"/>
            <w:vAlign w:val="center"/>
          </w:tcPr>
          <w:p w14:paraId="1B54B48E">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60</w:t>
            </w:r>
          </w:p>
        </w:tc>
        <w:tc>
          <w:tcPr>
            <w:tcW w:w="1183" w:type="pct"/>
            <w:tcBorders>
              <w:tl2br w:val="nil"/>
              <w:tr2bl w:val="nil"/>
            </w:tcBorders>
            <w:noWrap w:val="0"/>
            <w:vAlign w:val="center"/>
          </w:tcPr>
          <w:p w14:paraId="0153A25B">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70</w:t>
            </w:r>
          </w:p>
        </w:tc>
        <w:tc>
          <w:tcPr>
            <w:tcW w:w="1183" w:type="pct"/>
            <w:tcBorders>
              <w:tl2br w:val="nil"/>
              <w:tr2bl w:val="nil"/>
            </w:tcBorders>
            <w:noWrap w:val="0"/>
            <w:vAlign w:val="center"/>
          </w:tcPr>
          <w:p w14:paraId="330B7923">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100</w:t>
            </w:r>
          </w:p>
        </w:tc>
        <w:tc>
          <w:tcPr>
            <w:tcW w:w="797" w:type="pct"/>
            <w:tcBorders>
              <w:tl2br w:val="nil"/>
              <w:tr2bl w:val="nil"/>
            </w:tcBorders>
            <w:noWrap w:val="0"/>
            <w:vAlign w:val="center"/>
          </w:tcPr>
          <w:p w14:paraId="73EC30DD">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190</w:t>
            </w:r>
          </w:p>
        </w:tc>
      </w:tr>
      <w:tr w14:paraId="544602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042" w:type="pct"/>
            <w:gridSpan w:val="2"/>
            <w:tcBorders>
              <w:tl2br w:val="nil"/>
              <w:tr2bl w:val="nil"/>
            </w:tcBorders>
            <w:noWrap w:val="0"/>
            <w:vAlign w:val="center"/>
          </w:tcPr>
          <w:p w14:paraId="29E79A5D">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rFonts w:hAnsi="宋体"/>
                <w:color w:val="000000" w:themeColor="text1"/>
                <w:sz w:val="21"/>
                <w:szCs w:val="21"/>
                <w:lang w:val="en-US" w:eastAsia="zh-CN"/>
                <w14:textFill>
                  <w14:solidFill>
                    <w14:schemeClr w14:val="tx1"/>
                  </w14:solidFill>
                </w14:textFill>
              </w:rPr>
              <w:t>锌</w:t>
            </w:r>
          </w:p>
        </w:tc>
        <w:tc>
          <w:tcPr>
            <w:tcW w:w="795" w:type="pct"/>
            <w:tcBorders>
              <w:tl2br w:val="nil"/>
              <w:tr2bl w:val="nil"/>
            </w:tcBorders>
            <w:noWrap w:val="0"/>
            <w:vAlign w:val="center"/>
          </w:tcPr>
          <w:p w14:paraId="7E768762">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200</w:t>
            </w:r>
          </w:p>
        </w:tc>
        <w:tc>
          <w:tcPr>
            <w:tcW w:w="1183" w:type="pct"/>
            <w:tcBorders>
              <w:tl2br w:val="nil"/>
              <w:tr2bl w:val="nil"/>
            </w:tcBorders>
            <w:noWrap w:val="0"/>
            <w:vAlign w:val="center"/>
          </w:tcPr>
          <w:p w14:paraId="5604E0A4">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200</w:t>
            </w:r>
          </w:p>
        </w:tc>
        <w:tc>
          <w:tcPr>
            <w:tcW w:w="1183" w:type="pct"/>
            <w:tcBorders>
              <w:tl2br w:val="nil"/>
              <w:tr2bl w:val="nil"/>
            </w:tcBorders>
            <w:noWrap w:val="0"/>
            <w:vAlign w:val="center"/>
          </w:tcPr>
          <w:p w14:paraId="13CCCF7F">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250</w:t>
            </w:r>
          </w:p>
        </w:tc>
        <w:tc>
          <w:tcPr>
            <w:tcW w:w="797" w:type="pct"/>
            <w:tcBorders>
              <w:tl2br w:val="nil"/>
              <w:tr2bl w:val="nil"/>
            </w:tcBorders>
            <w:noWrap w:val="0"/>
            <w:vAlign w:val="center"/>
          </w:tcPr>
          <w:p w14:paraId="3508CF6F">
            <w:pPr>
              <w:pStyle w:val="82"/>
              <w:autoSpaceDE w:val="0"/>
              <w:autoSpaceDN w:val="0"/>
              <w:spacing w:line="276" w:lineRule="auto"/>
              <w:jc w:val="center"/>
              <w:rPr>
                <w:color w:val="000000" w:themeColor="text1"/>
                <w:sz w:val="21"/>
                <w:szCs w:val="21"/>
                <w:lang w:val="en-US" w:eastAsia="zh-CN"/>
                <w14:textFill>
                  <w14:solidFill>
                    <w14:schemeClr w14:val="tx1"/>
                  </w14:solidFill>
                </w14:textFill>
              </w:rPr>
            </w:pPr>
            <w:r>
              <w:rPr>
                <w:color w:val="000000" w:themeColor="text1"/>
                <w:sz w:val="21"/>
                <w:szCs w:val="21"/>
                <w:lang w:val="en-US" w:eastAsia="zh-CN"/>
                <w14:textFill>
                  <w14:solidFill>
                    <w14:schemeClr w14:val="tx1"/>
                  </w14:solidFill>
                </w14:textFill>
              </w:rPr>
              <w:t>300</w:t>
            </w:r>
          </w:p>
        </w:tc>
      </w:tr>
    </w:tbl>
    <w:p w14:paraId="09FFAC9B">
      <w:pPr>
        <w:pStyle w:val="3159"/>
        <w:rPr>
          <w:rFonts w:hint="default" w:ascii="Times New Roman" w:hAnsi="Times New Roman" w:eastAsia="黑体" w:cs="Times New Roman"/>
          <w:b w:val="0"/>
          <w:color w:val="000000" w:themeColor="text1"/>
          <w14:textFill>
            <w14:solidFill>
              <w14:schemeClr w14:val="tx1"/>
            </w14:solidFill>
          </w14:textFill>
        </w:rPr>
      </w:pPr>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5</w:t>
      </w:r>
      <w:r>
        <w:rPr>
          <w:rFonts w:hint="default" w:ascii="Times New Roman" w:hAnsi="Times New Roman" w:eastAsia="黑体" w:cs="Times New Roman"/>
          <w:b w:val="0"/>
          <w:color w:val="000000" w:themeColor="text1"/>
          <w14:textFill>
            <w14:solidFill>
              <w14:schemeClr w14:val="tx1"/>
            </w14:solidFill>
          </w14:textFill>
        </w:rPr>
        <w:t>.2污染物排放标准</w:t>
      </w:r>
      <w:bookmarkEnd w:id="37"/>
    </w:p>
    <w:p w14:paraId="7201FF2F">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1、大气污染物排放标准</w:t>
      </w:r>
    </w:p>
    <w:p w14:paraId="2AFDE3A3">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本项目拆包工序、破碎工序</w:t>
      </w:r>
      <w:r>
        <w:rPr>
          <w:rFonts w:hint="default" w:ascii="Times New Roman" w:hAnsi="Times New Roman" w:cs="Times New Roman"/>
          <w:color w:val="000000" w:themeColor="text1"/>
          <w:lang w:val="en-US" w:eastAsia="zh-CN"/>
          <w14:textFill>
            <w14:solidFill>
              <w14:schemeClr w14:val="tx1"/>
            </w14:solidFill>
          </w14:textFill>
        </w:rPr>
        <w:t>产生的颗粒物</w:t>
      </w:r>
      <w:r>
        <w:rPr>
          <w:rFonts w:hint="default" w:ascii="Times New Roman" w:hAnsi="Times New Roman" w:cs="Times New Roman"/>
          <w:color w:val="000000" w:themeColor="text1"/>
          <w14:textFill>
            <w14:solidFill>
              <w14:schemeClr w14:val="tx1"/>
            </w14:solidFill>
          </w14:textFill>
        </w:rPr>
        <w:t>执行</w:t>
      </w:r>
      <w:r>
        <w:rPr>
          <w:rFonts w:hint="eastAsia" w:ascii="Times New Roman" w:hAnsi="Times New Roman" w:cs="Times New Roman"/>
          <w:color w:val="000000" w:themeColor="text1"/>
          <w:lang w:eastAsia="zh-CN"/>
          <w14:textFill>
            <w14:solidFill>
              <w14:schemeClr w14:val="tx1"/>
            </w14:solidFill>
          </w14:textFill>
        </w:rPr>
        <w:t>《合成树脂工业污染物排放标准》（GB31572-2015）</w:t>
      </w:r>
      <w:r>
        <w:rPr>
          <w:rFonts w:hint="default" w:ascii="Times New Roman" w:hAnsi="Times New Roman" w:cs="Times New Roman"/>
          <w:color w:val="000000" w:themeColor="text1"/>
          <w14:textFill>
            <w14:solidFill>
              <w14:schemeClr w14:val="tx1"/>
            </w14:solidFill>
          </w14:textFill>
        </w:rPr>
        <w:t>中的</w:t>
      </w:r>
      <w:r>
        <w:rPr>
          <w:rFonts w:hint="eastAsia" w:ascii="Times New Roman" w:hAnsi="Times New Roman" w:cs="Times New Roman"/>
          <w:color w:val="000000" w:themeColor="text1"/>
          <w:lang w:eastAsia="zh-CN"/>
          <w14:textFill>
            <w14:solidFill>
              <w14:schemeClr w14:val="tx1"/>
            </w14:solidFill>
          </w14:textFill>
        </w:rPr>
        <w:t>大气污染物特别排放</w:t>
      </w:r>
      <w:r>
        <w:rPr>
          <w:rFonts w:hint="default" w:ascii="Times New Roman" w:hAnsi="Times New Roman" w:cs="Times New Roman"/>
          <w:color w:val="000000" w:themeColor="text1"/>
          <w14:textFill>
            <w14:solidFill>
              <w14:schemeClr w14:val="tx1"/>
            </w14:solidFill>
          </w14:textFill>
        </w:rPr>
        <w:t>限值</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污水站产生的氨、硫化氢等污染物执行《恶臭污染物排放标准》（GB14554-93）表2中标准限值</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熔融挤出工序产生的非甲烷总烃</w:t>
      </w:r>
      <w:r>
        <w:rPr>
          <w:rFonts w:hint="default" w:ascii="Times New Roman" w:hAnsi="Times New Roman" w:cs="Times New Roman"/>
          <w:color w:val="000000" w:themeColor="text1"/>
          <w:lang w:val="en-US" w:eastAsia="zh-CN"/>
          <w14:textFill>
            <w14:solidFill>
              <w14:schemeClr w14:val="tx1"/>
            </w14:solidFill>
          </w14:textFill>
        </w:rPr>
        <w:t>参照</w:t>
      </w:r>
      <w:r>
        <w:rPr>
          <w:rFonts w:hint="default" w:ascii="Times New Roman" w:hAnsi="Times New Roman" w:cs="Times New Roman"/>
          <w:color w:val="000000" w:themeColor="text1"/>
          <w14:textFill>
            <w14:solidFill>
              <w14:schemeClr w14:val="tx1"/>
            </w14:solidFill>
          </w14:textFill>
        </w:rPr>
        <w:t>执行</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固定源挥发性有机物综合排放标准</w:t>
      </w:r>
      <w:r>
        <w:rPr>
          <w:rFonts w:hint="default" w:ascii="Times New Roman" w:hAnsi="Times New Roman" w:cs="Times New Roman"/>
          <w:color w:val="000000" w:themeColor="text1"/>
          <w:lang w:val="en-US" w:eastAsia="zh-CN"/>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第6部分其他行业</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（DB34 4812.6-2024）中标准限值</w:t>
      </w:r>
      <w:r>
        <w:rPr>
          <w:rFonts w:hint="default" w:ascii="Times New Roman" w:hAnsi="Times New Roman" w:cs="Times New Roman"/>
          <w:color w:val="000000" w:themeColor="text1"/>
          <w:lang w:eastAsia="zh-CN"/>
          <w14:textFill>
            <w14:solidFill>
              <w14:schemeClr w14:val="tx1"/>
            </w14:solidFill>
          </w14:textFill>
        </w:rPr>
        <w:t>。</w:t>
      </w:r>
    </w:p>
    <w:p w14:paraId="46C7068C">
      <w:pPr>
        <w:pStyle w:val="251"/>
        <w:ind w:firstLine="480"/>
        <w:rPr>
          <w:rFonts w:hint="default" w:ascii="Times New Roman" w:hAnsi="Times New Roman" w:eastAsia="黑体" w:cs="Times New Roman"/>
          <w:bCs/>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具体标准值见下表：</w:t>
      </w:r>
    </w:p>
    <w:p w14:paraId="2DB5869A">
      <w:pPr>
        <w:pStyle w:val="251"/>
        <w:ind w:firstLine="199" w:firstLineChars="83"/>
        <w:jc w:val="center"/>
        <w:rPr>
          <w:rFonts w:hint="default" w:ascii="Times New Roman" w:hAnsi="Times New Roman" w:eastAsia="黑体" w:cs="Times New Roman"/>
          <w:bCs/>
          <w:color w:val="000000" w:themeColor="text1"/>
          <w14:textFill>
            <w14:solidFill>
              <w14:schemeClr w14:val="tx1"/>
            </w14:solidFill>
          </w14:textFill>
        </w:rPr>
      </w:pPr>
      <w:r>
        <w:rPr>
          <w:rFonts w:hint="default" w:ascii="Times New Roman" w:hAnsi="Times New Roman" w:eastAsia="黑体" w:cs="Times New Roman"/>
          <w:bCs/>
          <w:color w:val="000000" w:themeColor="text1"/>
          <w14:textFill>
            <w14:solidFill>
              <w14:schemeClr w14:val="tx1"/>
            </w14:solidFill>
          </w14:textFill>
        </w:rPr>
        <w:t>表2.</w:t>
      </w:r>
      <w:r>
        <w:rPr>
          <w:rFonts w:hint="eastAsia" w:ascii="Times New Roman" w:hAnsi="Times New Roman" w:eastAsia="黑体" w:cs="Times New Roman"/>
          <w:bCs/>
          <w:color w:val="000000" w:themeColor="text1"/>
          <w:lang w:val="en-US" w:eastAsia="zh-CN"/>
          <w14:textFill>
            <w14:solidFill>
              <w14:schemeClr w14:val="tx1"/>
            </w14:solidFill>
          </w14:textFill>
        </w:rPr>
        <w:t>5</w:t>
      </w:r>
      <w:r>
        <w:rPr>
          <w:rFonts w:hint="default" w:ascii="Times New Roman" w:hAnsi="Times New Roman" w:eastAsia="黑体" w:cs="Times New Roman"/>
          <w:bCs/>
          <w:color w:val="000000" w:themeColor="text1"/>
          <w14:textFill>
            <w14:solidFill>
              <w14:schemeClr w14:val="tx1"/>
            </w14:solidFill>
          </w14:textFill>
        </w:rPr>
        <w:t>-</w:t>
      </w:r>
      <w:r>
        <w:rPr>
          <w:rFonts w:hint="eastAsia" w:ascii="Times New Roman" w:hAnsi="Times New Roman" w:eastAsia="黑体" w:cs="Times New Roman"/>
          <w:bCs/>
          <w:color w:val="000000" w:themeColor="text1"/>
          <w:lang w:val="en-US" w:eastAsia="zh-CN"/>
          <w14:textFill>
            <w14:solidFill>
              <w14:schemeClr w14:val="tx1"/>
            </w14:solidFill>
          </w14:textFill>
        </w:rPr>
        <w:t>7</w:t>
      </w:r>
      <w:r>
        <w:rPr>
          <w:rFonts w:hint="default" w:ascii="Times New Roman" w:hAnsi="Times New Roman" w:eastAsia="黑体" w:cs="Times New Roman"/>
          <w:bCs/>
          <w:color w:val="000000" w:themeColor="text1"/>
          <w14:textFill>
            <w14:solidFill>
              <w14:schemeClr w14:val="tx1"/>
            </w14:solidFill>
          </w14:textFill>
        </w:rPr>
        <w:t>项目大气污染物排放标准限值</w:t>
      </w:r>
    </w:p>
    <w:tbl>
      <w:tblPr>
        <w:tblStyle w:val="88"/>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85"/>
        <w:gridCol w:w="1211"/>
        <w:gridCol w:w="1500"/>
        <w:gridCol w:w="585"/>
        <w:gridCol w:w="1716"/>
        <w:gridCol w:w="2122"/>
      </w:tblGrid>
      <w:tr w14:paraId="1DDA00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2" w:type="pct"/>
            <w:vMerge w:val="restart"/>
            <w:vAlign w:val="center"/>
          </w:tcPr>
          <w:p w14:paraId="43DE9CD1">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污染物项目</w:t>
            </w:r>
          </w:p>
        </w:tc>
        <w:tc>
          <w:tcPr>
            <w:tcW w:w="1591" w:type="pct"/>
            <w:gridSpan w:val="2"/>
            <w:vAlign w:val="center"/>
          </w:tcPr>
          <w:p w14:paraId="02E3F0D5">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排放限值</w:t>
            </w:r>
          </w:p>
        </w:tc>
        <w:tc>
          <w:tcPr>
            <w:tcW w:w="1350" w:type="pct"/>
            <w:gridSpan w:val="2"/>
            <w:vMerge w:val="restart"/>
            <w:vAlign w:val="center"/>
          </w:tcPr>
          <w:p w14:paraId="1E0A40B1">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无组织排放监控浓度限值</w:t>
            </w:r>
            <w:r>
              <w:rPr>
                <w:rFonts w:hint="default" w:ascii="Times New Roman" w:hAnsi="Times New Roman" w:cs="Times New Roman"/>
                <w:b/>
                <w:color w:val="000000" w:themeColor="text1"/>
                <w:sz w:val="21"/>
                <w:szCs w:val="21"/>
                <w14:textFill>
                  <w14:solidFill>
                    <w14:schemeClr w14:val="tx1"/>
                  </w14:solidFill>
                </w14:textFill>
              </w:rPr>
              <w:t>（mg/m</w:t>
            </w:r>
            <w:r>
              <w:rPr>
                <w:rFonts w:hint="default" w:ascii="Times New Roman" w:hAnsi="Times New Roman" w:cs="Times New Roman"/>
                <w:b/>
                <w:color w:val="000000" w:themeColor="text1"/>
                <w:sz w:val="21"/>
                <w:szCs w:val="21"/>
                <w:vertAlign w:val="superscript"/>
                <w14:textFill>
                  <w14:solidFill>
                    <w14:schemeClr w14:val="tx1"/>
                  </w14:solidFill>
                </w14:textFill>
              </w:rPr>
              <w:t>3</w:t>
            </w:r>
            <w:r>
              <w:rPr>
                <w:rFonts w:hint="default" w:ascii="Times New Roman" w:hAnsi="Times New Roman" w:cs="Times New Roman"/>
                <w:b/>
                <w:color w:val="000000" w:themeColor="text1"/>
                <w:sz w:val="21"/>
                <w:szCs w:val="21"/>
                <w14:textFill>
                  <w14:solidFill>
                    <w14:schemeClr w14:val="tx1"/>
                  </w14:solidFill>
                </w14:textFill>
              </w:rPr>
              <w:t>）</w:t>
            </w:r>
          </w:p>
        </w:tc>
        <w:tc>
          <w:tcPr>
            <w:tcW w:w="1245" w:type="pct"/>
            <w:vMerge w:val="restart"/>
            <w:vAlign w:val="center"/>
          </w:tcPr>
          <w:p w14:paraId="12CC3685">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标准来源</w:t>
            </w:r>
          </w:p>
        </w:tc>
      </w:tr>
      <w:tr w14:paraId="730F43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2" w:type="pct"/>
            <w:vMerge w:val="continue"/>
            <w:vAlign w:val="center"/>
          </w:tcPr>
          <w:p w14:paraId="0FFC231F">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p>
        </w:tc>
        <w:tc>
          <w:tcPr>
            <w:tcW w:w="710" w:type="pct"/>
            <w:vAlign w:val="center"/>
          </w:tcPr>
          <w:p w14:paraId="414B4431">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排放浓度（mg/m</w:t>
            </w:r>
            <w:r>
              <w:rPr>
                <w:rFonts w:hint="default" w:ascii="Times New Roman" w:hAnsi="Times New Roman" w:cs="Times New Roman"/>
                <w:b/>
                <w:color w:val="000000" w:themeColor="text1"/>
                <w:sz w:val="21"/>
                <w:szCs w:val="21"/>
                <w:vertAlign w:val="superscript"/>
                <w14:textFill>
                  <w14:solidFill>
                    <w14:schemeClr w14:val="tx1"/>
                  </w14:solidFill>
                </w14:textFill>
              </w:rPr>
              <w:t>3</w:t>
            </w:r>
            <w:r>
              <w:rPr>
                <w:rFonts w:hint="default" w:ascii="Times New Roman" w:hAnsi="Times New Roman" w:cs="Times New Roman"/>
                <w:b/>
                <w:color w:val="000000" w:themeColor="text1"/>
                <w:sz w:val="21"/>
                <w:szCs w:val="21"/>
                <w14:textFill>
                  <w14:solidFill>
                    <w14:schemeClr w14:val="tx1"/>
                  </w14:solidFill>
                </w14:textFill>
              </w:rPr>
              <w:t>）</w:t>
            </w:r>
          </w:p>
        </w:tc>
        <w:tc>
          <w:tcPr>
            <w:tcW w:w="880" w:type="pct"/>
            <w:vAlign w:val="center"/>
          </w:tcPr>
          <w:p w14:paraId="1D0DC262">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排放速率（kg/h）</w:t>
            </w:r>
          </w:p>
        </w:tc>
        <w:tc>
          <w:tcPr>
            <w:tcW w:w="1350" w:type="pct"/>
            <w:gridSpan w:val="2"/>
            <w:vMerge w:val="continue"/>
            <w:vAlign w:val="center"/>
          </w:tcPr>
          <w:p w14:paraId="555EF620">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p>
        </w:tc>
        <w:tc>
          <w:tcPr>
            <w:tcW w:w="1245" w:type="pct"/>
            <w:vMerge w:val="continue"/>
            <w:vAlign w:val="center"/>
          </w:tcPr>
          <w:p w14:paraId="3C245A17">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p>
        </w:tc>
      </w:tr>
      <w:tr w14:paraId="1D3618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2" w:type="pct"/>
            <w:vAlign w:val="center"/>
          </w:tcPr>
          <w:p w14:paraId="3B25507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颗粒物</w:t>
            </w:r>
          </w:p>
        </w:tc>
        <w:tc>
          <w:tcPr>
            <w:tcW w:w="710" w:type="pct"/>
            <w:vAlign w:val="center"/>
          </w:tcPr>
          <w:p w14:paraId="099B090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w:t>
            </w:r>
          </w:p>
        </w:tc>
        <w:tc>
          <w:tcPr>
            <w:tcW w:w="880" w:type="pct"/>
            <w:vAlign w:val="center"/>
          </w:tcPr>
          <w:p w14:paraId="3E1E9EC1">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1350" w:type="pct"/>
            <w:gridSpan w:val="2"/>
            <w:vAlign w:val="center"/>
          </w:tcPr>
          <w:p w14:paraId="227E7AE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c>
          <w:tcPr>
            <w:tcW w:w="1245" w:type="pct"/>
            <w:vMerge w:val="restart"/>
            <w:vAlign w:val="center"/>
          </w:tcPr>
          <w:p w14:paraId="4A7F0487">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《合成树脂工业污染物排放标准》（GB31572-2015）</w:t>
            </w:r>
          </w:p>
        </w:tc>
      </w:tr>
      <w:tr w14:paraId="14BBF2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2" w:type="pct"/>
            <w:vMerge w:val="restart"/>
            <w:vAlign w:val="center"/>
          </w:tcPr>
          <w:p w14:paraId="34882FA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710" w:type="pct"/>
            <w:vAlign w:val="center"/>
          </w:tcPr>
          <w:p w14:paraId="5DDE1C1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w:t>
            </w:r>
            <w:r>
              <w:rPr>
                <w:rFonts w:hint="default" w:ascii="Times New Roman" w:hAnsi="Times New Roman" w:cs="Times New Roman"/>
                <w:color w:val="000000" w:themeColor="text1"/>
                <w:sz w:val="21"/>
                <w:szCs w:val="21"/>
                <w14:textFill>
                  <w14:solidFill>
                    <w14:schemeClr w14:val="tx1"/>
                  </w14:solidFill>
                </w14:textFill>
              </w:rPr>
              <w:t>0</w:t>
            </w:r>
          </w:p>
        </w:tc>
        <w:tc>
          <w:tcPr>
            <w:tcW w:w="880" w:type="pct"/>
            <w:vAlign w:val="center"/>
          </w:tcPr>
          <w:p w14:paraId="409691AE">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1.6</w:t>
            </w:r>
          </w:p>
        </w:tc>
        <w:tc>
          <w:tcPr>
            <w:tcW w:w="1350" w:type="pct"/>
            <w:gridSpan w:val="2"/>
            <w:vAlign w:val="center"/>
          </w:tcPr>
          <w:p w14:paraId="61674FAC">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4.0</w:t>
            </w:r>
          </w:p>
        </w:tc>
        <w:tc>
          <w:tcPr>
            <w:tcW w:w="1245" w:type="pct"/>
            <w:vMerge w:val="continue"/>
            <w:vAlign w:val="center"/>
          </w:tcPr>
          <w:p w14:paraId="5F14958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299F00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2" w:type="pct"/>
            <w:vMerge w:val="continue"/>
            <w:vAlign w:val="center"/>
          </w:tcPr>
          <w:p w14:paraId="4BAE626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710" w:type="pct"/>
            <w:vMerge w:val="restart"/>
            <w:vAlign w:val="center"/>
          </w:tcPr>
          <w:p w14:paraId="19A62B9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40</w:t>
            </w:r>
          </w:p>
        </w:tc>
        <w:tc>
          <w:tcPr>
            <w:tcW w:w="880" w:type="pct"/>
            <w:vMerge w:val="restart"/>
            <w:vAlign w:val="center"/>
          </w:tcPr>
          <w:p w14:paraId="45BA1B62">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w:t>
            </w:r>
          </w:p>
        </w:tc>
        <w:tc>
          <w:tcPr>
            <w:tcW w:w="343" w:type="pct"/>
            <w:vAlign w:val="center"/>
          </w:tcPr>
          <w:p w14:paraId="0336D0BB">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6</w:t>
            </w:r>
          </w:p>
        </w:tc>
        <w:tc>
          <w:tcPr>
            <w:tcW w:w="1007" w:type="pct"/>
            <w:vAlign w:val="center"/>
          </w:tcPr>
          <w:p w14:paraId="7FBBB026">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监控点处1h平均浓度值</w:t>
            </w:r>
          </w:p>
        </w:tc>
        <w:tc>
          <w:tcPr>
            <w:tcW w:w="1245" w:type="pct"/>
            <w:vMerge w:val="restart"/>
            <w:vAlign w:val="center"/>
          </w:tcPr>
          <w:p w14:paraId="614C29D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《固定源挥发性有机物综合排放标准 第6部分其他行业》（DB34 4812.6-2024）</w:t>
            </w:r>
          </w:p>
        </w:tc>
      </w:tr>
      <w:tr w14:paraId="294C52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2" w:type="pct"/>
            <w:vMerge w:val="continue"/>
            <w:vAlign w:val="center"/>
          </w:tcPr>
          <w:p w14:paraId="1E873EAD">
            <w:pPr>
              <w:spacing w:line="276" w:lineRule="auto"/>
              <w:jc w:val="center"/>
              <w:rPr>
                <w:rFonts w:hint="default" w:ascii="Times New Roman" w:hAnsi="Times New Roman" w:cs="Times New Roman"/>
                <w:color w:val="000000" w:themeColor="text1"/>
                <w14:textFill>
                  <w14:solidFill>
                    <w14:schemeClr w14:val="tx1"/>
                  </w14:solidFill>
                </w14:textFill>
              </w:rPr>
            </w:pPr>
          </w:p>
        </w:tc>
        <w:tc>
          <w:tcPr>
            <w:tcW w:w="710" w:type="pct"/>
            <w:vMerge w:val="continue"/>
            <w:vAlign w:val="center"/>
          </w:tcPr>
          <w:p w14:paraId="4F57686D">
            <w:pPr>
              <w:spacing w:line="276" w:lineRule="auto"/>
              <w:jc w:val="center"/>
              <w:rPr>
                <w:rFonts w:hint="default" w:ascii="Times New Roman" w:hAnsi="Times New Roman" w:cs="Times New Roman"/>
                <w:color w:val="000000" w:themeColor="text1"/>
                <w14:textFill>
                  <w14:solidFill>
                    <w14:schemeClr w14:val="tx1"/>
                  </w14:solidFill>
                </w14:textFill>
              </w:rPr>
            </w:pPr>
          </w:p>
        </w:tc>
        <w:tc>
          <w:tcPr>
            <w:tcW w:w="880" w:type="pct"/>
            <w:vMerge w:val="continue"/>
            <w:vAlign w:val="center"/>
          </w:tcPr>
          <w:p w14:paraId="050FC1A4">
            <w:pPr>
              <w:spacing w:line="276" w:lineRule="auto"/>
              <w:jc w:val="center"/>
              <w:rPr>
                <w:rFonts w:hint="default" w:ascii="Times New Roman" w:hAnsi="Times New Roman" w:cs="Times New Roman"/>
                <w:color w:val="000000" w:themeColor="text1"/>
                <w14:textFill>
                  <w14:solidFill>
                    <w14:schemeClr w14:val="tx1"/>
                  </w14:solidFill>
                </w14:textFill>
              </w:rPr>
            </w:pPr>
          </w:p>
        </w:tc>
        <w:tc>
          <w:tcPr>
            <w:tcW w:w="343" w:type="pct"/>
            <w:vAlign w:val="center"/>
          </w:tcPr>
          <w:p w14:paraId="6795E81C">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20</w:t>
            </w:r>
          </w:p>
        </w:tc>
        <w:tc>
          <w:tcPr>
            <w:tcW w:w="1007" w:type="pct"/>
            <w:vAlign w:val="center"/>
          </w:tcPr>
          <w:p w14:paraId="63E362A2">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监控点处任意一次浓度值</w:t>
            </w:r>
          </w:p>
        </w:tc>
        <w:tc>
          <w:tcPr>
            <w:tcW w:w="1245" w:type="pct"/>
            <w:vMerge w:val="continue"/>
            <w:vAlign w:val="center"/>
          </w:tcPr>
          <w:p w14:paraId="6B4076F4">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7B1740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2" w:type="pct"/>
            <w:vAlign w:val="center"/>
          </w:tcPr>
          <w:p w14:paraId="7D6EF165">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硫化氢</w:t>
            </w:r>
          </w:p>
        </w:tc>
        <w:tc>
          <w:tcPr>
            <w:tcW w:w="710" w:type="pct"/>
            <w:vAlign w:val="center"/>
          </w:tcPr>
          <w:p w14:paraId="7D77204C">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880" w:type="pct"/>
            <w:vAlign w:val="center"/>
          </w:tcPr>
          <w:p w14:paraId="3CF1D358">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0.33</w:t>
            </w:r>
          </w:p>
        </w:tc>
        <w:tc>
          <w:tcPr>
            <w:tcW w:w="1350" w:type="pct"/>
            <w:gridSpan w:val="2"/>
            <w:vAlign w:val="center"/>
          </w:tcPr>
          <w:p w14:paraId="751B161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0.06</w:t>
            </w:r>
          </w:p>
        </w:tc>
        <w:tc>
          <w:tcPr>
            <w:tcW w:w="1245" w:type="pct"/>
            <w:vMerge w:val="restart"/>
            <w:vAlign w:val="center"/>
          </w:tcPr>
          <w:p w14:paraId="67946B1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《恶臭污染物排放标准》（GB14554-93）表2中标准限值</w:t>
            </w:r>
          </w:p>
        </w:tc>
      </w:tr>
      <w:tr w14:paraId="60A827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2" w:type="pct"/>
            <w:vAlign w:val="center"/>
          </w:tcPr>
          <w:p w14:paraId="39D2233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p>
        </w:tc>
        <w:tc>
          <w:tcPr>
            <w:tcW w:w="710" w:type="pct"/>
            <w:vAlign w:val="center"/>
          </w:tcPr>
          <w:p w14:paraId="4360731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880" w:type="pct"/>
            <w:vAlign w:val="center"/>
          </w:tcPr>
          <w:p w14:paraId="653C676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4.9</w:t>
            </w:r>
          </w:p>
        </w:tc>
        <w:tc>
          <w:tcPr>
            <w:tcW w:w="1350" w:type="pct"/>
            <w:gridSpan w:val="2"/>
            <w:vAlign w:val="center"/>
          </w:tcPr>
          <w:p w14:paraId="7326265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c>
          <w:tcPr>
            <w:tcW w:w="1245" w:type="pct"/>
            <w:vMerge w:val="continue"/>
            <w:vAlign w:val="center"/>
          </w:tcPr>
          <w:p w14:paraId="557B3AC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252F04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2" w:type="pct"/>
            <w:vAlign w:val="center"/>
          </w:tcPr>
          <w:p w14:paraId="1D75D2D9">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臭气浓度</w:t>
            </w:r>
          </w:p>
        </w:tc>
        <w:tc>
          <w:tcPr>
            <w:tcW w:w="710" w:type="pct"/>
            <w:vAlign w:val="center"/>
          </w:tcPr>
          <w:p w14:paraId="188F1AA8">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880" w:type="pct"/>
            <w:vAlign w:val="center"/>
          </w:tcPr>
          <w:p w14:paraId="0E1481B2">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2000（无量纲）</w:t>
            </w:r>
          </w:p>
        </w:tc>
        <w:tc>
          <w:tcPr>
            <w:tcW w:w="1350" w:type="pct"/>
            <w:gridSpan w:val="2"/>
            <w:vAlign w:val="center"/>
          </w:tcPr>
          <w:p w14:paraId="7AE7905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20（无量纲）</w:t>
            </w:r>
          </w:p>
        </w:tc>
        <w:tc>
          <w:tcPr>
            <w:tcW w:w="1245" w:type="pct"/>
            <w:vMerge w:val="continue"/>
            <w:vAlign w:val="center"/>
          </w:tcPr>
          <w:p w14:paraId="3D63C7D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bl>
    <w:p w14:paraId="4DF74AF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2、废水污染物排放标准</w:t>
      </w:r>
    </w:p>
    <w:p w14:paraId="55DC76CD">
      <w:pPr>
        <w:keepLines w:val="0"/>
        <w:pageBreakBefore w:val="0"/>
        <w:kinsoku/>
        <w:wordWrap/>
        <w:overflowPunct/>
        <w:topLinePunct w:val="0"/>
        <w:autoSpaceDE/>
        <w:autoSpaceDN/>
        <w:bidi w:val="0"/>
        <w:adjustRightInd/>
        <w:snapToGrid/>
        <w:spacing w:line="360" w:lineRule="auto"/>
        <w:ind w:firstLine="472" w:firstLineChars="200"/>
        <w:rPr>
          <w:rFonts w:hint="default" w:ascii="Times New Roman" w:hAnsi="Times New Roman" w:eastAsia="黑体" w:cs="Times New Roman"/>
          <w:bCs/>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szCs w:val="22"/>
          <w:lang w:eastAsia="zh-CN"/>
          <w14:textFill>
            <w14:solidFill>
              <w14:schemeClr w14:val="tx1"/>
            </w14:solidFill>
          </w14:textFill>
        </w:rPr>
        <w:t>本项目采取雨污分流，冷却水循环使用，</w:t>
      </w:r>
      <w:r>
        <w:rPr>
          <w:rFonts w:hint="eastAsia" w:cs="Times New Roman"/>
          <w:color w:val="000000" w:themeColor="text1"/>
          <w:sz w:val="24"/>
          <w:lang w:eastAsia="zh-CN"/>
          <w14:textFill>
            <w14:solidFill>
              <w14:schemeClr w14:val="tx1"/>
            </w14:solidFill>
          </w14:textFill>
        </w:rPr>
        <w:t>定期外排水用于物料清洗，</w:t>
      </w:r>
      <w:r>
        <w:rPr>
          <w:rFonts w:hint="default" w:ascii="Times New Roman" w:hAnsi="Times New Roman" w:eastAsia="宋体" w:cs="Times New Roman"/>
          <w:color w:val="000000" w:themeColor="text1"/>
          <w:kern w:val="0"/>
          <w:sz w:val="24"/>
          <w:szCs w:val="22"/>
          <w:lang w:eastAsia="zh-CN"/>
          <w14:textFill>
            <w14:solidFill>
              <w14:schemeClr w14:val="tx1"/>
            </w14:solidFill>
          </w14:textFill>
        </w:rPr>
        <w:t>瓶片清洗废水经厂区自建污水处理站处理后90%循环使用，</w:t>
      </w:r>
      <w:r>
        <w:rPr>
          <w:rFonts w:hint="default" w:ascii="Times New Roman" w:hAnsi="Times New Roman" w:eastAsia="宋体" w:cs="Times New Roman"/>
          <w:color w:val="000000" w:themeColor="text1"/>
          <w:kern w:val="0"/>
          <w:sz w:val="24"/>
          <w:szCs w:val="22"/>
          <w:lang w:val="en-US" w:eastAsia="zh-CN"/>
          <w14:textFill>
            <w14:solidFill>
              <w14:schemeClr w14:val="tx1"/>
            </w14:solidFill>
          </w14:textFill>
        </w:rPr>
        <w:t>余下</w:t>
      </w:r>
      <w:r>
        <w:rPr>
          <w:rFonts w:hint="default" w:ascii="Times New Roman" w:hAnsi="Times New Roman" w:eastAsia="宋体" w:cs="Times New Roman"/>
          <w:color w:val="000000" w:themeColor="text1"/>
          <w:kern w:val="0"/>
          <w:sz w:val="24"/>
          <w:szCs w:val="22"/>
          <w:lang w:eastAsia="zh-CN"/>
          <w14:textFill>
            <w14:solidFill>
              <w14:schemeClr w14:val="tx1"/>
            </w14:solidFill>
          </w14:textFill>
        </w:rPr>
        <w:t>10%</w:t>
      </w:r>
      <w:r>
        <w:rPr>
          <w:rFonts w:hint="default" w:ascii="Times New Roman" w:hAnsi="Times New Roman" w:eastAsia="宋体" w:cs="Times New Roman"/>
          <w:color w:val="000000" w:themeColor="text1"/>
          <w:kern w:val="0"/>
          <w:sz w:val="24"/>
          <w:szCs w:val="22"/>
          <w:lang w:val="en-US" w:eastAsia="zh-CN"/>
          <w14:textFill>
            <w14:solidFill>
              <w14:schemeClr w14:val="tx1"/>
            </w14:solidFill>
          </w14:textFill>
        </w:rPr>
        <w:t>与</w:t>
      </w:r>
      <w:r>
        <w:rPr>
          <w:rFonts w:hint="default" w:ascii="Times New Roman" w:hAnsi="Times New Roman" w:eastAsia="宋体" w:cs="Times New Roman"/>
          <w:color w:val="000000" w:themeColor="text1"/>
          <w:kern w:val="0"/>
          <w:sz w:val="24"/>
          <w:szCs w:val="22"/>
          <w:lang w:eastAsia="zh-CN"/>
          <w14:textFill>
            <w14:solidFill>
              <w14:schemeClr w14:val="tx1"/>
            </w14:solidFill>
          </w14:textFill>
        </w:rPr>
        <w:t>经化粪池</w:t>
      </w:r>
      <w:r>
        <w:rPr>
          <w:rFonts w:hint="default" w:ascii="Times New Roman" w:hAnsi="Times New Roman" w:eastAsia="宋体" w:cs="Times New Roman"/>
          <w:color w:val="000000" w:themeColor="text1"/>
          <w:kern w:val="0"/>
          <w:sz w:val="24"/>
          <w:szCs w:val="22"/>
          <w:lang w:val="en-US" w:eastAsia="zh-CN"/>
          <w14:textFill>
            <w14:solidFill>
              <w14:schemeClr w14:val="tx1"/>
            </w14:solidFill>
          </w14:textFill>
        </w:rPr>
        <w:t>预</w:t>
      </w:r>
      <w:r>
        <w:rPr>
          <w:rFonts w:hint="default" w:ascii="Times New Roman" w:hAnsi="Times New Roman" w:eastAsia="宋体" w:cs="Times New Roman"/>
          <w:color w:val="000000" w:themeColor="text1"/>
          <w:kern w:val="0"/>
          <w:sz w:val="24"/>
          <w:szCs w:val="22"/>
          <w:lang w:eastAsia="zh-CN"/>
          <w14:textFill>
            <w14:solidFill>
              <w14:schemeClr w14:val="tx1"/>
            </w14:solidFill>
          </w14:textFill>
        </w:rPr>
        <w:t>处理后生活污水</w:t>
      </w:r>
      <w:r>
        <w:rPr>
          <w:rFonts w:hint="default" w:ascii="Times New Roman" w:hAnsi="Times New Roman" w:eastAsia="宋体" w:cs="Times New Roman"/>
          <w:color w:val="000000" w:themeColor="text1"/>
          <w:kern w:val="0"/>
          <w:sz w:val="24"/>
          <w:szCs w:val="22"/>
          <w:lang w:val="en-US" w:eastAsia="zh-CN"/>
          <w14:textFill>
            <w14:solidFill>
              <w14:schemeClr w14:val="tx1"/>
            </w14:solidFill>
          </w14:textFill>
        </w:rPr>
        <w:t>一起</w:t>
      </w:r>
      <w:r>
        <w:rPr>
          <w:rFonts w:hint="default" w:ascii="Times New Roman" w:hAnsi="Times New Roman" w:eastAsia="宋体" w:cs="Times New Roman"/>
          <w:color w:val="000000" w:themeColor="text1"/>
          <w:kern w:val="0"/>
          <w:sz w:val="24"/>
          <w:szCs w:val="22"/>
          <w:lang w:eastAsia="zh-CN"/>
          <w14:textFill>
            <w14:solidFill>
              <w14:schemeClr w14:val="tx1"/>
            </w14:solidFill>
          </w14:textFill>
        </w:rPr>
        <w:t>达到《合成树脂工业污染物排放标准》（GB31572-2015）表2中的间接排放限值及毛集实验区污水处理厂接管标准后排入毛集实验区污水处理厂集中处理</w:t>
      </w:r>
      <w:r>
        <w:rPr>
          <w:rFonts w:hint="eastAsia" w:cs="Times New Roman"/>
          <w:color w:val="000000" w:themeColor="text1"/>
          <w:kern w:val="0"/>
          <w:sz w:val="24"/>
          <w:szCs w:val="22"/>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2"/>
          <w:lang w:eastAsia="zh-CN"/>
          <w14:textFill>
            <w14:solidFill>
              <w14:schemeClr w14:val="tx1"/>
            </w14:solidFill>
          </w14:textFill>
        </w:rPr>
        <w:t>项目废水排放标准见下表。</w:t>
      </w:r>
    </w:p>
    <w:p w14:paraId="3C00697A">
      <w:pPr>
        <w:pStyle w:val="251"/>
        <w:ind w:left="0" w:leftChars="0" w:firstLine="0" w:firstLineChars="0"/>
        <w:jc w:val="center"/>
        <w:rPr>
          <w:rFonts w:hint="default" w:ascii="Times New Roman" w:hAnsi="Times New Roman" w:eastAsia="黑体" w:cs="Times New Roman"/>
          <w:bCs/>
          <w:color w:val="000000" w:themeColor="text1"/>
          <w14:textFill>
            <w14:solidFill>
              <w14:schemeClr w14:val="tx1"/>
            </w14:solidFill>
          </w14:textFill>
        </w:rPr>
      </w:pPr>
      <w:r>
        <w:rPr>
          <w:rFonts w:hint="default" w:ascii="Times New Roman" w:hAnsi="Times New Roman" w:eastAsia="黑体" w:cs="Times New Roman"/>
          <w:bCs/>
          <w:color w:val="000000" w:themeColor="text1"/>
          <w14:textFill>
            <w14:solidFill>
              <w14:schemeClr w14:val="tx1"/>
            </w14:solidFill>
          </w14:textFill>
        </w:rPr>
        <w:t>表</w:t>
      </w:r>
      <w:r>
        <w:rPr>
          <w:rFonts w:hint="default" w:ascii="Times New Roman" w:hAnsi="Times New Roman" w:eastAsia="黑体" w:cs="Times New Roman"/>
          <w:bCs/>
          <w:color w:val="000000" w:themeColor="text1"/>
          <w:lang w:val="en-US" w:eastAsia="zh-CN"/>
          <w14:textFill>
            <w14:solidFill>
              <w14:schemeClr w14:val="tx1"/>
            </w14:solidFill>
          </w14:textFill>
        </w:rPr>
        <w:t>2.</w:t>
      </w:r>
      <w:r>
        <w:rPr>
          <w:rFonts w:hint="eastAsia" w:ascii="Times New Roman" w:hAnsi="Times New Roman" w:eastAsia="黑体" w:cs="Times New Roman"/>
          <w:bCs/>
          <w:color w:val="000000" w:themeColor="text1"/>
          <w:lang w:val="en-US" w:eastAsia="zh-CN"/>
          <w14:textFill>
            <w14:solidFill>
              <w14:schemeClr w14:val="tx1"/>
            </w14:solidFill>
          </w14:textFill>
        </w:rPr>
        <w:t>5</w:t>
      </w:r>
      <w:r>
        <w:rPr>
          <w:rFonts w:hint="default" w:ascii="Times New Roman" w:hAnsi="Times New Roman" w:eastAsia="黑体" w:cs="Times New Roman"/>
          <w:bCs/>
          <w:color w:val="000000" w:themeColor="text1"/>
          <w14:textFill>
            <w14:solidFill>
              <w14:schemeClr w14:val="tx1"/>
            </w14:solidFill>
          </w14:textFill>
        </w:rPr>
        <w:t>-</w:t>
      </w:r>
      <w:r>
        <w:rPr>
          <w:rFonts w:hint="eastAsia" w:ascii="Times New Roman" w:hAnsi="Times New Roman" w:eastAsia="黑体" w:cs="Times New Roman"/>
          <w:bCs/>
          <w:color w:val="000000" w:themeColor="text1"/>
          <w:lang w:val="en-US" w:eastAsia="zh-CN"/>
          <w14:textFill>
            <w14:solidFill>
              <w14:schemeClr w14:val="tx1"/>
            </w14:solidFill>
          </w14:textFill>
        </w:rPr>
        <w:t>7</w:t>
      </w:r>
      <w:r>
        <w:rPr>
          <w:rFonts w:hint="default" w:ascii="Times New Roman" w:hAnsi="Times New Roman" w:eastAsia="黑体" w:cs="Times New Roman"/>
          <w:bCs/>
          <w:color w:val="000000" w:themeColor="text1"/>
          <w14:textFill>
            <w14:solidFill>
              <w14:schemeClr w14:val="tx1"/>
            </w14:solidFill>
          </w14:textFill>
        </w:rPr>
        <w:t>厂区废水排放标准（单位：mg/L，pH值无量纲）</w:t>
      </w:r>
    </w:p>
    <w:tbl>
      <w:tblPr>
        <w:tblStyle w:val="8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1" w:type="dxa"/>
          <w:bottom w:w="0" w:type="dxa"/>
          <w:right w:w="51" w:type="dxa"/>
        </w:tblCellMar>
      </w:tblPr>
      <w:tblGrid>
        <w:gridCol w:w="478"/>
        <w:gridCol w:w="1050"/>
        <w:gridCol w:w="2379"/>
        <w:gridCol w:w="2249"/>
        <w:gridCol w:w="2249"/>
      </w:tblGrid>
      <w:tr w14:paraId="5AA2EF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cantSplit/>
          <w:trHeight w:val="283" w:hRule="atLeast"/>
          <w:jc w:val="center"/>
        </w:trPr>
        <w:tc>
          <w:tcPr>
            <w:tcW w:w="284" w:type="pct"/>
            <w:tcBorders>
              <w:tl2br w:val="nil"/>
              <w:tr2bl w:val="nil"/>
            </w:tcBorders>
            <w:noWrap w:val="0"/>
            <w:vAlign w:val="center"/>
          </w:tcPr>
          <w:p w14:paraId="67835B15">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序号</w:t>
            </w:r>
          </w:p>
        </w:tc>
        <w:tc>
          <w:tcPr>
            <w:tcW w:w="624" w:type="pct"/>
            <w:tcBorders>
              <w:tl2br w:val="nil"/>
              <w:tr2bl w:val="nil"/>
            </w:tcBorders>
            <w:noWrap w:val="0"/>
            <w:vAlign w:val="center"/>
          </w:tcPr>
          <w:p w14:paraId="69ED4E25">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sz w:val="21"/>
                <w:szCs w:val="21"/>
                <w:highlight w:val="none"/>
                <w14:textFill>
                  <w14:solidFill>
                    <w14:schemeClr w14:val="tx1"/>
                  </w14:solidFill>
                </w14:textFill>
              </w:rPr>
              <w:t>项目</w:t>
            </w:r>
          </w:p>
        </w:tc>
        <w:tc>
          <w:tcPr>
            <w:tcW w:w="1414" w:type="pct"/>
            <w:tcBorders>
              <w:tl2br w:val="nil"/>
              <w:tr2bl w:val="nil"/>
            </w:tcBorders>
            <w:noWrap w:val="0"/>
            <w:vAlign w:val="center"/>
          </w:tcPr>
          <w:p w14:paraId="1746003E">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《合成树脂工业污染物排放标准》（GB31572-2015）</w:t>
            </w:r>
          </w:p>
        </w:tc>
        <w:tc>
          <w:tcPr>
            <w:tcW w:w="1337" w:type="pct"/>
            <w:tcBorders>
              <w:tl2br w:val="nil"/>
              <w:tr2bl w:val="nil"/>
            </w:tcBorders>
            <w:noWrap w:val="0"/>
            <w:vAlign w:val="center"/>
          </w:tcPr>
          <w:p w14:paraId="57318B26">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毛集实验区污水处理厂</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接管标准</w:t>
            </w:r>
          </w:p>
        </w:tc>
        <w:tc>
          <w:tcPr>
            <w:tcW w:w="1337" w:type="pct"/>
            <w:tcBorders>
              <w:tl2br w:val="nil"/>
              <w:tr2bl w:val="nil"/>
            </w:tcBorders>
            <w:noWrap w:val="0"/>
            <w:vAlign w:val="center"/>
          </w:tcPr>
          <w:p w14:paraId="319DF6C4">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cs="Times New Roman"/>
                <w:b/>
                <w:bCs/>
                <w:color w:val="000000" w:themeColor="text1"/>
                <w:sz w:val="21"/>
                <w:szCs w:val="21"/>
                <w:highlight w:val="none"/>
                <w:lang w:eastAsia="zh-CN"/>
                <w14:textFill>
                  <w14:solidFill>
                    <w14:schemeClr w14:val="tx1"/>
                  </w14:solidFill>
                </w14:textFill>
              </w:rPr>
              <w:t>本项目排放标准</w:t>
            </w:r>
          </w:p>
        </w:tc>
      </w:tr>
      <w:tr w14:paraId="41CA33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cantSplit/>
          <w:trHeight w:val="90" w:hRule="atLeast"/>
          <w:jc w:val="center"/>
        </w:trPr>
        <w:tc>
          <w:tcPr>
            <w:tcW w:w="284" w:type="pct"/>
            <w:tcBorders>
              <w:tl2br w:val="nil"/>
              <w:tr2bl w:val="nil"/>
            </w:tcBorders>
            <w:shd w:val="clear" w:color="auto" w:fill="auto"/>
            <w:noWrap w:val="0"/>
            <w:vAlign w:val="center"/>
          </w:tcPr>
          <w:p w14:paraId="22ACB1C7">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1</w:t>
            </w:r>
          </w:p>
        </w:tc>
        <w:tc>
          <w:tcPr>
            <w:tcW w:w="624" w:type="pct"/>
            <w:tcBorders>
              <w:tl2br w:val="nil"/>
              <w:tr2bl w:val="nil"/>
            </w:tcBorders>
            <w:shd w:val="clear" w:color="auto" w:fill="auto"/>
            <w:noWrap w:val="0"/>
            <w:vAlign w:val="center"/>
          </w:tcPr>
          <w:p w14:paraId="7A796AA0">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pH</w:t>
            </w:r>
          </w:p>
        </w:tc>
        <w:tc>
          <w:tcPr>
            <w:tcW w:w="1414" w:type="pct"/>
            <w:tcBorders>
              <w:tl2br w:val="nil"/>
              <w:tr2bl w:val="nil"/>
            </w:tcBorders>
            <w:shd w:val="clear" w:color="auto" w:fill="auto"/>
            <w:noWrap w:val="0"/>
            <w:vAlign w:val="center"/>
          </w:tcPr>
          <w:p w14:paraId="7CBC17F3">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tc>
        <w:tc>
          <w:tcPr>
            <w:tcW w:w="1337" w:type="pct"/>
            <w:tcBorders>
              <w:tl2br w:val="nil"/>
              <w:tr2bl w:val="nil"/>
            </w:tcBorders>
            <w:shd w:val="clear" w:color="auto" w:fill="auto"/>
            <w:noWrap w:val="0"/>
            <w:vAlign w:val="center"/>
          </w:tcPr>
          <w:p w14:paraId="53AFC9B1">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6～9</w:t>
            </w:r>
          </w:p>
        </w:tc>
        <w:tc>
          <w:tcPr>
            <w:tcW w:w="1337" w:type="pct"/>
            <w:tcBorders>
              <w:tl2br w:val="nil"/>
              <w:tr2bl w:val="nil"/>
            </w:tcBorders>
            <w:shd w:val="clear" w:color="auto" w:fill="BEBEBE"/>
            <w:noWrap w:val="0"/>
            <w:vAlign w:val="center"/>
          </w:tcPr>
          <w:p w14:paraId="6BA24217">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6～9</w:t>
            </w:r>
          </w:p>
        </w:tc>
      </w:tr>
      <w:tr w14:paraId="1E6D34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cantSplit/>
          <w:trHeight w:val="283" w:hRule="atLeast"/>
          <w:jc w:val="center"/>
        </w:trPr>
        <w:tc>
          <w:tcPr>
            <w:tcW w:w="284" w:type="pct"/>
            <w:tcBorders>
              <w:tl2br w:val="nil"/>
              <w:tr2bl w:val="nil"/>
            </w:tcBorders>
            <w:shd w:val="clear" w:color="auto" w:fill="auto"/>
            <w:noWrap w:val="0"/>
            <w:vAlign w:val="center"/>
          </w:tcPr>
          <w:p w14:paraId="380E0838">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2</w:t>
            </w:r>
          </w:p>
        </w:tc>
        <w:tc>
          <w:tcPr>
            <w:tcW w:w="624" w:type="pct"/>
            <w:tcBorders>
              <w:tl2br w:val="nil"/>
              <w:tr2bl w:val="nil"/>
            </w:tcBorders>
            <w:shd w:val="clear" w:color="auto" w:fill="auto"/>
            <w:noWrap w:val="0"/>
            <w:vAlign w:val="center"/>
          </w:tcPr>
          <w:p w14:paraId="77FFA46C">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COD</w:t>
            </w:r>
          </w:p>
        </w:tc>
        <w:tc>
          <w:tcPr>
            <w:tcW w:w="1414" w:type="pct"/>
            <w:tcBorders>
              <w:tl2br w:val="nil"/>
              <w:tr2bl w:val="nil"/>
            </w:tcBorders>
            <w:shd w:val="clear" w:color="auto" w:fill="auto"/>
            <w:noWrap w:val="0"/>
            <w:vAlign w:val="center"/>
          </w:tcPr>
          <w:p w14:paraId="4DC2ADF2">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tc>
        <w:tc>
          <w:tcPr>
            <w:tcW w:w="1337" w:type="pct"/>
            <w:tcBorders>
              <w:tl2br w:val="nil"/>
              <w:tr2bl w:val="nil"/>
            </w:tcBorders>
            <w:shd w:val="clear" w:color="auto" w:fill="auto"/>
            <w:noWrap w:val="0"/>
            <w:vAlign w:val="center"/>
          </w:tcPr>
          <w:p w14:paraId="231B771E">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38</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p>
        </w:tc>
        <w:tc>
          <w:tcPr>
            <w:tcW w:w="1337" w:type="pct"/>
            <w:tcBorders>
              <w:tl2br w:val="nil"/>
              <w:tr2bl w:val="nil"/>
            </w:tcBorders>
            <w:shd w:val="clear" w:color="auto" w:fill="BEBEBE"/>
            <w:noWrap w:val="0"/>
            <w:vAlign w:val="center"/>
          </w:tcPr>
          <w:p w14:paraId="7917D0AD">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38</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p>
        </w:tc>
      </w:tr>
      <w:tr w14:paraId="4D5AB9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cantSplit/>
          <w:trHeight w:val="283" w:hRule="atLeast"/>
          <w:jc w:val="center"/>
        </w:trPr>
        <w:tc>
          <w:tcPr>
            <w:tcW w:w="284" w:type="pct"/>
            <w:tcBorders>
              <w:tl2br w:val="nil"/>
              <w:tr2bl w:val="nil"/>
            </w:tcBorders>
            <w:shd w:val="clear" w:color="auto" w:fill="auto"/>
            <w:noWrap w:val="0"/>
            <w:vAlign w:val="center"/>
          </w:tcPr>
          <w:p w14:paraId="359B669F">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3</w:t>
            </w:r>
          </w:p>
        </w:tc>
        <w:tc>
          <w:tcPr>
            <w:tcW w:w="624" w:type="pct"/>
            <w:tcBorders>
              <w:tl2br w:val="nil"/>
              <w:tr2bl w:val="nil"/>
            </w:tcBorders>
            <w:shd w:val="clear" w:color="auto" w:fill="auto"/>
            <w:noWrap w:val="0"/>
            <w:vAlign w:val="center"/>
          </w:tcPr>
          <w:p w14:paraId="26AC368C">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BOD</w:t>
            </w:r>
            <w:r>
              <w:rPr>
                <w:rFonts w:hint="default" w:ascii="Times New Roman" w:hAnsi="Times New Roman" w:eastAsia="宋体" w:cs="Times New Roman"/>
                <w:b w:val="0"/>
                <w:bCs w:val="0"/>
                <w:color w:val="000000" w:themeColor="text1"/>
                <w:sz w:val="21"/>
                <w:szCs w:val="21"/>
                <w:highlight w:val="none"/>
                <w:vertAlign w:val="subscript"/>
                <w14:textFill>
                  <w14:solidFill>
                    <w14:schemeClr w14:val="tx1"/>
                  </w14:solidFill>
                </w14:textFill>
              </w:rPr>
              <w:t>5</w:t>
            </w:r>
          </w:p>
        </w:tc>
        <w:tc>
          <w:tcPr>
            <w:tcW w:w="1414" w:type="pct"/>
            <w:tcBorders>
              <w:tl2br w:val="nil"/>
              <w:tr2bl w:val="nil"/>
            </w:tcBorders>
            <w:shd w:val="clear" w:color="auto" w:fill="auto"/>
            <w:noWrap w:val="0"/>
            <w:vAlign w:val="center"/>
          </w:tcPr>
          <w:p w14:paraId="767BCEC2">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tc>
        <w:tc>
          <w:tcPr>
            <w:tcW w:w="1337" w:type="pct"/>
            <w:tcBorders>
              <w:tl2br w:val="nil"/>
              <w:tr2bl w:val="nil"/>
            </w:tcBorders>
            <w:shd w:val="clear" w:color="auto" w:fill="auto"/>
            <w:noWrap w:val="0"/>
            <w:vAlign w:val="center"/>
          </w:tcPr>
          <w:p w14:paraId="0E0A750D">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p>
        </w:tc>
        <w:tc>
          <w:tcPr>
            <w:tcW w:w="1337" w:type="pct"/>
            <w:tcBorders>
              <w:tl2br w:val="nil"/>
              <w:tr2bl w:val="nil"/>
            </w:tcBorders>
            <w:shd w:val="clear" w:color="auto" w:fill="BEBEBE"/>
            <w:noWrap w:val="0"/>
            <w:vAlign w:val="center"/>
          </w:tcPr>
          <w:p w14:paraId="76FB2BD5">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p>
        </w:tc>
      </w:tr>
      <w:tr w14:paraId="0D8CFA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cantSplit/>
          <w:trHeight w:val="283" w:hRule="atLeast"/>
          <w:jc w:val="center"/>
        </w:trPr>
        <w:tc>
          <w:tcPr>
            <w:tcW w:w="284" w:type="pct"/>
            <w:tcBorders>
              <w:tl2br w:val="nil"/>
              <w:tr2bl w:val="nil"/>
            </w:tcBorders>
            <w:shd w:val="clear" w:color="auto" w:fill="auto"/>
            <w:noWrap w:val="0"/>
            <w:vAlign w:val="center"/>
          </w:tcPr>
          <w:p w14:paraId="087AB2D0">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4</w:t>
            </w:r>
          </w:p>
        </w:tc>
        <w:tc>
          <w:tcPr>
            <w:tcW w:w="624" w:type="pct"/>
            <w:tcBorders>
              <w:tl2br w:val="nil"/>
              <w:tr2bl w:val="nil"/>
            </w:tcBorders>
            <w:shd w:val="clear" w:color="auto" w:fill="auto"/>
            <w:noWrap w:val="0"/>
            <w:vAlign w:val="center"/>
          </w:tcPr>
          <w:p w14:paraId="4C89ABBB">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NH</w:t>
            </w:r>
            <w:r>
              <w:rPr>
                <w:rFonts w:hint="default" w:ascii="Times New Roman" w:hAnsi="Times New Roman" w:eastAsia="宋体" w:cs="Times New Roman"/>
                <w:b w:val="0"/>
                <w:bCs w:val="0"/>
                <w:color w:val="000000" w:themeColor="text1"/>
                <w:sz w:val="21"/>
                <w:szCs w:val="21"/>
                <w:highlight w:val="none"/>
                <w:vertAlign w:val="subscript"/>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-N</w:t>
            </w:r>
          </w:p>
        </w:tc>
        <w:tc>
          <w:tcPr>
            <w:tcW w:w="1414" w:type="pct"/>
            <w:tcBorders>
              <w:tl2br w:val="nil"/>
              <w:tr2bl w:val="nil"/>
            </w:tcBorders>
            <w:shd w:val="clear" w:color="auto" w:fill="auto"/>
            <w:noWrap w:val="0"/>
            <w:vAlign w:val="center"/>
          </w:tcPr>
          <w:p w14:paraId="6C884D0D">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tc>
        <w:tc>
          <w:tcPr>
            <w:tcW w:w="1337" w:type="pct"/>
            <w:tcBorders>
              <w:tl2br w:val="nil"/>
              <w:tr2bl w:val="nil"/>
            </w:tcBorders>
            <w:shd w:val="clear" w:color="auto" w:fill="auto"/>
            <w:noWrap w:val="0"/>
            <w:vAlign w:val="center"/>
          </w:tcPr>
          <w:p w14:paraId="35A37385">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30</w:t>
            </w:r>
          </w:p>
        </w:tc>
        <w:tc>
          <w:tcPr>
            <w:tcW w:w="1337" w:type="pct"/>
            <w:tcBorders>
              <w:tl2br w:val="nil"/>
              <w:tr2bl w:val="nil"/>
            </w:tcBorders>
            <w:shd w:val="clear" w:color="auto" w:fill="BEBEBE"/>
            <w:noWrap w:val="0"/>
            <w:vAlign w:val="center"/>
          </w:tcPr>
          <w:p w14:paraId="7DA7F9C7">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30</w:t>
            </w:r>
          </w:p>
        </w:tc>
      </w:tr>
      <w:tr w14:paraId="52BC1B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cantSplit/>
          <w:trHeight w:val="283" w:hRule="atLeast"/>
          <w:jc w:val="center"/>
        </w:trPr>
        <w:tc>
          <w:tcPr>
            <w:tcW w:w="284" w:type="pct"/>
            <w:tcBorders>
              <w:tl2br w:val="nil"/>
              <w:tr2bl w:val="nil"/>
            </w:tcBorders>
            <w:shd w:val="clear" w:color="auto" w:fill="auto"/>
            <w:noWrap w:val="0"/>
            <w:vAlign w:val="center"/>
          </w:tcPr>
          <w:p w14:paraId="14273E29">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5</w:t>
            </w:r>
          </w:p>
        </w:tc>
        <w:tc>
          <w:tcPr>
            <w:tcW w:w="624" w:type="pct"/>
            <w:tcBorders>
              <w:tl2br w:val="nil"/>
              <w:tr2bl w:val="nil"/>
            </w:tcBorders>
            <w:shd w:val="clear" w:color="auto" w:fill="auto"/>
            <w:noWrap w:val="0"/>
            <w:vAlign w:val="center"/>
          </w:tcPr>
          <w:p w14:paraId="279787EB">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SS</w:t>
            </w:r>
          </w:p>
        </w:tc>
        <w:tc>
          <w:tcPr>
            <w:tcW w:w="1414" w:type="pct"/>
            <w:tcBorders>
              <w:tl2br w:val="nil"/>
              <w:tr2bl w:val="nil"/>
            </w:tcBorders>
            <w:shd w:val="clear" w:color="auto" w:fill="auto"/>
            <w:noWrap w:val="0"/>
            <w:vAlign w:val="center"/>
          </w:tcPr>
          <w:p w14:paraId="4A25A717">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tc>
        <w:tc>
          <w:tcPr>
            <w:tcW w:w="1337" w:type="pct"/>
            <w:tcBorders>
              <w:tl2br w:val="nil"/>
              <w:tr2bl w:val="nil"/>
            </w:tcBorders>
            <w:shd w:val="clear" w:color="auto" w:fill="auto"/>
            <w:noWrap w:val="0"/>
            <w:vAlign w:val="center"/>
          </w:tcPr>
          <w:p w14:paraId="15B5FE51">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w:t>
            </w:r>
            <w:r>
              <w:rPr>
                <w:rFonts w:hint="eastAsia" w:cs="Times New Roman"/>
                <w:b w:val="0"/>
                <w:bCs w:val="0"/>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p>
        </w:tc>
        <w:tc>
          <w:tcPr>
            <w:tcW w:w="1337" w:type="pct"/>
            <w:tcBorders>
              <w:tl2br w:val="nil"/>
              <w:tr2bl w:val="nil"/>
            </w:tcBorders>
            <w:shd w:val="clear" w:color="auto" w:fill="BEBEBE"/>
            <w:noWrap w:val="0"/>
            <w:vAlign w:val="center"/>
          </w:tcPr>
          <w:p w14:paraId="38EA6054">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w:t>
            </w:r>
            <w:r>
              <w:rPr>
                <w:rFonts w:hint="eastAsia" w:cs="Times New Roman"/>
                <w:b w:val="0"/>
                <w:bCs w:val="0"/>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p>
        </w:tc>
      </w:tr>
      <w:tr w14:paraId="281FD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cantSplit/>
          <w:trHeight w:val="90" w:hRule="atLeast"/>
          <w:jc w:val="center"/>
        </w:trPr>
        <w:tc>
          <w:tcPr>
            <w:tcW w:w="284" w:type="pct"/>
            <w:tcBorders>
              <w:tl2br w:val="nil"/>
              <w:tr2bl w:val="nil"/>
            </w:tcBorders>
            <w:shd w:val="clear" w:color="auto" w:fill="auto"/>
            <w:noWrap w:val="0"/>
            <w:vAlign w:val="center"/>
          </w:tcPr>
          <w:p w14:paraId="09D3A660">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6</w:t>
            </w:r>
          </w:p>
        </w:tc>
        <w:tc>
          <w:tcPr>
            <w:tcW w:w="624" w:type="pct"/>
            <w:tcBorders>
              <w:tl2br w:val="nil"/>
              <w:tr2bl w:val="nil"/>
            </w:tcBorders>
            <w:shd w:val="clear" w:color="auto" w:fill="auto"/>
            <w:noWrap w:val="0"/>
            <w:vAlign w:val="center"/>
          </w:tcPr>
          <w:p w14:paraId="7AD81751">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总氮</w:t>
            </w:r>
          </w:p>
        </w:tc>
        <w:tc>
          <w:tcPr>
            <w:tcW w:w="1414" w:type="pct"/>
            <w:tcBorders>
              <w:tl2br w:val="nil"/>
              <w:tr2bl w:val="nil"/>
            </w:tcBorders>
            <w:shd w:val="clear" w:color="auto" w:fill="auto"/>
            <w:noWrap w:val="0"/>
            <w:vAlign w:val="center"/>
          </w:tcPr>
          <w:p w14:paraId="74B6BD45">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tc>
        <w:tc>
          <w:tcPr>
            <w:tcW w:w="1337" w:type="pct"/>
            <w:tcBorders>
              <w:tl2br w:val="nil"/>
              <w:tr2bl w:val="nil"/>
            </w:tcBorders>
            <w:shd w:val="clear" w:color="auto" w:fill="auto"/>
            <w:noWrap w:val="0"/>
            <w:vAlign w:val="center"/>
          </w:tcPr>
          <w:p w14:paraId="148D7BBF">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40</w:t>
            </w:r>
          </w:p>
        </w:tc>
        <w:tc>
          <w:tcPr>
            <w:tcW w:w="1337" w:type="pct"/>
            <w:tcBorders>
              <w:tl2br w:val="nil"/>
              <w:tr2bl w:val="nil"/>
            </w:tcBorders>
            <w:shd w:val="clear" w:color="auto" w:fill="BEBEBE"/>
            <w:noWrap w:val="0"/>
            <w:vAlign w:val="center"/>
          </w:tcPr>
          <w:p w14:paraId="5E718590">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40</w:t>
            </w:r>
          </w:p>
        </w:tc>
      </w:tr>
      <w:tr w14:paraId="752655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cantSplit/>
          <w:trHeight w:val="283" w:hRule="atLeast"/>
          <w:jc w:val="center"/>
        </w:trPr>
        <w:tc>
          <w:tcPr>
            <w:tcW w:w="284" w:type="pct"/>
            <w:tcBorders>
              <w:tl2br w:val="nil"/>
              <w:tr2bl w:val="nil"/>
            </w:tcBorders>
            <w:shd w:val="clear" w:color="auto" w:fill="auto"/>
            <w:noWrap w:val="0"/>
            <w:vAlign w:val="center"/>
          </w:tcPr>
          <w:p w14:paraId="15832CAB">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7</w:t>
            </w:r>
          </w:p>
        </w:tc>
        <w:tc>
          <w:tcPr>
            <w:tcW w:w="624" w:type="pct"/>
            <w:tcBorders>
              <w:tl2br w:val="nil"/>
              <w:tr2bl w:val="nil"/>
            </w:tcBorders>
            <w:shd w:val="clear" w:color="auto" w:fill="auto"/>
            <w:noWrap w:val="0"/>
            <w:vAlign w:val="center"/>
          </w:tcPr>
          <w:p w14:paraId="6CD5ECD6">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总磷</w:t>
            </w:r>
          </w:p>
        </w:tc>
        <w:tc>
          <w:tcPr>
            <w:tcW w:w="1414" w:type="pct"/>
            <w:tcBorders>
              <w:tl2br w:val="nil"/>
              <w:tr2bl w:val="nil"/>
            </w:tcBorders>
            <w:shd w:val="clear" w:color="auto" w:fill="auto"/>
            <w:noWrap w:val="0"/>
            <w:vAlign w:val="center"/>
          </w:tcPr>
          <w:p w14:paraId="631E3373">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tc>
        <w:tc>
          <w:tcPr>
            <w:tcW w:w="1337" w:type="pct"/>
            <w:tcBorders>
              <w:tl2br w:val="nil"/>
              <w:tr2bl w:val="nil"/>
            </w:tcBorders>
            <w:shd w:val="clear" w:color="auto" w:fill="auto"/>
            <w:noWrap w:val="0"/>
            <w:vAlign w:val="center"/>
          </w:tcPr>
          <w:p w14:paraId="6579151D">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4</w:t>
            </w:r>
          </w:p>
        </w:tc>
        <w:tc>
          <w:tcPr>
            <w:tcW w:w="1337" w:type="pct"/>
            <w:tcBorders>
              <w:tl2br w:val="nil"/>
              <w:tr2bl w:val="nil"/>
            </w:tcBorders>
            <w:shd w:val="clear" w:color="auto" w:fill="BEBEBE"/>
            <w:noWrap w:val="0"/>
            <w:vAlign w:val="center"/>
          </w:tcPr>
          <w:p w14:paraId="6FB332C6">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4</w:t>
            </w:r>
          </w:p>
        </w:tc>
      </w:tr>
      <w:tr w14:paraId="298DA6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cantSplit/>
          <w:trHeight w:val="283" w:hRule="atLeast"/>
          <w:jc w:val="center"/>
        </w:trPr>
        <w:tc>
          <w:tcPr>
            <w:tcW w:w="284" w:type="pct"/>
            <w:tcBorders>
              <w:tl2br w:val="nil"/>
              <w:tr2bl w:val="nil"/>
            </w:tcBorders>
            <w:shd w:val="clear" w:color="auto" w:fill="auto"/>
            <w:noWrap w:val="0"/>
            <w:vAlign w:val="center"/>
          </w:tcPr>
          <w:p w14:paraId="54406200">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8</w:t>
            </w:r>
          </w:p>
        </w:tc>
        <w:tc>
          <w:tcPr>
            <w:tcW w:w="624" w:type="pct"/>
            <w:tcBorders>
              <w:tl2br w:val="nil"/>
              <w:tr2bl w:val="nil"/>
            </w:tcBorders>
            <w:shd w:val="clear" w:color="auto" w:fill="auto"/>
            <w:noWrap w:val="0"/>
            <w:vAlign w:val="center"/>
          </w:tcPr>
          <w:p w14:paraId="7CFB035A">
            <w:pPr>
              <w:jc w:val="center"/>
              <w:rPr>
                <w:rFonts w:hint="default" w:ascii="Times New Roman" w:hAnsi="Times New Roman"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基准排水量</w:t>
            </w:r>
          </w:p>
        </w:tc>
        <w:tc>
          <w:tcPr>
            <w:tcW w:w="1414" w:type="pct"/>
            <w:tcBorders>
              <w:tl2br w:val="nil"/>
              <w:tr2bl w:val="nil"/>
            </w:tcBorders>
            <w:shd w:val="clear" w:color="auto" w:fill="auto"/>
            <w:noWrap w:val="0"/>
            <w:vAlign w:val="center"/>
          </w:tcPr>
          <w:p w14:paraId="314089CD">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3.5m</w:t>
            </w:r>
            <w:r>
              <w:rPr>
                <w:rFonts w:hint="eastAsia" w:cs="Times New Roman"/>
                <w:b w:val="0"/>
                <w:bCs w:val="0"/>
                <w:color w:val="000000" w:themeColor="text1"/>
                <w:sz w:val="21"/>
                <w:szCs w:val="21"/>
                <w:highlight w:val="none"/>
                <w:vertAlign w:val="superscript"/>
                <w:lang w:val="en-US" w:eastAsia="zh-CN"/>
                <w14:textFill>
                  <w14:solidFill>
                    <w14:schemeClr w14:val="tx1"/>
                  </w14:solidFill>
                </w14:textFill>
              </w:rPr>
              <w:t>3</w:t>
            </w:r>
            <w:r>
              <w:rPr>
                <w:rFonts w:hint="eastAsia" w:cs="Times New Roman"/>
                <w:b w:val="0"/>
                <w:bCs w:val="0"/>
                <w:color w:val="000000" w:themeColor="text1"/>
                <w:sz w:val="21"/>
                <w:szCs w:val="21"/>
                <w:highlight w:val="none"/>
                <w:lang w:val="en-US" w:eastAsia="zh-CN"/>
                <w14:textFill>
                  <w14:solidFill>
                    <w14:schemeClr w14:val="tx1"/>
                  </w14:solidFill>
                </w14:textFill>
              </w:rPr>
              <w:t>/t产品</w:t>
            </w:r>
          </w:p>
        </w:tc>
        <w:tc>
          <w:tcPr>
            <w:tcW w:w="1337" w:type="pct"/>
            <w:tcBorders>
              <w:tl2br w:val="nil"/>
              <w:tr2bl w:val="nil"/>
            </w:tcBorders>
            <w:shd w:val="clear" w:color="auto" w:fill="auto"/>
            <w:noWrap w:val="0"/>
            <w:vAlign w:val="center"/>
          </w:tcPr>
          <w:p w14:paraId="7586BED4">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w:t>
            </w:r>
          </w:p>
        </w:tc>
        <w:tc>
          <w:tcPr>
            <w:tcW w:w="1337" w:type="pct"/>
            <w:tcBorders>
              <w:tl2br w:val="nil"/>
              <w:tr2bl w:val="nil"/>
            </w:tcBorders>
            <w:shd w:val="clear" w:color="auto" w:fill="BEBEBE"/>
            <w:noWrap w:val="0"/>
            <w:vAlign w:val="center"/>
          </w:tcPr>
          <w:p w14:paraId="25F56F22">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3.5m</w:t>
            </w:r>
            <w:r>
              <w:rPr>
                <w:rFonts w:hint="eastAsia" w:cs="Times New Roman"/>
                <w:b w:val="0"/>
                <w:bCs w:val="0"/>
                <w:color w:val="000000" w:themeColor="text1"/>
                <w:sz w:val="21"/>
                <w:szCs w:val="21"/>
                <w:highlight w:val="none"/>
                <w:vertAlign w:val="superscript"/>
                <w:lang w:val="en-US" w:eastAsia="zh-CN"/>
                <w14:textFill>
                  <w14:solidFill>
                    <w14:schemeClr w14:val="tx1"/>
                  </w14:solidFill>
                </w14:textFill>
              </w:rPr>
              <w:t>3</w:t>
            </w:r>
            <w:r>
              <w:rPr>
                <w:rFonts w:hint="eastAsia" w:cs="Times New Roman"/>
                <w:b w:val="0"/>
                <w:bCs w:val="0"/>
                <w:color w:val="000000" w:themeColor="text1"/>
                <w:sz w:val="21"/>
                <w:szCs w:val="21"/>
                <w:highlight w:val="none"/>
                <w:lang w:val="en-US" w:eastAsia="zh-CN"/>
                <w14:textFill>
                  <w14:solidFill>
                    <w14:schemeClr w14:val="tx1"/>
                  </w14:solidFill>
                </w14:textFill>
              </w:rPr>
              <w:t>/t产品</w:t>
            </w:r>
          </w:p>
        </w:tc>
      </w:tr>
    </w:tbl>
    <w:p w14:paraId="2EB4ADA7">
      <w:pPr>
        <w:pStyle w:val="251"/>
        <w:ind w:left="0" w:leftChars="0" w:firstLine="480" w:firstLineChars="20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3、噪声排放标准</w:t>
      </w:r>
    </w:p>
    <w:p w14:paraId="4598865F">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营运期厂界噪声排放执行《工业企业厂界环境噪声排放标准》（GB12348-2008）3类标准，见表2.</w:t>
      </w:r>
      <w:r>
        <w:rPr>
          <w:rFonts w:hint="eastAsia"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8</w:t>
      </w:r>
      <w:r>
        <w:rPr>
          <w:rFonts w:hint="default" w:ascii="Times New Roman" w:hAnsi="Times New Roman" w:cs="Times New Roman"/>
          <w:color w:val="000000" w:themeColor="text1"/>
          <w14:textFill>
            <w14:solidFill>
              <w14:schemeClr w14:val="tx1"/>
            </w14:solidFill>
          </w14:textFill>
        </w:rPr>
        <w:t>。</w:t>
      </w:r>
    </w:p>
    <w:p w14:paraId="0B9B4146">
      <w:pPr>
        <w:adjustRightInd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5</w:t>
      </w:r>
      <w:r>
        <w:rPr>
          <w:rFonts w:hint="default" w:ascii="Times New Roman" w:hAnsi="Times New Roman" w:eastAsia="黑体" w:cs="Times New Roman"/>
          <w:bCs/>
          <w:color w:val="000000" w:themeColor="text1"/>
          <w:sz w:val="24"/>
          <w14:textFill>
            <w14:solidFill>
              <w14:schemeClr w14:val="tx1"/>
            </w14:solidFill>
          </w14:textFill>
        </w:rPr>
        <w:t>-</w:t>
      </w:r>
      <w:r>
        <w:rPr>
          <w:rFonts w:hint="eastAsia" w:eastAsia="黑体" w:cs="Times New Roman"/>
          <w:bCs/>
          <w:color w:val="000000" w:themeColor="text1"/>
          <w:sz w:val="24"/>
          <w:lang w:val="en-US" w:eastAsia="zh-CN"/>
          <w14:textFill>
            <w14:solidFill>
              <w14:schemeClr w14:val="tx1"/>
            </w14:solidFill>
          </w14:textFill>
        </w:rPr>
        <w:t>8</w:t>
      </w:r>
      <w:r>
        <w:rPr>
          <w:rFonts w:hint="default" w:ascii="Times New Roman" w:hAnsi="Times New Roman" w:eastAsia="黑体" w:cs="Times New Roman"/>
          <w:bCs/>
          <w:color w:val="000000" w:themeColor="text1"/>
          <w:sz w:val="24"/>
          <w14:textFill>
            <w14:solidFill>
              <w14:schemeClr w14:val="tx1"/>
            </w14:solidFill>
          </w14:textFill>
        </w:rPr>
        <w:t>噪声排放标准</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3686"/>
        <w:gridCol w:w="2410"/>
        <w:gridCol w:w="2210"/>
      </w:tblGrid>
      <w:tr w14:paraId="702A98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218" w:type="pct"/>
            <w:vAlign w:val="center"/>
          </w:tcPr>
          <w:p w14:paraId="76853F10">
            <w:pPr>
              <w:pStyle w:val="47"/>
              <w:snapToGrid/>
              <w:spacing w:line="276" w:lineRule="auto"/>
              <w:jc w:val="center"/>
              <w:rPr>
                <w:rFonts w:hint="default" w:ascii="Times New Roman" w:hAnsi="Times New Roman" w:cs="Times New Roman"/>
                <w:b/>
                <w:color w:val="000000" w:themeColor="text1"/>
                <w:kern w:val="2"/>
                <w:sz w:val="21"/>
                <w14:textFill>
                  <w14:solidFill>
                    <w14:schemeClr w14:val="tx1"/>
                  </w14:solidFill>
                </w14:textFill>
              </w:rPr>
            </w:pPr>
            <w:r>
              <w:rPr>
                <w:rFonts w:hint="default" w:ascii="Times New Roman" w:hAnsi="Times New Roman" w:cs="Times New Roman"/>
                <w:b/>
                <w:color w:val="000000" w:themeColor="text1"/>
                <w:kern w:val="2"/>
                <w:sz w:val="21"/>
                <w14:textFill>
                  <w14:solidFill>
                    <w14:schemeClr w14:val="tx1"/>
                  </w14:solidFill>
                </w14:textFill>
              </w:rPr>
              <w:t>标准名称及代号</w:t>
            </w:r>
          </w:p>
        </w:tc>
        <w:tc>
          <w:tcPr>
            <w:tcW w:w="1450" w:type="pct"/>
            <w:vAlign w:val="center"/>
          </w:tcPr>
          <w:p w14:paraId="1EC37EB9">
            <w:pPr>
              <w:pStyle w:val="47"/>
              <w:snapToGrid/>
              <w:spacing w:line="276" w:lineRule="auto"/>
              <w:jc w:val="center"/>
              <w:rPr>
                <w:rFonts w:hint="default" w:ascii="Times New Roman" w:hAnsi="Times New Roman" w:cs="Times New Roman"/>
                <w:b/>
                <w:color w:val="000000" w:themeColor="text1"/>
                <w:kern w:val="2"/>
                <w:sz w:val="21"/>
                <w14:textFill>
                  <w14:solidFill>
                    <w14:schemeClr w14:val="tx1"/>
                  </w14:solidFill>
                </w14:textFill>
              </w:rPr>
            </w:pPr>
            <w:r>
              <w:rPr>
                <w:rFonts w:hint="default" w:ascii="Times New Roman" w:hAnsi="Times New Roman" w:cs="Times New Roman"/>
                <w:b/>
                <w:color w:val="000000" w:themeColor="text1"/>
                <w:kern w:val="2"/>
                <w:sz w:val="21"/>
                <w14:textFill>
                  <w14:solidFill>
                    <w14:schemeClr w14:val="tx1"/>
                  </w14:solidFill>
                </w14:textFill>
              </w:rPr>
              <w:t>取值时间</w:t>
            </w:r>
          </w:p>
        </w:tc>
        <w:tc>
          <w:tcPr>
            <w:tcW w:w="1330" w:type="pct"/>
            <w:vAlign w:val="center"/>
          </w:tcPr>
          <w:p w14:paraId="4220F1C6">
            <w:pPr>
              <w:pStyle w:val="47"/>
              <w:snapToGrid/>
              <w:spacing w:line="276" w:lineRule="auto"/>
              <w:jc w:val="center"/>
              <w:rPr>
                <w:rFonts w:hint="default" w:ascii="Times New Roman" w:hAnsi="Times New Roman" w:cs="Times New Roman"/>
                <w:b/>
                <w:color w:val="000000" w:themeColor="text1"/>
                <w:kern w:val="2"/>
                <w:sz w:val="21"/>
                <w14:textFill>
                  <w14:solidFill>
                    <w14:schemeClr w14:val="tx1"/>
                  </w14:solidFill>
                </w14:textFill>
              </w:rPr>
            </w:pPr>
            <w:r>
              <w:rPr>
                <w:rFonts w:hint="default" w:ascii="Times New Roman" w:hAnsi="Times New Roman" w:cs="Times New Roman"/>
                <w:b/>
                <w:color w:val="000000" w:themeColor="text1"/>
                <w:kern w:val="2"/>
                <w:sz w:val="21"/>
                <w14:textFill>
                  <w14:solidFill>
                    <w14:schemeClr w14:val="tx1"/>
                  </w14:solidFill>
                </w14:textFill>
              </w:rPr>
              <w:t>标准值</w:t>
            </w:r>
          </w:p>
        </w:tc>
      </w:tr>
      <w:tr w14:paraId="37594F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218" w:type="pct"/>
            <w:vMerge w:val="restart"/>
            <w:vAlign w:val="center"/>
          </w:tcPr>
          <w:p w14:paraId="26D81147">
            <w:pPr>
              <w:pStyle w:val="47"/>
              <w:snapToGrid/>
              <w:spacing w:line="276" w:lineRule="auto"/>
              <w:jc w:val="center"/>
              <w:rPr>
                <w:rFonts w:hint="default" w:ascii="Times New Roman" w:hAnsi="Times New Roman" w:cs="Times New Roman"/>
                <w:color w:val="000000" w:themeColor="text1"/>
                <w:kern w:val="2"/>
                <w:sz w:val="21"/>
                <w14:textFill>
                  <w14:solidFill>
                    <w14:schemeClr w14:val="tx1"/>
                  </w14:solidFill>
                </w14:textFill>
              </w:rPr>
            </w:pPr>
            <w:r>
              <w:rPr>
                <w:rFonts w:hint="default" w:ascii="Times New Roman" w:hAnsi="Times New Roman" w:cs="Times New Roman"/>
                <w:color w:val="000000" w:themeColor="text1"/>
                <w:kern w:val="2"/>
                <w:sz w:val="21"/>
                <w14:textFill>
                  <w14:solidFill>
                    <w14:schemeClr w14:val="tx1"/>
                  </w14:solidFill>
                </w14:textFill>
              </w:rPr>
              <w:t>《工业企业厂界噪声排放标准》</w:t>
            </w:r>
          </w:p>
          <w:p w14:paraId="0FAB73D6">
            <w:pPr>
              <w:pStyle w:val="47"/>
              <w:snapToGrid/>
              <w:spacing w:line="276" w:lineRule="auto"/>
              <w:jc w:val="center"/>
              <w:rPr>
                <w:rFonts w:hint="default" w:ascii="Times New Roman" w:hAnsi="Times New Roman" w:cs="Times New Roman"/>
                <w:color w:val="000000" w:themeColor="text1"/>
                <w:kern w:val="2"/>
                <w:sz w:val="21"/>
                <w14:textFill>
                  <w14:solidFill>
                    <w14:schemeClr w14:val="tx1"/>
                  </w14:solidFill>
                </w14:textFill>
              </w:rPr>
            </w:pPr>
            <w:r>
              <w:rPr>
                <w:rFonts w:hint="default" w:ascii="Times New Roman" w:hAnsi="Times New Roman" w:cs="Times New Roman"/>
                <w:color w:val="000000" w:themeColor="text1"/>
                <w:kern w:val="2"/>
                <w:sz w:val="21"/>
                <w14:textFill>
                  <w14:solidFill>
                    <w14:schemeClr w14:val="tx1"/>
                  </w14:solidFill>
                </w14:textFill>
              </w:rPr>
              <w:t>（GB12348-2008）3类</w:t>
            </w:r>
          </w:p>
        </w:tc>
        <w:tc>
          <w:tcPr>
            <w:tcW w:w="1450" w:type="pct"/>
            <w:vAlign w:val="center"/>
          </w:tcPr>
          <w:p w14:paraId="1A181ABA">
            <w:pPr>
              <w:pStyle w:val="47"/>
              <w:snapToGrid/>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14:textFill>
                  <w14:solidFill>
                    <w14:schemeClr w14:val="tx1"/>
                  </w14:solidFill>
                </w14:textFill>
              </w:rPr>
              <w:t>昼间</w:t>
            </w:r>
            <w:r>
              <w:rPr>
                <w:rFonts w:hint="default" w:ascii="Times New Roman" w:hAnsi="Times New Roman" w:cs="Times New Roman"/>
                <w:color w:val="000000" w:themeColor="text1"/>
                <w:kern w:val="2"/>
                <w:sz w:val="21"/>
                <w:szCs w:val="21"/>
                <w14:textFill>
                  <w14:solidFill>
                    <w14:schemeClr w14:val="tx1"/>
                  </w14:solidFill>
                </w14:textFill>
              </w:rPr>
              <w:t>dB(A)</w:t>
            </w:r>
          </w:p>
        </w:tc>
        <w:tc>
          <w:tcPr>
            <w:tcW w:w="1330" w:type="pct"/>
            <w:vAlign w:val="center"/>
          </w:tcPr>
          <w:p w14:paraId="03B3460C">
            <w:pPr>
              <w:pStyle w:val="47"/>
              <w:snapToGrid/>
              <w:spacing w:line="276" w:lineRule="auto"/>
              <w:jc w:val="center"/>
              <w:rPr>
                <w:rFonts w:hint="default" w:ascii="Times New Roman" w:hAnsi="Times New Roman" w:cs="Times New Roman"/>
                <w:color w:val="000000" w:themeColor="text1"/>
                <w:kern w:val="2"/>
                <w:sz w:val="21"/>
                <w14:textFill>
                  <w14:solidFill>
                    <w14:schemeClr w14:val="tx1"/>
                  </w14:solidFill>
                </w14:textFill>
              </w:rPr>
            </w:pPr>
            <w:r>
              <w:rPr>
                <w:rFonts w:hint="default" w:ascii="Times New Roman" w:hAnsi="Times New Roman" w:cs="Times New Roman"/>
                <w:color w:val="000000" w:themeColor="text1"/>
                <w:kern w:val="2"/>
                <w:sz w:val="21"/>
                <w14:textFill>
                  <w14:solidFill>
                    <w14:schemeClr w14:val="tx1"/>
                  </w14:solidFill>
                </w14:textFill>
              </w:rPr>
              <w:t>65</w:t>
            </w:r>
          </w:p>
        </w:tc>
      </w:tr>
      <w:tr w14:paraId="40487E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218" w:type="pct"/>
            <w:vMerge w:val="continue"/>
            <w:vAlign w:val="center"/>
          </w:tcPr>
          <w:p w14:paraId="72727AE9">
            <w:pPr>
              <w:pStyle w:val="47"/>
              <w:snapToGrid/>
              <w:spacing w:line="276" w:lineRule="auto"/>
              <w:jc w:val="center"/>
              <w:rPr>
                <w:rFonts w:hint="default" w:ascii="Times New Roman" w:hAnsi="Times New Roman" w:cs="Times New Roman"/>
                <w:color w:val="000000" w:themeColor="text1"/>
                <w:kern w:val="2"/>
                <w:sz w:val="21"/>
                <w14:textFill>
                  <w14:solidFill>
                    <w14:schemeClr w14:val="tx1"/>
                  </w14:solidFill>
                </w14:textFill>
              </w:rPr>
            </w:pPr>
          </w:p>
        </w:tc>
        <w:tc>
          <w:tcPr>
            <w:tcW w:w="1450" w:type="pct"/>
            <w:vAlign w:val="center"/>
          </w:tcPr>
          <w:p w14:paraId="14397463">
            <w:pPr>
              <w:pStyle w:val="47"/>
              <w:snapToGrid/>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14:textFill>
                  <w14:solidFill>
                    <w14:schemeClr w14:val="tx1"/>
                  </w14:solidFill>
                </w14:textFill>
              </w:rPr>
              <w:t>夜间</w:t>
            </w:r>
            <w:r>
              <w:rPr>
                <w:rFonts w:hint="default" w:ascii="Times New Roman" w:hAnsi="Times New Roman" w:cs="Times New Roman"/>
                <w:color w:val="000000" w:themeColor="text1"/>
                <w:kern w:val="2"/>
                <w:sz w:val="21"/>
                <w:szCs w:val="21"/>
                <w14:textFill>
                  <w14:solidFill>
                    <w14:schemeClr w14:val="tx1"/>
                  </w14:solidFill>
                </w14:textFill>
              </w:rPr>
              <w:t>dB(A)</w:t>
            </w:r>
          </w:p>
        </w:tc>
        <w:tc>
          <w:tcPr>
            <w:tcW w:w="1330" w:type="pct"/>
            <w:vAlign w:val="center"/>
          </w:tcPr>
          <w:p w14:paraId="3402B135">
            <w:pPr>
              <w:pStyle w:val="47"/>
              <w:snapToGrid/>
              <w:spacing w:line="276" w:lineRule="auto"/>
              <w:jc w:val="center"/>
              <w:rPr>
                <w:rFonts w:hint="default" w:ascii="Times New Roman" w:hAnsi="Times New Roman" w:cs="Times New Roman"/>
                <w:color w:val="000000" w:themeColor="text1"/>
                <w:kern w:val="2"/>
                <w:sz w:val="21"/>
                <w14:textFill>
                  <w14:solidFill>
                    <w14:schemeClr w14:val="tx1"/>
                  </w14:solidFill>
                </w14:textFill>
              </w:rPr>
            </w:pPr>
            <w:r>
              <w:rPr>
                <w:rFonts w:hint="default" w:ascii="Times New Roman" w:hAnsi="Times New Roman" w:cs="Times New Roman"/>
                <w:color w:val="000000" w:themeColor="text1"/>
                <w:kern w:val="2"/>
                <w:sz w:val="21"/>
                <w14:textFill>
                  <w14:solidFill>
                    <w14:schemeClr w14:val="tx1"/>
                  </w14:solidFill>
                </w14:textFill>
              </w:rPr>
              <w:t>55</w:t>
            </w:r>
          </w:p>
        </w:tc>
      </w:tr>
    </w:tbl>
    <w:p w14:paraId="397D20F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4、固体废物执行标准</w:t>
      </w:r>
    </w:p>
    <w:p w14:paraId="17C5156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一般工业固体废物贮存、处置参照执行《一般工业固体废物贮存和填埋污染控制标准》（GB18599-2020）。危险废物贮存执行《危险废物贮存污染控制标准》（GB18597-2023）中有关规定。</w:t>
      </w:r>
    </w:p>
    <w:p w14:paraId="232036BE">
      <w:pPr>
        <w:pStyle w:val="3952"/>
        <w:spacing w:beforeLines="0"/>
        <w:rPr>
          <w:rFonts w:hint="default" w:ascii="Times New Roman" w:hAnsi="Times New Roman" w:eastAsia="黑体" w:cs="Times New Roman"/>
          <w:b w:val="0"/>
          <w:color w:val="000000" w:themeColor="text1"/>
          <w14:textFill>
            <w14:solidFill>
              <w14:schemeClr w14:val="tx1"/>
            </w14:solidFill>
          </w14:textFill>
        </w:rPr>
      </w:pPr>
      <w:bookmarkStart w:id="38" w:name="_Toc173837630"/>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6</w:t>
      </w:r>
      <w:r>
        <w:rPr>
          <w:rFonts w:hint="default" w:ascii="Times New Roman" w:hAnsi="Times New Roman" w:eastAsia="黑体" w:cs="Times New Roman"/>
          <w:b w:val="0"/>
          <w:color w:val="000000" w:themeColor="text1"/>
          <w14:textFill>
            <w14:solidFill>
              <w14:schemeClr w14:val="tx1"/>
            </w14:solidFill>
          </w14:textFill>
        </w:rPr>
        <w:t>项目相关政策符合性分析</w:t>
      </w:r>
      <w:bookmarkEnd w:id="38"/>
    </w:p>
    <w:p w14:paraId="1CCF699E">
      <w:pPr>
        <w:pStyle w:val="3159"/>
        <w:rPr>
          <w:rFonts w:hint="default" w:ascii="Times New Roman" w:hAnsi="Times New Roman" w:eastAsia="黑体" w:cs="Times New Roman"/>
          <w:b w:val="0"/>
          <w:color w:val="000000" w:themeColor="text1"/>
          <w14:textFill>
            <w14:solidFill>
              <w14:schemeClr w14:val="tx1"/>
            </w14:solidFill>
          </w14:textFill>
        </w:rPr>
      </w:pPr>
      <w:bookmarkStart w:id="39" w:name="_Toc173837631"/>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6</w:t>
      </w:r>
      <w:r>
        <w:rPr>
          <w:rFonts w:hint="default" w:ascii="Times New Roman" w:hAnsi="Times New Roman" w:eastAsia="黑体" w:cs="Times New Roman"/>
          <w:b w:val="0"/>
          <w:color w:val="000000" w:themeColor="text1"/>
          <w14:textFill>
            <w14:solidFill>
              <w14:schemeClr w14:val="tx1"/>
            </w14:solidFill>
          </w14:textFill>
        </w:rPr>
        <w:t>.1与《</w:t>
      </w:r>
      <w:r>
        <w:rPr>
          <w:rFonts w:hint="default" w:ascii="Times New Roman" w:hAnsi="Times New Roman" w:eastAsia="黑体" w:cs="Times New Roman"/>
          <w:b w:val="0"/>
          <w:color w:val="000000" w:themeColor="text1"/>
          <w:lang w:eastAsia="zh-CN"/>
          <w14:textFill>
            <w14:solidFill>
              <w14:schemeClr w14:val="tx1"/>
            </w14:solidFill>
          </w14:textFill>
        </w:rPr>
        <w:t>安徽省淮南市毛集社会发展综合实验区</w:t>
      </w:r>
      <w:r>
        <w:rPr>
          <w:rFonts w:hint="default" w:ascii="Times New Roman" w:hAnsi="Times New Roman" w:eastAsia="黑体" w:cs="Times New Roman"/>
          <w:b w:val="0"/>
          <w:color w:val="000000" w:themeColor="text1"/>
          <w14:textFill>
            <w14:solidFill>
              <w14:schemeClr w14:val="tx1"/>
            </w14:solidFill>
          </w14:textFill>
        </w:rPr>
        <w:t>总体规划（2009-2020年）》相符性分析</w:t>
      </w:r>
      <w:bookmarkEnd w:id="39"/>
    </w:p>
    <w:p w14:paraId="2196876B">
      <w:pPr>
        <w:pStyle w:val="251"/>
        <w:ind w:firstLine="48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毛集国家可持续发展先进示范区（简称“毛集示范区”）成立于1999年11月，其前身为毛集社会发展综合实验区（简称“毛集实验区”）。2009年6月，省委、省政府给予毛集实验区扩权县政策，享受143项扩权事项；同年9月22日，淮南市市委、市政府出台《加快建设毛集国家可持续发展先进示范区的意见》，提出“放手发展、定向发展、支持发展”的建设精神。通过不断的努力，毛集示范区工业加速发展，逐步形成由毛集工业集聚区、重工业园区和毛（毛集镇）夏（夏集镇）民营工业走廊构成的“两园一廊”，形成了毛集经济开发区发展的基本构架。</w:t>
      </w:r>
    </w:p>
    <w:p w14:paraId="30B83C3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14:textFill>
            <w14:solidFill>
              <w14:schemeClr w14:val="tx1"/>
            </w14:solidFill>
          </w14:textFill>
        </w:rPr>
        <w:t>（简称“开发区”）位于毛集实验区境内，合淮阜高速公路毛集出口处和102省道两侧。2010年2月10日，安徽省人民政府以《安徽省人民政府关于同意筹建</w:t>
      </w:r>
      <w:r>
        <w:rPr>
          <w:rFonts w:hint="default" w:ascii="Times New Roman" w:hAnsi="Times New Roman"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14:textFill>
            <w14:solidFill>
              <w14:schemeClr w14:val="tx1"/>
            </w14:solidFill>
          </w14:textFill>
        </w:rPr>
        <w:t>的批复》（皖政秘[2010]37号）同意</w:t>
      </w:r>
      <w:r>
        <w:rPr>
          <w:rFonts w:hint="default" w:ascii="Times New Roman" w:hAnsi="Times New Roman"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14:textFill>
            <w14:solidFill>
              <w14:schemeClr w14:val="tx1"/>
            </w14:solidFill>
          </w14:textFill>
        </w:rPr>
        <w:t>筹建，主导产业为农副产品深加工、先进制造、高新技术等，规划面积12.23平方公里。</w:t>
      </w:r>
    </w:p>
    <w:p w14:paraId="4AB1991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毛集实验区国土资源局《关于核定毛集经济开发区四至范围的批复》（毛国土资[2012]25号）核定，毛集开发区主园区规划面积11.66平方公里，四至范围为：北至毛集镇康庙村、陆庄村与夏集镇刘楼村耕地，东至经一路，南至合淮阜高速公路，西至夏集镇刘楼村耕地。子园区面积规划面积0.57平方公里，四至范围为：北至刘尹路，东至夏集镇镇区宏宇路，南至颍凤公路，西至夏集镇路岗村耕地。毛集经济开发区以</w:t>
      </w:r>
      <w:r>
        <w:rPr>
          <w:rFonts w:hint="default" w:ascii="Times New Roman" w:hAnsi="Times New Roman" w:cs="Times New Roman"/>
          <w:color w:val="000000" w:themeColor="text1"/>
          <w:highlight w:val="yellow"/>
          <w14:textFill>
            <w14:solidFill>
              <w14:schemeClr w14:val="tx1"/>
            </w14:solidFill>
          </w14:textFill>
        </w:rPr>
        <w:t>农副产品深加工、先进制造、高新技术</w:t>
      </w:r>
      <w:r>
        <w:rPr>
          <w:rFonts w:hint="default" w:ascii="Times New Roman" w:hAnsi="Times New Roman" w:cs="Times New Roman"/>
          <w:color w:val="000000" w:themeColor="text1"/>
          <w14:textFill>
            <w14:solidFill>
              <w14:schemeClr w14:val="tx1"/>
            </w14:solidFill>
          </w14:textFill>
        </w:rPr>
        <w:t>等为主导产业。</w:t>
      </w:r>
    </w:p>
    <w:p w14:paraId="3BB2EA0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2011年7月20日，毛集开发区管理办公室委托安徽省科学技术咨询中心编制《</w:t>
      </w:r>
      <w:r>
        <w:rPr>
          <w:rFonts w:hint="eastAsia" w:ascii="Times New Roman" w:hAnsi="Times New Roman" w:cs="Times New Roman"/>
          <w:color w:val="000000" w:themeColor="text1"/>
          <w:lang w:eastAsia="zh-CN"/>
          <w14:textFill>
            <w14:solidFill>
              <w14:schemeClr w14:val="tx1"/>
            </w14:solidFill>
          </w14:textFill>
        </w:rPr>
        <w:t>安徽淮南毛集经济开发区规划环境影响报告书</w:t>
      </w:r>
      <w:r>
        <w:rPr>
          <w:rFonts w:hint="default" w:ascii="Times New Roman" w:hAnsi="Times New Roman" w:cs="Times New Roman"/>
          <w:color w:val="000000" w:themeColor="text1"/>
          <w14:textFill>
            <w14:solidFill>
              <w14:schemeClr w14:val="tx1"/>
            </w14:solidFill>
          </w14:textFill>
        </w:rPr>
        <w:t>》；2012年11月9日，原安徽省环境保护厅以《安徽省环境保护厅关于</w:t>
      </w:r>
      <w:r>
        <w:rPr>
          <w:rFonts w:hint="eastAsia" w:ascii="Times New Roman" w:hAnsi="Times New Roman" w:cs="Times New Roman"/>
          <w:color w:val="000000" w:themeColor="text1"/>
          <w:lang w:eastAsia="zh-CN"/>
          <w14:textFill>
            <w14:solidFill>
              <w14:schemeClr w14:val="tx1"/>
            </w14:solidFill>
          </w14:textFill>
        </w:rPr>
        <w:t>安徽淮南毛集经济开发区规划环境影响报告书</w:t>
      </w:r>
      <w:r>
        <w:rPr>
          <w:rFonts w:hint="default" w:ascii="Times New Roman" w:hAnsi="Times New Roman" w:cs="Times New Roman"/>
          <w:color w:val="000000" w:themeColor="text1"/>
          <w14:textFill>
            <w14:solidFill>
              <w14:schemeClr w14:val="tx1"/>
            </w14:solidFill>
          </w14:textFill>
        </w:rPr>
        <w:t>审查意见的函》（皖环函[2012]1306号），出具了该报告书的审查意见。</w:t>
      </w:r>
    </w:p>
    <w:p w14:paraId="2B3D47EB">
      <w:pPr>
        <w:pStyle w:val="251"/>
        <w:ind w:firstLine="228" w:firstLineChars="95"/>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11840" behindDoc="0" locked="0" layoutInCell="1" allowOverlap="1">
                <wp:simplePos x="0" y="0"/>
                <wp:positionH relativeFrom="column">
                  <wp:posOffset>2689225</wp:posOffset>
                </wp:positionH>
                <wp:positionV relativeFrom="paragraph">
                  <wp:posOffset>1631950</wp:posOffset>
                </wp:positionV>
                <wp:extent cx="914400" cy="251460"/>
                <wp:effectExtent l="0" t="0" r="0" b="0"/>
                <wp:wrapNone/>
                <wp:docPr id="234" name="Text Box 381"/>
                <wp:cNvGraphicFramePr/>
                <a:graphic xmlns:a="http://schemas.openxmlformats.org/drawingml/2006/main">
                  <a:graphicData uri="http://schemas.microsoft.com/office/word/2010/wordprocessingShape">
                    <wps:wsp>
                      <wps:cNvSpPr txBox="1">
                        <a:spLocks noChangeArrowheads="1"/>
                      </wps:cNvSpPr>
                      <wps:spPr bwMode="auto">
                        <a:xfrm>
                          <a:off x="0" y="0"/>
                          <a:ext cx="914400" cy="251460"/>
                        </a:xfrm>
                        <a:prstGeom prst="rect">
                          <a:avLst/>
                        </a:prstGeom>
                        <a:noFill/>
                        <a:ln>
                          <a:noFill/>
                        </a:ln>
                        <a:effectLst/>
                      </wps:spPr>
                      <wps:txbx>
                        <w:txbxContent>
                          <w:p w14:paraId="5F042D8D">
                            <w:pPr>
                              <w:rPr>
                                <w:rFonts w:ascii="黑体" w:hAnsi="黑体" w:eastAsia="黑体"/>
                                <w:color w:val="FF0000"/>
                                <w:sz w:val="16"/>
                              </w:rPr>
                            </w:pPr>
                            <w:r>
                              <w:rPr>
                                <w:rFonts w:ascii="黑体" w:hAnsi="黑体" w:eastAsia="黑体"/>
                                <w:color w:val="FF0000"/>
                                <w:sz w:val="16"/>
                              </w:rPr>
                              <w:t>本项目位置</w:t>
                            </w:r>
                          </w:p>
                        </w:txbxContent>
                      </wps:txbx>
                      <wps:bodyPr rot="0" vert="horz" wrap="square" lIns="91440" tIns="45720" rIns="91440" bIns="45720" anchor="t" anchorCtr="0" upright="1">
                        <a:noAutofit/>
                      </wps:bodyPr>
                    </wps:wsp>
                  </a:graphicData>
                </a:graphic>
              </wp:anchor>
            </w:drawing>
          </mc:Choice>
          <mc:Fallback>
            <w:pict>
              <v:shape id="Text Box 381" o:spid="_x0000_s1026" o:spt="202" type="#_x0000_t202" style="position:absolute;left:0pt;margin-left:211.75pt;margin-top:128.5pt;height:19.8pt;width:72pt;z-index:251811840;mso-width-relative:page;mso-height-relative:page;" filled="f" stroked="f" coordsize="21600,21600" o:gfxdata="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AdecE1wAAAAsBAAAPAAAAAAAAAAEAIAAA&#10;ACIAAABkcnMvZG93bnJldi54bWxQSwECFAAUAAAACACHTuJAeWmh7g0CAAAlBAAADgAAAAAAAAAB&#10;ACAAAAAmAQAAZHJzL2Uyb0RvYy54bWxQSwUGAAAAAAYABgBZAQAApQUAAAAA&#10;">
                <v:fill on="f" focussize="0,0"/>
                <v:stroke on="f"/>
                <v:imagedata o:title=""/>
                <o:lock v:ext="edit" aspectratio="f"/>
                <v:textbox>
                  <w:txbxContent>
                    <w:p w14:paraId="5F042D8D">
                      <w:pPr>
                        <w:rPr>
                          <w:rFonts w:ascii="黑体" w:hAnsi="黑体" w:eastAsia="黑体"/>
                          <w:color w:val="FF0000"/>
                          <w:sz w:val="16"/>
                        </w:rPr>
                      </w:pPr>
                      <w:r>
                        <w:rPr>
                          <w:rFonts w:ascii="黑体" w:hAnsi="黑体" w:eastAsia="黑体"/>
                          <w:color w:val="FF0000"/>
                          <w:sz w:val="16"/>
                        </w:rPr>
                        <w:t>本项目位置</w:t>
                      </w:r>
                    </w:p>
                  </w:txbxContent>
                </v:textbox>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12864" behindDoc="0" locked="0" layoutInCell="1" allowOverlap="1">
                <wp:simplePos x="0" y="0"/>
                <wp:positionH relativeFrom="column">
                  <wp:posOffset>2671445</wp:posOffset>
                </wp:positionH>
                <wp:positionV relativeFrom="paragraph">
                  <wp:posOffset>1843405</wp:posOffset>
                </wp:positionV>
                <wp:extent cx="241300" cy="214630"/>
                <wp:effectExtent l="0" t="3810" r="12700" b="10160"/>
                <wp:wrapNone/>
                <wp:docPr id="235" name="自选图形 13420"/>
                <wp:cNvGraphicFramePr/>
                <a:graphic xmlns:a="http://schemas.openxmlformats.org/drawingml/2006/main">
                  <a:graphicData uri="http://schemas.microsoft.com/office/word/2010/wordprocessingShape">
                    <wps:wsp>
                      <wps:cNvCnPr/>
                      <wps:spPr>
                        <a:xfrm flipH="1">
                          <a:off x="0" y="0"/>
                          <a:ext cx="241300" cy="214630"/>
                        </a:xfrm>
                        <a:prstGeom prst="straightConnector1">
                          <a:avLst/>
                        </a:prstGeom>
                        <a:ln w="9525" cap="flat" cmpd="sng">
                          <a:solidFill>
                            <a:srgbClr val="FF0000"/>
                          </a:solidFill>
                          <a:prstDash val="solid"/>
                          <a:headEnd type="none" w="med" len="med"/>
                          <a:tailEnd type="triangle" w="sm" len="med"/>
                        </a:ln>
                      </wps:spPr>
                      <wps:bodyPr/>
                    </wps:wsp>
                  </a:graphicData>
                </a:graphic>
              </wp:anchor>
            </w:drawing>
          </mc:Choice>
          <mc:Fallback>
            <w:pict>
              <v:shape id="自选图形 13420" o:spid="_x0000_s1026" o:spt="32" type="#_x0000_t32" style="position:absolute;left:0pt;flip:x;margin-left:210.35pt;margin-top:145.15pt;height:16.9pt;width:19pt;z-index:251812864;mso-width-relative:page;mso-height-relative:page;" filled="f" stroked="t" coordsize="21600,21600" o:gfxdata="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YWf762QAAAAsBAAAPAAAAAAAA&#10;AAEAIAAAACIAAABkcnMvZG93bnJldi54bWxQSwECFAAUAAAACACHTuJAhgQ3qhECAAD6AwAADgAA&#10;AAAAAAABACAAAAAoAQAAZHJzL2Uyb0RvYy54bWxQSwUGAAAAAAYABgBZAQAAqwUAAAAA&#10;">
                <v:fill on="f" focussize="0,0"/>
                <v:stroke color="#FF0000" joinstyle="round" endarrow="block" endarrowwidth="narrow"/>
                <v:imagedata o:title=""/>
                <o:lock v:ext="edit" aspectratio="f"/>
              </v:shape>
            </w:pict>
          </mc:Fallback>
        </mc:AlternateContent>
      </w:r>
      <w:r>
        <w:rPr>
          <w:rFonts w:hint="default" w:ascii="Times New Roman" w:hAnsi="Times New Roman" w:cs="Times New Roman"/>
          <w:color w:val="000000" w:themeColor="text1"/>
          <w:sz w:val="24"/>
          <w14:textFill>
            <w14:solidFill>
              <w14:schemeClr w14:val="tx1"/>
            </w14:solidFill>
          </w14:textFill>
        </w:rPr>
        <mc:AlternateContent>
          <mc:Choice Requires="wps">
            <w:drawing>
              <wp:anchor distT="0" distB="0" distL="114300" distR="114300" simplePos="0" relativeHeight="251817984" behindDoc="0" locked="0" layoutInCell="1" allowOverlap="1">
                <wp:simplePos x="0" y="0"/>
                <wp:positionH relativeFrom="column">
                  <wp:posOffset>2416175</wp:posOffset>
                </wp:positionH>
                <wp:positionV relativeFrom="paragraph">
                  <wp:posOffset>1998345</wp:posOffset>
                </wp:positionV>
                <wp:extent cx="244475" cy="164465"/>
                <wp:effectExtent l="4445" t="4445" r="5080" b="8890"/>
                <wp:wrapNone/>
                <wp:docPr id="238" name="矩形 13733"/>
                <wp:cNvGraphicFramePr/>
                <a:graphic xmlns:a="http://schemas.openxmlformats.org/drawingml/2006/main">
                  <a:graphicData uri="http://schemas.microsoft.com/office/word/2010/wordprocessingShape">
                    <wps:wsp>
                      <wps:cNvSpPr/>
                      <wps:spPr>
                        <a:xfrm>
                          <a:off x="0" y="0"/>
                          <a:ext cx="244475" cy="164465"/>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矩形 13733" o:spid="_x0000_s1026" o:spt="1" style="position:absolute;left:0pt;margin-left:190.25pt;margin-top:157.35pt;height:12.95pt;width:19.25pt;z-index:251817984;mso-width-relative:page;mso-height-relative:page;" filled="f" stroked="t" coordsize="21600,21600" o:gfxdata="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BgyaE3bAAAACwEAAA8AAAAAAAAAAQAgAAAAIgAAAGRycy9kb3du&#10;cmV2LnhtbFBLAQIUABQAAAAIAIdO4kC7vUe7/AEAAPoDAAAOAAAAAAAAAAEAIAAAACoBAABkcnMv&#10;ZTJvRG9jLnhtbFBLBQYAAAAABgAGAFkBAACYBQAAAAA=&#10;">
                <v:fill on="f" focussize="0,0"/>
                <v:stroke color="#FF0000" joinstyle="miter"/>
                <v:imagedata o:title=""/>
                <o:lock v:ext="edit" aspectratio="f"/>
              </v:rect>
            </w:pict>
          </mc:Fallback>
        </mc:AlternateContent>
      </w:r>
      <w:r>
        <w:rPr>
          <w:rFonts w:hint="default" w:ascii="Times New Roman" w:hAnsi="Times New Roman" w:cs="Times New Roman"/>
          <w:color w:val="000000" w:themeColor="text1"/>
          <w14:textFill>
            <w14:solidFill>
              <w14:schemeClr w14:val="tx1"/>
            </w14:solidFill>
          </w14:textFill>
        </w:rPr>
        <w:drawing>
          <wp:inline distT="0" distB="0" distL="0" distR="0">
            <wp:extent cx="4857750" cy="6863080"/>
            <wp:effectExtent l="9525" t="9525" r="9525" b="23495"/>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noChangeArrowheads="1"/>
                    </pic:cNvPicPr>
                  </pic:nvPicPr>
                  <pic:blipFill>
                    <a:blip r:embed="rId21" cstate="print"/>
                    <a:srcRect/>
                    <a:stretch>
                      <a:fillRect/>
                    </a:stretch>
                  </pic:blipFill>
                  <pic:spPr>
                    <a:xfrm>
                      <a:off x="0" y="0"/>
                      <a:ext cx="4857750" cy="6863080"/>
                    </a:xfrm>
                    <a:prstGeom prst="rect">
                      <a:avLst/>
                    </a:prstGeom>
                    <a:noFill/>
                    <a:ln w="9525">
                      <a:solidFill>
                        <a:schemeClr val="tx1"/>
                      </a:solidFill>
                      <a:miter lim="800000"/>
                      <a:headEnd/>
                      <a:tailEnd/>
                    </a:ln>
                  </pic:spPr>
                </pic:pic>
              </a:graphicData>
            </a:graphic>
          </wp:inline>
        </w:drawing>
      </w:r>
    </w:p>
    <w:p w14:paraId="5B90D106">
      <w:pPr>
        <w:pStyle w:val="251"/>
        <w:ind w:firstLine="0" w:firstLineChars="0"/>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t>图2.</w:t>
      </w:r>
      <w:r>
        <w:rPr>
          <w:rFonts w:hint="eastAsia" w:ascii="Times New Roman" w:hAnsi="Times New Roman" w:eastAsia="黑体" w:cs="Times New Roman"/>
          <w:color w:val="000000" w:themeColor="text1"/>
          <w:lang w:val="en-US" w:eastAsia="zh-CN"/>
          <w14:textFill>
            <w14:solidFill>
              <w14:schemeClr w14:val="tx1"/>
            </w14:solidFill>
          </w14:textFill>
        </w:rPr>
        <w:t>6</w:t>
      </w:r>
      <w:r>
        <w:rPr>
          <w:rFonts w:hint="default" w:ascii="Times New Roman" w:hAnsi="Times New Roman" w:eastAsia="黑体" w:cs="Times New Roman"/>
          <w:color w:val="000000" w:themeColor="text1"/>
          <w14:textFill>
            <w14:solidFill>
              <w14:schemeClr w14:val="tx1"/>
            </w14:solidFill>
          </w14:textFill>
        </w:rPr>
        <w:t>-1本项目与</w:t>
      </w:r>
      <w:r>
        <w:rPr>
          <w:rFonts w:hint="default" w:ascii="Times New Roman" w:hAnsi="Times New Roman" w:eastAsia="黑体"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eastAsia="黑体" w:cs="Times New Roman"/>
          <w:color w:val="000000" w:themeColor="text1"/>
          <w14:textFill>
            <w14:solidFill>
              <w14:schemeClr w14:val="tx1"/>
            </w14:solidFill>
          </w14:textFill>
        </w:rPr>
        <w:t>位置关系图</w:t>
      </w:r>
    </w:p>
    <w:p w14:paraId="74DF4635">
      <w:pPr>
        <w:pStyle w:val="251"/>
        <w:ind w:firstLine="48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1、与园区规划环评生态环境准入清单符合性分析</w:t>
      </w:r>
    </w:p>
    <w:p w14:paraId="0DE502B2">
      <w:pPr>
        <w:pStyle w:val="251"/>
        <w:ind w:firstLine="0" w:firstLineChars="0"/>
        <w:jc w:val="center"/>
        <w:rPr>
          <w:rFonts w:hint="default" w:ascii="Times New Roman" w:hAnsi="Times New Roman" w:eastAsia="黑体" w:cs="Times New Roman"/>
          <w:color w:val="000000" w:themeColor="text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t>表2.</w:t>
      </w:r>
      <w:r>
        <w:rPr>
          <w:rFonts w:hint="eastAsia" w:ascii="Times New Roman" w:hAnsi="Times New Roman" w:eastAsia="黑体" w:cs="Times New Roman"/>
          <w:color w:val="000000" w:themeColor="text1"/>
          <w:lang w:val="en-US" w:eastAsia="zh-CN"/>
          <w14:textFill>
            <w14:solidFill>
              <w14:schemeClr w14:val="tx1"/>
            </w14:solidFill>
          </w14:textFill>
        </w:rPr>
        <w:t>6</w:t>
      </w:r>
      <w:r>
        <w:rPr>
          <w:rFonts w:hint="default" w:ascii="Times New Roman" w:hAnsi="Times New Roman" w:eastAsia="黑体" w:cs="Times New Roman"/>
          <w:color w:val="000000" w:themeColor="text1"/>
          <w14:textFill>
            <w14:solidFill>
              <w14:schemeClr w14:val="tx1"/>
            </w14:solidFill>
          </w14:textFill>
        </w:rPr>
        <w:t>-1开发区产业发展环境准入负面清单</w:t>
      </w:r>
    </w:p>
    <w:tbl>
      <w:tblPr>
        <w:tblStyle w:val="8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6"/>
        <w:gridCol w:w="1113"/>
        <w:gridCol w:w="6753"/>
      </w:tblGrid>
      <w:tr w14:paraId="055483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5" w:type="pct"/>
            <w:vAlign w:val="center"/>
          </w:tcPr>
          <w:p w14:paraId="20AAD99E">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序号</w:t>
            </w:r>
          </w:p>
        </w:tc>
        <w:tc>
          <w:tcPr>
            <w:tcW w:w="653" w:type="pct"/>
            <w:vAlign w:val="center"/>
          </w:tcPr>
          <w:p w14:paraId="1B36539C">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类型</w:t>
            </w:r>
          </w:p>
        </w:tc>
        <w:tc>
          <w:tcPr>
            <w:tcW w:w="3962" w:type="pct"/>
            <w:vAlign w:val="center"/>
          </w:tcPr>
          <w:p w14:paraId="6ECFA490">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准入清单与控制要求</w:t>
            </w:r>
          </w:p>
        </w:tc>
      </w:tr>
      <w:tr w14:paraId="0C37E4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5" w:type="pct"/>
            <w:vAlign w:val="center"/>
          </w:tcPr>
          <w:p w14:paraId="389AB56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653" w:type="pct"/>
            <w:vMerge w:val="restart"/>
            <w:vAlign w:val="center"/>
          </w:tcPr>
          <w:p w14:paraId="31A7AF0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禁止类产业导向</w:t>
            </w:r>
          </w:p>
        </w:tc>
        <w:tc>
          <w:tcPr>
            <w:tcW w:w="3962" w:type="pct"/>
            <w:vAlign w:val="center"/>
          </w:tcPr>
          <w:p w14:paraId="5D5045DD">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禁止引入国家明令禁止建设或投资的、列入《产业结构调整指导目录（20</w:t>
            </w:r>
            <w:r>
              <w:rPr>
                <w:rFonts w:hint="eastAsia" w:ascii="Times New Roman" w:hAnsi="Times New Roman" w:cs="Times New Roman"/>
                <w:color w:val="000000" w:themeColor="text1"/>
                <w:sz w:val="21"/>
                <w:szCs w:val="21"/>
                <w:lang w:val="en-US" w:eastAsia="zh-CN"/>
                <w14:textFill>
                  <w14:solidFill>
                    <w14:schemeClr w14:val="tx1"/>
                  </w14:solidFill>
                </w14:textFill>
              </w:rPr>
              <w:t>24</w:t>
            </w:r>
            <w:r>
              <w:rPr>
                <w:rFonts w:hint="default" w:ascii="Times New Roman" w:hAnsi="Times New Roman" w:cs="Times New Roman"/>
                <w:color w:val="000000" w:themeColor="text1"/>
                <w:sz w:val="21"/>
                <w:szCs w:val="21"/>
                <w14:textFill>
                  <w14:solidFill>
                    <w14:schemeClr w14:val="tx1"/>
                  </w14:solidFill>
                </w14:textFill>
              </w:rPr>
              <w:t>年本）》、</w:t>
            </w:r>
            <w:r>
              <w:rPr>
                <w:rFonts w:hint="eastAsia" w:ascii="Times New Roman" w:hAnsi="Times New Roman" w:cs="Times New Roman"/>
                <w:color w:val="000000" w:themeColor="text1"/>
                <w:sz w:val="21"/>
                <w:szCs w:val="21"/>
                <w:lang w:eastAsia="zh-CN"/>
                <w14:textFill>
                  <w14:solidFill>
                    <w14:schemeClr w14:val="tx1"/>
                  </w14:solidFill>
                </w14:textFill>
              </w:rPr>
              <w:t>《鼓励外商投资产业目录（2025年版）》</w:t>
            </w: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eastAsia="zh-CN"/>
                <w14:textFill>
                  <w14:solidFill>
                    <w14:schemeClr w14:val="tx1"/>
                  </w14:solidFill>
                </w14:textFill>
              </w:rPr>
              <w:t>《市场准入负面清单(2025年版)》</w:t>
            </w:r>
            <w:r>
              <w:rPr>
                <w:rFonts w:hint="default" w:ascii="Times New Roman" w:hAnsi="Times New Roman" w:cs="Times New Roman"/>
                <w:color w:val="000000" w:themeColor="text1"/>
                <w:sz w:val="21"/>
                <w:szCs w:val="21"/>
                <w14:textFill>
                  <w14:solidFill>
                    <w14:schemeClr w14:val="tx1"/>
                  </w14:solidFill>
                </w14:textFill>
              </w:rPr>
              <w:t>等相关产业政策中禁止或淘汰类的项目</w:t>
            </w:r>
          </w:p>
        </w:tc>
      </w:tr>
      <w:tr w14:paraId="1C9776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5" w:type="pct"/>
            <w:vAlign w:val="center"/>
          </w:tcPr>
          <w:p w14:paraId="7B3C51C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653" w:type="pct"/>
            <w:vMerge w:val="continue"/>
            <w:vAlign w:val="center"/>
          </w:tcPr>
          <w:p w14:paraId="06AB6D9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962" w:type="pct"/>
            <w:vAlign w:val="center"/>
          </w:tcPr>
          <w:p w14:paraId="30D53DE5">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禁止新引入基础化学原料、农药、油性涂料产品制造、合成材料制造、专用化学产品制造、炸药、火工及焰火产品制造以及原料药、制剂、兽药制造等污染较重的化工医药类项目（单纯混合和分装除外）。</w:t>
            </w:r>
          </w:p>
        </w:tc>
      </w:tr>
      <w:tr w14:paraId="442FEE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5" w:type="pct"/>
            <w:vAlign w:val="center"/>
          </w:tcPr>
          <w:p w14:paraId="33B2CCA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653" w:type="pct"/>
            <w:vMerge w:val="continue"/>
            <w:vAlign w:val="center"/>
          </w:tcPr>
          <w:p w14:paraId="2CEF1AD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962" w:type="pct"/>
            <w:vAlign w:val="center"/>
          </w:tcPr>
          <w:p w14:paraId="587BB3A2">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禁止引入规模效益差、能源资源消耗大、环境影响严重的企业，包括钢铁、黑色金属冶炼、有色金属原矿冶炼、水泥、印染、染整、铅酸电池、皮革鞣制、毛皮鞣制、纸浆制造、造纸等制造业项目。</w:t>
            </w:r>
          </w:p>
        </w:tc>
      </w:tr>
      <w:tr w14:paraId="7F87BF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5" w:type="pct"/>
            <w:vAlign w:val="center"/>
          </w:tcPr>
          <w:p w14:paraId="02D98CE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653" w:type="pct"/>
            <w:vMerge w:val="continue"/>
            <w:vAlign w:val="center"/>
          </w:tcPr>
          <w:p w14:paraId="25D925A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962" w:type="pct"/>
            <w:vAlign w:val="center"/>
          </w:tcPr>
          <w:p w14:paraId="77CE4483">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严格控制非主导产业类项目入区。</w:t>
            </w:r>
          </w:p>
        </w:tc>
      </w:tr>
      <w:tr w14:paraId="24F73A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5" w:type="pct"/>
            <w:vAlign w:val="center"/>
          </w:tcPr>
          <w:p w14:paraId="1B2C8CA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653" w:type="pct"/>
            <w:vMerge w:val="restart"/>
            <w:vAlign w:val="center"/>
          </w:tcPr>
          <w:p w14:paraId="2CFECC5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生产工艺</w:t>
            </w:r>
          </w:p>
        </w:tc>
        <w:tc>
          <w:tcPr>
            <w:tcW w:w="3962" w:type="pct"/>
            <w:vAlign w:val="center"/>
          </w:tcPr>
          <w:p w14:paraId="7F279590">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禁止引入电镀等金属表面处理类项目。</w:t>
            </w:r>
          </w:p>
        </w:tc>
      </w:tr>
      <w:tr w14:paraId="555CA4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5" w:type="pct"/>
            <w:vAlign w:val="center"/>
          </w:tcPr>
          <w:p w14:paraId="3D2044E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653" w:type="pct"/>
            <w:vMerge w:val="continue"/>
            <w:vAlign w:val="center"/>
          </w:tcPr>
          <w:p w14:paraId="77D6950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962" w:type="pct"/>
            <w:vAlign w:val="center"/>
          </w:tcPr>
          <w:p w14:paraId="4958FB1E">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禁止引入专门从事贮存、运输有毒有害危险化学品的项目。</w:t>
            </w:r>
          </w:p>
        </w:tc>
      </w:tr>
      <w:tr w14:paraId="67A9D3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5" w:type="pct"/>
            <w:vAlign w:val="center"/>
          </w:tcPr>
          <w:p w14:paraId="5C06287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653" w:type="pct"/>
            <w:vMerge w:val="continue"/>
            <w:vAlign w:val="center"/>
          </w:tcPr>
          <w:p w14:paraId="598DC84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962" w:type="pct"/>
            <w:vAlign w:val="center"/>
          </w:tcPr>
          <w:p w14:paraId="6B9A86AA">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为主导产业及配套的上下游及延伸产业链项目的生产工艺、设备、污染治理技术等未达到清洁生产国内先进水平的、不符合环保相关要求的项目，禁止引入。</w:t>
            </w:r>
          </w:p>
        </w:tc>
      </w:tr>
      <w:tr w14:paraId="3918F5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5" w:type="pct"/>
            <w:vAlign w:val="center"/>
          </w:tcPr>
          <w:p w14:paraId="21D1133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w:t>
            </w:r>
          </w:p>
        </w:tc>
        <w:tc>
          <w:tcPr>
            <w:tcW w:w="653" w:type="pct"/>
            <w:vAlign w:val="center"/>
          </w:tcPr>
          <w:p w14:paraId="4284331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环保要求</w:t>
            </w:r>
          </w:p>
        </w:tc>
        <w:tc>
          <w:tcPr>
            <w:tcW w:w="3962" w:type="pct"/>
            <w:vAlign w:val="center"/>
          </w:tcPr>
          <w:p w14:paraId="5B7C944A">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禁止引入尚需自行建设燃煤锅炉的企业入区，引进项目必须使用清洁能源</w:t>
            </w:r>
          </w:p>
        </w:tc>
      </w:tr>
      <w:tr w14:paraId="33B514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5" w:type="pct"/>
            <w:vAlign w:val="center"/>
          </w:tcPr>
          <w:p w14:paraId="23CE2B3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c>
          <w:tcPr>
            <w:tcW w:w="653" w:type="pct"/>
            <w:vAlign w:val="center"/>
          </w:tcPr>
          <w:p w14:paraId="62B561B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清洁生产</w:t>
            </w:r>
          </w:p>
        </w:tc>
        <w:tc>
          <w:tcPr>
            <w:tcW w:w="3962" w:type="pct"/>
            <w:vAlign w:val="center"/>
          </w:tcPr>
          <w:p w14:paraId="3C08B81E">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禁止引入清洁生产低于国内先进水平的项目</w:t>
            </w:r>
          </w:p>
        </w:tc>
      </w:tr>
    </w:tbl>
    <w:p w14:paraId="248A1BF5">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本项目位于安徽淮南毛集实验区，因此本项目对照安徽淮南毛集实验区产业准入负面清单符合性分析如下：</w:t>
      </w:r>
    </w:p>
    <w:p w14:paraId="7E02946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本项目属于</w:t>
      </w:r>
      <w:r>
        <w:rPr>
          <w:rFonts w:hint="default" w:ascii="Times New Roman" w:hAnsi="Times New Roman" w:cs="Times New Roman"/>
          <w:color w:val="000000" w:themeColor="text1"/>
          <w:lang w:eastAsia="zh-CN"/>
          <w14:textFill>
            <w14:solidFill>
              <w14:schemeClr w14:val="tx1"/>
            </w14:solidFill>
          </w14:textFill>
        </w:rPr>
        <w:t>C4220非金属废料和碎屑加工处理</w:t>
      </w:r>
      <w:r>
        <w:rPr>
          <w:rFonts w:hint="eastAsia" w:ascii="Times New Roman" w:hAnsi="Times New Roman" w:cs="Times New Roman"/>
          <w:color w:val="000000" w:themeColor="text1"/>
          <w:lang w:eastAsia="zh-CN"/>
          <w14:textFill>
            <w14:solidFill>
              <w14:schemeClr w14:val="tx1"/>
            </w14:solidFill>
          </w14:textFill>
        </w:rPr>
        <w:t>和C2929塑料零件及其他塑料制品制造</w:t>
      </w:r>
      <w:r>
        <w:rPr>
          <w:rFonts w:hint="default" w:ascii="Times New Roman" w:hAnsi="Times New Roman" w:cs="Times New Roman"/>
          <w:color w:val="000000" w:themeColor="text1"/>
          <w14:textFill>
            <w14:solidFill>
              <w14:schemeClr w14:val="tx1"/>
            </w14:solidFill>
          </w14:textFill>
        </w:rPr>
        <w:t>，据《产业结构调整目录（2024年本）》，本项目为废弃资源综合利用，为鼓励类建设项目，同时本项目不属于</w:t>
      </w:r>
      <w:r>
        <w:rPr>
          <w:rFonts w:hint="eastAsia" w:ascii="Times New Roman" w:hAnsi="Times New Roman" w:cs="Times New Roman"/>
          <w:color w:val="000000" w:themeColor="text1"/>
          <w:lang w:eastAsia="zh-CN"/>
          <w14:textFill>
            <w14:solidFill>
              <w14:schemeClr w14:val="tx1"/>
            </w14:solidFill>
          </w14:textFill>
        </w:rPr>
        <w:t>《鼓励外商投资产业目录（2025年版）》</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eastAsia="zh-CN"/>
          <w14:textFill>
            <w14:solidFill>
              <w14:schemeClr w14:val="tx1"/>
            </w14:solidFill>
          </w14:textFill>
        </w:rPr>
        <w:t>《市场准入负面清单(2025年版)》</w:t>
      </w:r>
      <w:r>
        <w:rPr>
          <w:rFonts w:hint="default" w:ascii="Times New Roman" w:hAnsi="Times New Roman" w:cs="Times New Roman"/>
          <w:color w:val="000000" w:themeColor="text1"/>
          <w14:textFill>
            <w14:solidFill>
              <w14:schemeClr w14:val="tx1"/>
            </w14:solidFill>
          </w14:textFill>
        </w:rPr>
        <w:t>中禁止、淘汰类项目。</w:t>
      </w:r>
    </w:p>
    <w:p w14:paraId="74424B3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本项目不属于电镀等金属表面处理类项目、专门从事贮存、运输有毒有害危险化学品的项目，项目清洁生产水平为国内先进水平。</w:t>
      </w:r>
    </w:p>
    <w:p w14:paraId="7EEB23D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因此，本项目不在园区负面清单中，与园区主导产业不冲突，符合入园条件。</w:t>
      </w:r>
    </w:p>
    <w:p w14:paraId="5D031A9E">
      <w:pPr>
        <w:pStyle w:val="251"/>
        <w:ind w:firstLine="480"/>
        <w:rPr>
          <w:rFonts w:hint="default" w:ascii="Times New Roman" w:hAnsi="Times New Roman" w:cs="Times New Roman"/>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14:paraId="11911800">
      <w:pPr>
        <w:pStyle w:val="251"/>
        <w:ind w:firstLine="48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2、与园区规划环评及其审查意见符合性分析</w:t>
      </w:r>
    </w:p>
    <w:p w14:paraId="4DFD4933">
      <w:pPr>
        <w:pStyle w:val="251"/>
        <w:ind w:firstLine="0" w:firstLineChars="0"/>
        <w:jc w:val="center"/>
        <w:rPr>
          <w:rFonts w:hint="default" w:ascii="Times New Roman" w:hAnsi="Times New Roman" w:eastAsia="黑体" w:cs="Times New Roman"/>
          <w:color w:val="000000" w:themeColor="text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t>表2.</w:t>
      </w:r>
      <w:r>
        <w:rPr>
          <w:rFonts w:hint="eastAsia" w:ascii="Times New Roman" w:hAnsi="Times New Roman" w:eastAsia="黑体" w:cs="Times New Roman"/>
          <w:color w:val="000000" w:themeColor="text1"/>
          <w:lang w:val="en-US" w:eastAsia="zh-CN"/>
          <w14:textFill>
            <w14:solidFill>
              <w14:schemeClr w14:val="tx1"/>
            </w14:solidFill>
          </w14:textFill>
        </w:rPr>
        <w:t>6</w:t>
      </w:r>
      <w:r>
        <w:rPr>
          <w:rFonts w:hint="default" w:ascii="Times New Roman" w:hAnsi="Times New Roman" w:eastAsia="黑体" w:cs="Times New Roman"/>
          <w:color w:val="000000" w:themeColor="text1"/>
          <w14:textFill>
            <w14:solidFill>
              <w14:schemeClr w14:val="tx1"/>
            </w14:solidFill>
          </w14:textFill>
        </w:rPr>
        <w:t>-2规划环评审查意见符合性分析一览表</w:t>
      </w:r>
    </w:p>
    <w:tbl>
      <w:tblPr>
        <w:tblStyle w:val="88"/>
        <w:tblW w:w="5000" w:type="pct"/>
        <w:tblInd w:w="0" w:type="dxa"/>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816"/>
        <w:gridCol w:w="6095"/>
        <w:gridCol w:w="5956"/>
        <w:gridCol w:w="1307"/>
      </w:tblGrid>
      <w:tr w14:paraId="67EC5A64">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88" w:type="pct"/>
            <w:vAlign w:val="center"/>
          </w:tcPr>
          <w:p w14:paraId="553AC364">
            <w:pPr>
              <w:pStyle w:val="251"/>
              <w:spacing w:line="276" w:lineRule="auto"/>
              <w:ind w:firstLine="0" w:firstLine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序号</w:t>
            </w:r>
          </w:p>
        </w:tc>
        <w:tc>
          <w:tcPr>
            <w:tcW w:w="2150" w:type="pct"/>
            <w:vAlign w:val="center"/>
          </w:tcPr>
          <w:p w14:paraId="09424A5D">
            <w:pPr>
              <w:pStyle w:val="251"/>
              <w:spacing w:line="276" w:lineRule="auto"/>
              <w:ind w:firstLine="0" w:firstLine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审查意见要求</w:t>
            </w:r>
          </w:p>
        </w:tc>
        <w:tc>
          <w:tcPr>
            <w:tcW w:w="2101" w:type="pct"/>
            <w:vAlign w:val="center"/>
          </w:tcPr>
          <w:p w14:paraId="730352CD">
            <w:pPr>
              <w:pStyle w:val="251"/>
              <w:spacing w:line="276" w:lineRule="auto"/>
              <w:ind w:firstLine="0" w:firstLine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本项目相关内容</w:t>
            </w:r>
          </w:p>
        </w:tc>
        <w:tc>
          <w:tcPr>
            <w:tcW w:w="461" w:type="pct"/>
            <w:vAlign w:val="center"/>
          </w:tcPr>
          <w:p w14:paraId="16CE961A">
            <w:pPr>
              <w:pStyle w:val="251"/>
              <w:spacing w:line="276" w:lineRule="auto"/>
              <w:ind w:firstLine="0" w:firstLine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符合性分析</w:t>
            </w:r>
          </w:p>
        </w:tc>
      </w:tr>
      <w:tr w14:paraId="2B8F6D9F">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88" w:type="pct"/>
            <w:vMerge w:val="restart"/>
            <w:vAlign w:val="center"/>
          </w:tcPr>
          <w:p w14:paraId="1EC471F7">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2150" w:type="pct"/>
            <w:vAlign w:val="center"/>
          </w:tcPr>
          <w:p w14:paraId="462BA564">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进一步优化园区的空间布局。根据开发区各产业特点，充分考虑居住、农副产品用地区域环境要求，进一步优化调整空间布局，各功能区之间设置一定距离的绿化隔离带。</w:t>
            </w:r>
          </w:p>
        </w:tc>
        <w:tc>
          <w:tcPr>
            <w:tcW w:w="2101" w:type="pct"/>
            <w:vMerge w:val="restart"/>
            <w:vAlign w:val="center"/>
          </w:tcPr>
          <w:p w14:paraId="5FD6A136">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本项目设置100m的防护距离，防护距离内无现状居民区、学校、医院等保护目标。同时，要求防护距离范围内不得新建居民、学校、医院等环境敏感目标。</w:t>
            </w:r>
          </w:p>
        </w:tc>
        <w:tc>
          <w:tcPr>
            <w:tcW w:w="461" w:type="pct"/>
            <w:vMerge w:val="restart"/>
            <w:vAlign w:val="center"/>
          </w:tcPr>
          <w:p w14:paraId="6542B0A3">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67190C53">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88" w:type="pct"/>
            <w:vMerge w:val="continue"/>
            <w:vAlign w:val="center"/>
          </w:tcPr>
          <w:p w14:paraId="7AB59897">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150" w:type="pct"/>
            <w:vAlign w:val="center"/>
          </w:tcPr>
          <w:p w14:paraId="6748EA04">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需要设置卫生防护距离的企业，应按规定设置防护距离。</w:t>
            </w:r>
          </w:p>
        </w:tc>
        <w:tc>
          <w:tcPr>
            <w:tcW w:w="2101" w:type="pct"/>
            <w:vMerge w:val="continue"/>
            <w:vAlign w:val="center"/>
          </w:tcPr>
          <w:p w14:paraId="4DACF303">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461" w:type="pct"/>
            <w:vMerge w:val="continue"/>
            <w:vAlign w:val="center"/>
          </w:tcPr>
          <w:p w14:paraId="25273F1D">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r>
      <w:tr w14:paraId="015CF7FA">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88" w:type="pct"/>
            <w:vMerge w:val="continue"/>
            <w:vAlign w:val="center"/>
          </w:tcPr>
          <w:p w14:paraId="5F9C52D6">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150" w:type="pct"/>
            <w:vAlign w:val="center"/>
          </w:tcPr>
          <w:p w14:paraId="2F4C0A67">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严格控制开发区周边用地性质，不得建设环境敏感设施。企业布局要充分考虑对环境敏感点的保护。</w:t>
            </w:r>
          </w:p>
        </w:tc>
        <w:tc>
          <w:tcPr>
            <w:tcW w:w="2101" w:type="pct"/>
            <w:vMerge w:val="continue"/>
            <w:vAlign w:val="center"/>
          </w:tcPr>
          <w:p w14:paraId="3634BF6A">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461" w:type="pct"/>
            <w:vMerge w:val="continue"/>
            <w:vAlign w:val="center"/>
          </w:tcPr>
          <w:p w14:paraId="017AFD93">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r>
      <w:tr w14:paraId="6D42464A">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88" w:type="pct"/>
            <w:vMerge w:val="restart"/>
            <w:vAlign w:val="center"/>
          </w:tcPr>
          <w:p w14:paraId="6F5C49A6">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2150" w:type="pct"/>
            <w:vAlign w:val="center"/>
          </w:tcPr>
          <w:p w14:paraId="1D4EDBD2">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充分考虑开发区产业与区域产业的定位互补，在省政府要求的产业定位总体框架下，进一步论证和优化发展重点，严格控制非主导产业定位方向的项目入区建设。</w:t>
            </w:r>
          </w:p>
        </w:tc>
        <w:tc>
          <w:tcPr>
            <w:tcW w:w="2101" w:type="pct"/>
            <w:vMerge w:val="restart"/>
            <w:vAlign w:val="center"/>
          </w:tcPr>
          <w:p w14:paraId="61347934">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本项目为</w:t>
            </w:r>
            <w:r>
              <w:rPr>
                <w:rFonts w:hint="default" w:ascii="Times New Roman" w:hAnsi="Times New Roman" w:cs="Times New Roman"/>
                <w:color w:val="000000" w:themeColor="text1"/>
                <w:sz w:val="21"/>
                <w:szCs w:val="21"/>
                <w:lang w:eastAsia="zh-CN"/>
                <w14:textFill>
                  <w14:solidFill>
                    <w14:schemeClr w14:val="tx1"/>
                  </w14:solidFill>
                </w14:textFill>
              </w:rPr>
              <w:t>C4220 非金属废料和碎屑加工处理</w:t>
            </w:r>
            <w:r>
              <w:rPr>
                <w:rFonts w:hint="eastAsia" w:ascii="Times New Roman" w:hAnsi="Times New Roman" w:cs="Times New Roman"/>
                <w:color w:val="000000" w:themeColor="text1"/>
                <w:sz w:val="21"/>
                <w:szCs w:val="21"/>
                <w:lang w:eastAsia="zh-CN"/>
                <w14:textFill>
                  <w14:solidFill>
                    <w14:schemeClr w14:val="tx1"/>
                  </w14:solidFill>
                </w14:textFill>
              </w:rPr>
              <w:t>和C2929塑料零件及其他塑料制品制造</w:t>
            </w:r>
            <w:r>
              <w:rPr>
                <w:rFonts w:hint="default" w:ascii="Times New Roman" w:hAnsi="Times New Roman" w:cs="Times New Roman"/>
                <w:color w:val="000000" w:themeColor="text1"/>
                <w:sz w:val="21"/>
                <w:szCs w:val="21"/>
                <w14:textFill>
                  <w14:solidFill>
                    <w14:schemeClr w14:val="tx1"/>
                  </w14:solidFill>
                </w14:textFill>
              </w:rPr>
              <w:t>，对照国家《产业结构调整指导目录（2024年本）》，项目属于鼓励类项目，不属于高耗水、高耗能、污水排放量大的项目</w:t>
            </w:r>
          </w:p>
        </w:tc>
        <w:tc>
          <w:tcPr>
            <w:tcW w:w="461" w:type="pct"/>
            <w:vMerge w:val="restart"/>
            <w:vAlign w:val="center"/>
          </w:tcPr>
          <w:p w14:paraId="5F788EE2">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5874C5AA">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88" w:type="pct"/>
            <w:vMerge w:val="continue"/>
            <w:vAlign w:val="center"/>
          </w:tcPr>
          <w:p w14:paraId="3310B4BE">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150" w:type="pct"/>
            <w:vAlign w:val="center"/>
          </w:tcPr>
          <w:p w14:paraId="17A8A274">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严禁建设国家产业政策、技术政策和环保法律法规明令禁止的项目，严格控制高耗水、高耗能、污水排放量大的项目入开发区</w:t>
            </w:r>
          </w:p>
        </w:tc>
        <w:tc>
          <w:tcPr>
            <w:tcW w:w="2101" w:type="pct"/>
            <w:vMerge w:val="continue"/>
            <w:vAlign w:val="center"/>
          </w:tcPr>
          <w:p w14:paraId="6A1D31F7">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461" w:type="pct"/>
            <w:vMerge w:val="continue"/>
            <w:vAlign w:val="center"/>
          </w:tcPr>
          <w:p w14:paraId="701A6FB5">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r>
      <w:tr w14:paraId="52E5582D">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88" w:type="pct"/>
            <w:vMerge w:val="continue"/>
            <w:vAlign w:val="center"/>
          </w:tcPr>
          <w:p w14:paraId="0937C088">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150" w:type="pct"/>
            <w:vAlign w:val="center"/>
          </w:tcPr>
          <w:p w14:paraId="59A2B26B">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入区项目要采用先进的生产工艺和装备，建设完善的环境保护、安全生产和事故防范系统，强化节能、节水等各项环保措施。</w:t>
            </w:r>
          </w:p>
        </w:tc>
        <w:tc>
          <w:tcPr>
            <w:tcW w:w="2101" w:type="pct"/>
            <w:vAlign w:val="center"/>
          </w:tcPr>
          <w:p w14:paraId="324AF002">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本项目采用先进的生产工艺和装备</w:t>
            </w:r>
          </w:p>
        </w:tc>
        <w:tc>
          <w:tcPr>
            <w:tcW w:w="461" w:type="pct"/>
            <w:vAlign w:val="center"/>
          </w:tcPr>
          <w:p w14:paraId="691B880A">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17757D75">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88" w:type="pct"/>
            <w:vMerge w:val="continue"/>
            <w:vAlign w:val="center"/>
          </w:tcPr>
          <w:p w14:paraId="75563508">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150" w:type="pct"/>
            <w:vAlign w:val="center"/>
          </w:tcPr>
          <w:p w14:paraId="726DABA6">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清洁生产水平现阶段要按国内先进水平要求，并逐步提高，最大限度控制开发区污染物排放量和排放强度。</w:t>
            </w:r>
          </w:p>
        </w:tc>
        <w:tc>
          <w:tcPr>
            <w:tcW w:w="2101" w:type="pct"/>
            <w:vAlign w:val="center"/>
          </w:tcPr>
          <w:p w14:paraId="6FB9B1AA">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项目清洁生产水平为国内先进水平要求</w:t>
            </w:r>
          </w:p>
        </w:tc>
        <w:tc>
          <w:tcPr>
            <w:tcW w:w="461" w:type="pct"/>
            <w:vAlign w:val="center"/>
          </w:tcPr>
          <w:p w14:paraId="5B3120CE">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067B2CE1">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88" w:type="pct"/>
            <w:vMerge w:val="continue"/>
            <w:vAlign w:val="center"/>
          </w:tcPr>
          <w:p w14:paraId="49AD14EF">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150" w:type="pct"/>
            <w:vAlign w:val="center"/>
          </w:tcPr>
          <w:p w14:paraId="1F831E48">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加强地下水资源保护与管理，入区项目一律采用市政集中供水，不得自行取用地下水。</w:t>
            </w:r>
          </w:p>
        </w:tc>
        <w:tc>
          <w:tcPr>
            <w:tcW w:w="2101" w:type="pct"/>
            <w:vAlign w:val="center"/>
          </w:tcPr>
          <w:p w14:paraId="5ADA9255">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项目用水由市政供水管网，不取用地下水</w:t>
            </w:r>
          </w:p>
        </w:tc>
        <w:tc>
          <w:tcPr>
            <w:tcW w:w="461" w:type="pct"/>
            <w:vAlign w:val="center"/>
          </w:tcPr>
          <w:p w14:paraId="46DF1FD1">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51B0C758">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88" w:type="pct"/>
            <w:vMerge w:val="restart"/>
            <w:vAlign w:val="center"/>
          </w:tcPr>
          <w:p w14:paraId="7306BD25">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2150" w:type="pct"/>
            <w:vAlign w:val="center"/>
          </w:tcPr>
          <w:p w14:paraId="6BBCFF09">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强化污染治理基础设施。加快开发区依托的毛集实验区污水处理厂建设，完善配套管网，2014年4月底前形成处理能力，开发区生产和生活污水全部进入污水处理厂处理后外排，污水处理厂污水排放执行《城镇污水处理厂污染物排放标准》（GB18918-2002）中的一级A标准。在此之前，现有入区企业的生产污水必须按要求实行处理达标排放。</w:t>
            </w:r>
          </w:p>
        </w:tc>
        <w:tc>
          <w:tcPr>
            <w:tcW w:w="2101" w:type="pct"/>
            <w:vMerge w:val="restart"/>
            <w:vAlign w:val="center"/>
          </w:tcPr>
          <w:p w14:paraId="4AC5457D">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本项目采取雨污分流，冷却水循环使用</w:t>
            </w:r>
            <w:r>
              <w:rPr>
                <w:rFonts w:hint="eastAsia" w:ascii="Times New Roman" w:hAnsi="Times New Roman" w:cs="Times New Roman"/>
                <w:color w:val="000000" w:themeColor="text1"/>
                <w:sz w:val="21"/>
                <w:szCs w:val="21"/>
                <w:lang w:eastAsia="zh-CN"/>
                <w14:textFill>
                  <w14:solidFill>
                    <w14:schemeClr w14:val="tx1"/>
                  </w14:solidFill>
                </w14:textFill>
              </w:rPr>
              <w:t>，定期外排水用于物料清洗</w:t>
            </w:r>
            <w:r>
              <w:rPr>
                <w:rFonts w:hint="default" w:ascii="Times New Roman" w:hAnsi="Times New Roman" w:cs="Times New Roman"/>
                <w:color w:val="000000" w:themeColor="text1"/>
                <w:sz w:val="21"/>
                <w:szCs w:val="21"/>
                <w14:textFill>
                  <w14:solidFill>
                    <w14:schemeClr w14:val="tx1"/>
                  </w14:solidFill>
                </w14:textFill>
              </w:rPr>
              <w:t>，瓶片清洗废水经厂区自建污水处理站处理后90%循环使用，余下10%与经化粪池预处理后生活污水一起达到毛集实验区污水处理厂接管标准后排入毛集实验区污水处理厂集中处理</w:t>
            </w:r>
          </w:p>
        </w:tc>
        <w:tc>
          <w:tcPr>
            <w:tcW w:w="461" w:type="pct"/>
            <w:vMerge w:val="restart"/>
            <w:vAlign w:val="center"/>
          </w:tcPr>
          <w:p w14:paraId="59CA02A8">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700050F1">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88" w:type="pct"/>
            <w:vMerge w:val="continue"/>
            <w:vAlign w:val="center"/>
          </w:tcPr>
          <w:p w14:paraId="13609214">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150" w:type="pct"/>
            <w:vAlign w:val="center"/>
          </w:tcPr>
          <w:p w14:paraId="6E0898F0">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充分考虑中水回用等节水措施，结合区域水环境综合整治，减少对纳污水体丁家沟、西淝河的影响，污水由丁家沟、西淝河最终排入淮河，不得进入焦岗湖。</w:t>
            </w:r>
          </w:p>
        </w:tc>
        <w:tc>
          <w:tcPr>
            <w:tcW w:w="2101" w:type="pct"/>
            <w:vMerge w:val="continue"/>
            <w:vAlign w:val="center"/>
          </w:tcPr>
          <w:p w14:paraId="22EB8C54">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461" w:type="pct"/>
            <w:vMerge w:val="continue"/>
            <w:vAlign w:val="center"/>
          </w:tcPr>
          <w:p w14:paraId="54A38001">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r>
      <w:tr w14:paraId="4773EB1E">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88" w:type="pct"/>
            <w:vMerge w:val="continue"/>
            <w:vAlign w:val="center"/>
          </w:tcPr>
          <w:p w14:paraId="30EAE5CF">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150" w:type="pct"/>
            <w:vAlign w:val="center"/>
          </w:tcPr>
          <w:p w14:paraId="2291C6F0">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加快天然气管道等基础设施建设进度，2015年底前开发区实现天然气全覆盖，禁止新建燃煤锅炉，彻底淘汰现有的燃煤锅炉。环境保护规划中环境空气质量标准采用《环境空气质量标准》（GB3095-2012）。做好开发区建设中的水土保持工作。</w:t>
            </w:r>
          </w:p>
        </w:tc>
        <w:tc>
          <w:tcPr>
            <w:tcW w:w="2101" w:type="pct"/>
            <w:vAlign w:val="center"/>
          </w:tcPr>
          <w:p w14:paraId="16B4FC73">
            <w:pPr>
              <w:pStyle w:val="251"/>
              <w:spacing w:line="276" w:lineRule="auto"/>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项目</w:t>
            </w:r>
            <w:r>
              <w:rPr>
                <w:rFonts w:hint="default" w:ascii="Times New Roman" w:hAnsi="Times New Roman" w:cs="Times New Roman"/>
                <w:color w:val="000000" w:themeColor="text1"/>
                <w:sz w:val="21"/>
                <w:szCs w:val="21"/>
                <w:lang w:val="en-US" w:eastAsia="zh-CN"/>
                <w14:textFill>
                  <w14:solidFill>
                    <w14:schemeClr w14:val="tx1"/>
                  </w14:solidFill>
                </w14:textFill>
              </w:rPr>
              <w:t>不涉及</w:t>
            </w:r>
          </w:p>
        </w:tc>
        <w:tc>
          <w:tcPr>
            <w:tcW w:w="461" w:type="pct"/>
            <w:vAlign w:val="center"/>
          </w:tcPr>
          <w:p w14:paraId="3A87DFED">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073327E3">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88" w:type="pct"/>
            <w:vMerge w:val="restart"/>
            <w:vAlign w:val="center"/>
          </w:tcPr>
          <w:p w14:paraId="4199B787">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150" w:type="pct"/>
            <w:vAlign w:val="center"/>
          </w:tcPr>
          <w:p w14:paraId="33E7CF04">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制定切实可行的环境风险防范措施，防止突发性环境污染事故。</w:t>
            </w:r>
          </w:p>
        </w:tc>
        <w:tc>
          <w:tcPr>
            <w:tcW w:w="2101" w:type="pct"/>
            <w:vAlign w:val="center"/>
          </w:tcPr>
          <w:p w14:paraId="3EB1CC6B">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本评价要求，企业建设完成后及时编制突发环境事件应急预案，并报生态环境主管部门备案</w:t>
            </w:r>
          </w:p>
        </w:tc>
        <w:tc>
          <w:tcPr>
            <w:tcW w:w="461" w:type="pct"/>
            <w:vAlign w:val="center"/>
          </w:tcPr>
          <w:p w14:paraId="5F248B66">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32CEC835">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88" w:type="pct"/>
            <w:vMerge w:val="continue"/>
            <w:vAlign w:val="center"/>
          </w:tcPr>
          <w:p w14:paraId="28CC54FD">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150" w:type="pct"/>
            <w:vAlign w:val="center"/>
          </w:tcPr>
          <w:p w14:paraId="482EBA22">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妥善处置生活垃圾，严格按照国家相关管理规定及规范，对工业固废和危险废物进行安全处置。开发区应确定专人对危险废物进行管理，建立危险废物环境管理台账和信息档案，严格执行危险废物转移五联单制度。</w:t>
            </w:r>
          </w:p>
        </w:tc>
        <w:tc>
          <w:tcPr>
            <w:tcW w:w="2101" w:type="pct"/>
            <w:vAlign w:val="center"/>
          </w:tcPr>
          <w:p w14:paraId="48024DE0">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产生的一般工业固体废物主要有分选杂质、废标签纸、废瓶盖、废包装材料、污水站污泥、布袋收集粉尘及废布袋等，暂存于一般工业固体废物暂存库中，其中废标签纸和废瓶盖回用于生产破碎后作为产品外售，其他外售综合利用；项目产生的危险废物主要为废活性炭、废油桶、废机油、含油抹布及手套等，暂存于危险废物暂存仓库中，定期交由有资质单位处置。生活垃圾交环卫部门清运</w:t>
            </w:r>
          </w:p>
        </w:tc>
        <w:tc>
          <w:tcPr>
            <w:tcW w:w="461" w:type="pct"/>
            <w:vAlign w:val="center"/>
          </w:tcPr>
          <w:p w14:paraId="464484F9">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264C0302">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288" w:type="pct"/>
            <w:vMerge w:val="continue"/>
            <w:vAlign w:val="center"/>
          </w:tcPr>
          <w:p w14:paraId="38780AB3">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150" w:type="pct"/>
            <w:vAlign w:val="center"/>
          </w:tcPr>
          <w:p w14:paraId="57CE381C">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开发区和入区企业要按照有关要求和规范，建设完善的污染物排放在线监控系统，并与各级环保部门监控中心联网。</w:t>
            </w:r>
          </w:p>
        </w:tc>
        <w:tc>
          <w:tcPr>
            <w:tcW w:w="2101" w:type="pct"/>
            <w:vAlign w:val="center"/>
          </w:tcPr>
          <w:p w14:paraId="54F08E9E">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本项目建成后，需根据自行监测技术规范要求，定期开展自行监测</w:t>
            </w:r>
          </w:p>
        </w:tc>
        <w:tc>
          <w:tcPr>
            <w:tcW w:w="461" w:type="pct"/>
            <w:vAlign w:val="center"/>
          </w:tcPr>
          <w:p w14:paraId="247FD078">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33740AD6">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238" w:hRule="atLeast"/>
        </w:trPr>
        <w:tc>
          <w:tcPr>
            <w:tcW w:w="288" w:type="pct"/>
            <w:vAlign w:val="center"/>
          </w:tcPr>
          <w:p w14:paraId="2DC93BDD">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150" w:type="pct"/>
            <w:vAlign w:val="center"/>
          </w:tcPr>
          <w:p w14:paraId="18E07703">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开发区内所有建设项目，要认真履行有关环境保护法律法规，严格执行建设项目环境影响评价制度和环境保护“三同时”制度。</w:t>
            </w:r>
          </w:p>
        </w:tc>
        <w:tc>
          <w:tcPr>
            <w:tcW w:w="2101" w:type="pct"/>
            <w:vAlign w:val="center"/>
          </w:tcPr>
          <w:p w14:paraId="1676E66C">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拟建项目建成后，将按照人员规定、运输要求、贮存要求进行建设，本项目的主体工程与环保工程将同时设计、同时施工、同时投产；项目建成后，验收之前将编制应急预案并进行备案。</w:t>
            </w:r>
          </w:p>
        </w:tc>
        <w:tc>
          <w:tcPr>
            <w:tcW w:w="461" w:type="pct"/>
            <w:vAlign w:val="center"/>
          </w:tcPr>
          <w:p w14:paraId="793CE53B">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bl>
    <w:p w14:paraId="058133DD">
      <w:pPr>
        <w:pStyle w:val="251"/>
        <w:ind w:firstLine="0" w:firstLineChars="0"/>
        <w:jc w:val="left"/>
        <w:rPr>
          <w:rFonts w:hint="default" w:ascii="Times New Roman" w:hAnsi="Times New Roman" w:cs="Times New Roman"/>
          <w:color w:val="000000" w:themeColor="text1"/>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type="linesAndChars" w:linePitch="312" w:charSpace="0"/>
        </w:sectPr>
      </w:pPr>
    </w:p>
    <w:p w14:paraId="589D949D">
      <w:pPr>
        <w:pStyle w:val="251"/>
        <w:ind w:firstLine="48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3、与《</w:t>
      </w:r>
      <w:r>
        <w:rPr>
          <w:rFonts w:hint="default" w:ascii="Times New Roman" w:hAnsi="Times New Roman"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14:textFill>
            <w14:solidFill>
              <w14:schemeClr w14:val="tx1"/>
            </w14:solidFill>
          </w14:textFill>
        </w:rPr>
        <w:t>规划环境影响跟踪评价报告书》及其审查意见的函（淮环函〔2020〕40号）相符性分析</w:t>
      </w:r>
    </w:p>
    <w:p w14:paraId="0905410D">
      <w:pPr>
        <w:pStyle w:val="251"/>
        <w:ind w:firstLine="0" w:firstLineChars="0"/>
        <w:jc w:val="center"/>
        <w:rPr>
          <w:rFonts w:hint="default" w:ascii="Times New Roman" w:hAnsi="Times New Roman" w:eastAsia="黑体" w:cs="Times New Roman"/>
          <w:color w:val="000000" w:themeColor="text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t>表2.</w:t>
      </w:r>
      <w:r>
        <w:rPr>
          <w:rFonts w:hint="eastAsia" w:ascii="Times New Roman" w:hAnsi="Times New Roman" w:eastAsia="黑体" w:cs="Times New Roman"/>
          <w:color w:val="000000" w:themeColor="text1"/>
          <w:lang w:val="en-US" w:eastAsia="zh-CN"/>
          <w14:textFill>
            <w14:solidFill>
              <w14:schemeClr w14:val="tx1"/>
            </w14:solidFill>
          </w14:textFill>
        </w:rPr>
        <w:t>6</w:t>
      </w:r>
      <w:r>
        <w:rPr>
          <w:rFonts w:hint="default" w:ascii="Times New Roman" w:hAnsi="Times New Roman" w:eastAsia="黑体" w:cs="Times New Roman"/>
          <w:color w:val="000000" w:themeColor="text1"/>
          <w14:textFill>
            <w14:solidFill>
              <w14:schemeClr w14:val="tx1"/>
            </w14:solidFill>
          </w14:textFill>
        </w:rPr>
        <w:t>-3与《</w:t>
      </w:r>
      <w:r>
        <w:rPr>
          <w:rFonts w:hint="default" w:ascii="Times New Roman" w:hAnsi="Times New Roman" w:eastAsia="黑体"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eastAsia="黑体" w:cs="Times New Roman"/>
          <w:color w:val="000000" w:themeColor="text1"/>
          <w14:textFill>
            <w14:solidFill>
              <w14:schemeClr w14:val="tx1"/>
            </w14:solidFill>
          </w14:textFill>
        </w:rPr>
        <w:t>规划环境影响跟踪评价报告书》及其审查意见的函（淮环函〔2020〕40号符合性分析一览表</w:t>
      </w:r>
    </w:p>
    <w:tbl>
      <w:tblPr>
        <w:tblStyle w:val="88"/>
        <w:tblW w:w="0" w:type="auto"/>
        <w:tblInd w:w="0" w:type="dxa"/>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675"/>
        <w:gridCol w:w="3585"/>
        <w:gridCol w:w="3361"/>
        <w:gridCol w:w="901"/>
      </w:tblGrid>
      <w:tr w14:paraId="45F10CB3">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vAlign w:val="center"/>
          </w:tcPr>
          <w:p w14:paraId="0C40BBA6">
            <w:pPr>
              <w:pStyle w:val="251"/>
              <w:spacing w:line="276" w:lineRule="auto"/>
              <w:ind w:firstLine="0" w:firstLine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序号</w:t>
            </w:r>
          </w:p>
        </w:tc>
        <w:tc>
          <w:tcPr>
            <w:tcW w:w="3585" w:type="dxa"/>
            <w:vAlign w:val="center"/>
          </w:tcPr>
          <w:p w14:paraId="0A934EE6">
            <w:pPr>
              <w:pStyle w:val="251"/>
              <w:spacing w:line="276" w:lineRule="auto"/>
              <w:ind w:firstLine="0" w:firstLine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跟踪评价要求及审查意见</w:t>
            </w:r>
          </w:p>
        </w:tc>
        <w:tc>
          <w:tcPr>
            <w:tcW w:w="3361" w:type="dxa"/>
            <w:vAlign w:val="center"/>
          </w:tcPr>
          <w:p w14:paraId="41D56666">
            <w:pPr>
              <w:pStyle w:val="251"/>
              <w:spacing w:line="276" w:lineRule="auto"/>
              <w:ind w:firstLine="0" w:firstLine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本项目情况</w:t>
            </w:r>
          </w:p>
        </w:tc>
        <w:tc>
          <w:tcPr>
            <w:tcW w:w="901" w:type="dxa"/>
            <w:vAlign w:val="center"/>
          </w:tcPr>
          <w:p w14:paraId="64FBCB86">
            <w:pPr>
              <w:pStyle w:val="251"/>
              <w:spacing w:line="276" w:lineRule="auto"/>
              <w:ind w:firstLine="0" w:firstLine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相符性</w:t>
            </w:r>
          </w:p>
        </w:tc>
      </w:tr>
      <w:tr w14:paraId="2FAE2CA6">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vAlign w:val="center"/>
          </w:tcPr>
          <w:p w14:paraId="6919E047">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3585" w:type="dxa"/>
            <w:vAlign w:val="center"/>
          </w:tcPr>
          <w:p w14:paraId="1CFDF4D3">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开发区在规划实施过程中要以促进改善区域环境质量为核心目标，以环境友好、科学发展为指导，坚持预防为主，保护优先。坚持高标准，严格项目环境准入</w:t>
            </w:r>
          </w:p>
        </w:tc>
        <w:tc>
          <w:tcPr>
            <w:tcW w:w="3361" w:type="dxa"/>
            <w:vAlign w:val="center"/>
          </w:tcPr>
          <w:p w14:paraId="7A907C88">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本项目为</w:t>
            </w:r>
            <w:r>
              <w:rPr>
                <w:rFonts w:hint="default" w:ascii="Times New Roman" w:hAnsi="Times New Roman" w:cs="Times New Roman"/>
                <w:color w:val="000000" w:themeColor="text1"/>
                <w:sz w:val="21"/>
                <w:szCs w:val="21"/>
                <w:lang w:eastAsia="zh-CN"/>
                <w14:textFill>
                  <w14:solidFill>
                    <w14:schemeClr w14:val="tx1"/>
                  </w14:solidFill>
                </w14:textFill>
              </w:rPr>
              <w:t>C4220 非金属废料和碎屑加工处理</w:t>
            </w:r>
            <w:r>
              <w:rPr>
                <w:rFonts w:hint="eastAsia" w:ascii="Times New Roman" w:hAnsi="Times New Roman" w:cs="Times New Roman"/>
                <w:color w:val="000000" w:themeColor="text1"/>
                <w:sz w:val="21"/>
                <w:szCs w:val="21"/>
                <w:lang w:eastAsia="zh-CN"/>
                <w14:textFill>
                  <w14:solidFill>
                    <w14:schemeClr w14:val="tx1"/>
                  </w14:solidFill>
                </w14:textFill>
              </w:rPr>
              <w:t>和C2929塑料零件及其他塑料制品制造</w:t>
            </w:r>
            <w:r>
              <w:rPr>
                <w:rFonts w:hint="default" w:ascii="Times New Roman" w:hAnsi="Times New Roman" w:cs="Times New Roman"/>
                <w:color w:val="000000" w:themeColor="text1"/>
                <w:sz w:val="21"/>
                <w:szCs w:val="21"/>
                <w14:textFill>
                  <w14:solidFill>
                    <w14:schemeClr w14:val="tx1"/>
                  </w14:solidFill>
                </w14:textFill>
              </w:rPr>
              <w:t>，本项目不属于规划环评生态环境准入清单内的禁止类和限制类，与园区主导产业不冲突，符合入园条件</w:t>
            </w:r>
          </w:p>
        </w:tc>
        <w:tc>
          <w:tcPr>
            <w:tcW w:w="901" w:type="dxa"/>
            <w:vAlign w:val="center"/>
          </w:tcPr>
          <w:p w14:paraId="6C2FB951">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7077B990">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vAlign w:val="center"/>
          </w:tcPr>
          <w:p w14:paraId="70D69F04">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3585" w:type="dxa"/>
            <w:vAlign w:val="center"/>
          </w:tcPr>
          <w:p w14:paraId="18550A24">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充分考虑开发区产业与区域产业的定位互补，在省政府要求的产业定位总体框架下，进一步论证和优化发展重点，严格控制非主导产业定位方向的项目入区建设。严禁建设国家产业政策、技术政策和环保法律法规明令禁止的项目，严格控制高耗水、高耗能、污水排放量大的项目入开发区。入区项目要采用先进的生产工艺和装备，建设完善的环境保护、安全生产和事故防范系统，强化节能、节水等各项环保措施</w:t>
            </w:r>
          </w:p>
        </w:tc>
        <w:tc>
          <w:tcPr>
            <w:tcW w:w="3361" w:type="dxa"/>
            <w:vAlign w:val="center"/>
          </w:tcPr>
          <w:p w14:paraId="2BED395C">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本项目为</w:t>
            </w:r>
            <w:r>
              <w:rPr>
                <w:rFonts w:hint="default" w:ascii="Times New Roman" w:hAnsi="Times New Roman" w:cs="Times New Roman"/>
                <w:color w:val="000000" w:themeColor="text1"/>
                <w:sz w:val="21"/>
                <w:szCs w:val="21"/>
                <w:lang w:eastAsia="zh-CN"/>
                <w14:textFill>
                  <w14:solidFill>
                    <w14:schemeClr w14:val="tx1"/>
                  </w14:solidFill>
                </w14:textFill>
              </w:rPr>
              <w:t>C4220 非金属废料和碎屑加工处理</w:t>
            </w:r>
            <w:r>
              <w:rPr>
                <w:rFonts w:hint="eastAsia" w:ascii="Times New Roman" w:hAnsi="Times New Roman" w:cs="Times New Roman"/>
                <w:color w:val="000000" w:themeColor="text1"/>
                <w:sz w:val="21"/>
                <w:szCs w:val="21"/>
                <w:lang w:eastAsia="zh-CN"/>
                <w14:textFill>
                  <w14:solidFill>
                    <w14:schemeClr w14:val="tx1"/>
                  </w14:solidFill>
                </w14:textFill>
              </w:rPr>
              <w:t>和C2929塑料零件及其他塑料制品制造</w:t>
            </w:r>
            <w:r>
              <w:rPr>
                <w:rFonts w:hint="default" w:ascii="Times New Roman" w:hAnsi="Times New Roman" w:cs="Times New Roman"/>
                <w:color w:val="000000" w:themeColor="text1"/>
                <w:sz w:val="21"/>
                <w:szCs w:val="21"/>
                <w14:textFill>
                  <w14:solidFill>
                    <w14:schemeClr w14:val="tx1"/>
                  </w14:solidFill>
                </w14:textFill>
              </w:rPr>
              <w:t>，对照国家《产业结构调整指导目录（2024年本）》，项目属于鼓励类项目，不属于高耗水、高耗能、污水排放量大的项目；项目不属于《产业结构调整指导目录（2024年本）》、</w:t>
            </w:r>
            <w:r>
              <w:rPr>
                <w:rFonts w:hint="eastAsia" w:ascii="Times New Roman" w:hAnsi="Times New Roman" w:cs="Times New Roman"/>
                <w:color w:val="000000" w:themeColor="text1"/>
                <w:sz w:val="21"/>
                <w:szCs w:val="21"/>
                <w:lang w:eastAsia="zh-CN"/>
                <w14:textFill>
                  <w14:solidFill>
                    <w14:schemeClr w14:val="tx1"/>
                  </w14:solidFill>
                </w14:textFill>
              </w:rPr>
              <w:t>《鼓励外商投资产业目录（2025年版）》</w:t>
            </w: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eastAsia="zh-CN"/>
                <w14:textFill>
                  <w14:solidFill>
                    <w14:schemeClr w14:val="tx1"/>
                  </w14:solidFill>
                </w14:textFill>
              </w:rPr>
              <w:t>《市场准入负面清单(2025年版)》</w:t>
            </w:r>
            <w:r>
              <w:rPr>
                <w:rFonts w:hint="default" w:ascii="Times New Roman" w:hAnsi="Times New Roman" w:cs="Times New Roman"/>
                <w:color w:val="000000" w:themeColor="text1"/>
                <w:sz w:val="21"/>
                <w:szCs w:val="21"/>
                <w14:textFill>
                  <w14:solidFill>
                    <w14:schemeClr w14:val="tx1"/>
                  </w14:solidFill>
                </w14:textFill>
              </w:rPr>
              <w:t>等相关产业政策中禁止或淘汰类的项目，符合园区产业导向</w:t>
            </w:r>
          </w:p>
        </w:tc>
        <w:tc>
          <w:tcPr>
            <w:tcW w:w="901" w:type="dxa"/>
            <w:vAlign w:val="center"/>
          </w:tcPr>
          <w:p w14:paraId="7456E285">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30608C39">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vAlign w:val="center"/>
          </w:tcPr>
          <w:p w14:paraId="1A591887">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3585" w:type="dxa"/>
            <w:vAlign w:val="center"/>
          </w:tcPr>
          <w:p w14:paraId="27D4DA19">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强化污染治理基础设施。加快开发区依托的毛集实验区污水处理厂建设，完善配套管网，2014年4月底前形成处理能力，开发区生产和生活污水全部进入污水处理厂处理后外排，污水处理厂污水排放执行《城镇污水处理厂污染物排放标准》（GB18918-2002）中的一级A标准。在此之前，现有入区企业的生产污水必须按要求实行处理达标排放</w:t>
            </w:r>
          </w:p>
        </w:tc>
        <w:tc>
          <w:tcPr>
            <w:tcW w:w="3361" w:type="dxa"/>
            <w:vAlign w:val="center"/>
          </w:tcPr>
          <w:p w14:paraId="0C8B9E6C">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本项目采取雨污分流，冷却水循环使用</w:t>
            </w:r>
            <w:r>
              <w:rPr>
                <w:rFonts w:hint="eastAsia" w:ascii="Times New Roman" w:hAnsi="Times New Roman" w:cs="Times New Roman"/>
                <w:color w:val="000000" w:themeColor="text1"/>
                <w:sz w:val="21"/>
                <w:szCs w:val="21"/>
                <w:lang w:eastAsia="zh-CN"/>
                <w14:textFill>
                  <w14:solidFill>
                    <w14:schemeClr w14:val="tx1"/>
                  </w14:solidFill>
                </w14:textFill>
              </w:rPr>
              <w:t>，定期外排水用于物料清洗</w:t>
            </w:r>
            <w:r>
              <w:rPr>
                <w:rFonts w:hint="default" w:ascii="Times New Roman" w:hAnsi="Times New Roman" w:cs="Times New Roman"/>
                <w:color w:val="000000" w:themeColor="text1"/>
                <w:sz w:val="21"/>
                <w:szCs w:val="21"/>
                <w14:textFill>
                  <w14:solidFill>
                    <w14:schemeClr w14:val="tx1"/>
                  </w14:solidFill>
                </w14:textFill>
              </w:rPr>
              <w:t>，瓶片清洗废水经厂区自建污水处理站处理后90%循环使用，余下10%与经化粪池预处理后生活污水一起达到毛集实验区污水处理厂接管标准后排入毛集实验区污水处理厂集中处理</w:t>
            </w:r>
          </w:p>
        </w:tc>
        <w:tc>
          <w:tcPr>
            <w:tcW w:w="901" w:type="dxa"/>
            <w:vAlign w:val="center"/>
          </w:tcPr>
          <w:p w14:paraId="7BC37F26">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796F4BAD">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vAlign w:val="center"/>
          </w:tcPr>
          <w:p w14:paraId="2BE65DA2">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3585" w:type="dxa"/>
            <w:vAlign w:val="center"/>
          </w:tcPr>
          <w:p w14:paraId="529AD0D9">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妥善处置生活垃圾，严格按照国家相关管理规定及规范，对工业固废和危险废物进行安全处置。开发区应确定专人对危险废物进行管理，建立危险废物环境管理台账和信息档案，严格执行危险废物转移五联单制度</w:t>
            </w:r>
          </w:p>
        </w:tc>
        <w:tc>
          <w:tcPr>
            <w:tcW w:w="3361" w:type="dxa"/>
            <w:vAlign w:val="center"/>
          </w:tcPr>
          <w:p w14:paraId="65BDC081">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产生的一般工业固体废物主要有分选杂质、废标签纸、废瓶盖、废包装材料、污水站污泥、布袋收集粉尘及废布袋等，暂存于一般工业固体废物暂存库中，其中废标签纸和废瓶盖回用于生产破碎后作为产品外售，其他外售综合利用；项目产生的危险废物主要为废活性炭、废油桶、废机油、含油抹布及手套等，暂存于危险废物暂存仓库中，定期交由有资质单位处置。生活垃圾交环卫部门清运</w:t>
            </w:r>
          </w:p>
        </w:tc>
        <w:tc>
          <w:tcPr>
            <w:tcW w:w="901" w:type="dxa"/>
            <w:vAlign w:val="center"/>
          </w:tcPr>
          <w:p w14:paraId="61BA8DCC">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bl>
    <w:p w14:paraId="0AA30312">
      <w:pPr>
        <w:pStyle w:val="251"/>
        <w:ind w:firstLine="480"/>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由上表可知，本项目建设符合</w:t>
      </w:r>
      <w:r>
        <w:rPr>
          <w:rFonts w:hint="default" w:ascii="Times New Roman" w:hAnsi="Times New Roman"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14:textFill>
            <w14:solidFill>
              <w14:schemeClr w14:val="tx1"/>
            </w14:solidFill>
          </w14:textFill>
        </w:rPr>
        <w:t>总体规划（2009-2020年）环境影响报告书、跟踪环境影响评价及其审批意见中相关要求。</w:t>
      </w:r>
    </w:p>
    <w:p w14:paraId="3EC8C900">
      <w:pPr>
        <w:pStyle w:val="251"/>
        <w:ind w:firstLine="480"/>
        <w:jc w:val="left"/>
        <w:rPr>
          <w:rFonts w:hint="default" w:ascii="Times New Roman" w:hAnsi="Times New Roman" w:cs="Times New Roman"/>
          <w:color w:val="000000" w:themeColor="text1"/>
          <w14:textFill>
            <w14:solidFill>
              <w14:schemeClr w14:val="tx1"/>
            </w14:solidFill>
          </w14:textFill>
        </w:rPr>
      </w:pPr>
    </w:p>
    <w:p w14:paraId="479DD22F">
      <w:pPr>
        <w:pStyle w:val="251"/>
        <w:ind w:firstLine="480"/>
        <w:jc w:val="left"/>
        <w:rPr>
          <w:rFonts w:hint="default" w:ascii="Times New Roman" w:hAnsi="Times New Roman" w:cs="Times New Roman"/>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2F9ABD62">
      <w:pPr>
        <w:pStyle w:val="3159"/>
        <w:rPr>
          <w:rFonts w:hint="default" w:ascii="Times New Roman" w:hAnsi="Times New Roman" w:eastAsia="黑体" w:cs="Times New Roman"/>
          <w:b w:val="0"/>
          <w:color w:val="000000" w:themeColor="text1"/>
          <w14:textFill>
            <w14:solidFill>
              <w14:schemeClr w14:val="tx1"/>
            </w14:solidFill>
          </w14:textFill>
        </w:rPr>
      </w:pPr>
      <w:bookmarkStart w:id="40" w:name="_Toc173837632"/>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6</w:t>
      </w:r>
      <w:r>
        <w:rPr>
          <w:rFonts w:hint="default" w:ascii="Times New Roman" w:hAnsi="Times New Roman" w:eastAsia="黑体" w:cs="Times New Roman"/>
          <w:b w:val="0"/>
          <w:color w:val="000000" w:themeColor="text1"/>
          <w14:textFill>
            <w14:solidFill>
              <w14:schemeClr w14:val="tx1"/>
            </w14:solidFill>
          </w14:textFill>
        </w:rPr>
        <w:t>.2环境保护政策符合性分析</w:t>
      </w:r>
      <w:bookmarkEnd w:id="40"/>
    </w:p>
    <w:p w14:paraId="6F2C5084">
      <w:pPr>
        <w:spacing w:line="360" w:lineRule="auto"/>
        <w:jc w:val="center"/>
        <w:rPr>
          <w:rFonts w:hint="default" w:ascii="Times New Roman" w:hAnsi="Times New Roman" w:eastAsia="黑体" w:cs="Times New Roman"/>
          <w:bCs/>
          <w:color w:val="000000" w:themeColor="text1"/>
          <w:sz w:val="24"/>
          <w:szCs w:val="24"/>
          <w14:textFill>
            <w14:solidFill>
              <w14:schemeClr w14:val="tx1"/>
            </w14:solidFill>
          </w14:textFill>
        </w:rPr>
      </w:pPr>
      <w:r>
        <w:rPr>
          <w:rFonts w:hint="default" w:ascii="Times New Roman" w:hAnsi="Times New Roman" w:eastAsia="黑体" w:cs="Times New Roman"/>
          <w:bCs/>
          <w:color w:val="000000" w:themeColor="text1"/>
          <w:sz w:val="24"/>
          <w:szCs w:val="24"/>
          <w14:textFill>
            <w14:solidFill>
              <w14:schemeClr w14:val="tx1"/>
            </w14:solidFill>
          </w14:textFill>
        </w:rPr>
        <w:t>表2.</w:t>
      </w:r>
      <w:r>
        <w:rPr>
          <w:rFonts w:hint="eastAsia" w:eastAsia="黑体" w:cs="Times New Roman"/>
          <w:bCs/>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bCs/>
          <w:color w:val="000000" w:themeColor="text1"/>
          <w:sz w:val="24"/>
          <w:szCs w:val="24"/>
          <w14:textFill>
            <w14:solidFill>
              <w14:schemeClr w14:val="tx1"/>
            </w14:solidFill>
          </w14:textFill>
        </w:rPr>
        <w:t>-4</w:t>
      </w:r>
      <w:r>
        <w:rPr>
          <w:rFonts w:hint="default" w:ascii="Times New Roman" w:hAnsi="Times New Roman" w:eastAsia="黑体" w:cs="Times New Roman"/>
          <w:color w:val="000000" w:themeColor="text1"/>
          <w:sz w:val="24"/>
          <w:szCs w:val="24"/>
          <w14:textFill>
            <w14:solidFill>
              <w14:schemeClr w14:val="tx1"/>
            </w14:solidFill>
          </w14:textFill>
        </w:rPr>
        <w:t>项目实施的政策相符性一览表</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4"/>
        <w:gridCol w:w="1843"/>
        <w:gridCol w:w="5333"/>
        <w:gridCol w:w="5018"/>
        <w:gridCol w:w="1307"/>
      </w:tblGrid>
      <w:tr w14:paraId="28754E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37" w:type="pct"/>
            <w:vAlign w:val="center"/>
          </w:tcPr>
          <w:p w14:paraId="528DAA04">
            <w:pPr>
              <w:pStyle w:val="34"/>
              <w:spacing w:after="0"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序号</w:t>
            </w:r>
          </w:p>
        </w:tc>
        <w:tc>
          <w:tcPr>
            <w:tcW w:w="650" w:type="pct"/>
            <w:vAlign w:val="center"/>
          </w:tcPr>
          <w:p w14:paraId="69CDEF94">
            <w:pPr>
              <w:pStyle w:val="34"/>
              <w:spacing w:after="0"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政策名称</w:t>
            </w:r>
          </w:p>
        </w:tc>
        <w:tc>
          <w:tcPr>
            <w:tcW w:w="1881" w:type="pct"/>
            <w:vAlign w:val="center"/>
          </w:tcPr>
          <w:p w14:paraId="60017540">
            <w:pPr>
              <w:pStyle w:val="34"/>
              <w:spacing w:after="0"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相关要求</w:t>
            </w:r>
          </w:p>
        </w:tc>
        <w:tc>
          <w:tcPr>
            <w:tcW w:w="1770" w:type="pct"/>
            <w:vAlign w:val="center"/>
          </w:tcPr>
          <w:p w14:paraId="25A63065">
            <w:pPr>
              <w:pStyle w:val="34"/>
              <w:spacing w:after="0"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本项目情况</w:t>
            </w:r>
          </w:p>
        </w:tc>
        <w:tc>
          <w:tcPr>
            <w:tcW w:w="461" w:type="pct"/>
            <w:vAlign w:val="center"/>
          </w:tcPr>
          <w:p w14:paraId="582F6CA4">
            <w:pPr>
              <w:pStyle w:val="34"/>
              <w:spacing w:after="0"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符合性分析</w:t>
            </w:r>
          </w:p>
        </w:tc>
      </w:tr>
      <w:tr w14:paraId="4DC8BE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37" w:type="pct"/>
            <w:vAlign w:val="center"/>
          </w:tcPr>
          <w:p w14:paraId="692DBF76">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650" w:type="pct"/>
            <w:vAlign w:val="center"/>
          </w:tcPr>
          <w:p w14:paraId="77DB0B67">
            <w:pPr>
              <w:spacing w:line="276" w:lineRule="auto"/>
              <w:jc w:val="center"/>
              <w:rPr>
                <w:rFonts w:hint="default" w:ascii="Times New Roman" w:hAnsi="Times New Roman" w:cs="Times New Roman"/>
                <w:color w:val="000000" w:themeColor="text1"/>
                <w:sz w:val="21"/>
                <w:szCs w:val="21"/>
                <w:shd w:val="clear" w:color="auto" w:fill="FFFFFF"/>
                <w14:textFill>
                  <w14:solidFill>
                    <w14:schemeClr w14:val="tx1"/>
                  </w14:solidFill>
                </w14:textFill>
              </w:rPr>
            </w:pPr>
            <w:r>
              <w:rPr>
                <w:rFonts w:hint="default" w:ascii="Times New Roman" w:hAnsi="Times New Roman" w:cs="Times New Roman"/>
                <w:color w:val="000000" w:themeColor="text1"/>
                <w:sz w:val="21"/>
                <w:szCs w:val="21"/>
                <w:shd w:val="clear" w:color="auto" w:fill="FFFFFF"/>
                <w14:textFill>
                  <w14:solidFill>
                    <w14:schemeClr w14:val="tx1"/>
                  </w14:solidFill>
                </w14:textFill>
              </w:rPr>
              <w:t>淮河流域水污染防治暂行条例（国务院令183号）</w:t>
            </w:r>
          </w:p>
        </w:tc>
        <w:tc>
          <w:tcPr>
            <w:tcW w:w="1881" w:type="pct"/>
            <w:vAlign w:val="center"/>
          </w:tcPr>
          <w:p w14:paraId="2E755B7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shd w:val="clear" w:color="auto" w:fill="FFFFFF"/>
                <w14:textFill>
                  <w14:solidFill>
                    <w14:schemeClr w14:val="tx1"/>
                  </w14:solidFill>
                </w14:textFill>
              </w:rPr>
              <w:t>禁止在淮河流域新建化学制浆造纸企业；禁止在淮河流域新建制革、化工、印染、电镀、酿造等污染严重的小型企业。</w:t>
            </w:r>
          </w:p>
        </w:tc>
        <w:tc>
          <w:tcPr>
            <w:tcW w:w="1770" w:type="pct"/>
            <w:vMerge w:val="restart"/>
            <w:vAlign w:val="center"/>
          </w:tcPr>
          <w:p w14:paraId="7537D29F">
            <w:pPr>
              <w:spacing w:line="276" w:lineRule="auto"/>
              <w:jc w:val="center"/>
              <w:rPr>
                <w:rFonts w:hint="default" w:ascii="Times New Roman" w:hAnsi="Times New Roman" w:cs="Times New Roman"/>
                <w:color w:val="000000" w:themeColor="text1"/>
                <w:sz w:val="21"/>
                <w:szCs w:val="21"/>
                <w:shd w:val="clear" w:color="auto" w:fill="FFFFFF"/>
                <w14:textFill>
                  <w14:solidFill>
                    <w14:schemeClr w14:val="tx1"/>
                  </w14:solidFill>
                </w14:textFill>
              </w:rPr>
            </w:pPr>
            <w:r>
              <w:rPr>
                <w:rFonts w:hint="default" w:ascii="Times New Roman" w:hAnsi="Times New Roman" w:cs="Times New Roman"/>
                <w:color w:val="000000" w:themeColor="text1"/>
                <w:sz w:val="21"/>
                <w:szCs w:val="21"/>
                <w:shd w:val="clear" w:color="auto" w:fill="FFFFFF"/>
                <w14:textFill>
                  <w14:solidFill>
                    <w14:schemeClr w14:val="tx1"/>
                  </w14:solidFill>
                </w14:textFill>
              </w:rPr>
              <w:t>本项目为</w:t>
            </w:r>
            <w:r>
              <w:rPr>
                <w:rFonts w:hint="default" w:ascii="Times New Roman" w:hAnsi="Times New Roman" w:cs="Times New Roman"/>
                <w:color w:val="000000" w:themeColor="text1"/>
                <w:sz w:val="21"/>
                <w:szCs w:val="21"/>
                <w:lang w:eastAsia="zh-CN"/>
                <w14:textFill>
                  <w14:solidFill>
                    <w14:schemeClr w14:val="tx1"/>
                  </w14:solidFill>
                </w14:textFill>
              </w:rPr>
              <w:t>C4220 非金属废料和碎屑加工处理</w:t>
            </w:r>
            <w:r>
              <w:rPr>
                <w:rFonts w:hint="eastAsia" w:ascii="Times New Roman" w:hAnsi="Times New Roman" w:cs="Times New Roman"/>
                <w:color w:val="000000" w:themeColor="text1"/>
                <w:sz w:val="21"/>
                <w:szCs w:val="21"/>
                <w:lang w:eastAsia="zh-CN"/>
                <w14:textFill>
                  <w14:solidFill>
                    <w14:schemeClr w14:val="tx1"/>
                  </w14:solidFill>
                </w14:textFill>
              </w:rPr>
              <w:t>和C2929塑料零件及其他塑料制品制造</w:t>
            </w:r>
            <w:r>
              <w:rPr>
                <w:rFonts w:hint="default" w:ascii="Times New Roman" w:hAnsi="Times New Roman" w:cs="Times New Roman"/>
                <w:color w:val="000000" w:themeColor="text1"/>
                <w:sz w:val="21"/>
                <w:szCs w:val="21"/>
                <w:shd w:val="clear" w:color="auto" w:fill="FFFFFF"/>
                <w14:textFill>
                  <w14:solidFill>
                    <w14:schemeClr w14:val="tx1"/>
                  </w14:solidFill>
                </w14:textFill>
              </w:rPr>
              <w:t>，不属于</w:t>
            </w:r>
            <w:r>
              <w:rPr>
                <w:rFonts w:hint="default" w:ascii="Times New Roman" w:hAnsi="Times New Roman" w:cs="Times New Roman"/>
                <w:color w:val="000000" w:themeColor="text1"/>
                <w:sz w:val="21"/>
                <w:szCs w:val="21"/>
                <w14:textFill>
                  <w14:solidFill>
                    <w14:schemeClr w14:val="tx1"/>
                  </w14:solidFill>
                </w14:textFill>
              </w:rPr>
              <w:t>淮河流域水污染防治暂行条例（国务院令183号）和《安徽省淮河流域水污染防治条例》中列举的污染严重的企业</w:t>
            </w:r>
            <w:r>
              <w:rPr>
                <w:rFonts w:hint="default" w:ascii="Times New Roman" w:hAnsi="Times New Roman" w:cs="Times New Roman"/>
                <w:color w:val="000000" w:themeColor="text1"/>
                <w:sz w:val="21"/>
                <w:szCs w:val="21"/>
                <w:shd w:val="clear" w:color="auto" w:fill="FFFFFF"/>
                <w14:textFill>
                  <w14:solidFill>
                    <w14:schemeClr w14:val="tx1"/>
                  </w14:solidFill>
                </w14:textFill>
              </w:rPr>
              <w:t>。</w:t>
            </w:r>
          </w:p>
        </w:tc>
        <w:tc>
          <w:tcPr>
            <w:tcW w:w="461" w:type="pct"/>
            <w:vMerge w:val="restart"/>
            <w:vAlign w:val="center"/>
          </w:tcPr>
          <w:p w14:paraId="4518FC9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57353C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37" w:type="pct"/>
            <w:vAlign w:val="center"/>
          </w:tcPr>
          <w:p w14:paraId="06D70227">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650" w:type="pct"/>
            <w:vAlign w:val="center"/>
          </w:tcPr>
          <w:p w14:paraId="07A39C12">
            <w:pPr>
              <w:spacing w:line="276" w:lineRule="auto"/>
              <w:jc w:val="center"/>
              <w:rPr>
                <w:rFonts w:hint="default" w:ascii="Times New Roman" w:hAnsi="Times New Roman" w:cs="Times New Roman"/>
                <w:color w:val="000000" w:themeColor="text1"/>
                <w:sz w:val="21"/>
                <w:szCs w:val="21"/>
                <w:shd w:val="clear" w:color="auto" w:fill="FFFFFF"/>
                <w14:textFill>
                  <w14:solidFill>
                    <w14:schemeClr w14:val="tx1"/>
                  </w14:solidFill>
                </w14:textFill>
              </w:rPr>
            </w:pPr>
            <w:r>
              <w:rPr>
                <w:rFonts w:hint="default" w:ascii="Times New Roman" w:hAnsi="Times New Roman" w:cs="Times New Roman"/>
                <w:color w:val="000000" w:themeColor="text1"/>
                <w:sz w:val="21"/>
                <w:szCs w:val="21"/>
                <w:shd w:val="clear" w:color="auto" w:fill="FFFFFF"/>
                <w14:textFill>
                  <w14:solidFill>
                    <w14:schemeClr w14:val="tx1"/>
                  </w14:solidFill>
                </w14:textFill>
              </w:rPr>
              <w:t>《安徽省淮河流域水污染防治条例》</w:t>
            </w:r>
          </w:p>
        </w:tc>
        <w:tc>
          <w:tcPr>
            <w:tcW w:w="1881" w:type="pct"/>
            <w:vAlign w:val="center"/>
          </w:tcPr>
          <w:p w14:paraId="78A015F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严格限制在淮河流域新建印染、制革、化工、电镀、酿造等大中型项目或者其他污染严重的项目；建设该类项目的，应当事前征得省人民政府生态环境行政主管部门的同意，并按照规定办理有关手续。</w:t>
            </w:r>
          </w:p>
        </w:tc>
        <w:tc>
          <w:tcPr>
            <w:tcW w:w="1770" w:type="pct"/>
            <w:vMerge w:val="continue"/>
            <w:vAlign w:val="center"/>
          </w:tcPr>
          <w:p w14:paraId="5EB616C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61" w:type="pct"/>
            <w:vMerge w:val="continue"/>
            <w:vAlign w:val="center"/>
          </w:tcPr>
          <w:p w14:paraId="46EF921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20F7E4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37" w:type="pct"/>
            <w:vAlign w:val="center"/>
          </w:tcPr>
          <w:p w14:paraId="18AD9B48">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650" w:type="pct"/>
            <w:vAlign w:val="center"/>
          </w:tcPr>
          <w:p w14:paraId="60B1A65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《关于印发&lt;重点行业挥发性有机物治理方案&gt;的通知》（环大气〔2019〕53号）</w:t>
            </w:r>
          </w:p>
        </w:tc>
        <w:tc>
          <w:tcPr>
            <w:tcW w:w="1881" w:type="pct"/>
            <w:vAlign w:val="center"/>
          </w:tcPr>
          <w:p w14:paraId="2D5C766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p w14:paraId="5A09E2F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推进建设适宜高效的治污设施。企业新建治污设施或对现有治污设施实施改造，应依据排放废气的浓度、组分、风量，温度、湿度、压力，以及生产工况等，合理选择治理技术。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油气（溶剂）回收宜采用冷凝+吸附、吸附+吸收、膜分离+吸附等技术。（3）化工行业VOCs综合治理。实施废气分类收集处理。优先选用冷凝、吸附再生等回收技术；难以回收的，宜选用燃烧、吸附浓缩+燃烧等高效治理技术。水溶性、酸碱VOCs废气宜选用多级化学吸收等处理技术。恶臭类废气还应进一步加强除臭处理。</w:t>
            </w:r>
          </w:p>
        </w:tc>
        <w:tc>
          <w:tcPr>
            <w:tcW w:w="1770" w:type="pct"/>
            <w:vAlign w:val="center"/>
          </w:tcPr>
          <w:p w14:paraId="69D179F4">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本项目涉及的挥发性有机物</w:t>
            </w:r>
            <w:r>
              <w:rPr>
                <w:rFonts w:hint="default" w:ascii="Times New Roman" w:hAnsi="Times New Roman" w:eastAsia="宋体" w:cs="Times New Roman"/>
                <w:color w:val="000000" w:themeColor="text1"/>
                <w:sz w:val="21"/>
                <w:szCs w:val="21"/>
                <w14:textFill>
                  <w14:solidFill>
                    <w14:schemeClr w14:val="tx1"/>
                  </w14:solidFill>
                </w14:textFill>
              </w:rPr>
              <w:t>主要为</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熔融挤出</w:t>
            </w:r>
            <w:r>
              <w:rPr>
                <w:rFonts w:hint="default" w:ascii="Times New Roman" w:hAnsi="Times New Roman" w:eastAsia="宋体" w:cs="Times New Roman"/>
                <w:color w:val="000000" w:themeColor="text1"/>
                <w:sz w:val="21"/>
                <w:szCs w:val="21"/>
                <w14:textFill>
                  <w14:solidFill>
                    <w14:schemeClr w14:val="tx1"/>
                  </w14:solidFill>
                </w14:textFill>
              </w:rPr>
              <w:t>废气</w:t>
            </w:r>
            <w:r>
              <w:rPr>
                <w:rFonts w:hint="eastAsia" w:cs="Times New Roman"/>
                <w:color w:val="000000" w:themeColor="text1"/>
                <w:sz w:val="21"/>
                <w:szCs w:val="21"/>
                <w:lang w:val="en-US" w:eastAsia="zh-CN"/>
                <w14:textFill>
                  <w14:solidFill>
                    <w14:schemeClr w14:val="tx1"/>
                  </w14:solidFill>
                </w14:textFill>
              </w:rPr>
              <w:t>和高温分选废气，</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熔融挤出</w:t>
            </w:r>
            <w:r>
              <w:rPr>
                <w:rFonts w:hint="default" w:ascii="Times New Roman" w:hAnsi="Times New Roman" w:eastAsia="宋体" w:cs="Times New Roman"/>
                <w:color w:val="000000" w:themeColor="text1"/>
                <w:sz w:val="21"/>
                <w:szCs w:val="21"/>
                <w14:textFill>
                  <w14:solidFill>
                    <w14:schemeClr w14:val="tx1"/>
                  </w14:solidFill>
                </w14:textFill>
              </w:rPr>
              <w:t>废气经</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区域封闭+集气罩</w:t>
            </w:r>
            <w:r>
              <w:rPr>
                <w:rFonts w:hint="default" w:ascii="Times New Roman" w:hAnsi="Times New Roman" w:eastAsia="宋体" w:cs="Times New Roman"/>
                <w:color w:val="000000" w:themeColor="text1"/>
                <w:sz w:val="21"/>
                <w:szCs w:val="21"/>
                <w14:textFill>
                  <w14:solidFill>
                    <w14:schemeClr w14:val="tx1"/>
                  </w14:solidFill>
                </w14:textFill>
              </w:rPr>
              <w:t>收集后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进入</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油烟净化器</w:t>
            </w:r>
            <w:r>
              <w:rPr>
                <w:rFonts w:hint="default" w:ascii="Times New Roman" w:hAnsi="Times New Roman" w:eastAsia="宋体" w:cs="Times New Roman"/>
                <w:color w:val="000000" w:themeColor="text1"/>
                <w:sz w:val="21"/>
                <w:szCs w:val="21"/>
                <w14:textFill>
                  <w14:solidFill>
                    <w14:schemeClr w14:val="tx1"/>
                  </w14:solidFill>
                </w14:textFill>
              </w:rPr>
              <w:t>+两级活性炭吸附装置（TA00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）”处理后通过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5m高排气筒（DA00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）排放</w:t>
            </w: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高温分选废气</w:t>
            </w:r>
            <w:r>
              <w:rPr>
                <w:rFonts w:hint="default" w:ascii="Times New Roman" w:hAnsi="Times New Roman" w:eastAsia="宋体" w:cs="Times New Roman"/>
                <w:color w:val="000000" w:themeColor="text1"/>
                <w:sz w:val="21"/>
                <w:szCs w:val="21"/>
                <w14:textFill>
                  <w14:solidFill>
                    <w14:schemeClr w14:val="tx1"/>
                  </w14:solidFill>
                </w14:textFill>
              </w:rPr>
              <w:t>经</w:t>
            </w:r>
            <w:r>
              <w:rPr>
                <w:rFonts w:hint="eastAsia" w:cs="Times New Roman"/>
                <w:color w:val="000000" w:themeColor="text1"/>
                <w:sz w:val="21"/>
                <w:szCs w:val="21"/>
                <w:lang w:val="en-US" w:eastAsia="zh-CN"/>
                <w14:textFill>
                  <w14:solidFill>
                    <w14:schemeClr w14:val="tx1"/>
                  </w14:solidFill>
                </w14:textFill>
              </w:rPr>
              <w:t>设备密闭</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+集气罩</w:t>
            </w:r>
            <w:r>
              <w:rPr>
                <w:rFonts w:hint="default" w:ascii="Times New Roman" w:hAnsi="Times New Roman" w:eastAsia="宋体" w:cs="Times New Roman"/>
                <w:color w:val="000000" w:themeColor="text1"/>
                <w:sz w:val="21"/>
                <w:szCs w:val="21"/>
                <w14:textFill>
                  <w14:solidFill>
                    <w14:schemeClr w14:val="tx1"/>
                  </w14:solidFill>
                </w14:textFill>
              </w:rPr>
              <w:t>收集后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进入</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油烟净化器</w:t>
            </w:r>
            <w:r>
              <w:rPr>
                <w:rFonts w:hint="default" w:ascii="Times New Roman" w:hAnsi="Times New Roman" w:eastAsia="宋体" w:cs="Times New Roman"/>
                <w:color w:val="000000" w:themeColor="text1"/>
                <w:sz w:val="21"/>
                <w:szCs w:val="21"/>
                <w14:textFill>
                  <w14:solidFill>
                    <w14:schemeClr w14:val="tx1"/>
                  </w14:solidFill>
                </w14:textFill>
              </w:rPr>
              <w:t>+两级活性炭吸附装置（TA00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）”处理后通过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5m高排气筒（DA00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）排放</w:t>
            </w:r>
            <w:r>
              <w:rPr>
                <w:rFonts w:hint="eastAsia" w:cs="Times New Roman"/>
                <w:color w:val="000000" w:themeColor="text1"/>
                <w:sz w:val="21"/>
                <w:szCs w:val="21"/>
                <w:lang w:eastAsia="zh-CN"/>
                <w14:textFill>
                  <w14:solidFill>
                    <w14:schemeClr w14:val="tx1"/>
                  </w14:solidFill>
                </w14:textFill>
              </w:rPr>
              <w:t>。</w:t>
            </w:r>
          </w:p>
        </w:tc>
        <w:tc>
          <w:tcPr>
            <w:tcW w:w="461" w:type="pct"/>
            <w:vAlign w:val="center"/>
          </w:tcPr>
          <w:p w14:paraId="33DEDA8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62DEF3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37" w:type="pct"/>
            <w:vAlign w:val="center"/>
          </w:tcPr>
          <w:p w14:paraId="7ADFC560">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650" w:type="pct"/>
            <w:vAlign w:val="center"/>
          </w:tcPr>
          <w:p w14:paraId="5FD4A4F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《安徽省大气办关于深入开展挥发性有机物污染治理工作的通知》（皖大气办〔2021〕4号）</w:t>
            </w:r>
          </w:p>
        </w:tc>
        <w:tc>
          <w:tcPr>
            <w:tcW w:w="1881" w:type="pct"/>
            <w:vAlign w:val="center"/>
          </w:tcPr>
          <w:p w14:paraId="29286E33">
            <w:pPr>
              <w:spacing w:line="276" w:lineRule="auto"/>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鼓励支持使用涂料、油墨、胶粘剂、涂层剂（树脂）、清洗剂等原辅材料的企业，进行低VOCs含量原辅材料的源头替代，7月1日前各地指导企业建立管理台账，记录VOCs原辅材料的产品名称、VOCs含量和使用量等。</w:t>
            </w:r>
          </w:p>
          <w:p w14:paraId="6646F24A">
            <w:pPr>
              <w:spacing w:line="276" w:lineRule="auto"/>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（2）加强监测能力建设。各地应督促企业落实自行监测主体责任，指导企业按照自行监测技术指南要求开展固定污染源监测。</w:t>
            </w:r>
          </w:p>
          <w:p w14:paraId="7BEBEB8C">
            <w:pPr>
              <w:spacing w:line="276" w:lineRule="auto"/>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r>
              <w:rPr>
                <w:rFonts w:hint="default" w:ascii="Times New Roman" w:hAnsi="Times New Roman" w:cs="Times New Roman"/>
                <w:color w:val="000000" w:themeColor="text1"/>
                <w:spacing w:val="-6"/>
                <w:sz w:val="21"/>
                <w:szCs w:val="21"/>
                <w14:textFill>
                  <w14:solidFill>
                    <w14:schemeClr w14:val="tx1"/>
                  </w14:solidFill>
                </w14:textFill>
              </w:rPr>
              <w:t>加强企业非正常工况排放治理，梳理有机废气不通过治理设施直排环境问题，建立有机废气旁路综合整治台账，逐步取消炼油、石化、煤化工、制药、农药、化工、工业涂装、包装印刷等企业非必要VOCs废气排放系统旁路。</w:t>
            </w:r>
          </w:p>
          <w:p w14:paraId="4D079395">
            <w:pPr>
              <w:spacing w:line="276" w:lineRule="auto"/>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（4）实施排污许可，建立健全以排污许可核发为中心的VOCs管控依据。</w:t>
            </w:r>
          </w:p>
        </w:tc>
        <w:tc>
          <w:tcPr>
            <w:tcW w:w="1770" w:type="pct"/>
            <w:vAlign w:val="center"/>
          </w:tcPr>
          <w:p w14:paraId="758F6410">
            <w:pPr>
              <w:spacing w:line="276" w:lineRule="auto"/>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（1）本项目主要为</w:t>
            </w:r>
            <w:r>
              <w:rPr>
                <w:rFonts w:hint="default" w:ascii="Times New Roman" w:hAnsi="Times New Roman" w:cs="Times New Roman"/>
                <w:color w:val="000000" w:themeColor="text1"/>
                <w:sz w:val="21"/>
                <w:szCs w:val="21"/>
                <w:lang w:val="en-US" w:eastAsia="zh-CN"/>
                <w14:textFill>
                  <w14:solidFill>
                    <w14:schemeClr w14:val="tx1"/>
                  </w14:solidFill>
                </w14:textFill>
              </w:rPr>
              <w:t>废塑料瓶再生利用</w:t>
            </w:r>
            <w:r>
              <w:rPr>
                <w:rFonts w:hint="default" w:ascii="Times New Roman" w:hAnsi="Times New Roman" w:cs="Times New Roman"/>
                <w:color w:val="000000" w:themeColor="text1"/>
                <w:sz w:val="21"/>
                <w:szCs w:val="21"/>
                <w14:textFill>
                  <w14:solidFill>
                    <w14:schemeClr w14:val="tx1"/>
                  </w14:solidFill>
                </w14:textFill>
              </w:rPr>
              <w:t>，不使用涂料、油墨、胶粘剂、涂层剂（树脂）、清洗剂等原辅材料。</w:t>
            </w:r>
          </w:p>
          <w:p w14:paraId="37A3A74E">
            <w:pPr>
              <w:spacing w:line="276" w:lineRule="auto"/>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（2）建设单位按排污许可的要求定期开展自行监测工作，落实自行监测主体责任。</w:t>
            </w:r>
          </w:p>
          <w:p w14:paraId="28D4F633">
            <w:pPr>
              <w:spacing w:line="276" w:lineRule="auto"/>
              <w:jc w:val="left"/>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r>
              <w:rPr>
                <w:rFonts w:hint="default" w:ascii="Times New Roman" w:hAnsi="Times New Roman" w:cs="Times New Roman"/>
                <w:color w:val="000000" w:themeColor="text1"/>
                <w:spacing w:val="-6"/>
                <w:sz w:val="21"/>
                <w:szCs w:val="21"/>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本项目涉及的挥发性有机物</w:t>
            </w:r>
            <w:r>
              <w:rPr>
                <w:rFonts w:hint="default" w:ascii="Times New Roman" w:hAnsi="Times New Roman" w:eastAsia="宋体" w:cs="Times New Roman"/>
                <w:color w:val="000000" w:themeColor="text1"/>
                <w:sz w:val="21"/>
                <w:szCs w:val="21"/>
                <w14:textFill>
                  <w14:solidFill>
                    <w14:schemeClr w14:val="tx1"/>
                  </w14:solidFill>
                </w14:textFill>
              </w:rPr>
              <w:t>主要为</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熔融挤出</w:t>
            </w:r>
            <w:r>
              <w:rPr>
                <w:rFonts w:hint="default" w:ascii="Times New Roman" w:hAnsi="Times New Roman" w:eastAsia="宋体" w:cs="Times New Roman"/>
                <w:color w:val="000000" w:themeColor="text1"/>
                <w:sz w:val="21"/>
                <w:szCs w:val="21"/>
                <w14:textFill>
                  <w14:solidFill>
                    <w14:schemeClr w14:val="tx1"/>
                  </w14:solidFill>
                </w14:textFill>
              </w:rPr>
              <w:t>废气</w:t>
            </w:r>
            <w:r>
              <w:rPr>
                <w:rFonts w:hint="eastAsia" w:cs="Times New Roman"/>
                <w:color w:val="000000" w:themeColor="text1"/>
                <w:sz w:val="21"/>
                <w:szCs w:val="21"/>
                <w:lang w:val="en-US" w:eastAsia="zh-CN"/>
                <w14:textFill>
                  <w14:solidFill>
                    <w14:schemeClr w14:val="tx1"/>
                  </w14:solidFill>
                </w14:textFill>
              </w:rPr>
              <w:t>和高温分选废气，</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熔融挤出</w:t>
            </w:r>
            <w:r>
              <w:rPr>
                <w:rFonts w:hint="default" w:ascii="Times New Roman" w:hAnsi="Times New Roman" w:eastAsia="宋体" w:cs="Times New Roman"/>
                <w:color w:val="000000" w:themeColor="text1"/>
                <w:sz w:val="21"/>
                <w:szCs w:val="21"/>
                <w14:textFill>
                  <w14:solidFill>
                    <w14:schemeClr w14:val="tx1"/>
                  </w14:solidFill>
                </w14:textFill>
              </w:rPr>
              <w:t>废气经</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区域封闭+集气罩</w:t>
            </w:r>
            <w:r>
              <w:rPr>
                <w:rFonts w:hint="default" w:ascii="Times New Roman" w:hAnsi="Times New Roman" w:eastAsia="宋体" w:cs="Times New Roman"/>
                <w:color w:val="000000" w:themeColor="text1"/>
                <w:sz w:val="21"/>
                <w:szCs w:val="21"/>
                <w14:textFill>
                  <w14:solidFill>
                    <w14:schemeClr w14:val="tx1"/>
                  </w14:solidFill>
                </w14:textFill>
              </w:rPr>
              <w:t>收集后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进入</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油烟净化器</w:t>
            </w:r>
            <w:r>
              <w:rPr>
                <w:rFonts w:hint="default" w:ascii="Times New Roman" w:hAnsi="Times New Roman" w:eastAsia="宋体" w:cs="Times New Roman"/>
                <w:color w:val="000000" w:themeColor="text1"/>
                <w:sz w:val="21"/>
                <w:szCs w:val="21"/>
                <w14:textFill>
                  <w14:solidFill>
                    <w14:schemeClr w14:val="tx1"/>
                  </w14:solidFill>
                </w14:textFill>
              </w:rPr>
              <w:t>+两级活性炭吸附装置（TA00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）”处理后通过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5m高排气筒（DA00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）排放</w:t>
            </w: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高温分选废气</w:t>
            </w:r>
            <w:r>
              <w:rPr>
                <w:rFonts w:hint="default" w:ascii="Times New Roman" w:hAnsi="Times New Roman" w:eastAsia="宋体" w:cs="Times New Roman"/>
                <w:color w:val="000000" w:themeColor="text1"/>
                <w:sz w:val="21"/>
                <w:szCs w:val="21"/>
                <w14:textFill>
                  <w14:solidFill>
                    <w14:schemeClr w14:val="tx1"/>
                  </w14:solidFill>
                </w14:textFill>
              </w:rPr>
              <w:t>经</w:t>
            </w:r>
            <w:r>
              <w:rPr>
                <w:rFonts w:hint="eastAsia" w:cs="Times New Roman"/>
                <w:color w:val="000000" w:themeColor="text1"/>
                <w:sz w:val="21"/>
                <w:szCs w:val="21"/>
                <w:lang w:val="en-US" w:eastAsia="zh-CN"/>
                <w14:textFill>
                  <w14:solidFill>
                    <w14:schemeClr w14:val="tx1"/>
                  </w14:solidFill>
                </w14:textFill>
              </w:rPr>
              <w:t>设备密闭</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+集气罩</w:t>
            </w:r>
            <w:r>
              <w:rPr>
                <w:rFonts w:hint="default" w:ascii="Times New Roman" w:hAnsi="Times New Roman" w:eastAsia="宋体" w:cs="Times New Roman"/>
                <w:color w:val="000000" w:themeColor="text1"/>
                <w:sz w:val="21"/>
                <w:szCs w:val="21"/>
                <w14:textFill>
                  <w14:solidFill>
                    <w14:schemeClr w14:val="tx1"/>
                  </w14:solidFill>
                </w14:textFill>
              </w:rPr>
              <w:t>收集后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进入</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油烟净化器</w:t>
            </w:r>
            <w:r>
              <w:rPr>
                <w:rFonts w:hint="default" w:ascii="Times New Roman" w:hAnsi="Times New Roman" w:eastAsia="宋体" w:cs="Times New Roman"/>
                <w:color w:val="000000" w:themeColor="text1"/>
                <w:sz w:val="21"/>
                <w:szCs w:val="21"/>
                <w14:textFill>
                  <w14:solidFill>
                    <w14:schemeClr w14:val="tx1"/>
                  </w14:solidFill>
                </w14:textFill>
              </w:rPr>
              <w:t>+两级活性炭吸附装置（TA00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）”处理后通过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5m高排气筒（DA00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）排放</w:t>
            </w:r>
            <w:r>
              <w:rPr>
                <w:rFonts w:hint="default" w:ascii="Times New Roman" w:hAnsi="Times New Roman" w:cs="Times New Roman"/>
                <w:color w:val="000000" w:themeColor="text1"/>
                <w:spacing w:val="0"/>
                <w:sz w:val="21"/>
                <w:szCs w:val="21"/>
                <w:lang w:eastAsia="zh-CN"/>
                <w14:textFill>
                  <w14:solidFill>
                    <w14:schemeClr w14:val="tx1"/>
                  </w14:solidFill>
                </w14:textFill>
              </w:rPr>
              <w:t>。</w:t>
            </w:r>
            <w:r>
              <w:rPr>
                <w:rFonts w:hint="default" w:ascii="Times New Roman" w:hAnsi="Times New Roman" w:cs="Times New Roman"/>
                <w:color w:val="000000" w:themeColor="text1"/>
                <w:spacing w:val="0"/>
                <w:sz w:val="21"/>
                <w:szCs w:val="21"/>
                <w14:textFill>
                  <w14:solidFill>
                    <w14:schemeClr w14:val="tx1"/>
                  </w14:solidFill>
                </w14:textFill>
              </w:rPr>
              <w:t>废气治理设施不设置旁路。</w:t>
            </w:r>
          </w:p>
          <w:p w14:paraId="7A9DEDDF">
            <w:pPr>
              <w:spacing w:line="276" w:lineRule="auto"/>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（4）项目建成后，建设单位应按相关规定申领排污许可证，按排污许可证的规定排放污染物。</w:t>
            </w:r>
          </w:p>
        </w:tc>
        <w:tc>
          <w:tcPr>
            <w:tcW w:w="461" w:type="pct"/>
            <w:vAlign w:val="center"/>
          </w:tcPr>
          <w:p w14:paraId="394849B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1218975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37" w:type="pct"/>
            <w:vMerge w:val="restart"/>
            <w:vAlign w:val="center"/>
          </w:tcPr>
          <w:p w14:paraId="7C62A93A">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650" w:type="pct"/>
            <w:vMerge w:val="restart"/>
            <w:vAlign w:val="center"/>
          </w:tcPr>
          <w:p w14:paraId="05A3F21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《挥发性有机物无组织排放控制标准》（GB37822-2019）</w:t>
            </w:r>
          </w:p>
        </w:tc>
        <w:tc>
          <w:tcPr>
            <w:tcW w:w="1881" w:type="pct"/>
            <w:vAlign w:val="center"/>
          </w:tcPr>
          <w:p w14:paraId="08C26A3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VOCs物料应储存于密闭的容器、包装袋、储罐、储库、料仓中。</w:t>
            </w:r>
          </w:p>
        </w:tc>
        <w:tc>
          <w:tcPr>
            <w:tcW w:w="1770" w:type="pct"/>
            <w:vAlign w:val="center"/>
          </w:tcPr>
          <w:p w14:paraId="6D8312B3">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本项目不涉及</w:t>
            </w:r>
          </w:p>
        </w:tc>
        <w:tc>
          <w:tcPr>
            <w:tcW w:w="461" w:type="pct"/>
            <w:vAlign w:val="center"/>
          </w:tcPr>
          <w:p w14:paraId="4A4B985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1C8562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37" w:type="pct"/>
            <w:vMerge w:val="continue"/>
            <w:vAlign w:val="center"/>
          </w:tcPr>
          <w:p w14:paraId="51B4F7D9">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50" w:type="pct"/>
            <w:vMerge w:val="continue"/>
            <w:vAlign w:val="center"/>
          </w:tcPr>
          <w:p w14:paraId="71D3311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881" w:type="pct"/>
            <w:vAlign w:val="center"/>
          </w:tcPr>
          <w:p w14:paraId="73096CA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VOCs废气收集处理系统应与生产工艺设备同步运行。VOCs废气收集处理系统发生故障或检修时，对应的生产工艺设备应停止运行，待检修完毕后同步投入使用。</w:t>
            </w:r>
          </w:p>
        </w:tc>
        <w:tc>
          <w:tcPr>
            <w:tcW w:w="1770" w:type="pct"/>
            <w:vAlign w:val="center"/>
          </w:tcPr>
          <w:p w14:paraId="752B9A9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本项目涉及的挥发性有机物</w:t>
            </w:r>
            <w:r>
              <w:rPr>
                <w:rFonts w:hint="default" w:ascii="Times New Roman" w:hAnsi="Times New Roman" w:eastAsia="宋体" w:cs="Times New Roman"/>
                <w:color w:val="000000" w:themeColor="text1"/>
                <w:sz w:val="21"/>
                <w:szCs w:val="21"/>
                <w14:textFill>
                  <w14:solidFill>
                    <w14:schemeClr w14:val="tx1"/>
                  </w14:solidFill>
                </w14:textFill>
              </w:rPr>
              <w:t>主要为</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熔融挤出</w:t>
            </w:r>
            <w:r>
              <w:rPr>
                <w:rFonts w:hint="default" w:ascii="Times New Roman" w:hAnsi="Times New Roman" w:eastAsia="宋体" w:cs="Times New Roman"/>
                <w:color w:val="000000" w:themeColor="text1"/>
                <w:sz w:val="21"/>
                <w:szCs w:val="21"/>
                <w14:textFill>
                  <w14:solidFill>
                    <w14:schemeClr w14:val="tx1"/>
                  </w14:solidFill>
                </w14:textFill>
              </w:rPr>
              <w:t>废气</w:t>
            </w:r>
            <w:r>
              <w:rPr>
                <w:rFonts w:hint="eastAsia" w:cs="Times New Roman"/>
                <w:color w:val="000000" w:themeColor="text1"/>
                <w:sz w:val="21"/>
                <w:szCs w:val="21"/>
                <w:lang w:val="en-US" w:eastAsia="zh-CN"/>
                <w14:textFill>
                  <w14:solidFill>
                    <w14:schemeClr w14:val="tx1"/>
                  </w14:solidFill>
                </w14:textFill>
              </w:rPr>
              <w:t>和高温分选废气，</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熔融挤出</w:t>
            </w:r>
            <w:r>
              <w:rPr>
                <w:rFonts w:hint="default" w:ascii="Times New Roman" w:hAnsi="Times New Roman" w:eastAsia="宋体" w:cs="Times New Roman"/>
                <w:color w:val="000000" w:themeColor="text1"/>
                <w:sz w:val="21"/>
                <w:szCs w:val="21"/>
                <w14:textFill>
                  <w14:solidFill>
                    <w14:schemeClr w14:val="tx1"/>
                  </w14:solidFill>
                </w14:textFill>
              </w:rPr>
              <w:t>废气经</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区域封闭+集气罩</w:t>
            </w:r>
            <w:r>
              <w:rPr>
                <w:rFonts w:hint="default" w:ascii="Times New Roman" w:hAnsi="Times New Roman" w:eastAsia="宋体" w:cs="Times New Roman"/>
                <w:color w:val="000000" w:themeColor="text1"/>
                <w:sz w:val="21"/>
                <w:szCs w:val="21"/>
                <w14:textFill>
                  <w14:solidFill>
                    <w14:schemeClr w14:val="tx1"/>
                  </w14:solidFill>
                </w14:textFill>
              </w:rPr>
              <w:t>收集后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进入</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油烟净化器</w:t>
            </w:r>
            <w:r>
              <w:rPr>
                <w:rFonts w:hint="default" w:ascii="Times New Roman" w:hAnsi="Times New Roman" w:eastAsia="宋体" w:cs="Times New Roman"/>
                <w:color w:val="000000" w:themeColor="text1"/>
                <w:sz w:val="21"/>
                <w:szCs w:val="21"/>
                <w14:textFill>
                  <w14:solidFill>
                    <w14:schemeClr w14:val="tx1"/>
                  </w14:solidFill>
                </w14:textFill>
              </w:rPr>
              <w:t>+两级活性炭吸附装置（TA00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）”处理后通过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5m高排气筒（DA00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）排放</w:t>
            </w: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高温分选废气</w:t>
            </w:r>
            <w:r>
              <w:rPr>
                <w:rFonts w:hint="default" w:ascii="Times New Roman" w:hAnsi="Times New Roman" w:eastAsia="宋体" w:cs="Times New Roman"/>
                <w:color w:val="000000" w:themeColor="text1"/>
                <w:sz w:val="21"/>
                <w:szCs w:val="21"/>
                <w14:textFill>
                  <w14:solidFill>
                    <w14:schemeClr w14:val="tx1"/>
                  </w14:solidFill>
                </w14:textFill>
              </w:rPr>
              <w:t>经</w:t>
            </w:r>
            <w:r>
              <w:rPr>
                <w:rFonts w:hint="eastAsia" w:cs="Times New Roman"/>
                <w:color w:val="000000" w:themeColor="text1"/>
                <w:sz w:val="21"/>
                <w:szCs w:val="21"/>
                <w:lang w:val="en-US" w:eastAsia="zh-CN"/>
                <w14:textFill>
                  <w14:solidFill>
                    <w14:schemeClr w14:val="tx1"/>
                  </w14:solidFill>
                </w14:textFill>
              </w:rPr>
              <w:t>设备密闭</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+集气罩</w:t>
            </w:r>
            <w:r>
              <w:rPr>
                <w:rFonts w:hint="default" w:ascii="Times New Roman" w:hAnsi="Times New Roman" w:eastAsia="宋体" w:cs="Times New Roman"/>
                <w:color w:val="000000" w:themeColor="text1"/>
                <w:sz w:val="21"/>
                <w:szCs w:val="21"/>
                <w14:textFill>
                  <w14:solidFill>
                    <w14:schemeClr w14:val="tx1"/>
                  </w14:solidFill>
                </w14:textFill>
              </w:rPr>
              <w:t>收集后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进入</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油烟净化器</w:t>
            </w:r>
            <w:r>
              <w:rPr>
                <w:rFonts w:hint="default" w:ascii="Times New Roman" w:hAnsi="Times New Roman" w:eastAsia="宋体" w:cs="Times New Roman"/>
                <w:color w:val="000000" w:themeColor="text1"/>
                <w:sz w:val="21"/>
                <w:szCs w:val="21"/>
                <w14:textFill>
                  <w14:solidFill>
                    <w14:schemeClr w14:val="tx1"/>
                  </w14:solidFill>
                </w14:textFill>
              </w:rPr>
              <w:t>+两级活性炭吸附装置（TA00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）”处理后通过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5m高排气筒（DA00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）排放</w:t>
            </w:r>
            <w:r>
              <w:rPr>
                <w:rFonts w:hint="default" w:ascii="Times New Roman" w:hAnsi="Times New Roman" w:cs="Times New Roman"/>
                <w:color w:val="000000" w:themeColor="text1"/>
                <w:sz w:val="21"/>
                <w:szCs w:val="21"/>
                <w14:textFill>
                  <w14:solidFill>
                    <w14:schemeClr w14:val="tx1"/>
                  </w14:solidFill>
                </w14:textFill>
              </w:rPr>
              <w:t>。VOCs废气收集处理系统发生故障或检修时，对应的生产工艺设备停止运行，待检修完毕后同步投入使用。</w:t>
            </w:r>
          </w:p>
        </w:tc>
        <w:tc>
          <w:tcPr>
            <w:tcW w:w="461" w:type="pct"/>
            <w:vAlign w:val="center"/>
          </w:tcPr>
          <w:p w14:paraId="2A1278E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3B3593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37" w:type="pct"/>
            <w:vAlign w:val="center"/>
          </w:tcPr>
          <w:p w14:paraId="67B71E7E">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650" w:type="pct"/>
            <w:vAlign w:val="center"/>
          </w:tcPr>
          <w:p w14:paraId="68BA62B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《安徽省“十四五”生态环境保护规划》（皖环发〔2022〕8号）</w:t>
            </w:r>
          </w:p>
        </w:tc>
        <w:tc>
          <w:tcPr>
            <w:tcW w:w="1881" w:type="pct"/>
            <w:vAlign w:val="center"/>
          </w:tcPr>
          <w:p w14:paraId="35751B6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（1）加强固体废物污染防治。积极推动合肥及沿江沿淮城市开展“无废城市”建设。建立健全重点行业工业固体废物排污许可管理制度。</w:t>
            </w:r>
          </w:p>
          <w:p w14:paraId="52DD1EF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强化危险废物环境监管。完善危险废物重点监管单位清单，持续推行危险废物规范化环境管理。按照“省域内能力总体匹配”的原则，科学统筹危险废物处置能力建设，推动将危险废物集中处置设施纳入当地公共基础设施统筹建设，促进危险废物利用处置产业高质量发展。</w:t>
            </w:r>
          </w:p>
          <w:p w14:paraId="3465785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（3）“无废城市”建设工程。推动合肥及沿江沿淮城市开展“无废城市”建设工程。</w:t>
            </w:r>
          </w:p>
          <w:p w14:paraId="4B3A8EA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（4）固体废物防治工程。实施危险废物、一般工业固体废物、生活垃圾、建筑垃圾、农业废弃物等固体废物处置和综合利用设施建设工程。</w:t>
            </w:r>
          </w:p>
        </w:tc>
        <w:tc>
          <w:tcPr>
            <w:tcW w:w="1770" w:type="pct"/>
            <w:vAlign w:val="center"/>
          </w:tcPr>
          <w:p w14:paraId="13A35A27">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本项目位于</w:t>
            </w:r>
            <w:r>
              <w:rPr>
                <w:rFonts w:hint="eastAsia" w:cs="Times New Roman"/>
                <w:color w:val="000000" w:themeColor="text1"/>
                <w:sz w:val="21"/>
                <w:szCs w:val="21"/>
                <w:lang w:eastAsia="zh-CN"/>
                <w14:textFill>
                  <w14:solidFill>
                    <w14:schemeClr w14:val="tx1"/>
                  </w14:solidFill>
                </w14:textFill>
              </w:rPr>
              <w:t>淮南市毛集实验区</w:t>
            </w:r>
            <w:r>
              <w:rPr>
                <w:rFonts w:hint="default" w:ascii="Times New Roman" w:hAnsi="Times New Roman" w:cs="Times New Roman"/>
                <w:color w:val="000000" w:themeColor="text1"/>
                <w:sz w:val="21"/>
                <w:szCs w:val="21"/>
                <w14:textFill>
                  <w14:solidFill>
                    <w14:schemeClr w14:val="tx1"/>
                  </w14:solidFill>
                </w14:textFill>
              </w:rPr>
              <w:t>，本项目产生的一般工业固体废物主要有分选</w:t>
            </w:r>
            <w:r>
              <w:rPr>
                <w:rFonts w:hint="eastAsia" w:cs="Times New Roman"/>
                <w:color w:val="000000" w:themeColor="text1"/>
                <w:sz w:val="21"/>
                <w:szCs w:val="21"/>
                <w:lang w:val="en-US" w:eastAsia="zh-CN"/>
                <w14:textFill>
                  <w14:solidFill>
                    <w14:schemeClr w14:val="tx1"/>
                  </w14:solidFill>
                </w14:textFill>
              </w:rPr>
              <w:t>固体</w:t>
            </w:r>
            <w:r>
              <w:rPr>
                <w:rFonts w:hint="default" w:ascii="Times New Roman" w:hAnsi="Times New Roman" w:cs="Times New Roman"/>
                <w:color w:val="000000" w:themeColor="text1"/>
                <w:sz w:val="21"/>
                <w:szCs w:val="21"/>
                <w14:textFill>
                  <w14:solidFill>
                    <w14:schemeClr w14:val="tx1"/>
                  </w14:solidFill>
                </w14:textFill>
              </w:rPr>
              <w:t>杂质、废标签纸、废瓶盖、废包装材料、污水站污泥、布袋收集粉尘等，暂存于一般工业固体废物暂存库中，其中废标签纸和废瓶盖回用于生产</w:t>
            </w:r>
            <w:r>
              <w:rPr>
                <w:rFonts w:hint="eastAsia" w:cs="Times New Roman"/>
                <w:color w:val="000000" w:themeColor="text1"/>
                <w:sz w:val="21"/>
                <w:szCs w:val="21"/>
                <w:lang w:val="en-US" w:eastAsia="zh-CN"/>
                <w14:textFill>
                  <w14:solidFill>
                    <w14:schemeClr w14:val="tx1"/>
                  </w14:solidFill>
                </w14:textFill>
              </w:rPr>
              <w:t>处理</w:t>
            </w:r>
            <w:r>
              <w:rPr>
                <w:rFonts w:hint="default" w:ascii="Times New Roman" w:hAnsi="Times New Roman" w:cs="Times New Roman"/>
                <w:color w:val="000000" w:themeColor="text1"/>
                <w:sz w:val="21"/>
                <w:szCs w:val="21"/>
                <w14:textFill>
                  <w14:solidFill>
                    <w14:schemeClr w14:val="tx1"/>
                  </w14:solidFill>
                </w14:textFill>
              </w:rPr>
              <w:t>后作为产品外售，其他外售综合利用；项目产生的危险废物主要为废活性炭、废机油、含油抹布及手套等，暂存于危险废物暂存仓库中，定期交由有资质单位处置</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并按要求做好记录。</w:t>
            </w:r>
          </w:p>
        </w:tc>
        <w:tc>
          <w:tcPr>
            <w:tcW w:w="461" w:type="pct"/>
            <w:vAlign w:val="center"/>
          </w:tcPr>
          <w:p w14:paraId="2E595AF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0E73E9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37" w:type="pct"/>
            <w:vAlign w:val="center"/>
          </w:tcPr>
          <w:p w14:paraId="7C944AC4">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650" w:type="pct"/>
            <w:vAlign w:val="center"/>
          </w:tcPr>
          <w:p w14:paraId="3C7DC07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《安徽省“十四五”危险废物工业固体废物污染环境防治规划》（皖环发〔2021〕40号）</w:t>
            </w:r>
          </w:p>
        </w:tc>
        <w:tc>
          <w:tcPr>
            <w:tcW w:w="1881" w:type="pct"/>
            <w:vAlign w:val="center"/>
          </w:tcPr>
          <w:p w14:paraId="633B79A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源头减量、利用优先。持续推进清洁生产，实施源头减量，推动大宗工业固体废物产生强度持续下降、总体趋零增长。支持研发、推广、应用固体废物资源化新技术、新装备和新产品，拓宽资源化利用途径。始终坚持利用优先，最大限度降低固体废物填埋量。</w:t>
            </w:r>
          </w:p>
          <w:p w14:paraId="32B96B3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统筹布局、补齐短板。始终坚持问题导向，紧盯产废单位实际需求，全力为产废单位做好服务，为经济社会发展做好服务。推动有效市场和有为政府更好结合，分级分类统筹建设高标准利用处置设施，加快补齐危险废物、医疗废物收集转运处置方面短板。</w:t>
            </w:r>
          </w:p>
          <w:p w14:paraId="236127E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防控风险、严守底线。严厉打击危险废物、工业固体废物环境违法犯罪行为，推动规范化、精细化、全过程管理。推动建立危险废物产生、收集、贮存、利用、处置等全过程监控和信息化追溯体系，有效防范环境风险。（4）严格限制可利用、可焚烧处置或可通过其他方式消除危险特性、可减容减量的危险废物、工业固体废物直接进入填埋场处置，最大限度减少填埋量。</w:t>
            </w:r>
          </w:p>
          <w:p w14:paraId="1F282D1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推动“无废城市”创建，推动合肥及沿江、沿淮3-5个城市创建“无废城市”。“无废城市”是以创新、协调、绿色、开放、共享的新发展理念为引领，通过推动形成绿色发展方式和生活方式，持续推进固体废物源头减量和资源化利用，最大限度减少填埋量，将固体废物环境影响降至最低的城市发展模式，也是一种先进的城市管理理念。“无废城市”并非没有固废产生，也不意味着固体废物能完全资源化利用，其理念旨在通过长期探索与实践，最终实现整个城市固体废物产生量最小、资源化利用充分、处置安全的目标。</w:t>
            </w:r>
          </w:p>
        </w:tc>
        <w:tc>
          <w:tcPr>
            <w:tcW w:w="1770" w:type="pct"/>
            <w:vAlign w:val="center"/>
          </w:tcPr>
          <w:p w14:paraId="6CA2C8D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装备先进，坚持利用优先，可最大限度降低固体废物填埋量。本项目产生的一般工业固体废物主要有分选杂质、废标签纸、废瓶盖、废包装材料、污水站污泥、布袋收集粉尘等，暂存于一般工业固体废物暂存库中，其中废标签纸和废瓶盖回用于生产</w:t>
            </w:r>
            <w:r>
              <w:rPr>
                <w:rFonts w:hint="eastAsia" w:cs="Times New Roman"/>
                <w:color w:val="000000" w:themeColor="text1"/>
                <w:sz w:val="21"/>
                <w:szCs w:val="21"/>
                <w:lang w:val="en-US" w:eastAsia="zh-CN"/>
                <w14:textFill>
                  <w14:solidFill>
                    <w14:schemeClr w14:val="tx1"/>
                  </w14:solidFill>
                </w14:textFill>
              </w:rPr>
              <w:t>处理</w:t>
            </w:r>
            <w:r>
              <w:rPr>
                <w:rFonts w:hint="default" w:ascii="Times New Roman" w:hAnsi="Times New Roman" w:cs="Times New Roman"/>
                <w:color w:val="000000" w:themeColor="text1"/>
                <w:sz w:val="21"/>
                <w:szCs w:val="21"/>
                <w14:textFill>
                  <w14:solidFill>
                    <w14:schemeClr w14:val="tx1"/>
                  </w14:solidFill>
                </w14:textFill>
              </w:rPr>
              <w:t>后作为产品外售，其他外售综合利用；项目产生的危险废物主要为废活性炭、废机油、含油抹布及手套等，暂存于危险废物暂存仓库中，定期交由有资质单位处置</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并按要求做好记录台账。</w:t>
            </w:r>
          </w:p>
        </w:tc>
        <w:tc>
          <w:tcPr>
            <w:tcW w:w="461" w:type="pct"/>
            <w:vAlign w:val="center"/>
          </w:tcPr>
          <w:p w14:paraId="4427FFD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420D6A5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37" w:type="pct"/>
            <w:vAlign w:val="center"/>
          </w:tcPr>
          <w:p w14:paraId="338E8A13">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650" w:type="pct"/>
            <w:vAlign w:val="center"/>
          </w:tcPr>
          <w:p w14:paraId="43566BC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《安徽省2022年大气污染防治工作要点》（安环委办〔2022〕37号）</w:t>
            </w:r>
          </w:p>
        </w:tc>
        <w:tc>
          <w:tcPr>
            <w:tcW w:w="1881" w:type="pct"/>
            <w:vAlign w:val="center"/>
          </w:tcPr>
          <w:p w14:paraId="33BFA2C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default" w:ascii="Times New Roman" w:hAnsi="Times New Roman" w:cs="Times New Roman"/>
                <w:color w:val="000000" w:themeColor="text1"/>
                <w:spacing w:val="-12"/>
                <w:sz w:val="21"/>
                <w:szCs w:val="21"/>
                <w14:textFill>
                  <w14:solidFill>
                    <w14:schemeClr w14:val="tx1"/>
                  </w14:solidFill>
                </w14:textFill>
              </w:rPr>
              <w:t>加快产业结构转型升级。全面排查“两高”项目，实施清单管理、分类处置、动态监控，对不符合规定的坚决停批停建，科学稳妥推进符合要求的拟建项目。依法依规淘汰落后产能和化解过剩产能，严禁新增钢铁、焦化、水泥熟料、平板玻璃、电解铝等产能。（2）开展臭氧污染防治攻坚。以石化、化工、涂装、医药、包装印刷、油品储运销等行业领域为重点，开展2022年度挥发性有机物综合治理，完成挥发性有机物突出问题排查治理。严格执行涂料、油墨、胶粘剂、清洗剂VOCs含量限值标准，开展年度含VOCs原辅材料达标情况联合检查。推进实施重点行业低VOCs含量原辅材料源头替代。</w:t>
            </w:r>
          </w:p>
        </w:tc>
        <w:tc>
          <w:tcPr>
            <w:tcW w:w="1770" w:type="pct"/>
            <w:vAlign w:val="center"/>
          </w:tcPr>
          <w:p w14:paraId="647E30A9">
            <w:pPr>
              <w:spacing w:line="276" w:lineRule="auto"/>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（1）本项目为</w:t>
            </w:r>
            <w:r>
              <w:rPr>
                <w:rFonts w:hint="default" w:ascii="Times New Roman" w:hAnsi="Times New Roman" w:cs="Times New Roman"/>
                <w:color w:val="000000" w:themeColor="text1"/>
                <w:sz w:val="21"/>
                <w:szCs w:val="21"/>
                <w:lang w:eastAsia="zh-CN"/>
                <w14:textFill>
                  <w14:solidFill>
                    <w14:schemeClr w14:val="tx1"/>
                  </w14:solidFill>
                </w14:textFill>
              </w:rPr>
              <w:t>C4220非金属废料和碎屑加工处理</w:t>
            </w:r>
            <w:r>
              <w:rPr>
                <w:rFonts w:hint="default" w:ascii="Times New Roman" w:hAnsi="Times New Roman" w:cs="Times New Roman"/>
                <w:color w:val="000000" w:themeColor="text1"/>
                <w:sz w:val="21"/>
                <w:szCs w:val="21"/>
                <w14:textFill>
                  <w14:solidFill>
                    <w14:schemeClr w14:val="tx1"/>
                  </w14:solidFill>
                </w14:textFill>
              </w:rPr>
              <w:t>，对照《安徽省“两高”项目管理目录（试行）》，本项目不属于“两高”项目。</w:t>
            </w:r>
          </w:p>
          <w:p w14:paraId="2A2AAF87">
            <w:pPr>
              <w:spacing w:line="276" w:lineRule="auto"/>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（2）本项目</w:t>
            </w:r>
            <w:r>
              <w:rPr>
                <w:rFonts w:hint="default" w:ascii="Times New Roman" w:hAnsi="Times New Roman" w:cs="Times New Roman"/>
                <w:color w:val="000000" w:themeColor="text1"/>
                <w:sz w:val="21"/>
                <w:szCs w:val="21"/>
                <w:lang w:val="en-US" w:eastAsia="zh-CN"/>
                <w14:textFill>
                  <w14:solidFill>
                    <w14:schemeClr w14:val="tx1"/>
                  </w14:solidFill>
                </w14:textFill>
              </w:rPr>
              <w:t>为废旧资源综合利用</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不属于</w:t>
            </w:r>
            <w:r>
              <w:rPr>
                <w:rFonts w:hint="default" w:ascii="Times New Roman" w:hAnsi="Times New Roman" w:cs="Times New Roman"/>
                <w:color w:val="000000" w:themeColor="text1"/>
                <w:spacing w:val="-12"/>
                <w:sz w:val="21"/>
                <w:szCs w:val="21"/>
                <w14:textFill>
                  <w14:solidFill>
                    <w14:schemeClr w14:val="tx1"/>
                  </w14:solidFill>
                </w14:textFill>
              </w:rPr>
              <w:t>石化、化工、涂装、医药、包装印刷、油品储运销等行业</w:t>
            </w:r>
            <w:r>
              <w:rPr>
                <w:rFonts w:hint="default" w:ascii="Times New Roman" w:hAnsi="Times New Roman" w:cs="Times New Roman"/>
                <w:color w:val="000000" w:themeColor="text1"/>
                <w:sz w:val="21"/>
                <w:szCs w:val="21"/>
                <w14:textFill>
                  <w14:solidFill>
                    <w14:schemeClr w14:val="tx1"/>
                  </w14:solidFill>
                </w14:textFill>
              </w:rPr>
              <w:t>。</w:t>
            </w:r>
          </w:p>
        </w:tc>
        <w:tc>
          <w:tcPr>
            <w:tcW w:w="461" w:type="pct"/>
            <w:vAlign w:val="center"/>
          </w:tcPr>
          <w:p w14:paraId="1136092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067D0D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37" w:type="pct"/>
            <w:vMerge w:val="restart"/>
            <w:vAlign w:val="center"/>
          </w:tcPr>
          <w:p w14:paraId="79D36E4C">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w:t>
            </w:r>
          </w:p>
        </w:tc>
        <w:tc>
          <w:tcPr>
            <w:tcW w:w="650" w:type="pct"/>
            <w:vMerge w:val="restart"/>
            <w:vAlign w:val="center"/>
          </w:tcPr>
          <w:p w14:paraId="654886C0">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《中共中央国务院关于深入打好污染物防治攻坚战的意见》</w:t>
            </w:r>
          </w:p>
        </w:tc>
        <w:tc>
          <w:tcPr>
            <w:tcW w:w="1881" w:type="pct"/>
            <w:vAlign w:val="center"/>
          </w:tcPr>
          <w:p w14:paraId="604A8DA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坚决遏制高耗能高排放项目盲目发展。严把高耗能高排放项目准入关口，严格落实污染物排放区域削减要求，对不符合规定的项目坚决停批停建。依法依规淘汰落后产能和化解过剩产能。推动高炉一转炉长流程炼钢转型为电炉短流程炼钢。重点区域严禁新增钢铁、焦化、水泥熟料、平板玻璃、电解铝、氧化铝、煤化工产能，合理控制煤制油气产能规模，严控新增炼油产能。</w:t>
            </w:r>
          </w:p>
        </w:tc>
        <w:tc>
          <w:tcPr>
            <w:tcW w:w="1770" w:type="pct"/>
            <w:vAlign w:val="center"/>
          </w:tcPr>
          <w:p w14:paraId="4CE50A5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本项目属于</w:t>
            </w:r>
            <w:r>
              <w:rPr>
                <w:rFonts w:hint="default" w:ascii="Times New Roman" w:hAnsi="Times New Roman" w:cs="Times New Roman"/>
                <w:color w:val="000000" w:themeColor="text1"/>
                <w:sz w:val="21"/>
                <w:szCs w:val="21"/>
                <w:lang w:eastAsia="zh-CN"/>
                <w14:textFill>
                  <w14:solidFill>
                    <w14:schemeClr w14:val="tx1"/>
                  </w14:solidFill>
                </w14:textFill>
              </w:rPr>
              <w:t>C4220 非金属废料和碎屑加工处理</w:t>
            </w:r>
            <w:r>
              <w:rPr>
                <w:rFonts w:hint="default" w:ascii="Times New Roman" w:hAnsi="Times New Roman" w:cs="Times New Roman"/>
                <w:color w:val="000000" w:themeColor="text1"/>
                <w:sz w:val="21"/>
                <w:szCs w:val="21"/>
                <w14:textFill>
                  <w14:solidFill>
                    <w14:schemeClr w14:val="tx1"/>
                  </w14:solidFill>
                </w14:textFill>
              </w:rPr>
              <w:t>，不属于钢铁、焦化、水泥熟料、平板玻璃、电解铝、氧化铝、煤化工等行业。</w:t>
            </w:r>
          </w:p>
        </w:tc>
        <w:tc>
          <w:tcPr>
            <w:tcW w:w="461" w:type="pct"/>
            <w:vAlign w:val="center"/>
          </w:tcPr>
          <w:p w14:paraId="1E7B42D0">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0E4456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37" w:type="pct"/>
            <w:vMerge w:val="continue"/>
            <w:vAlign w:val="center"/>
          </w:tcPr>
          <w:p w14:paraId="603F0C4B">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50" w:type="pct"/>
            <w:vMerge w:val="continue"/>
            <w:vAlign w:val="center"/>
          </w:tcPr>
          <w:p w14:paraId="56E22A22">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881" w:type="pct"/>
            <w:vAlign w:val="center"/>
          </w:tcPr>
          <w:p w14:paraId="1E850DA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建立完善现代化生态环境监测体系。构建政府主导、部门协同、企业履责、社会参与、公众监督的生态环境监测格局，建立健全基于现代感知技术和大数据技术的生态环境监测网络，优化监测站网布局，实现环境质量、生态质量、污染源监测全覆盖。提升国家、区域流域海域和地方生态环境监测基础能力，补齐细颗粒物和臭氧协同控制、水生态环境、温室气体排放等监测短板。加强监测质量监督检查，确保数据真实、准确、全面。</w:t>
            </w:r>
          </w:p>
        </w:tc>
        <w:tc>
          <w:tcPr>
            <w:tcW w:w="1770" w:type="pct"/>
            <w:vAlign w:val="center"/>
          </w:tcPr>
          <w:p w14:paraId="12CD48AA">
            <w:pPr>
              <w:wordWrap w:val="0"/>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本评价要求企业根据《国家重点监控企业自行监测及信息公开办法（试行）》</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《排污单位自行监测技术指南总则》（HJ819-2017）、《排污许可证申请与核发技术规范废弃资源加工工业》（HJ1034—2019）</w:t>
            </w:r>
            <w:r>
              <w:rPr>
                <w:rFonts w:hint="eastAsia" w:cs="Times New Roman"/>
                <w:color w:val="000000" w:themeColor="text1"/>
                <w:sz w:val="21"/>
                <w:szCs w:val="21"/>
                <w:lang w:eastAsia="zh-CN"/>
                <w14:textFill>
                  <w14:solidFill>
                    <w14:schemeClr w14:val="tx1"/>
                  </w14:solidFill>
                </w14:textFill>
              </w:rPr>
              <w:t>、《排污许可证申请与核发技术规范橡胶和塑料制品工业》（HJ1122—2020）</w:t>
            </w:r>
            <w:r>
              <w:rPr>
                <w:rFonts w:hint="default" w:ascii="Times New Roman" w:hAnsi="Times New Roman" w:cs="Times New Roman"/>
                <w:color w:val="000000" w:themeColor="text1"/>
                <w:sz w:val="21"/>
                <w:szCs w:val="21"/>
                <w14:textFill>
                  <w14:solidFill>
                    <w14:schemeClr w14:val="tx1"/>
                  </w14:solidFill>
                </w14:textFill>
              </w:rPr>
              <w:t>等要求自行监测和环境信息公开。</w:t>
            </w:r>
          </w:p>
        </w:tc>
        <w:tc>
          <w:tcPr>
            <w:tcW w:w="461" w:type="pct"/>
            <w:vAlign w:val="center"/>
          </w:tcPr>
          <w:p w14:paraId="21035D4E">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420F32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37" w:type="pct"/>
            <w:vAlign w:val="center"/>
          </w:tcPr>
          <w:p w14:paraId="2985A185">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c>
          <w:tcPr>
            <w:tcW w:w="650" w:type="pct"/>
            <w:vAlign w:val="center"/>
          </w:tcPr>
          <w:p w14:paraId="1CAB958E">
            <w:pPr>
              <w:pStyle w:val="34"/>
              <w:spacing w:after="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《关于印发&lt;2020年挥发性有机物治理攻坚方案&gt;的通知》（环大气[2020]33号）</w:t>
            </w:r>
          </w:p>
        </w:tc>
        <w:tc>
          <w:tcPr>
            <w:tcW w:w="1881" w:type="pct"/>
            <w:vAlign w:val="center"/>
          </w:tcPr>
          <w:p w14:paraId="73016556">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2020年7月1日起，全面执行《挥发性有机物无组织排放控制标准》，重点区域应落实无组织排放特别控制要求。</w:t>
            </w:r>
          </w:p>
        </w:tc>
        <w:tc>
          <w:tcPr>
            <w:tcW w:w="1770" w:type="pct"/>
            <w:vAlign w:val="center"/>
          </w:tcPr>
          <w:p w14:paraId="0BE2B818">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本项目挥发性有机废气无组织排放执行《固定源挥发性有机物综合排放标准 第6部分其他行业》（DB34 4812.6-2024）中</w:t>
            </w:r>
            <w:r>
              <w:rPr>
                <w:rFonts w:hint="eastAsia" w:cs="Times New Roman"/>
                <w:color w:val="000000" w:themeColor="text1"/>
                <w:sz w:val="21"/>
                <w:szCs w:val="21"/>
                <w:lang w:val="en-US" w:eastAsia="zh-CN"/>
                <w14:textFill>
                  <w14:solidFill>
                    <w14:schemeClr w14:val="tx1"/>
                  </w14:solidFill>
                </w14:textFill>
              </w:rPr>
              <w:t>排放限制</w:t>
            </w:r>
            <w:r>
              <w:rPr>
                <w:rFonts w:hint="default" w:ascii="Times New Roman" w:hAnsi="Times New Roman" w:cs="Times New Roman"/>
                <w:color w:val="000000" w:themeColor="text1"/>
                <w:sz w:val="21"/>
                <w:szCs w:val="21"/>
                <w14:textFill>
                  <w14:solidFill>
                    <w14:schemeClr w14:val="tx1"/>
                  </w14:solidFill>
                </w14:textFill>
              </w:rPr>
              <w:t>要求。</w:t>
            </w:r>
          </w:p>
        </w:tc>
        <w:tc>
          <w:tcPr>
            <w:tcW w:w="461" w:type="pct"/>
            <w:vAlign w:val="center"/>
          </w:tcPr>
          <w:p w14:paraId="5EA1E289">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14:paraId="340627B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37" w:type="pct"/>
            <w:vAlign w:val="center"/>
          </w:tcPr>
          <w:p w14:paraId="307A7634">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1</w:t>
            </w:r>
          </w:p>
        </w:tc>
        <w:tc>
          <w:tcPr>
            <w:tcW w:w="650" w:type="pct"/>
            <w:vAlign w:val="center"/>
          </w:tcPr>
          <w:p w14:paraId="2D3C6DEA">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《关于进一步加强危险废物环境治理严密防控环境风险的指导意见》（环固体〔2025〕10号）</w:t>
            </w:r>
          </w:p>
        </w:tc>
        <w:tc>
          <w:tcPr>
            <w:tcW w:w="1881" w:type="pct"/>
            <w:vAlign w:val="center"/>
          </w:tcPr>
          <w:p w14:paraId="4C798100">
            <w:pPr>
              <w:pStyle w:val="34"/>
              <w:spacing w:after="0" w:line="276"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促进再生利用。推广危险废物利用先进技术，推动健全危险废物循环利用体系。深化“无废集团”“无废园区”建设试点，引导有条件的大型企业集团和工业园区内部共享危险废物利用处置设施，推动危险废物“点对点”定向利用，简化手续，减轻负担。支持建设重点区域废活性炭再生中心，促进治理大气污染的废活性炭循环利用，降低治理成本。</w:t>
            </w:r>
          </w:p>
        </w:tc>
        <w:tc>
          <w:tcPr>
            <w:tcW w:w="1770" w:type="pct"/>
            <w:vAlign w:val="center"/>
          </w:tcPr>
          <w:p w14:paraId="34445A35">
            <w:pPr>
              <w:pStyle w:val="34"/>
              <w:spacing w:after="0"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本项目产生的一般工业固体废物主要有分选</w:t>
            </w:r>
            <w:r>
              <w:rPr>
                <w:rFonts w:hint="eastAsia" w:cs="Times New Roman"/>
                <w:color w:val="000000" w:themeColor="text1"/>
                <w:kern w:val="2"/>
                <w:sz w:val="21"/>
                <w:szCs w:val="21"/>
                <w:lang w:val="en-US" w:eastAsia="zh-CN"/>
                <w14:textFill>
                  <w14:solidFill>
                    <w14:schemeClr w14:val="tx1"/>
                  </w14:solidFill>
                </w14:textFill>
              </w:rPr>
              <w:t>固体</w:t>
            </w:r>
            <w:r>
              <w:rPr>
                <w:rFonts w:hint="default" w:ascii="Times New Roman" w:hAnsi="Times New Roman" w:cs="Times New Roman"/>
                <w:color w:val="000000" w:themeColor="text1"/>
                <w:kern w:val="2"/>
                <w:sz w:val="21"/>
                <w:szCs w:val="21"/>
                <w14:textFill>
                  <w14:solidFill>
                    <w14:schemeClr w14:val="tx1"/>
                  </w14:solidFill>
                </w14:textFill>
              </w:rPr>
              <w:t>杂质、废标签纸、废瓶盖、废包装材料、污水站污泥、布袋收集粉尘等，暂存于一般工业固体废物暂存库中，其中废标签纸和废瓶盖回用于生产</w:t>
            </w:r>
            <w:r>
              <w:rPr>
                <w:rFonts w:hint="eastAsia" w:cs="Times New Roman"/>
                <w:color w:val="000000" w:themeColor="text1"/>
                <w:kern w:val="2"/>
                <w:sz w:val="21"/>
                <w:szCs w:val="21"/>
                <w:lang w:val="en-US" w:eastAsia="zh-CN"/>
                <w14:textFill>
                  <w14:solidFill>
                    <w14:schemeClr w14:val="tx1"/>
                  </w14:solidFill>
                </w14:textFill>
              </w:rPr>
              <w:t>处理</w:t>
            </w:r>
            <w:r>
              <w:rPr>
                <w:rFonts w:hint="default" w:ascii="Times New Roman" w:hAnsi="Times New Roman" w:cs="Times New Roman"/>
                <w:color w:val="000000" w:themeColor="text1"/>
                <w:kern w:val="2"/>
                <w:sz w:val="21"/>
                <w:szCs w:val="21"/>
                <w14:textFill>
                  <w14:solidFill>
                    <w14:schemeClr w14:val="tx1"/>
                  </w14:solidFill>
                </w14:textFill>
              </w:rPr>
              <w:t>后作为产品外售，其他外售综合利用；项目产生的危险废物主要为废活性炭、废机油、含油抹布及手套等，暂存于危险废物暂存仓库中，定期交由有资质单位处置</w:t>
            </w:r>
            <w:r>
              <w:rPr>
                <w:rFonts w:hint="default" w:ascii="Times New Roman" w:hAnsi="Times New Roman" w:cs="Times New Roman"/>
                <w:color w:val="000000" w:themeColor="text1"/>
                <w:kern w:val="2"/>
                <w:sz w:val="21"/>
                <w:szCs w:val="21"/>
                <w:lang w:eastAsia="zh-CN"/>
                <w14:textFill>
                  <w14:solidFill>
                    <w14:schemeClr w14:val="tx1"/>
                  </w14:solidFill>
                </w14:textFill>
              </w:rPr>
              <w:t>。</w:t>
            </w:r>
          </w:p>
        </w:tc>
        <w:tc>
          <w:tcPr>
            <w:tcW w:w="461" w:type="pct"/>
            <w:vAlign w:val="center"/>
          </w:tcPr>
          <w:p w14:paraId="33F767F0">
            <w:pPr>
              <w:pStyle w:val="34"/>
              <w:spacing w:after="0"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bl>
    <w:p w14:paraId="48A5CDA3">
      <w:pPr>
        <w:pStyle w:val="3159"/>
        <w:rPr>
          <w:rFonts w:hint="default" w:ascii="Times New Roman" w:hAnsi="Times New Roman" w:eastAsia="黑体" w:cs="Times New Roman"/>
          <w:b w:val="0"/>
          <w:color w:val="000000" w:themeColor="text1"/>
          <w14:textFill>
            <w14:solidFill>
              <w14:schemeClr w14:val="tx1"/>
            </w14:solidFill>
          </w14:textFill>
        </w:rPr>
      </w:pPr>
      <w:bookmarkStart w:id="41" w:name="_Toc173837633"/>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6</w:t>
      </w:r>
      <w:r>
        <w:rPr>
          <w:rFonts w:hint="default" w:ascii="Times New Roman" w:hAnsi="Times New Roman" w:eastAsia="黑体" w:cs="Times New Roman"/>
          <w:b w:val="0"/>
          <w:color w:val="000000" w:themeColor="text1"/>
          <w14:textFill>
            <w14:solidFill>
              <w14:schemeClr w14:val="tx1"/>
            </w14:solidFill>
          </w14:textFill>
        </w:rPr>
        <w:t>.3项目相关标准、技术规范的符合性分析</w:t>
      </w:r>
      <w:bookmarkEnd w:id="41"/>
    </w:p>
    <w:p w14:paraId="36E74A72">
      <w:pPr>
        <w:spacing w:line="360" w:lineRule="auto"/>
        <w:jc w:val="center"/>
        <w:rPr>
          <w:rFonts w:hint="default" w:ascii="Times New Roman" w:hAnsi="Times New Roman" w:eastAsia="黑体" w:cs="Times New Roman"/>
          <w:bCs/>
          <w:color w:val="000000" w:themeColor="text1"/>
          <w:sz w:val="24"/>
          <w:szCs w:val="24"/>
          <w14:textFill>
            <w14:solidFill>
              <w14:schemeClr w14:val="tx1"/>
            </w14:solidFill>
          </w14:textFill>
        </w:rPr>
      </w:pPr>
    </w:p>
    <w:p w14:paraId="7055BF15">
      <w:pPr>
        <w:spacing w:line="360" w:lineRule="auto"/>
        <w:jc w:val="center"/>
        <w:rPr>
          <w:rFonts w:hint="default" w:ascii="Times New Roman" w:hAnsi="Times New Roman" w:eastAsia="黑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黑体" w:cs="Times New Roman"/>
          <w:bCs/>
          <w:color w:val="000000" w:themeColor="text1"/>
          <w:sz w:val="24"/>
          <w:szCs w:val="24"/>
          <w14:textFill>
            <w14:solidFill>
              <w14:schemeClr w14:val="tx1"/>
            </w14:solidFill>
          </w14:textFill>
        </w:rPr>
        <w:t>表2.</w:t>
      </w:r>
      <w:r>
        <w:rPr>
          <w:rFonts w:hint="eastAsia" w:eastAsia="黑体" w:cs="Times New Roman"/>
          <w:bCs/>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bCs/>
          <w:color w:val="000000" w:themeColor="text1"/>
          <w:sz w:val="24"/>
          <w:szCs w:val="24"/>
          <w14:textFill>
            <w14:solidFill>
              <w14:schemeClr w14:val="tx1"/>
            </w14:solidFill>
          </w14:textFill>
        </w:rPr>
        <w:t>-</w:t>
      </w:r>
      <w:r>
        <w:rPr>
          <w:rFonts w:hint="default" w:ascii="Times New Roman" w:hAnsi="Times New Roman" w:eastAsia="黑体" w:cs="Times New Roman"/>
          <w:bCs/>
          <w:color w:val="000000" w:themeColor="text1"/>
          <w:sz w:val="24"/>
          <w:szCs w:val="24"/>
          <w:lang w:val="en-US" w:eastAsia="zh-CN"/>
          <w14:textFill>
            <w14:solidFill>
              <w14:schemeClr w14:val="tx1"/>
            </w14:solidFill>
          </w14:textFill>
        </w:rPr>
        <w:t>5</w:t>
      </w:r>
      <w:r>
        <w:rPr>
          <w:rFonts w:hint="default" w:ascii="Times New Roman" w:hAnsi="Times New Roman" w:eastAsia="黑体" w:cs="Times New Roman"/>
          <w:bCs/>
          <w:color w:val="000000" w:themeColor="text1"/>
          <w:sz w:val="24"/>
          <w:szCs w:val="24"/>
          <w14:textFill>
            <w14:solidFill>
              <w14:schemeClr w14:val="tx1"/>
            </w14:solidFill>
          </w14:textFill>
        </w:rPr>
        <w:t>项目与《废塑料回收与再生污染控制技术规范（试行）》（HJ/T364-2007）相符性</w:t>
      </w:r>
      <w:r>
        <w:rPr>
          <w:rFonts w:hint="default" w:ascii="Times New Roman" w:hAnsi="Times New Roman" w:eastAsia="黑体" w:cs="Times New Roman"/>
          <w:bCs/>
          <w:color w:val="000000" w:themeColor="text1"/>
          <w:sz w:val="24"/>
          <w:szCs w:val="24"/>
          <w:lang w:val="en-US" w:eastAsia="zh-CN"/>
          <w14:textFill>
            <w14:solidFill>
              <w14:schemeClr w14:val="tx1"/>
            </w14:solidFill>
          </w14:textFill>
        </w:rPr>
        <w:t>分析</w:t>
      </w:r>
    </w:p>
    <w:tbl>
      <w:tblPr>
        <w:tblStyle w:val="4092"/>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02"/>
        <w:gridCol w:w="6808"/>
        <w:gridCol w:w="5298"/>
        <w:gridCol w:w="943"/>
      </w:tblGrid>
      <w:tr w14:paraId="129774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23" w:type="pct"/>
            <w:tcBorders>
              <w:top w:val="single" w:color="000000" w:sz="10" w:space="0"/>
              <w:left w:val="nil"/>
              <w:right w:val="single" w:color="000000" w:sz="4" w:space="0"/>
            </w:tcBorders>
            <w:vAlign w:val="center"/>
          </w:tcPr>
          <w:p w14:paraId="41093CF5">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w:t>
            </w:r>
          </w:p>
        </w:tc>
        <w:tc>
          <w:tcPr>
            <w:tcW w:w="2439" w:type="pct"/>
            <w:tcBorders>
              <w:top w:val="single" w:color="000000" w:sz="10" w:space="0"/>
              <w:left w:val="single" w:color="000000" w:sz="4" w:space="0"/>
              <w:right w:val="single" w:color="000000" w:sz="4" w:space="0"/>
            </w:tcBorders>
            <w:vAlign w:val="center"/>
          </w:tcPr>
          <w:p w14:paraId="57BDA83F">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具体要求</w:t>
            </w:r>
          </w:p>
        </w:tc>
        <w:tc>
          <w:tcPr>
            <w:tcW w:w="1898" w:type="pct"/>
            <w:tcBorders>
              <w:top w:val="single" w:color="000000" w:sz="10" w:space="0"/>
              <w:left w:val="single" w:color="000000" w:sz="4" w:space="0"/>
              <w:right w:val="single" w:color="000000" w:sz="4" w:space="0"/>
            </w:tcBorders>
            <w:vAlign w:val="center"/>
          </w:tcPr>
          <w:p w14:paraId="167A92F2">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本项目情况</w:t>
            </w:r>
          </w:p>
        </w:tc>
        <w:tc>
          <w:tcPr>
            <w:tcW w:w="338" w:type="pct"/>
            <w:tcBorders>
              <w:top w:val="single" w:color="000000" w:sz="10" w:space="0"/>
              <w:left w:val="single" w:color="000000" w:sz="4" w:space="0"/>
              <w:right w:val="nil"/>
            </w:tcBorders>
            <w:vAlign w:val="center"/>
          </w:tcPr>
          <w:p w14:paraId="0682D880">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是否符</w:t>
            </w:r>
          </w:p>
          <w:p w14:paraId="13B73F4C">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合要求</w:t>
            </w:r>
          </w:p>
        </w:tc>
      </w:tr>
      <w:tr w14:paraId="604046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23" w:type="pct"/>
            <w:tcBorders>
              <w:left w:val="nil"/>
              <w:right w:val="single" w:color="000000" w:sz="4" w:space="0"/>
            </w:tcBorders>
            <w:vAlign w:val="center"/>
          </w:tcPr>
          <w:p w14:paraId="3F333D99">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回收与运输</w:t>
            </w:r>
          </w:p>
        </w:tc>
        <w:tc>
          <w:tcPr>
            <w:tcW w:w="2439" w:type="pct"/>
            <w:tcBorders>
              <w:left w:val="single" w:color="000000" w:sz="4" w:space="0"/>
              <w:right w:val="single" w:color="000000" w:sz="4" w:space="0"/>
            </w:tcBorders>
            <w:vAlign w:val="center"/>
          </w:tcPr>
          <w:p w14:paraId="49E211C2">
            <w:pPr>
              <w:pStyle w:val="34"/>
              <w:numPr>
                <w:ilvl w:val="0"/>
                <w:numId w:val="1"/>
              </w:numPr>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废塑料的回收应按原料树脂种类进行分类回收，并严格区分废塑料来源和原用途。不得回收和再生利用属于医疗废物和危险废物的废塑料；</w:t>
            </w:r>
          </w:p>
          <w:p w14:paraId="6AA1B081">
            <w:pPr>
              <w:pStyle w:val="34"/>
              <w:numPr>
                <w:ilvl w:val="0"/>
                <w:numId w:val="1"/>
              </w:numPr>
              <w:spacing w:after="0" w:line="276" w:lineRule="auto"/>
              <w:ind w:left="0" w:leftChars="0"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含卤素废塑料的回收和再生利用应与其他废塑料分开进行；</w:t>
            </w:r>
          </w:p>
          <w:p w14:paraId="61EEC4C1">
            <w:pPr>
              <w:pStyle w:val="34"/>
              <w:numPr>
                <w:ilvl w:val="0"/>
                <w:numId w:val="1"/>
              </w:numPr>
              <w:spacing w:after="0" w:line="276" w:lineRule="auto"/>
              <w:ind w:left="0" w:leftChars="0"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废塑料的回收过程中不得进行就地清洗，如需进行减容破碎处理，应使用干法破碎技术，并配备相应的防尘、防噪声设备；</w:t>
            </w:r>
          </w:p>
          <w:p w14:paraId="415D925D">
            <w:pPr>
              <w:pStyle w:val="34"/>
              <w:numPr>
                <w:ilvl w:val="0"/>
                <w:numId w:val="0"/>
              </w:numPr>
              <w:spacing w:after="0" w:line="276" w:lineRule="auto"/>
              <w:ind w:left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 、废塑料的回收过程中应避免遗洒；废塑料运输前应进行包装，或用封闭的交通工具运输，不得裸露运输废塑料。</w:t>
            </w:r>
          </w:p>
        </w:tc>
        <w:tc>
          <w:tcPr>
            <w:tcW w:w="1898" w:type="pct"/>
            <w:tcBorders>
              <w:left w:val="single" w:color="000000" w:sz="4" w:space="0"/>
              <w:right w:val="single" w:color="000000" w:sz="4" w:space="0"/>
            </w:tcBorders>
            <w:vAlign w:val="center"/>
          </w:tcPr>
          <w:p w14:paraId="20F9A0FC">
            <w:pPr>
              <w:pStyle w:val="34"/>
              <w:numPr>
                <w:ilvl w:val="0"/>
                <w:numId w:val="2"/>
              </w:numPr>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本项目废塑料仅回收PET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塑料</w:t>
            </w:r>
            <w:r>
              <w:rPr>
                <w:rFonts w:hint="default" w:ascii="Times New Roman" w:hAnsi="Times New Roman" w:eastAsia="宋体" w:cs="Times New Roman"/>
                <w:color w:val="000000" w:themeColor="text1"/>
                <w:sz w:val="21"/>
                <w:szCs w:val="21"/>
                <w14:textFill>
                  <w14:solidFill>
                    <w14:schemeClr w14:val="tx1"/>
                  </w14:solidFill>
                </w14:textFill>
              </w:rPr>
              <w:t>瓶，不回收和再生利用属于医疗废物和危险废物的废塑料</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5899AC56">
            <w:pPr>
              <w:pStyle w:val="34"/>
              <w:numPr>
                <w:ilvl w:val="0"/>
                <w:numId w:val="0"/>
              </w:numPr>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2、本项目不回收含卤素废塑料；</w:t>
            </w:r>
          </w:p>
          <w:p w14:paraId="7F5B8985">
            <w:pPr>
              <w:pStyle w:val="34"/>
              <w:numPr>
                <w:ilvl w:val="0"/>
                <w:numId w:val="0"/>
              </w:numPr>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3、本项目外购PET瓶砖在厂房内严格要求各个清洗环节，无需进行减容破碎处理，不就地清洗</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334592D3">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4、运输前应进行捆扎包装或袋装，采用专门运输车辆运输，不会发生遗洒现象。</w:t>
            </w:r>
          </w:p>
        </w:tc>
        <w:tc>
          <w:tcPr>
            <w:tcW w:w="338" w:type="pct"/>
            <w:tcBorders>
              <w:left w:val="single" w:color="000000" w:sz="4" w:space="0"/>
              <w:right w:val="nil"/>
            </w:tcBorders>
            <w:vAlign w:val="center"/>
          </w:tcPr>
          <w:p w14:paraId="50170DFA">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68AEC9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23" w:type="pct"/>
            <w:tcBorders>
              <w:left w:val="nil"/>
              <w:right w:val="single" w:color="000000" w:sz="4" w:space="0"/>
            </w:tcBorders>
            <w:vAlign w:val="center"/>
          </w:tcPr>
          <w:p w14:paraId="31197C2D">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贮存</w:t>
            </w:r>
          </w:p>
        </w:tc>
        <w:tc>
          <w:tcPr>
            <w:tcW w:w="2439" w:type="pct"/>
            <w:tcBorders>
              <w:left w:val="single" w:color="000000" w:sz="4" w:space="0"/>
              <w:right w:val="single" w:color="000000" w:sz="4" w:space="0"/>
            </w:tcBorders>
            <w:vAlign w:val="center"/>
          </w:tcPr>
          <w:p w14:paraId="17326F27">
            <w:pPr>
              <w:pStyle w:val="34"/>
              <w:numPr>
                <w:ilvl w:val="0"/>
                <w:numId w:val="3"/>
              </w:numPr>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废塑料贮存在通过环保审批的专门贮存场所内</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6E3A11ED">
            <w:pPr>
              <w:pStyle w:val="34"/>
              <w:numPr>
                <w:ilvl w:val="0"/>
                <w:numId w:val="3"/>
              </w:numPr>
              <w:spacing w:after="0" w:line="276" w:lineRule="auto"/>
              <w:ind w:left="0" w:leftChars="0" w:firstLine="0" w:firstLine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贮存场所封闭或半封闭，有防雨、防晒、防尘、防扬散、防火措施</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4D80BC8A">
            <w:pPr>
              <w:pStyle w:val="34"/>
              <w:numPr>
                <w:ilvl w:val="0"/>
                <w:numId w:val="0"/>
              </w:numPr>
              <w:spacing w:after="0" w:line="276" w:lineRule="auto"/>
              <w:ind w:left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3、废塑料按种类、来源分开存放</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898" w:type="pct"/>
            <w:tcBorders>
              <w:left w:val="single" w:color="000000" w:sz="4" w:space="0"/>
              <w:right w:val="single" w:color="000000" w:sz="4" w:space="0"/>
            </w:tcBorders>
            <w:vAlign w:val="center"/>
          </w:tcPr>
          <w:p w14:paraId="3AAC2C97">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1、本项目要求建设专门的原材料堆放区；</w:t>
            </w:r>
          </w:p>
          <w:p w14:paraId="4C8F8A30">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2、项目原材料堆放区具备防雨、防晒、防尘、防扬散、防火等措施；</w:t>
            </w:r>
          </w:p>
          <w:p w14:paraId="23938600">
            <w:pPr>
              <w:pStyle w:val="34"/>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3、原料进厂区后要求企业按种类、来源分区存放</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338" w:type="pct"/>
            <w:tcBorders>
              <w:left w:val="single" w:color="000000" w:sz="4" w:space="0"/>
              <w:right w:val="nil"/>
            </w:tcBorders>
            <w:vAlign w:val="center"/>
          </w:tcPr>
          <w:p w14:paraId="0266600B">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26DF9F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23" w:type="pct"/>
            <w:tcBorders>
              <w:left w:val="nil"/>
              <w:right w:val="single" w:color="000000" w:sz="4" w:space="0"/>
            </w:tcBorders>
            <w:vAlign w:val="center"/>
          </w:tcPr>
          <w:p w14:paraId="2E189302">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预处理</w:t>
            </w:r>
          </w:p>
        </w:tc>
        <w:tc>
          <w:tcPr>
            <w:tcW w:w="2439" w:type="pct"/>
            <w:tcBorders>
              <w:left w:val="single" w:color="000000" w:sz="4" w:space="0"/>
              <w:right w:val="single" w:color="000000" w:sz="4" w:space="0"/>
            </w:tcBorders>
            <w:vAlign w:val="center"/>
          </w:tcPr>
          <w:p w14:paraId="34402632">
            <w:pPr>
              <w:pStyle w:val="34"/>
              <w:numPr>
                <w:ilvl w:val="0"/>
                <w:numId w:val="4"/>
              </w:numPr>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预处理工艺遵循先进、稳定、无二次污染的原则，采用节能、高效、低污染的技术设备；机械化和自动化作业，减少手工操作</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2C3847E9">
            <w:pPr>
              <w:pStyle w:val="34"/>
              <w:numPr>
                <w:ilvl w:val="0"/>
                <w:numId w:val="4"/>
              </w:numPr>
              <w:spacing w:after="0" w:line="276" w:lineRule="auto"/>
              <w:ind w:left="0" w:leftChars="0" w:firstLine="0" w:firstLine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废塑料人工分选确保操作人员的健康和安全</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78B1EA2A">
            <w:pPr>
              <w:pStyle w:val="34"/>
              <w:numPr>
                <w:ilvl w:val="0"/>
                <w:numId w:val="4"/>
              </w:numPr>
              <w:spacing w:after="0" w:line="276" w:lineRule="auto"/>
              <w:ind w:left="0" w:leftChars="0" w:firstLine="0" w:firstLine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根据塑料来源和污染情况选择清洗工艺，化学清洗不得使用有毒有害化学清洗剂</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73A31424">
            <w:pPr>
              <w:pStyle w:val="34"/>
              <w:numPr>
                <w:ilvl w:val="0"/>
                <w:numId w:val="4"/>
              </w:numPr>
              <w:spacing w:after="0" w:line="276" w:lineRule="auto"/>
              <w:ind w:left="0" w:leftChars="0" w:firstLine="0" w:firstLine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塑料破碎应配有防治粉尘和噪声污染的设备</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78125940">
            <w:pPr>
              <w:pStyle w:val="34"/>
              <w:numPr>
                <w:ilvl w:val="0"/>
                <w:numId w:val="0"/>
              </w:numPr>
              <w:spacing w:after="0" w:line="276" w:lineRule="auto"/>
              <w:ind w:left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5、人工干燥宜采用节能高效技术， 自然干燥应采取防风措施</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898" w:type="pct"/>
            <w:tcBorders>
              <w:left w:val="single" w:color="000000" w:sz="4" w:space="0"/>
              <w:right w:val="single" w:color="000000" w:sz="4" w:space="0"/>
            </w:tcBorders>
            <w:vAlign w:val="center"/>
          </w:tcPr>
          <w:p w14:paraId="35FC10BE">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1、本项目预处理工序</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采用全自动分选设备作业，</w:t>
            </w:r>
            <w:r>
              <w:rPr>
                <w:rFonts w:hint="default" w:ascii="Times New Roman" w:hAnsi="Times New Roman" w:eastAsia="宋体" w:cs="Times New Roman"/>
                <w:color w:val="000000" w:themeColor="text1"/>
                <w:sz w:val="21"/>
                <w:szCs w:val="21"/>
                <w14:textFill>
                  <w14:solidFill>
                    <w14:schemeClr w14:val="tx1"/>
                  </w14:solidFill>
                </w14:textFill>
              </w:rPr>
              <w:t>分选杂物分类收集、外售，无二次污染；</w:t>
            </w:r>
          </w:p>
          <w:p w14:paraId="1A38516E">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、本项目清洗工艺采用预洗、强力摩擦清洗、漂洗、脱水等工序，不使用有毒有害化学清洗剂；</w:t>
            </w:r>
          </w:p>
          <w:p w14:paraId="48AE728E">
            <w:pPr>
              <w:pStyle w:val="34"/>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、项目破碎配有减振措施，湿法破碎</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005477B9">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、本项目干燥主要为风干及</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电</w:t>
            </w:r>
            <w:r>
              <w:rPr>
                <w:rFonts w:hint="default" w:ascii="Times New Roman" w:hAnsi="Times New Roman" w:eastAsia="宋体" w:cs="Times New Roman"/>
                <w:color w:val="000000" w:themeColor="text1"/>
                <w:sz w:val="21"/>
                <w:szCs w:val="21"/>
                <w14:textFill>
                  <w14:solidFill>
                    <w14:schemeClr w14:val="tx1"/>
                  </w14:solidFill>
                </w14:textFill>
              </w:rPr>
              <w:t>加热烘干。</w:t>
            </w:r>
          </w:p>
        </w:tc>
        <w:tc>
          <w:tcPr>
            <w:tcW w:w="338" w:type="pct"/>
            <w:tcBorders>
              <w:left w:val="single" w:color="000000" w:sz="4" w:space="0"/>
              <w:right w:val="nil"/>
            </w:tcBorders>
            <w:vAlign w:val="center"/>
          </w:tcPr>
          <w:p w14:paraId="205527B9">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353CD6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23" w:type="pct"/>
            <w:tcBorders>
              <w:left w:val="nil"/>
              <w:bottom w:val="single" w:color="000000" w:sz="10" w:space="0"/>
              <w:right w:val="single" w:color="000000" w:sz="4" w:space="0"/>
            </w:tcBorders>
            <w:vAlign w:val="center"/>
          </w:tcPr>
          <w:p w14:paraId="382C889D">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建设项目环境保护</w:t>
            </w:r>
          </w:p>
        </w:tc>
        <w:tc>
          <w:tcPr>
            <w:tcW w:w="2439" w:type="pct"/>
            <w:tcBorders>
              <w:left w:val="single" w:color="000000" w:sz="4" w:space="0"/>
              <w:bottom w:val="single" w:color="000000" w:sz="10" w:space="0"/>
              <w:right w:val="single" w:color="000000" w:sz="4" w:space="0"/>
            </w:tcBorders>
            <w:vAlign w:val="center"/>
          </w:tcPr>
          <w:p w14:paraId="18E8FE53">
            <w:pPr>
              <w:pStyle w:val="34"/>
              <w:numPr>
                <w:ilvl w:val="0"/>
                <w:numId w:val="5"/>
              </w:numPr>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废塑料再生利用项目必须经过县级以上地方人民政府环境保护行政主管部门的审批，严格执行环境影响评价和“三同时”制度</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672D80DF">
            <w:pPr>
              <w:pStyle w:val="34"/>
              <w:numPr>
                <w:ilvl w:val="0"/>
                <w:numId w:val="5"/>
              </w:numPr>
              <w:spacing w:after="0" w:line="276" w:lineRule="auto"/>
              <w:ind w:left="0" w:leftChars="0" w:firstLine="0" w:firstLine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新建项目选址应符合环境保护要求，不得建在城市居民区、商业区及其他环境敏感区内，若在，需限期迁址</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10896350">
            <w:pPr>
              <w:pStyle w:val="34"/>
              <w:numPr>
                <w:ilvl w:val="0"/>
                <w:numId w:val="5"/>
              </w:numPr>
              <w:spacing w:after="0" w:line="276" w:lineRule="auto"/>
              <w:ind w:left="0" w:leftChars="0" w:firstLine="0" w:firstLine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再生利用项目必须建有围墙并按功能划分厂区，各功能区应有明显的界线和标志</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3A506F98">
            <w:pPr>
              <w:pStyle w:val="34"/>
              <w:numPr>
                <w:ilvl w:val="0"/>
                <w:numId w:val="0"/>
              </w:numPr>
              <w:spacing w:after="0" w:line="276" w:lineRule="auto"/>
              <w:ind w:left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4、功能区设施封闭或半封闭，采取防风、防雨、防渗、防火等措施，有足够的疏散通道</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898" w:type="pct"/>
            <w:tcBorders>
              <w:left w:val="single" w:color="000000" w:sz="4" w:space="0"/>
              <w:bottom w:val="single" w:color="000000" w:sz="10" w:space="0"/>
              <w:right w:val="single" w:color="000000" w:sz="4" w:space="0"/>
            </w:tcBorders>
            <w:vAlign w:val="center"/>
          </w:tcPr>
          <w:p w14:paraId="0D2F7E6E">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1、本环评要求企业严格执行环境影响评价和“三同时”制度；</w:t>
            </w:r>
          </w:p>
          <w:p w14:paraId="722005E5">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2、项目位于</w:t>
            </w:r>
            <w:r>
              <w:rPr>
                <w:rFonts w:hint="default" w:ascii="Times New Roman" w:hAnsi="Times New Roman" w:eastAsia="宋体" w:cs="Times New Roman"/>
                <w:color w:val="000000" w:themeColor="text1"/>
                <w:sz w:val="21"/>
                <w:szCs w:val="21"/>
                <w:lang w:eastAsia="zh-CN"/>
                <w14:textFill>
                  <w14:solidFill>
                    <w14:schemeClr w14:val="tx1"/>
                  </w14:solidFill>
                </w14:textFill>
              </w:rPr>
              <w:t>安徽省淮南市毛集社会发展综合实验区</w:t>
            </w:r>
            <w:r>
              <w:rPr>
                <w:rFonts w:hint="default" w:ascii="Times New Roman" w:hAnsi="Times New Roman" w:eastAsia="宋体" w:cs="Times New Roman"/>
                <w:color w:val="000000" w:themeColor="text1"/>
                <w:sz w:val="21"/>
                <w:szCs w:val="21"/>
                <w14:textFill>
                  <w14:solidFill>
                    <w14:schemeClr w14:val="tx1"/>
                  </w14:solidFill>
                </w14:textFill>
              </w:rPr>
              <w:t>，属新兴工业园，租赁现有空置厂房进行生产，项目用地为工业用地，未建在城市居民区、商业区及其他环境敏感区内；</w:t>
            </w:r>
          </w:p>
          <w:p w14:paraId="73393906">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3、本项目规划建设单独的围墙，并将生产区、备料区、原料区按功能划分区域，并配有明显的界线和标志；</w:t>
            </w:r>
          </w:p>
          <w:p w14:paraId="3C1D6DE9">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4、本项目划分后的功能区均处于封闭及的厂房内，防风、防雨、防渗、防火等措施齐全，有足够的疏散通道。</w:t>
            </w:r>
          </w:p>
        </w:tc>
        <w:tc>
          <w:tcPr>
            <w:tcW w:w="338" w:type="pct"/>
            <w:tcBorders>
              <w:left w:val="single" w:color="000000" w:sz="4" w:space="0"/>
              <w:bottom w:val="single" w:color="000000" w:sz="10" w:space="0"/>
              <w:right w:val="nil"/>
            </w:tcBorders>
            <w:vAlign w:val="center"/>
          </w:tcPr>
          <w:p w14:paraId="0A867ABA">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77E3BA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23" w:type="pct"/>
            <w:tcBorders>
              <w:top w:val="single" w:color="000000" w:sz="10" w:space="0"/>
              <w:left w:val="nil"/>
              <w:bottom w:val="single" w:color="000000" w:sz="2" w:space="0"/>
            </w:tcBorders>
            <w:vAlign w:val="center"/>
          </w:tcPr>
          <w:p w14:paraId="3B007FA9">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污染控制</w:t>
            </w:r>
          </w:p>
        </w:tc>
        <w:tc>
          <w:tcPr>
            <w:tcW w:w="2439" w:type="pct"/>
            <w:tcBorders>
              <w:top w:val="single" w:color="000000" w:sz="10" w:space="0"/>
              <w:bottom w:val="single" w:color="000000" w:sz="2" w:space="0"/>
            </w:tcBorders>
            <w:vAlign w:val="center"/>
          </w:tcPr>
          <w:p w14:paraId="1867A3A3">
            <w:pPr>
              <w:pStyle w:val="34"/>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1、企业应有废水收集设施，宜在厂区内处理并循环利用</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0F31C38B">
            <w:pPr>
              <w:pStyle w:val="34"/>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2、企业应有集气装置收集废气</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2D9F6BA2">
            <w:pPr>
              <w:pStyle w:val="34"/>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3、预处理和再生利用过程应控制噪声污染</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5FCA6F67">
            <w:pPr>
              <w:pStyle w:val="34"/>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4、废塑料预处理、再生过程产生的固废，应按工业固废处理，并执行相关环保标准</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898" w:type="pct"/>
            <w:tcBorders>
              <w:top w:val="single" w:color="000000" w:sz="10" w:space="0"/>
              <w:bottom w:val="single" w:color="000000" w:sz="2" w:space="0"/>
            </w:tcBorders>
            <w:vAlign w:val="center"/>
          </w:tcPr>
          <w:p w14:paraId="46B2FF60">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1、本项目设有污水处理系统；</w:t>
            </w:r>
          </w:p>
          <w:p w14:paraId="1D4CA673">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2、企业对生产过程中产生的有机废气经</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区域封闭</w:t>
            </w:r>
            <w:r>
              <w:rPr>
                <w:rFonts w:hint="eastAsia" w:cs="Times New Roman"/>
                <w:color w:val="000000" w:themeColor="text1"/>
                <w:sz w:val="21"/>
                <w:szCs w:val="21"/>
                <w:lang w:val="en-US" w:eastAsia="zh-CN"/>
                <w14:textFill>
                  <w14:solidFill>
                    <w14:schemeClr w14:val="tx1"/>
                  </w14:solidFill>
                </w14:textFill>
              </w:rPr>
              <w:t>/设备密闭</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+集气罩</w:t>
            </w:r>
            <w:r>
              <w:rPr>
                <w:rFonts w:hint="default" w:ascii="Times New Roman" w:hAnsi="Times New Roman" w:eastAsia="宋体" w:cs="Times New Roman"/>
                <w:color w:val="000000" w:themeColor="text1"/>
                <w:sz w:val="21"/>
                <w:szCs w:val="21"/>
                <w14:textFill>
                  <w14:solidFill>
                    <w14:schemeClr w14:val="tx1"/>
                  </w14:solidFill>
                </w14:textFill>
              </w:rPr>
              <w:t>收集后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进入</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油烟净化器</w:t>
            </w:r>
            <w:r>
              <w:rPr>
                <w:rFonts w:hint="default" w:ascii="Times New Roman" w:hAnsi="Times New Roman" w:eastAsia="宋体" w:cs="Times New Roman"/>
                <w:color w:val="000000" w:themeColor="text1"/>
                <w:sz w:val="21"/>
                <w:szCs w:val="21"/>
                <w14:textFill>
                  <w14:solidFill>
                    <w14:schemeClr w14:val="tx1"/>
                  </w14:solidFill>
                </w14:textFill>
              </w:rPr>
              <w:t>+两级活性炭吸附装置（TA00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）”处理后达标排放；</w:t>
            </w:r>
          </w:p>
          <w:p w14:paraId="199DDA45">
            <w:pPr>
              <w:pStyle w:val="34"/>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 、企业采取了厂房隔声、基础减振等噪声防治措施</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57EBE5DE">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4、固废均按要求进行相应处理，不外排环境。</w:t>
            </w:r>
          </w:p>
        </w:tc>
        <w:tc>
          <w:tcPr>
            <w:tcW w:w="338" w:type="pct"/>
            <w:tcBorders>
              <w:top w:val="single" w:color="000000" w:sz="10" w:space="0"/>
              <w:bottom w:val="single" w:color="000000" w:sz="2" w:space="0"/>
              <w:right w:val="nil"/>
            </w:tcBorders>
            <w:vAlign w:val="center"/>
          </w:tcPr>
          <w:p w14:paraId="5EA30255">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29FC60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23" w:type="pct"/>
            <w:tcBorders>
              <w:top w:val="single" w:color="000000" w:sz="2" w:space="0"/>
              <w:left w:val="nil"/>
              <w:bottom w:val="single" w:color="000000" w:sz="10" w:space="0"/>
            </w:tcBorders>
            <w:vAlign w:val="center"/>
          </w:tcPr>
          <w:p w14:paraId="7A8069B4">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管理</w:t>
            </w:r>
          </w:p>
        </w:tc>
        <w:tc>
          <w:tcPr>
            <w:tcW w:w="2439" w:type="pct"/>
            <w:tcBorders>
              <w:top w:val="single" w:color="000000" w:sz="2" w:space="0"/>
              <w:bottom w:val="single" w:color="000000" w:sz="10" w:space="0"/>
            </w:tcBorders>
            <w:vAlign w:val="center"/>
          </w:tcPr>
          <w:p w14:paraId="5CBD6D62">
            <w:pPr>
              <w:pStyle w:val="34"/>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1、企业应建立、健全环保管理制度，设置环保部门或专职人员，负责监督塑料回收与再生利用过程中的环境保护和管理工作</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1B7A255E">
            <w:pPr>
              <w:pStyle w:val="34"/>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2、企业应对所有工作人员进行环保培训</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5EE09A38">
            <w:pPr>
              <w:pStyle w:val="34"/>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3、企业应建立废塑料回收和再生利用情况记录制度</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0A274812">
            <w:pPr>
              <w:pStyle w:val="34"/>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4、企业应建立环保监测制度</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24ECC3DA">
            <w:pPr>
              <w:pStyle w:val="34"/>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5、企业应建立污染预防机制和处理环境污染事故的应急预案</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7E54D62C">
            <w:pPr>
              <w:pStyle w:val="34"/>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6、企业应认真执行排污申报登记，按时缴纳排污费</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898" w:type="pct"/>
            <w:tcBorders>
              <w:top w:val="single" w:color="000000" w:sz="2" w:space="0"/>
              <w:bottom w:val="single" w:color="000000" w:sz="10" w:space="0"/>
            </w:tcBorders>
            <w:vAlign w:val="center"/>
          </w:tcPr>
          <w:p w14:paraId="6F9F7B16">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1、本次环评要求企业建立健全环保管理制度，厂区内设置环保专员负责厂区生产过程的环保工作；</w:t>
            </w:r>
          </w:p>
          <w:p w14:paraId="7C35776F">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2、招收员工后对员工进行环保培训；由环保专员对生产过程进行记录；定期委托当地有资质的检测单位进行环保监测；</w:t>
            </w:r>
          </w:p>
          <w:p w14:paraId="734106FD">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3、委托相关单位进行编制污染预防机制和处理环境污染事故的应急预案；</w:t>
            </w:r>
          </w:p>
          <w:p w14:paraId="621A2D5E">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4、按当地环保部门要求进行排污申报登记，按时缴纳排污费。</w:t>
            </w:r>
          </w:p>
        </w:tc>
        <w:tc>
          <w:tcPr>
            <w:tcW w:w="338" w:type="pct"/>
            <w:tcBorders>
              <w:top w:val="single" w:color="000000" w:sz="2" w:space="0"/>
              <w:bottom w:val="single" w:color="000000" w:sz="10" w:space="0"/>
              <w:right w:val="nil"/>
            </w:tcBorders>
            <w:vAlign w:val="center"/>
          </w:tcPr>
          <w:p w14:paraId="508782FC">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bl>
    <w:p w14:paraId="67BBFF60">
      <w:pPr>
        <w:spacing w:line="360"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黑体" w:cs="Times New Roman"/>
          <w:bCs/>
          <w:color w:val="000000" w:themeColor="text1"/>
          <w:sz w:val="24"/>
          <w:szCs w:val="24"/>
          <w14:textFill>
            <w14:solidFill>
              <w14:schemeClr w14:val="tx1"/>
            </w14:solidFill>
          </w14:textFill>
        </w:rPr>
        <w:t>表 2.</w:t>
      </w:r>
      <w:r>
        <w:rPr>
          <w:rFonts w:hint="eastAsia" w:eastAsia="黑体" w:cs="Times New Roman"/>
          <w:bCs/>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bCs/>
          <w:color w:val="000000" w:themeColor="text1"/>
          <w:sz w:val="24"/>
          <w:szCs w:val="24"/>
          <w14:textFill>
            <w14:solidFill>
              <w14:schemeClr w14:val="tx1"/>
            </w14:solidFill>
          </w14:textFill>
        </w:rPr>
        <w:t>-</w:t>
      </w:r>
      <w:r>
        <w:rPr>
          <w:rFonts w:hint="default" w:ascii="Times New Roman" w:hAnsi="Times New Roman" w:eastAsia="黑体" w:cs="Times New Roman"/>
          <w:bCs/>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bCs/>
          <w:color w:val="000000" w:themeColor="text1"/>
          <w:sz w:val="24"/>
          <w:szCs w:val="24"/>
          <w14:textFill>
            <w14:solidFill>
              <w14:schemeClr w14:val="tx1"/>
            </w14:solidFill>
          </w14:textFill>
        </w:rPr>
        <w:t>与《废塑料综合利用行业规范条件》的相符性分析</w:t>
      </w:r>
    </w:p>
    <w:tbl>
      <w:tblPr>
        <w:tblStyle w:val="4092"/>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18"/>
        <w:gridCol w:w="7752"/>
        <w:gridCol w:w="4879"/>
        <w:gridCol w:w="502"/>
      </w:tblGrid>
      <w:tr w14:paraId="5A6F8C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tcBorders>
              <w:top w:val="single" w:color="000000" w:sz="10" w:space="0"/>
              <w:left w:val="nil"/>
              <w:right w:val="single" w:color="000000" w:sz="4" w:space="0"/>
            </w:tcBorders>
            <w:vAlign w:val="center"/>
          </w:tcPr>
          <w:p w14:paraId="3EB67464">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w:t>
            </w:r>
          </w:p>
        </w:tc>
        <w:tc>
          <w:tcPr>
            <w:tcW w:w="2777" w:type="pct"/>
            <w:tcBorders>
              <w:top w:val="single" w:color="000000" w:sz="10" w:space="0"/>
              <w:left w:val="single" w:color="000000" w:sz="4" w:space="0"/>
              <w:right w:val="single" w:color="000000" w:sz="4" w:space="0"/>
            </w:tcBorders>
            <w:vAlign w:val="center"/>
          </w:tcPr>
          <w:p w14:paraId="30AC7261">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具体要求</w:t>
            </w:r>
          </w:p>
        </w:tc>
        <w:tc>
          <w:tcPr>
            <w:tcW w:w="1748" w:type="pct"/>
            <w:tcBorders>
              <w:top w:val="single" w:color="000000" w:sz="10" w:space="0"/>
              <w:left w:val="single" w:color="000000" w:sz="4" w:space="0"/>
              <w:right w:val="single" w:color="000000" w:sz="4" w:space="0"/>
            </w:tcBorders>
            <w:vAlign w:val="center"/>
          </w:tcPr>
          <w:p w14:paraId="367AC490">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本项目情况</w:t>
            </w:r>
          </w:p>
        </w:tc>
        <w:tc>
          <w:tcPr>
            <w:tcW w:w="180" w:type="pct"/>
            <w:tcBorders>
              <w:top w:val="single" w:color="000000" w:sz="10" w:space="0"/>
              <w:left w:val="single" w:color="000000" w:sz="4" w:space="0"/>
              <w:right w:val="nil"/>
            </w:tcBorders>
            <w:vAlign w:val="center"/>
          </w:tcPr>
          <w:p w14:paraId="574253F2">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是否</w:t>
            </w:r>
          </w:p>
          <w:p w14:paraId="3CCF2FD4">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4BF00C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restart"/>
            <w:tcBorders>
              <w:left w:val="nil"/>
              <w:bottom w:val="nil"/>
              <w:right w:val="single" w:color="000000" w:sz="4" w:space="0"/>
            </w:tcBorders>
            <w:vAlign w:val="center"/>
          </w:tcPr>
          <w:p w14:paraId="3D511F93">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企业的设立和布局</w:t>
            </w:r>
          </w:p>
        </w:tc>
        <w:tc>
          <w:tcPr>
            <w:tcW w:w="2777" w:type="pct"/>
            <w:tcBorders>
              <w:left w:val="single" w:color="000000" w:sz="4" w:space="0"/>
              <w:right w:val="single" w:color="000000" w:sz="4" w:space="0"/>
            </w:tcBorders>
            <w:vAlign w:val="center"/>
          </w:tcPr>
          <w:p w14:paraId="6730CBB8">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废塑料综合利用企业所涉及的热塑性废塑料原料，不包括受到危险化学品、农药等污染的废弃塑料包装物、废弃一次性医疗用塑料制品等塑料类危险废物，以及氟塑料等特种工程塑料。</w:t>
            </w:r>
          </w:p>
        </w:tc>
        <w:tc>
          <w:tcPr>
            <w:tcW w:w="1748" w:type="pct"/>
            <w:tcBorders>
              <w:left w:val="single" w:color="000000" w:sz="4" w:space="0"/>
              <w:right w:val="single" w:color="000000" w:sz="4" w:space="0"/>
            </w:tcBorders>
            <w:vAlign w:val="center"/>
          </w:tcPr>
          <w:p w14:paraId="66C47602">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本项目原料不涉及危险化学品、农药等污染的废弃塑 料包装物、废弃一次性医疗用塑料制品等。</w:t>
            </w:r>
          </w:p>
        </w:tc>
        <w:tc>
          <w:tcPr>
            <w:tcW w:w="180" w:type="pct"/>
            <w:tcBorders>
              <w:left w:val="single" w:color="000000" w:sz="4" w:space="0"/>
              <w:right w:val="nil"/>
            </w:tcBorders>
            <w:vAlign w:val="center"/>
          </w:tcPr>
          <w:p w14:paraId="141A5A62">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089822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continue"/>
            <w:tcBorders>
              <w:top w:val="nil"/>
              <w:left w:val="nil"/>
              <w:bottom w:val="nil"/>
              <w:right w:val="single" w:color="000000" w:sz="4" w:space="0"/>
            </w:tcBorders>
            <w:vAlign w:val="center"/>
          </w:tcPr>
          <w:p w14:paraId="54DAC565">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777" w:type="pct"/>
            <w:tcBorders>
              <w:left w:val="single" w:color="000000" w:sz="4" w:space="0"/>
              <w:right w:val="single" w:color="000000" w:sz="4" w:space="0"/>
            </w:tcBorders>
            <w:vAlign w:val="center"/>
          </w:tcPr>
          <w:p w14:paraId="57503DE8">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新建及改造、扩建废塑料加工企业应符合国家产业政策及所在地区土地利用总体规划、城乡建设规划、环境保护、污染防治规划。企业建设应有规范化设计要求，采用节能环保技术及生产装备。</w:t>
            </w:r>
          </w:p>
        </w:tc>
        <w:tc>
          <w:tcPr>
            <w:tcW w:w="1748" w:type="pct"/>
            <w:tcBorders>
              <w:left w:val="single" w:color="000000" w:sz="4" w:space="0"/>
              <w:right w:val="single" w:color="000000" w:sz="4" w:space="0"/>
            </w:tcBorders>
            <w:vAlign w:val="center"/>
          </w:tcPr>
          <w:p w14:paraId="53A32312">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本项目属于资源回收利用项目，符合国家产业政策，采用的生产技术较为成熟，生产设备不属于淘汰设备。</w:t>
            </w:r>
          </w:p>
        </w:tc>
        <w:tc>
          <w:tcPr>
            <w:tcW w:w="180" w:type="pct"/>
            <w:tcBorders>
              <w:left w:val="single" w:color="000000" w:sz="4" w:space="0"/>
              <w:right w:val="nil"/>
            </w:tcBorders>
            <w:vAlign w:val="center"/>
          </w:tcPr>
          <w:p w14:paraId="500FAC5F">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12D3A5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continue"/>
            <w:tcBorders>
              <w:top w:val="nil"/>
              <w:left w:val="nil"/>
              <w:right w:val="single" w:color="000000" w:sz="4" w:space="0"/>
            </w:tcBorders>
            <w:vAlign w:val="center"/>
          </w:tcPr>
          <w:p w14:paraId="295B0DE3">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777" w:type="pct"/>
            <w:tcBorders>
              <w:left w:val="single" w:color="000000" w:sz="4" w:space="0"/>
              <w:right w:val="single" w:color="000000" w:sz="4" w:space="0"/>
            </w:tcBorders>
            <w:vAlign w:val="center"/>
          </w:tcPr>
          <w:p w14:paraId="51CF71F9">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在国家法律、法规、规章和规划确定或县级及以上人民政府规定的自然保护区、风景名胜区、饮用水源保护区、基本农田保护区和其他需要特别保护的区域内，不得新建废塑料综合利用企业； 已在上述区域投产运营的废塑料综合利用企业，要根据该区域规划要求，依法通过搬迁、转产等方式逐步退出。</w:t>
            </w:r>
          </w:p>
        </w:tc>
        <w:tc>
          <w:tcPr>
            <w:tcW w:w="1748" w:type="pct"/>
            <w:tcBorders>
              <w:left w:val="single" w:color="000000" w:sz="4" w:space="0"/>
              <w:right w:val="single" w:color="000000" w:sz="4" w:space="0"/>
            </w:tcBorders>
            <w:vAlign w:val="center"/>
          </w:tcPr>
          <w:p w14:paraId="7A18C597">
            <w:pPr>
              <w:pStyle w:val="34"/>
              <w:spacing w:after="0"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本项目选址不在国家法律、法规、规章和规划确定或县级及以上人民政府规定的自然保护区、风景名胜区、饮用水源保护区、基本农田保护区和其他需要特别保护的区域内。本项目位于</w:t>
            </w:r>
            <w:r>
              <w:rPr>
                <w:rFonts w:hint="default" w:ascii="Times New Roman" w:hAnsi="Times New Roman" w:eastAsia="宋体" w:cs="Times New Roman"/>
                <w:color w:val="000000" w:themeColor="text1"/>
                <w:sz w:val="21"/>
                <w:szCs w:val="21"/>
                <w:lang w:eastAsia="zh-CN"/>
                <w14:textFill>
                  <w14:solidFill>
                    <w14:schemeClr w14:val="tx1"/>
                  </w14:solidFill>
                </w14:textFill>
              </w:rPr>
              <w:t>安徽省淮南市毛集社会发展综合实验区</w:t>
            </w:r>
            <w:r>
              <w:rPr>
                <w:rFonts w:hint="default" w:ascii="Times New Roman" w:hAnsi="Times New Roman" w:eastAsia="宋体" w:cs="Times New Roman"/>
                <w:color w:val="000000" w:themeColor="text1"/>
                <w:sz w:val="21"/>
                <w:szCs w:val="21"/>
                <w14:textFill>
                  <w14:solidFill>
                    <w14:schemeClr w14:val="tx1"/>
                  </w14:solidFill>
                </w14:textFill>
              </w:rPr>
              <w:t>新兴工业园区</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80" w:type="pct"/>
            <w:tcBorders>
              <w:left w:val="single" w:color="000000" w:sz="4" w:space="0"/>
              <w:right w:val="nil"/>
            </w:tcBorders>
            <w:vAlign w:val="center"/>
          </w:tcPr>
          <w:p w14:paraId="3A258164">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p w14:paraId="597E38B9">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p w14:paraId="040ABD1F">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44ED07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restart"/>
            <w:tcBorders>
              <w:left w:val="nil"/>
              <w:right w:val="single" w:color="000000" w:sz="4" w:space="0"/>
            </w:tcBorders>
            <w:vAlign w:val="center"/>
          </w:tcPr>
          <w:p w14:paraId="6796186D">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生产经营规模</w:t>
            </w:r>
          </w:p>
        </w:tc>
        <w:tc>
          <w:tcPr>
            <w:tcW w:w="2777" w:type="pct"/>
            <w:tcBorders>
              <w:left w:val="single" w:color="000000" w:sz="4" w:space="0"/>
              <w:right w:val="single" w:color="000000" w:sz="4" w:space="0"/>
            </w:tcBorders>
            <w:vAlign w:val="center"/>
          </w:tcPr>
          <w:p w14:paraId="615AE1C8">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PET再生瓶片类企业：新建企业年废塑料处理能力不低于30000吨；已建企业年废塑料处理能力不低于20000吨。</w:t>
            </w:r>
          </w:p>
        </w:tc>
        <w:tc>
          <w:tcPr>
            <w:tcW w:w="1748" w:type="pct"/>
            <w:tcBorders>
              <w:left w:val="single" w:color="000000" w:sz="4" w:space="0"/>
              <w:right w:val="single" w:color="000000" w:sz="4" w:space="0"/>
            </w:tcBorders>
            <w:vAlign w:val="center"/>
          </w:tcPr>
          <w:p w14:paraId="36FF7C71">
            <w:pPr>
              <w:pStyle w:val="34"/>
              <w:spacing w:after="0"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本项目PET再生瓶片年处理能力</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100</w:t>
            </w:r>
            <w:r>
              <w:rPr>
                <w:rFonts w:hint="default" w:ascii="Times New Roman" w:hAnsi="Times New Roman" w:eastAsia="宋体" w:cs="Times New Roman"/>
                <w:color w:val="000000" w:themeColor="text1"/>
                <w:sz w:val="21"/>
                <w:szCs w:val="21"/>
                <w14:textFill>
                  <w14:solidFill>
                    <w14:schemeClr w14:val="tx1"/>
                  </w14:solidFill>
                </w14:textFill>
              </w:rPr>
              <w:t>000吨</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80" w:type="pct"/>
            <w:tcBorders>
              <w:left w:val="single" w:color="000000" w:sz="4" w:space="0"/>
              <w:right w:val="nil"/>
            </w:tcBorders>
            <w:vAlign w:val="center"/>
          </w:tcPr>
          <w:p w14:paraId="13DD1210">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696740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continue"/>
            <w:tcBorders>
              <w:left w:val="nil"/>
              <w:right w:val="single" w:color="000000" w:sz="4" w:space="0"/>
            </w:tcBorders>
            <w:vAlign w:val="center"/>
          </w:tcPr>
          <w:p w14:paraId="4443FD72">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777" w:type="pct"/>
            <w:tcBorders>
              <w:left w:val="single" w:color="000000" w:sz="4" w:space="0"/>
              <w:right w:val="single" w:color="000000" w:sz="4" w:space="0"/>
            </w:tcBorders>
            <w:vAlign w:val="center"/>
          </w:tcPr>
          <w:p w14:paraId="28FFCD49">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废塑料破碎、清洗、分选类企业：新建企业年废塑料处理能力不低于30000吨；已建企业年废塑料处理能力不低于20000吨。</w:t>
            </w:r>
          </w:p>
        </w:tc>
        <w:tc>
          <w:tcPr>
            <w:tcW w:w="1748" w:type="pct"/>
            <w:tcBorders>
              <w:left w:val="single" w:color="000000" w:sz="4" w:space="0"/>
              <w:right w:val="single" w:color="000000" w:sz="4" w:space="0"/>
            </w:tcBorders>
            <w:vAlign w:val="center"/>
          </w:tcPr>
          <w:p w14:paraId="251116C8">
            <w:pPr>
              <w:pStyle w:val="34"/>
              <w:spacing w:after="0"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本项目清洗PET瓶</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片</w:t>
            </w:r>
            <w:r>
              <w:rPr>
                <w:rFonts w:hint="default" w:ascii="Times New Roman" w:hAnsi="Times New Roman" w:eastAsia="宋体" w:cs="Times New Roman"/>
                <w:color w:val="000000" w:themeColor="text1"/>
                <w:sz w:val="21"/>
                <w:szCs w:val="21"/>
                <w14:textFill>
                  <w14:solidFill>
                    <w14:schemeClr w14:val="tx1"/>
                  </w14:solidFill>
                </w14:textFill>
              </w:rPr>
              <w:t>年处理能力</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100</w:t>
            </w:r>
            <w:r>
              <w:rPr>
                <w:rFonts w:hint="default" w:ascii="Times New Roman" w:hAnsi="Times New Roman" w:eastAsia="宋体" w:cs="Times New Roman"/>
                <w:color w:val="000000" w:themeColor="text1"/>
                <w:sz w:val="21"/>
                <w:szCs w:val="21"/>
                <w14:textFill>
                  <w14:solidFill>
                    <w14:schemeClr w14:val="tx1"/>
                  </w14:solidFill>
                </w14:textFill>
              </w:rPr>
              <w:t>000吨</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80" w:type="pct"/>
            <w:tcBorders>
              <w:left w:val="single" w:color="000000" w:sz="4" w:space="0"/>
              <w:right w:val="nil"/>
            </w:tcBorders>
            <w:vAlign w:val="center"/>
          </w:tcPr>
          <w:p w14:paraId="50F171BB">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6C01D7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continue"/>
            <w:tcBorders>
              <w:left w:val="nil"/>
              <w:right w:val="single" w:color="000000" w:sz="4" w:space="0"/>
            </w:tcBorders>
            <w:vAlign w:val="center"/>
          </w:tcPr>
          <w:p w14:paraId="16CBBAAD">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777" w:type="pct"/>
            <w:tcBorders>
              <w:left w:val="single" w:color="000000" w:sz="4" w:space="0"/>
              <w:right w:val="single" w:color="000000" w:sz="4" w:space="0"/>
            </w:tcBorders>
            <w:vAlign w:val="center"/>
          </w:tcPr>
          <w:p w14:paraId="4F26A2B8">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塑料再生造粒类企业：新建企业年废塑料处理能力不低于5000吨；已建企业年废塑料处理能力不低于3000吨。</w:t>
            </w:r>
          </w:p>
        </w:tc>
        <w:tc>
          <w:tcPr>
            <w:tcW w:w="1748" w:type="pct"/>
            <w:tcBorders>
              <w:left w:val="single" w:color="000000" w:sz="4" w:space="0"/>
              <w:right w:val="single" w:color="000000" w:sz="4" w:space="0"/>
            </w:tcBorders>
            <w:vAlign w:val="center"/>
          </w:tcPr>
          <w:p w14:paraId="70F452B9">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本项目塑料再生造粒</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w:t>
            </w:r>
            <w:r>
              <w:rPr>
                <w:rFonts w:hint="default" w:ascii="Times New Roman" w:hAnsi="Times New Roman" w:eastAsia="宋体" w:cs="Times New Roman"/>
                <w:color w:val="000000" w:themeColor="text1"/>
                <w:sz w:val="21"/>
                <w:szCs w:val="21"/>
                <w14:textFill>
                  <w14:solidFill>
                    <w14:schemeClr w14:val="tx1"/>
                  </w14:solidFill>
                </w14:textFill>
              </w:rPr>
              <w:t>000吨。</w:t>
            </w:r>
          </w:p>
        </w:tc>
        <w:tc>
          <w:tcPr>
            <w:tcW w:w="180" w:type="pct"/>
            <w:tcBorders>
              <w:left w:val="single" w:color="000000" w:sz="4" w:space="0"/>
              <w:right w:val="nil"/>
            </w:tcBorders>
            <w:vAlign w:val="center"/>
          </w:tcPr>
          <w:p w14:paraId="4CE5F089">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7B809C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continue"/>
            <w:tcBorders>
              <w:left w:val="nil"/>
              <w:right w:val="single" w:color="000000" w:sz="4" w:space="0"/>
            </w:tcBorders>
            <w:vAlign w:val="center"/>
          </w:tcPr>
          <w:p w14:paraId="1F14A841">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777" w:type="pct"/>
            <w:tcBorders>
              <w:left w:val="single" w:color="000000" w:sz="4" w:space="0"/>
              <w:right w:val="single" w:color="000000" w:sz="4" w:space="0"/>
            </w:tcBorders>
            <w:vAlign w:val="center"/>
          </w:tcPr>
          <w:p w14:paraId="60AC0E48">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企业应具有与生产能力相匹配的厂区作业场地面积。</w:t>
            </w:r>
          </w:p>
        </w:tc>
        <w:tc>
          <w:tcPr>
            <w:tcW w:w="1748" w:type="pct"/>
            <w:tcBorders>
              <w:left w:val="single" w:color="000000" w:sz="4" w:space="0"/>
              <w:right w:val="single" w:color="000000" w:sz="4" w:space="0"/>
            </w:tcBorders>
            <w:vAlign w:val="center"/>
          </w:tcPr>
          <w:p w14:paraId="61BCB5E4">
            <w:pPr>
              <w:pStyle w:val="34"/>
              <w:spacing w:after="0"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本项目生产厂区占地面积</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9600</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，能够满足生产需要</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80" w:type="pct"/>
            <w:tcBorders>
              <w:left w:val="single" w:color="000000" w:sz="4" w:space="0"/>
              <w:right w:val="nil"/>
            </w:tcBorders>
            <w:vAlign w:val="center"/>
          </w:tcPr>
          <w:p w14:paraId="2AB3D3FA">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6AB398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restart"/>
            <w:tcBorders>
              <w:left w:val="nil"/>
              <w:bottom w:val="nil"/>
              <w:right w:val="single" w:color="000000" w:sz="4" w:space="0"/>
            </w:tcBorders>
            <w:vAlign w:val="center"/>
          </w:tcPr>
          <w:p w14:paraId="06FAEA9B">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资源综合利用及能耗</w:t>
            </w:r>
          </w:p>
        </w:tc>
        <w:tc>
          <w:tcPr>
            <w:tcW w:w="2777" w:type="pct"/>
            <w:tcBorders>
              <w:left w:val="single" w:color="000000" w:sz="4" w:space="0"/>
              <w:right w:val="single" w:color="000000" w:sz="4" w:space="0"/>
            </w:tcBorders>
            <w:vAlign w:val="center"/>
          </w:tcPr>
          <w:p w14:paraId="2305B0EC">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企业应对收集的废塑料进行充分利用，提高资源回收利用效率，不得倾倒、焚烧与填埋。</w:t>
            </w:r>
          </w:p>
        </w:tc>
        <w:tc>
          <w:tcPr>
            <w:tcW w:w="1748" w:type="pct"/>
            <w:tcBorders>
              <w:left w:val="single" w:color="000000" w:sz="4" w:space="0"/>
              <w:right w:val="single" w:color="000000" w:sz="4" w:space="0"/>
            </w:tcBorders>
            <w:vAlign w:val="center"/>
          </w:tcPr>
          <w:p w14:paraId="73FA0E4D">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本项目对废塑料回收利用效率高，不倾倒、焚烧</w:t>
            </w:r>
          </w:p>
          <w:p w14:paraId="148414C4">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与填埋废塑料。</w:t>
            </w:r>
          </w:p>
        </w:tc>
        <w:tc>
          <w:tcPr>
            <w:tcW w:w="180" w:type="pct"/>
            <w:tcBorders>
              <w:left w:val="single" w:color="000000" w:sz="4" w:space="0"/>
              <w:right w:val="nil"/>
            </w:tcBorders>
            <w:vAlign w:val="center"/>
          </w:tcPr>
          <w:p w14:paraId="5935082C">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508D05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continue"/>
            <w:tcBorders>
              <w:top w:val="nil"/>
              <w:left w:val="nil"/>
              <w:bottom w:val="nil"/>
              <w:right w:val="single" w:color="000000" w:sz="4" w:space="0"/>
            </w:tcBorders>
            <w:vAlign w:val="center"/>
          </w:tcPr>
          <w:p w14:paraId="04C8E7A9">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777" w:type="pct"/>
            <w:tcBorders>
              <w:left w:val="single" w:color="000000" w:sz="4" w:space="0"/>
              <w:right w:val="single" w:color="000000" w:sz="4" w:space="0"/>
            </w:tcBorders>
            <w:vAlign w:val="center"/>
          </w:tcPr>
          <w:p w14:paraId="62C9BA1E">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塑料再生加工相关生产环节的综合电耗低于500千瓦时/吨废塑料。</w:t>
            </w:r>
          </w:p>
        </w:tc>
        <w:tc>
          <w:tcPr>
            <w:tcW w:w="1748" w:type="pct"/>
            <w:tcBorders>
              <w:left w:val="single" w:color="000000" w:sz="4" w:space="0"/>
              <w:right w:val="single" w:color="000000" w:sz="4" w:space="0"/>
            </w:tcBorders>
            <w:vAlign w:val="center"/>
          </w:tcPr>
          <w:p w14:paraId="23C271EC">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本项目相关生产环节的综合电耗为</w:t>
            </w:r>
            <w:r>
              <w:rPr>
                <w:rFonts w:hint="default" w:ascii="Times New Roman" w:hAnsi="Times New Roman" w:cs="Times New Roman"/>
                <w:color w:val="000000" w:themeColor="text1"/>
                <w:sz w:val="21"/>
                <w:szCs w:val="21"/>
                <w:lang w:val="en-US" w:eastAsia="zh-CN"/>
                <w14:textFill>
                  <w14:solidFill>
                    <w14:schemeClr w14:val="tx1"/>
                  </w14:solidFill>
                </w14:textFill>
              </w:rPr>
              <w:t>11.98</w:t>
            </w:r>
            <w:r>
              <w:rPr>
                <w:rFonts w:hint="default" w:ascii="Times New Roman" w:hAnsi="Times New Roman" w:eastAsia="宋体" w:cs="Times New Roman"/>
                <w:color w:val="000000" w:themeColor="text1"/>
                <w:sz w:val="21"/>
                <w:szCs w:val="21"/>
                <w14:textFill>
                  <w14:solidFill>
                    <w14:schemeClr w14:val="tx1"/>
                  </w14:solidFill>
                </w14:textFill>
              </w:rPr>
              <w:t>千瓦时/吨</w:t>
            </w:r>
            <w:r>
              <w:rPr>
                <w:rFonts w:hint="default" w:ascii="Times New Roman" w:hAnsi="Times New Roman" w:eastAsia="宋体" w:cs="Times New Roman"/>
                <w:color w:val="000000" w:themeColor="text1"/>
                <w:sz w:val="21"/>
                <w:szCs w:val="21"/>
                <w14:textFill>
                  <w14:solidFill>
                    <w14:schemeClr w14:val="tx1"/>
                  </w14:solidFill>
                </w14:textFill>
              </w:rPr>
              <w:t>废塑料。</w:t>
            </w:r>
          </w:p>
        </w:tc>
        <w:tc>
          <w:tcPr>
            <w:tcW w:w="180" w:type="pct"/>
            <w:tcBorders>
              <w:left w:val="single" w:color="000000" w:sz="4" w:space="0"/>
              <w:right w:val="nil"/>
            </w:tcBorders>
            <w:vAlign w:val="center"/>
          </w:tcPr>
          <w:p w14:paraId="7FAB9557">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51189E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continue"/>
            <w:tcBorders>
              <w:top w:val="nil"/>
              <w:left w:val="nil"/>
              <w:right w:val="single" w:color="000000" w:sz="4" w:space="0"/>
            </w:tcBorders>
            <w:vAlign w:val="center"/>
          </w:tcPr>
          <w:p w14:paraId="33489575">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777" w:type="pct"/>
            <w:tcBorders>
              <w:left w:val="single" w:color="000000" w:sz="4" w:space="0"/>
              <w:right w:val="single" w:color="000000" w:sz="4" w:space="0"/>
            </w:tcBorders>
            <w:vAlign w:val="center"/>
          </w:tcPr>
          <w:p w14:paraId="255EF7ED">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废塑料破碎、清洗、分选类企业的综合新水消耗低于1.5吨/吨废塑料；塑料再生造粒类企业的综合新水消耗低于0.2吨/吨废塑料。</w:t>
            </w:r>
          </w:p>
        </w:tc>
        <w:tc>
          <w:tcPr>
            <w:tcW w:w="1748" w:type="pct"/>
            <w:tcBorders>
              <w:left w:val="single" w:color="000000" w:sz="4" w:space="0"/>
              <w:right w:val="single" w:color="000000" w:sz="4" w:space="0"/>
            </w:tcBorders>
            <w:vAlign w:val="center"/>
          </w:tcPr>
          <w:p w14:paraId="7A8F5038">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本项目综合新水消耗</w:t>
            </w:r>
            <w:r>
              <w:rPr>
                <w:rFonts w:hint="eastAsia" w:cs="Times New Roman"/>
                <w:color w:val="000000" w:themeColor="text1"/>
                <w:sz w:val="21"/>
                <w:szCs w:val="21"/>
                <w:lang w:eastAsia="zh-CN"/>
                <w14:textFill>
                  <w14:solidFill>
                    <w14:schemeClr w14:val="tx1"/>
                  </w14:solidFill>
                </w14:textFill>
              </w:rPr>
              <w:t>为0.06吨/吨废塑料</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80" w:type="pct"/>
            <w:tcBorders>
              <w:left w:val="single" w:color="000000" w:sz="4" w:space="0"/>
              <w:right w:val="nil"/>
            </w:tcBorders>
            <w:vAlign w:val="center"/>
          </w:tcPr>
          <w:p w14:paraId="00EA638C">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498521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tcBorders>
              <w:left w:val="nil"/>
              <w:right w:val="single" w:color="000000" w:sz="4" w:space="0"/>
            </w:tcBorders>
            <w:vAlign w:val="center"/>
          </w:tcPr>
          <w:p w14:paraId="21C4853D">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工艺与装备</w:t>
            </w:r>
          </w:p>
        </w:tc>
        <w:tc>
          <w:tcPr>
            <w:tcW w:w="2777" w:type="pct"/>
            <w:tcBorders>
              <w:left w:val="single" w:color="000000" w:sz="4" w:space="0"/>
              <w:right w:val="single" w:color="000000" w:sz="4" w:space="0"/>
            </w:tcBorders>
            <w:vAlign w:val="center"/>
          </w:tcPr>
          <w:p w14:paraId="22484CB8">
            <w:pPr>
              <w:pStyle w:val="34"/>
              <w:numPr>
                <w:ilvl w:val="0"/>
                <w:numId w:val="6"/>
              </w:numPr>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应采用自动化处理设备和设施。其中，破碎工序应采用具有减振与降噪功能的密闭破碎设备；清洗工序应实现自动控制和清洗液循环利用，降低耗水量与耗药量；应使用低发泡、低残留、易处理的清洗药剂；分选工序鼓励采用自动化分选设备。</w:t>
            </w:r>
          </w:p>
          <w:p w14:paraId="1A9CBBEA">
            <w:pPr>
              <w:pStyle w:val="34"/>
              <w:numPr>
                <w:ilvl w:val="0"/>
                <w:numId w:val="0"/>
              </w:numPr>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2、应具有与加工利用能力相适应的预处理设备和造粒设备。其中，造粒设备应具有强制排气系统，通过集气装置实现废气的集中处理；过滤装置的废弃过滤网应按照环境保护有关规定处理，禁止露天焚烧。</w:t>
            </w:r>
          </w:p>
        </w:tc>
        <w:tc>
          <w:tcPr>
            <w:tcW w:w="1748" w:type="pct"/>
            <w:tcBorders>
              <w:left w:val="single" w:color="000000" w:sz="4" w:space="0"/>
              <w:right w:val="single" w:color="000000" w:sz="4" w:space="0"/>
            </w:tcBorders>
            <w:vAlign w:val="center"/>
          </w:tcPr>
          <w:p w14:paraId="7F41FB60">
            <w:pPr>
              <w:pStyle w:val="34"/>
              <w:spacing w:after="0" w:line="276" w:lineRule="auto"/>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1、本项目生产设备自动化程度较高，破碎工序应采用具有减振与降噪功能的密闭破碎设备；清洗工序自动控制</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66801528">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2、能够满足生产要求；</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熔融挤出设备</w:t>
            </w:r>
            <w:r>
              <w:rPr>
                <w:rFonts w:hint="default" w:ascii="Times New Roman" w:hAnsi="Times New Roman" w:eastAsia="宋体" w:cs="Times New Roman"/>
                <w:color w:val="000000" w:themeColor="text1"/>
                <w:sz w:val="21"/>
                <w:szCs w:val="21"/>
                <w14:textFill>
                  <w14:solidFill>
                    <w14:schemeClr w14:val="tx1"/>
                  </w14:solidFill>
                </w14:textFill>
              </w:rPr>
              <w:t>有强制排气系统，产生的有机废气经区域封闭</w:t>
            </w:r>
            <w:r>
              <w:rPr>
                <w:rFonts w:hint="eastAsia" w:cs="Times New Roman"/>
                <w:color w:val="000000" w:themeColor="text1"/>
                <w:sz w:val="21"/>
                <w:szCs w:val="21"/>
                <w:lang w:val="en-US" w:eastAsia="zh-CN"/>
                <w14:textFill>
                  <w14:solidFill>
                    <w14:schemeClr w14:val="tx1"/>
                  </w14:solidFill>
                </w14:textFill>
              </w:rPr>
              <w:t>/设备密闭</w:t>
            </w:r>
            <w:r>
              <w:rPr>
                <w:rFonts w:hint="default" w:ascii="Times New Roman" w:hAnsi="Times New Roman" w:eastAsia="宋体" w:cs="Times New Roman"/>
                <w:color w:val="000000" w:themeColor="text1"/>
                <w:sz w:val="21"/>
                <w:szCs w:val="21"/>
                <w14:textFill>
                  <w14:solidFill>
                    <w14:schemeClr w14:val="tx1"/>
                  </w14:solidFill>
                </w14:textFill>
              </w:rPr>
              <w:t>+集气罩收集后进入“油烟净化器+两级活性炭吸附装置（TA00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）”处理后通过15m高排气筒（DA00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）达标排放。不露天焚烧。</w:t>
            </w:r>
          </w:p>
        </w:tc>
        <w:tc>
          <w:tcPr>
            <w:tcW w:w="180" w:type="pct"/>
            <w:tcBorders>
              <w:left w:val="single" w:color="000000" w:sz="4" w:space="0"/>
              <w:right w:val="nil"/>
            </w:tcBorders>
            <w:vAlign w:val="center"/>
          </w:tcPr>
          <w:p w14:paraId="22761EEE">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7AE879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restart"/>
            <w:tcBorders>
              <w:left w:val="nil"/>
              <w:right w:val="single" w:color="000000" w:sz="4" w:space="0"/>
            </w:tcBorders>
            <w:vAlign w:val="center"/>
          </w:tcPr>
          <w:p w14:paraId="3A240C09">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环境保护</w:t>
            </w:r>
          </w:p>
        </w:tc>
        <w:tc>
          <w:tcPr>
            <w:tcW w:w="2777" w:type="pct"/>
            <w:tcBorders>
              <w:left w:val="single" w:color="000000" w:sz="4" w:space="0"/>
              <w:right w:val="single" w:color="000000" w:sz="4" w:space="0"/>
            </w:tcBorders>
            <w:vAlign w:val="center"/>
          </w:tcPr>
          <w:p w14:paraId="3370E266">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塑料综合利用企业应严格执行《中华人民共和国环境影响评价法》，按照环境保护主管部门的相关规定报批环境影响评价文件。按照环境保护“三同时”的要求建设配套的环境保护设施，编制环境风险应急预案，并依法申请项目竣工环境保护验收。</w:t>
            </w:r>
          </w:p>
        </w:tc>
        <w:tc>
          <w:tcPr>
            <w:tcW w:w="1748" w:type="pct"/>
            <w:tcBorders>
              <w:left w:val="single" w:color="000000" w:sz="4" w:space="0"/>
              <w:right w:val="single" w:color="000000" w:sz="4" w:space="0"/>
            </w:tcBorders>
            <w:vAlign w:val="center"/>
          </w:tcPr>
          <w:p w14:paraId="594EF454">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本项目严格按相关要求办理相关手续。</w:t>
            </w:r>
          </w:p>
        </w:tc>
        <w:tc>
          <w:tcPr>
            <w:tcW w:w="180" w:type="pct"/>
            <w:tcBorders>
              <w:left w:val="single" w:color="000000" w:sz="4" w:space="0"/>
              <w:right w:val="nil"/>
            </w:tcBorders>
            <w:vAlign w:val="center"/>
          </w:tcPr>
          <w:p w14:paraId="06BDA896">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767CAA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continue"/>
            <w:tcBorders>
              <w:left w:val="nil"/>
              <w:right w:val="single" w:color="000000" w:sz="4" w:space="0"/>
            </w:tcBorders>
            <w:vAlign w:val="center"/>
          </w:tcPr>
          <w:p w14:paraId="1F61B1E6">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777" w:type="pct"/>
            <w:tcBorders>
              <w:left w:val="single" w:color="000000" w:sz="4" w:space="0"/>
              <w:right w:val="single" w:color="000000" w:sz="4" w:space="0"/>
            </w:tcBorders>
            <w:vAlign w:val="center"/>
          </w:tcPr>
          <w:p w14:paraId="0026C794">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企业加工存储场地应建有围墙，在园区内的企业可为单独厂房，地面全部硬化且无明显破损现象。</w:t>
            </w:r>
          </w:p>
        </w:tc>
        <w:tc>
          <w:tcPr>
            <w:tcW w:w="1748" w:type="pct"/>
            <w:tcBorders>
              <w:left w:val="single" w:color="000000" w:sz="4" w:space="0"/>
              <w:right w:val="single" w:color="000000" w:sz="4" w:space="0"/>
            </w:tcBorders>
            <w:vAlign w:val="center"/>
          </w:tcPr>
          <w:p w14:paraId="29AD8E5D">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企业规划建设围墙，地面全部硬化且无明显破损现象。</w:t>
            </w:r>
          </w:p>
        </w:tc>
        <w:tc>
          <w:tcPr>
            <w:tcW w:w="180" w:type="pct"/>
            <w:tcBorders>
              <w:left w:val="single" w:color="000000" w:sz="4" w:space="0"/>
              <w:right w:val="nil"/>
            </w:tcBorders>
            <w:vAlign w:val="center"/>
          </w:tcPr>
          <w:p w14:paraId="52EFCCF8">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2AFD61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continue"/>
            <w:tcBorders>
              <w:left w:val="nil"/>
              <w:right w:val="nil"/>
            </w:tcBorders>
            <w:vAlign w:val="center"/>
          </w:tcPr>
          <w:p w14:paraId="591EB027">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777" w:type="pct"/>
            <w:tcBorders>
              <w:left w:val="nil"/>
              <w:bottom w:val="single" w:color="000000" w:sz="2" w:space="0"/>
              <w:right w:val="single" w:color="000000" w:sz="4" w:space="0"/>
            </w:tcBorders>
            <w:vAlign w:val="center"/>
          </w:tcPr>
          <w:p w14:paraId="30142931">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企业必须配备废塑料分类存放场所。原料、产品、本企业不能利用废塑料及不可利用废物贮存在具有防雨、防风、防渗等功能的厂房或加盖雨棚的专门贮存场地内，无露天堆放现象。企业厂区管网建设应达到“雨污分流”要求。</w:t>
            </w:r>
          </w:p>
        </w:tc>
        <w:tc>
          <w:tcPr>
            <w:tcW w:w="1748" w:type="pct"/>
            <w:tcBorders>
              <w:left w:val="single" w:color="000000" w:sz="4" w:space="0"/>
              <w:bottom w:val="single" w:color="000000" w:sz="2" w:space="0"/>
              <w:right w:val="single" w:color="000000" w:sz="4" w:space="0"/>
            </w:tcBorders>
            <w:vAlign w:val="center"/>
          </w:tcPr>
          <w:p w14:paraId="219FBB8F">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企业设有室内原料堆放区，具有防雨、防渗生产厂房；厂区内实行“雨污分流”。</w:t>
            </w:r>
          </w:p>
        </w:tc>
        <w:tc>
          <w:tcPr>
            <w:tcW w:w="180" w:type="pct"/>
            <w:tcBorders>
              <w:left w:val="single" w:color="000000" w:sz="4" w:space="0"/>
              <w:bottom w:val="single" w:color="000000" w:sz="2" w:space="0"/>
              <w:right w:val="nil"/>
            </w:tcBorders>
            <w:vAlign w:val="center"/>
          </w:tcPr>
          <w:p w14:paraId="297F5BA7">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043469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continue"/>
            <w:tcBorders>
              <w:left w:val="nil"/>
              <w:right w:val="nil"/>
            </w:tcBorders>
            <w:vAlign w:val="center"/>
          </w:tcPr>
          <w:p w14:paraId="54B01C9E">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777" w:type="pct"/>
            <w:tcBorders>
              <w:top w:val="single" w:color="000000" w:sz="2" w:space="0"/>
              <w:left w:val="nil"/>
              <w:right w:val="single" w:color="000000" w:sz="4" w:space="0"/>
            </w:tcBorders>
            <w:vAlign w:val="center"/>
          </w:tcPr>
          <w:p w14:paraId="151F8A19">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企业对收集的废塑料中的金属、橡胶、纤维、渣土、油脂、添加物等夹杂物，应采取相应的处理措施。如企业不具备处理条件，应委托其他具有处理能力的企业处理，不得擅自丢弃、倾倒、焚烧与填埋。</w:t>
            </w:r>
          </w:p>
        </w:tc>
        <w:tc>
          <w:tcPr>
            <w:tcW w:w="1748" w:type="pct"/>
            <w:tcBorders>
              <w:top w:val="single" w:color="000000" w:sz="2" w:space="0"/>
              <w:left w:val="single" w:color="000000" w:sz="4" w:space="0"/>
              <w:right w:val="single" w:color="000000" w:sz="4" w:space="0"/>
            </w:tcBorders>
            <w:vAlign w:val="center"/>
          </w:tcPr>
          <w:p w14:paraId="0620D95E">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本项目原材料废旧塑料经</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分选机</w:t>
            </w:r>
            <w:r>
              <w:rPr>
                <w:rFonts w:hint="default" w:ascii="Times New Roman" w:hAnsi="Times New Roman" w:eastAsia="宋体" w:cs="Times New Roman"/>
                <w:color w:val="000000" w:themeColor="text1"/>
                <w:sz w:val="21"/>
                <w:szCs w:val="21"/>
                <w14:textFill>
                  <w14:solidFill>
                    <w14:schemeClr w14:val="tx1"/>
                  </w14:solidFill>
                </w14:textFill>
              </w:rPr>
              <w:t>分拣出的如金属、纸屑等夹杂物分类收集，外售处置，不擅自丢弃、倾倒、焚烧与填埋。</w:t>
            </w:r>
          </w:p>
        </w:tc>
        <w:tc>
          <w:tcPr>
            <w:tcW w:w="180" w:type="pct"/>
            <w:tcBorders>
              <w:top w:val="single" w:color="000000" w:sz="2" w:space="0"/>
              <w:left w:val="single" w:color="000000" w:sz="4" w:space="0"/>
              <w:right w:val="nil"/>
            </w:tcBorders>
            <w:vAlign w:val="center"/>
          </w:tcPr>
          <w:p w14:paraId="4CD5AEC3">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30C1ED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continue"/>
            <w:tcBorders>
              <w:left w:val="nil"/>
              <w:right w:val="single" w:color="000000" w:sz="4" w:space="0"/>
            </w:tcBorders>
            <w:vAlign w:val="center"/>
          </w:tcPr>
          <w:p w14:paraId="60360618">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777" w:type="pct"/>
            <w:tcBorders>
              <w:left w:val="single" w:color="000000" w:sz="4" w:space="0"/>
              <w:right w:val="single" w:color="000000" w:sz="4" w:space="0"/>
            </w:tcBorders>
            <w:vAlign w:val="center"/>
          </w:tcPr>
          <w:p w14:paraId="45A5A3BB">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企业应具有与加工利用能力相适应的废水处理设施，中水回用率必须符合环评文件的有关要求。废水处理后需要外排的废水，必须经处理后达标排放。企业应采用高效节能环保的污泥处理工艺，或交由具有处理资格的废物处理机构，实现污泥无害化处理。除具有获批建设、验收合格的专业盐卤废水处理设施，禁止使用盐卤分选工艺。</w:t>
            </w:r>
          </w:p>
        </w:tc>
        <w:tc>
          <w:tcPr>
            <w:tcW w:w="1748" w:type="pct"/>
            <w:tcBorders>
              <w:left w:val="single" w:color="000000" w:sz="4" w:space="0"/>
              <w:right w:val="single" w:color="000000" w:sz="4" w:space="0"/>
            </w:tcBorders>
            <w:vAlign w:val="center"/>
          </w:tcPr>
          <w:p w14:paraId="3BE155B7">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本项目设有完善污水处理系统，中水回用满足回用标准；生产过程中冷却水循环使用，</w:t>
            </w:r>
            <w:r>
              <w:rPr>
                <w:rFonts w:hint="eastAsia" w:ascii="Times New Roman" w:hAnsi="Times New Roman" w:eastAsia="宋体" w:cs="Times New Roman"/>
                <w:color w:val="000000" w:themeColor="text1"/>
                <w:sz w:val="21"/>
                <w:szCs w:val="21"/>
                <w:lang w:eastAsia="zh-CN"/>
                <w14:textFill>
                  <w14:solidFill>
                    <w14:schemeClr w14:val="tx1"/>
                  </w14:solidFill>
                </w14:textFill>
              </w:rPr>
              <w:t>定期外排水用于物料清洗</w:t>
            </w:r>
            <w:r>
              <w:rPr>
                <w:rFonts w:hint="default" w:ascii="Times New Roman" w:hAnsi="Times New Roman" w:eastAsia="宋体" w:cs="Times New Roman"/>
                <w:color w:val="000000" w:themeColor="text1"/>
                <w:sz w:val="21"/>
                <w:szCs w:val="21"/>
                <w14:textFill>
                  <w14:solidFill>
                    <w14:schemeClr w14:val="tx1"/>
                  </w14:solidFill>
                </w14:textFill>
              </w:rPr>
              <w:t>；生活污水经化粪池预处理后经市政污水管网排入</w:t>
            </w:r>
            <w:r>
              <w:rPr>
                <w:rFonts w:hint="default" w:ascii="Times New Roman" w:hAnsi="Times New Roman" w:cs="Times New Roman"/>
                <w:color w:val="000000" w:themeColor="text1"/>
                <w:sz w:val="21"/>
                <w:szCs w:val="21"/>
                <w:lang w:eastAsia="zh-CN"/>
                <w14:textFill>
                  <w14:solidFill>
                    <w14:schemeClr w14:val="tx1"/>
                  </w14:solidFill>
                </w14:textFill>
              </w:rPr>
              <w:t>毛集实验区污水处理厂</w:t>
            </w:r>
            <w:r>
              <w:rPr>
                <w:rFonts w:hint="default" w:ascii="Times New Roman" w:hAnsi="Times New Roman" w:eastAsia="宋体" w:cs="Times New Roman"/>
                <w:color w:val="000000" w:themeColor="text1"/>
                <w:sz w:val="21"/>
                <w:szCs w:val="21"/>
                <w14:textFill>
                  <w14:solidFill>
                    <w14:schemeClr w14:val="tx1"/>
                  </w14:solidFill>
                </w14:textFill>
              </w:rPr>
              <w:t>；固废合理处理处置。</w:t>
            </w:r>
          </w:p>
        </w:tc>
        <w:tc>
          <w:tcPr>
            <w:tcW w:w="180" w:type="pct"/>
            <w:tcBorders>
              <w:left w:val="single" w:color="000000" w:sz="4" w:space="0"/>
              <w:right w:val="nil"/>
            </w:tcBorders>
            <w:vAlign w:val="center"/>
          </w:tcPr>
          <w:p w14:paraId="56B38470">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763FBB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continue"/>
            <w:tcBorders>
              <w:left w:val="nil"/>
              <w:right w:val="single" w:color="000000" w:sz="4" w:space="0"/>
            </w:tcBorders>
            <w:vAlign w:val="center"/>
          </w:tcPr>
          <w:p w14:paraId="1BE6F15B">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777" w:type="pct"/>
            <w:tcBorders>
              <w:left w:val="single" w:color="000000" w:sz="4" w:space="0"/>
              <w:right w:val="single" w:color="000000" w:sz="4" w:space="0"/>
            </w:tcBorders>
            <w:vAlign w:val="center"/>
          </w:tcPr>
          <w:p w14:paraId="7AA1DA33">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再生加工过程中产生废气、粉尘的加工车间应设置废气、粉尘收集处理设施，通过净化处理，达标后排放。</w:t>
            </w:r>
          </w:p>
        </w:tc>
        <w:tc>
          <w:tcPr>
            <w:tcW w:w="1748" w:type="pct"/>
            <w:tcBorders>
              <w:left w:val="single" w:color="000000" w:sz="4" w:space="0"/>
              <w:right w:val="single" w:color="000000" w:sz="4" w:space="0"/>
            </w:tcBorders>
            <w:vAlign w:val="center"/>
          </w:tcPr>
          <w:p w14:paraId="768D136F">
            <w:pPr>
              <w:pStyle w:val="34"/>
              <w:spacing w:after="0"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本项目涉及的挥发性有机物</w:t>
            </w:r>
            <w:r>
              <w:rPr>
                <w:rFonts w:hint="default" w:ascii="Times New Roman" w:hAnsi="Times New Roman" w:eastAsia="宋体" w:cs="Times New Roman"/>
                <w:color w:val="000000" w:themeColor="text1"/>
                <w:sz w:val="21"/>
                <w:szCs w:val="21"/>
                <w14:textFill>
                  <w14:solidFill>
                    <w14:schemeClr w14:val="tx1"/>
                  </w14:solidFill>
                </w14:textFill>
              </w:rPr>
              <w:t>主要为</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熔融挤出</w:t>
            </w:r>
            <w:r>
              <w:rPr>
                <w:rFonts w:hint="default" w:ascii="Times New Roman" w:hAnsi="Times New Roman" w:eastAsia="宋体" w:cs="Times New Roman"/>
                <w:color w:val="000000" w:themeColor="text1"/>
                <w:sz w:val="21"/>
                <w:szCs w:val="21"/>
                <w14:textFill>
                  <w14:solidFill>
                    <w14:schemeClr w14:val="tx1"/>
                  </w14:solidFill>
                </w14:textFill>
              </w:rPr>
              <w:t>废气</w:t>
            </w:r>
            <w:r>
              <w:rPr>
                <w:rFonts w:hint="eastAsia" w:cs="Times New Roman"/>
                <w:color w:val="000000" w:themeColor="text1"/>
                <w:sz w:val="21"/>
                <w:szCs w:val="21"/>
                <w:lang w:val="en-US" w:eastAsia="zh-CN"/>
                <w14:textFill>
                  <w14:solidFill>
                    <w14:schemeClr w14:val="tx1"/>
                  </w14:solidFill>
                </w14:textFill>
              </w:rPr>
              <w:t>、高温分选废气、拆包废气和磨粉废气，</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熔融挤出</w:t>
            </w:r>
            <w:r>
              <w:rPr>
                <w:rFonts w:hint="default" w:ascii="Times New Roman" w:hAnsi="Times New Roman" w:eastAsia="宋体" w:cs="Times New Roman"/>
                <w:color w:val="000000" w:themeColor="text1"/>
                <w:sz w:val="21"/>
                <w:szCs w:val="21"/>
                <w14:textFill>
                  <w14:solidFill>
                    <w14:schemeClr w14:val="tx1"/>
                  </w14:solidFill>
                </w14:textFill>
              </w:rPr>
              <w:t>废气经</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区域封闭+集气罩</w:t>
            </w:r>
            <w:r>
              <w:rPr>
                <w:rFonts w:hint="default" w:ascii="Times New Roman" w:hAnsi="Times New Roman" w:eastAsia="宋体" w:cs="Times New Roman"/>
                <w:color w:val="000000" w:themeColor="text1"/>
                <w:sz w:val="21"/>
                <w:szCs w:val="21"/>
                <w14:textFill>
                  <w14:solidFill>
                    <w14:schemeClr w14:val="tx1"/>
                  </w14:solidFill>
                </w14:textFill>
              </w:rPr>
              <w:t>收集后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进入</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油烟净化器</w:t>
            </w:r>
            <w:r>
              <w:rPr>
                <w:rFonts w:hint="default" w:ascii="Times New Roman" w:hAnsi="Times New Roman" w:eastAsia="宋体" w:cs="Times New Roman"/>
                <w:color w:val="000000" w:themeColor="text1"/>
                <w:sz w:val="21"/>
                <w:szCs w:val="21"/>
                <w14:textFill>
                  <w14:solidFill>
                    <w14:schemeClr w14:val="tx1"/>
                  </w14:solidFill>
                </w14:textFill>
              </w:rPr>
              <w:t>+两级活性炭吸附装置（TA00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）”处理后通过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5m高排气筒（DA00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）排放</w:t>
            </w: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高温分选废气</w:t>
            </w:r>
            <w:r>
              <w:rPr>
                <w:rFonts w:hint="default" w:ascii="Times New Roman" w:hAnsi="Times New Roman" w:eastAsia="宋体" w:cs="Times New Roman"/>
                <w:color w:val="000000" w:themeColor="text1"/>
                <w:sz w:val="21"/>
                <w:szCs w:val="21"/>
                <w14:textFill>
                  <w14:solidFill>
                    <w14:schemeClr w14:val="tx1"/>
                  </w14:solidFill>
                </w14:textFill>
              </w:rPr>
              <w:t>经</w:t>
            </w:r>
            <w:r>
              <w:rPr>
                <w:rFonts w:hint="eastAsia" w:cs="Times New Roman"/>
                <w:color w:val="000000" w:themeColor="text1"/>
                <w:sz w:val="21"/>
                <w:szCs w:val="21"/>
                <w:lang w:val="en-US" w:eastAsia="zh-CN"/>
                <w14:textFill>
                  <w14:solidFill>
                    <w14:schemeClr w14:val="tx1"/>
                  </w14:solidFill>
                </w14:textFill>
              </w:rPr>
              <w:t>设备密闭</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+集气罩</w:t>
            </w:r>
            <w:r>
              <w:rPr>
                <w:rFonts w:hint="default" w:ascii="Times New Roman" w:hAnsi="Times New Roman" w:eastAsia="宋体" w:cs="Times New Roman"/>
                <w:color w:val="000000" w:themeColor="text1"/>
                <w:sz w:val="21"/>
                <w:szCs w:val="21"/>
                <w14:textFill>
                  <w14:solidFill>
                    <w14:schemeClr w14:val="tx1"/>
                  </w14:solidFill>
                </w14:textFill>
              </w:rPr>
              <w:t>收集后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进入</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油烟净化器</w:t>
            </w:r>
            <w:r>
              <w:rPr>
                <w:rFonts w:hint="default" w:ascii="Times New Roman" w:hAnsi="Times New Roman" w:eastAsia="宋体" w:cs="Times New Roman"/>
                <w:color w:val="000000" w:themeColor="text1"/>
                <w:sz w:val="21"/>
                <w:szCs w:val="21"/>
                <w14:textFill>
                  <w14:solidFill>
                    <w14:schemeClr w14:val="tx1"/>
                  </w14:solidFill>
                </w14:textFill>
              </w:rPr>
              <w:t>+两级活性炭吸附装置（TA00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）”处理后通过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5m高排气筒（DA00</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）排放</w:t>
            </w: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拆包废气</w:t>
            </w:r>
            <w:r>
              <w:rPr>
                <w:rFonts w:hint="default" w:ascii="Times New Roman" w:hAnsi="Times New Roman" w:eastAsia="宋体" w:cs="Times New Roman"/>
                <w:color w:val="000000" w:themeColor="text1"/>
                <w:sz w:val="21"/>
                <w:szCs w:val="21"/>
                <w14:textFill>
                  <w14:solidFill>
                    <w14:schemeClr w14:val="tx1"/>
                  </w14:solidFill>
                </w14:textFill>
              </w:rPr>
              <w:t>经</w:t>
            </w:r>
            <w:r>
              <w:rPr>
                <w:rFonts w:hint="eastAsia" w:cs="Times New Roman"/>
                <w:color w:val="000000" w:themeColor="text1"/>
                <w:sz w:val="21"/>
                <w:szCs w:val="21"/>
                <w:lang w:val="en-US" w:eastAsia="zh-CN"/>
                <w14:textFill>
                  <w14:solidFill>
                    <w14:schemeClr w14:val="tx1"/>
                  </w14:solidFill>
                </w14:textFill>
              </w:rPr>
              <w:t>软帘</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+集气罩</w:t>
            </w:r>
            <w:r>
              <w:rPr>
                <w:rFonts w:hint="default" w:ascii="Times New Roman" w:hAnsi="Times New Roman" w:eastAsia="宋体" w:cs="Times New Roman"/>
                <w:color w:val="000000" w:themeColor="text1"/>
                <w:sz w:val="21"/>
                <w:szCs w:val="21"/>
                <w14:textFill>
                  <w14:solidFill>
                    <w14:schemeClr w14:val="tx1"/>
                  </w14:solidFill>
                </w14:textFill>
              </w:rPr>
              <w:t>收集后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进入</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脉冲布袋除尘器</w:t>
            </w:r>
            <w:r>
              <w:rPr>
                <w:rFonts w:hint="default" w:ascii="Times New Roman" w:hAnsi="Times New Roman" w:eastAsia="宋体" w:cs="Times New Roman"/>
                <w:color w:val="000000" w:themeColor="text1"/>
                <w:sz w:val="21"/>
                <w:szCs w:val="21"/>
                <w14:textFill>
                  <w14:solidFill>
                    <w14:schemeClr w14:val="tx1"/>
                  </w14:solidFill>
                </w14:textFill>
              </w:rPr>
              <w:t>（TA00</w:t>
            </w: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）”处理后通过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5m高排气筒（DA00</w:t>
            </w: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）排放</w:t>
            </w: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磨粉废气</w:t>
            </w:r>
            <w:r>
              <w:rPr>
                <w:rFonts w:hint="default" w:ascii="Times New Roman" w:hAnsi="Times New Roman" w:eastAsia="宋体" w:cs="Times New Roman"/>
                <w:color w:val="000000" w:themeColor="text1"/>
                <w:sz w:val="21"/>
                <w:szCs w:val="21"/>
                <w14:textFill>
                  <w14:solidFill>
                    <w14:schemeClr w14:val="tx1"/>
                  </w14:solidFill>
                </w14:textFill>
              </w:rPr>
              <w:t>经</w:t>
            </w:r>
            <w:r>
              <w:rPr>
                <w:rFonts w:hint="eastAsia" w:cs="Times New Roman"/>
                <w:color w:val="000000" w:themeColor="text1"/>
                <w:sz w:val="21"/>
                <w:szCs w:val="21"/>
                <w:lang w:val="en-US" w:eastAsia="zh-CN"/>
                <w14:textFill>
                  <w14:solidFill>
                    <w14:schemeClr w14:val="tx1"/>
                  </w14:solidFill>
                </w14:textFill>
              </w:rPr>
              <w:t>设备密闭</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+集气罩</w:t>
            </w:r>
            <w:r>
              <w:rPr>
                <w:rFonts w:hint="default" w:ascii="Times New Roman" w:hAnsi="Times New Roman" w:eastAsia="宋体" w:cs="Times New Roman"/>
                <w:color w:val="000000" w:themeColor="text1"/>
                <w:sz w:val="21"/>
                <w:szCs w:val="21"/>
                <w14:textFill>
                  <w14:solidFill>
                    <w14:schemeClr w14:val="tx1"/>
                  </w14:solidFill>
                </w14:textFill>
              </w:rPr>
              <w:t>收集后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进入</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脉冲布袋除尘器</w:t>
            </w:r>
            <w:r>
              <w:rPr>
                <w:rFonts w:hint="default" w:ascii="Times New Roman" w:hAnsi="Times New Roman" w:eastAsia="宋体" w:cs="Times New Roman"/>
                <w:color w:val="000000" w:themeColor="text1"/>
                <w:sz w:val="21"/>
                <w:szCs w:val="21"/>
                <w14:textFill>
                  <w14:solidFill>
                    <w14:schemeClr w14:val="tx1"/>
                  </w14:solidFill>
                </w14:textFill>
              </w:rPr>
              <w:t>（TA00</w:t>
            </w: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）”处理后通过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5m高排气筒（DA00</w:t>
            </w: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）排放</w:t>
            </w:r>
            <w:r>
              <w:rPr>
                <w:rFonts w:hint="eastAsia" w:cs="Times New Roman"/>
                <w:color w:val="000000" w:themeColor="text1"/>
                <w:sz w:val="21"/>
                <w:szCs w:val="21"/>
                <w:lang w:eastAsia="zh-CN"/>
                <w14:textFill>
                  <w14:solidFill>
                    <w14:schemeClr w14:val="tx1"/>
                  </w14:solidFill>
                </w14:textFill>
              </w:rPr>
              <w:t>。</w:t>
            </w:r>
          </w:p>
        </w:tc>
        <w:tc>
          <w:tcPr>
            <w:tcW w:w="180" w:type="pct"/>
            <w:tcBorders>
              <w:left w:val="single" w:color="000000" w:sz="4" w:space="0"/>
              <w:right w:val="nil"/>
            </w:tcBorders>
            <w:vAlign w:val="center"/>
          </w:tcPr>
          <w:p w14:paraId="2E2051AD">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2DE5A6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continue"/>
            <w:tcBorders>
              <w:left w:val="nil"/>
              <w:right w:val="single" w:color="000000" w:sz="4" w:space="0"/>
            </w:tcBorders>
            <w:vAlign w:val="center"/>
          </w:tcPr>
          <w:p w14:paraId="4B4FB550">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777" w:type="pct"/>
            <w:tcBorders>
              <w:left w:val="single" w:color="000000" w:sz="4" w:space="0"/>
              <w:right w:val="single" w:color="000000" w:sz="4" w:space="0"/>
            </w:tcBorders>
            <w:vAlign w:val="center"/>
          </w:tcPr>
          <w:p w14:paraId="5F6454E9">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对于加工过程中噪音污染大的设备，必须采取降噪和隔音措施，企业噪声应达到《工业企业厂界环境噪声排放标准》。</w:t>
            </w:r>
          </w:p>
        </w:tc>
        <w:tc>
          <w:tcPr>
            <w:tcW w:w="1748" w:type="pct"/>
            <w:tcBorders>
              <w:left w:val="single" w:color="000000" w:sz="4" w:space="0"/>
              <w:right w:val="single" w:color="000000" w:sz="4" w:space="0"/>
            </w:tcBorders>
            <w:vAlign w:val="center"/>
          </w:tcPr>
          <w:p w14:paraId="1601066E">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本项目采取了降噪和隔声措施，厂界噪声能够满足《工业企业厂界环境噪声排放标准》中3类标准。</w:t>
            </w:r>
          </w:p>
        </w:tc>
        <w:tc>
          <w:tcPr>
            <w:tcW w:w="180" w:type="pct"/>
            <w:tcBorders>
              <w:left w:val="single" w:color="000000" w:sz="4" w:space="0"/>
              <w:right w:val="nil"/>
            </w:tcBorders>
            <w:vAlign w:val="center"/>
          </w:tcPr>
          <w:p w14:paraId="2B7BE342">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321476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restart"/>
            <w:tcBorders>
              <w:left w:val="nil"/>
              <w:bottom w:val="nil"/>
              <w:right w:val="single" w:color="000000" w:sz="4" w:space="0"/>
            </w:tcBorders>
            <w:vAlign w:val="center"/>
          </w:tcPr>
          <w:p w14:paraId="5A2C42F6">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防火安全</w:t>
            </w:r>
          </w:p>
        </w:tc>
        <w:tc>
          <w:tcPr>
            <w:tcW w:w="2777" w:type="pct"/>
            <w:tcBorders>
              <w:left w:val="single" w:color="000000" w:sz="4" w:space="0"/>
              <w:right w:val="single" w:color="000000" w:sz="4" w:space="0"/>
            </w:tcBorders>
            <w:vAlign w:val="center"/>
          </w:tcPr>
          <w:p w14:paraId="65E03CFF">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企业应严格执行《中华人民共和国消防法》的各项规定。生产厂房、仓库、堆场等场所的防火设计、施工和验收应符合国家现行相关标准的要求。</w:t>
            </w:r>
          </w:p>
        </w:tc>
        <w:tc>
          <w:tcPr>
            <w:tcW w:w="1748" w:type="pct"/>
            <w:tcBorders>
              <w:left w:val="single" w:color="000000" w:sz="4" w:space="0"/>
              <w:right w:val="single" w:color="000000" w:sz="4" w:space="0"/>
            </w:tcBorders>
            <w:vAlign w:val="center"/>
          </w:tcPr>
          <w:p w14:paraId="01123496">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本项目严格按照消防要求建设生产厂房、仓库等。</w:t>
            </w:r>
          </w:p>
        </w:tc>
        <w:tc>
          <w:tcPr>
            <w:tcW w:w="180" w:type="pct"/>
            <w:tcBorders>
              <w:left w:val="single" w:color="000000" w:sz="4" w:space="0"/>
              <w:right w:val="nil"/>
            </w:tcBorders>
            <w:vAlign w:val="center"/>
          </w:tcPr>
          <w:p w14:paraId="38A0D501">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18B8DD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continue"/>
            <w:tcBorders>
              <w:top w:val="nil"/>
              <w:left w:val="nil"/>
              <w:bottom w:val="nil"/>
              <w:right w:val="single" w:color="000000" w:sz="4" w:space="0"/>
            </w:tcBorders>
            <w:vAlign w:val="center"/>
          </w:tcPr>
          <w:p w14:paraId="43281B07">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777" w:type="pct"/>
            <w:tcBorders>
              <w:left w:val="single" w:color="000000" w:sz="4" w:space="0"/>
              <w:right w:val="single" w:color="000000" w:sz="4" w:space="0"/>
            </w:tcBorders>
            <w:vAlign w:val="center"/>
          </w:tcPr>
          <w:p w14:paraId="057E1ED6">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生产厂房、仓库、堆场等场所内应严禁烟火，不可存放任何易燃性物质，并应设置严禁烟火标志。</w:t>
            </w:r>
          </w:p>
        </w:tc>
        <w:tc>
          <w:tcPr>
            <w:tcW w:w="1748" w:type="pct"/>
            <w:tcBorders>
              <w:left w:val="single" w:color="000000" w:sz="4" w:space="0"/>
              <w:right w:val="single" w:color="000000" w:sz="4" w:space="0"/>
            </w:tcBorders>
            <w:vAlign w:val="center"/>
          </w:tcPr>
          <w:p w14:paraId="6B8A8593">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生产厂房、仓库、堆场等场所内应严禁烟火，设置严禁烟火标志</w:t>
            </w:r>
          </w:p>
        </w:tc>
        <w:tc>
          <w:tcPr>
            <w:tcW w:w="180" w:type="pct"/>
            <w:tcBorders>
              <w:left w:val="single" w:color="000000" w:sz="4" w:space="0"/>
              <w:right w:val="nil"/>
            </w:tcBorders>
            <w:vAlign w:val="center"/>
          </w:tcPr>
          <w:p w14:paraId="0719A8DA">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510257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vMerge w:val="continue"/>
            <w:tcBorders>
              <w:top w:val="nil"/>
              <w:left w:val="nil"/>
              <w:right w:val="single" w:color="000000" w:sz="4" w:space="0"/>
            </w:tcBorders>
            <w:vAlign w:val="center"/>
          </w:tcPr>
          <w:p w14:paraId="29A2D113">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2777" w:type="pct"/>
            <w:tcBorders>
              <w:left w:val="single" w:color="000000" w:sz="4" w:space="0"/>
              <w:right w:val="single" w:color="000000" w:sz="4" w:space="0"/>
            </w:tcBorders>
            <w:vAlign w:val="center"/>
          </w:tcPr>
          <w:p w14:paraId="3D0CC6F0">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生产与使用化学药剂的生产区域应符合相关防火、防爆的要求。</w:t>
            </w:r>
          </w:p>
        </w:tc>
        <w:tc>
          <w:tcPr>
            <w:tcW w:w="1748" w:type="pct"/>
            <w:tcBorders>
              <w:left w:val="single" w:color="000000" w:sz="4" w:space="0"/>
              <w:right w:val="single" w:color="000000" w:sz="4" w:space="0"/>
            </w:tcBorders>
            <w:vAlign w:val="center"/>
          </w:tcPr>
          <w:p w14:paraId="2D369B57">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符合防火要求。</w:t>
            </w:r>
          </w:p>
        </w:tc>
        <w:tc>
          <w:tcPr>
            <w:tcW w:w="180" w:type="pct"/>
            <w:tcBorders>
              <w:left w:val="single" w:color="000000" w:sz="4" w:space="0"/>
              <w:right w:val="nil"/>
            </w:tcBorders>
            <w:vAlign w:val="center"/>
          </w:tcPr>
          <w:p w14:paraId="5F486989">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06B059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3" w:type="pct"/>
            <w:tcBorders>
              <w:left w:val="nil"/>
              <w:bottom w:val="single" w:color="000000" w:sz="10" w:space="0"/>
              <w:right w:val="single" w:color="000000" w:sz="4" w:space="0"/>
            </w:tcBorders>
            <w:vAlign w:val="center"/>
          </w:tcPr>
          <w:p w14:paraId="46FECCC4">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产品质量和职业培训</w:t>
            </w:r>
          </w:p>
        </w:tc>
        <w:tc>
          <w:tcPr>
            <w:tcW w:w="2777" w:type="pct"/>
            <w:tcBorders>
              <w:left w:val="single" w:color="000000" w:sz="4" w:space="0"/>
              <w:bottom w:val="single" w:color="000000" w:sz="10" w:space="0"/>
              <w:right w:val="single" w:color="000000" w:sz="4" w:space="0"/>
            </w:tcBorders>
            <w:vAlign w:val="center"/>
          </w:tcPr>
          <w:p w14:paraId="76078908">
            <w:pPr>
              <w:pStyle w:val="34"/>
              <w:numPr>
                <w:ilvl w:val="0"/>
                <w:numId w:val="7"/>
              </w:numPr>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企业应建立质量检验制度，制定完善工作流程和岗位操作规程；</w:t>
            </w:r>
          </w:p>
          <w:p w14:paraId="0FE0D22C">
            <w:pPr>
              <w:pStyle w:val="34"/>
              <w:numPr>
                <w:ilvl w:val="0"/>
                <w:numId w:val="7"/>
              </w:numPr>
              <w:spacing w:after="0" w:line="276" w:lineRule="auto"/>
              <w:ind w:left="0" w:leftChars="0"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废塑料综合利用再生颗粒原料符合相应塑料加工制品质量标准要求；</w:t>
            </w:r>
          </w:p>
          <w:p w14:paraId="78E57515">
            <w:pPr>
              <w:pStyle w:val="34"/>
              <w:numPr>
                <w:ilvl w:val="0"/>
                <w:numId w:val="0"/>
              </w:numPr>
              <w:spacing w:after="0" w:line="276" w:lineRule="auto"/>
              <w:ind w:left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3、企业应建立职业教育培训管理制度，对企业员工进行环境保护、污染防治、资源再生与利用等领域的相关培训，提高企业人员素质。</w:t>
            </w:r>
          </w:p>
        </w:tc>
        <w:tc>
          <w:tcPr>
            <w:tcW w:w="1748" w:type="pct"/>
            <w:tcBorders>
              <w:left w:val="single" w:color="000000" w:sz="4" w:space="0"/>
              <w:bottom w:val="single" w:color="000000" w:sz="10" w:space="0"/>
              <w:right w:val="single" w:color="000000" w:sz="4" w:space="0"/>
            </w:tcBorders>
            <w:vAlign w:val="center"/>
          </w:tcPr>
          <w:p w14:paraId="10FE3629">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1、企业制定了完善工作流程和岗位操作规程；</w:t>
            </w:r>
          </w:p>
          <w:p w14:paraId="4531A9C5">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2、本项目废塑料综合利用再生颗粒原料符合相应塑料加工制品质量标准要求；</w:t>
            </w:r>
          </w:p>
          <w:p w14:paraId="63E6539E">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3、本项目定期对员工进行环境保护等相关培训。</w:t>
            </w:r>
          </w:p>
        </w:tc>
        <w:tc>
          <w:tcPr>
            <w:tcW w:w="180" w:type="pct"/>
            <w:tcBorders>
              <w:left w:val="single" w:color="000000" w:sz="4" w:space="0"/>
              <w:bottom w:val="single" w:color="000000" w:sz="10" w:space="0"/>
              <w:right w:val="nil"/>
            </w:tcBorders>
            <w:vAlign w:val="center"/>
          </w:tcPr>
          <w:p w14:paraId="2ABA1B46">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14:paraId="09CA43B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40" w:hRule="atLeast"/>
        </w:trPr>
        <w:tc>
          <w:tcPr>
            <w:tcW w:w="293" w:type="pct"/>
            <w:tcBorders>
              <w:left w:val="nil"/>
              <w:right w:val="single" w:color="000000" w:sz="4" w:space="0"/>
            </w:tcBorders>
            <w:vAlign w:val="center"/>
          </w:tcPr>
          <w:p w14:paraId="56A22C60">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安全生产和监督管理</w:t>
            </w:r>
          </w:p>
        </w:tc>
        <w:tc>
          <w:tcPr>
            <w:tcW w:w="2777" w:type="pct"/>
            <w:tcBorders>
              <w:left w:val="single" w:color="000000" w:sz="4" w:space="0"/>
              <w:right w:val="single" w:color="000000" w:sz="4" w:space="0"/>
            </w:tcBorders>
            <w:vAlign w:val="center"/>
          </w:tcPr>
          <w:p w14:paraId="5D1F3303">
            <w:pPr>
              <w:pStyle w:val="34"/>
              <w:numPr>
                <w:ilvl w:val="0"/>
                <w:numId w:val="8"/>
              </w:numPr>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企业应严格遵守《中华人民共和国安全生产法》、《中华人民共和国职业病防治法》等相关法律法规规定，具备相应的安全生产、劳动保护和职业危害防治条件，建立、健全安全生产责任制，开展安全生产标准化建设，并按规定限期达；</w:t>
            </w:r>
          </w:p>
          <w:p w14:paraId="0715C766">
            <w:pPr>
              <w:pStyle w:val="34"/>
              <w:numPr>
                <w:ilvl w:val="0"/>
                <w:numId w:val="8"/>
              </w:numPr>
              <w:spacing w:after="0" w:line="276" w:lineRule="auto"/>
              <w:ind w:left="0" w:leftChars="0"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加工企业的安全设施和职业危害防治设施必须与主体工程同时设计、同时施工、同时投入生产和使用；</w:t>
            </w:r>
          </w:p>
          <w:p w14:paraId="0499791C">
            <w:pPr>
              <w:pStyle w:val="34"/>
              <w:numPr>
                <w:ilvl w:val="0"/>
                <w:numId w:val="8"/>
              </w:numPr>
              <w:spacing w:after="0" w:line="276" w:lineRule="auto"/>
              <w:ind w:left="0" w:leftChars="0" w:firstLine="0" w:firstLine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企业应有健全的安全生产和职业卫生管理体系，应有职工安全生产、职业卫生培训制度和安全生产、职业卫生检查制度；</w:t>
            </w:r>
          </w:p>
          <w:p w14:paraId="3134F250">
            <w:pPr>
              <w:pStyle w:val="34"/>
              <w:numPr>
                <w:ilvl w:val="0"/>
                <w:numId w:val="0"/>
              </w:numPr>
              <w:spacing w:after="0" w:line="276" w:lineRule="auto"/>
              <w:ind w:left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 、企业应有安全防护与防治措施，配备符合国家标准的安全防护器材与设备，避免在生产过程中造成机械伤害。对可能产生粉尘、烟气的作业区，应配备职业病防护设施，保证工作场所符合国家职业卫生标准。</w:t>
            </w:r>
          </w:p>
        </w:tc>
        <w:tc>
          <w:tcPr>
            <w:tcW w:w="1748" w:type="pct"/>
            <w:tcBorders>
              <w:left w:val="single" w:color="000000" w:sz="4" w:space="0"/>
              <w:right w:val="single" w:color="000000" w:sz="4" w:space="0"/>
            </w:tcBorders>
            <w:vAlign w:val="center"/>
          </w:tcPr>
          <w:p w14:paraId="69A875F7">
            <w:pPr>
              <w:pStyle w:val="34"/>
              <w:numPr>
                <w:ilvl w:val="0"/>
                <w:numId w:val="9"/>
              </w:numPr>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本次环评要求企业建立健全安全生产和劳动保护相关规定；</w:t>
            </w:r>
          </w:p>
          <w:p w14:paraId="5A5F4830">
            <w:pPr>
              <w:pStyle w:val="34"/>
              <w:numPr>
                <w:ilvl w:val="0"/>
                <w:numId w:val="9"/>
              </w:numPr>
              <w:spacing w:after="0" w:line="276" w:lineRule="auto"/>
              <w:ind w:left="0" w:leftChars="0" w:firstLine="0" w:firstLine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企业的安全设施和职业危害防治设施必须与主体工程同时设计、同时施工、同时投入生产和使用</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03E0F457">
            <w:pPr>
              <w:pStyle w:val="34"/>
              <w:numPr>
                <w:ilvl w:val="0"/>
                <w:numId w:val="9"/>
              </w:numPr>
              <w:spacing w:after="0" w:line="276" w:lineRule="auto"/>
              <w:ind w:left="0" w:leftChars="0" w:firstLine="0" w:firstLineChars="0"/>
              <w:jc w:val="both"/>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企业设有健全的安全生产和职业卫生管理体系，建立有职工安全生产等制度</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14:paraId="2514C387">
            <w:pPr>
              <w:pStyle w:val="34"/>
              <w:numPr>
                <w:ilvl w:val="0"/>
                <w:numId w:val="0"/>
              </w:numPr>
              <w:spacing w:after="0" w:line="276" w:lineRule="auto"/>
              <w:ind w:leftChars="0"/>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、企业设有安全防护与防治措施，配备了符合国家标准的安全防护器材与设备，生产员工配备了必要的安全防护措施。</w:t>
            </w:r>
          </w:p>
        </w:tc>
        <w:tc>
          <w:tcPr>
            <w:tcW w:w="180" w:type="pct"/>
            <w:tcBorders>
              <w:left w:val="single" w:color="000000" w:sz="4" w:space="0"/>
              <w:right w:val="nil"/>
            </w:tcBorders>
            <w:vAlign w:val="center"/>
          </w:tcPr>
          <w:p w14:paraId="6DCDBEF1">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bl>
    <w:p w14:paraId="6867E19C">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p>
    <w:p w14:paraId="46EE9C8B">
      <w:pPr>
        <w:spacing w:line="360" w:lineRule="auto"/>
        <w:jc w:val="both"/>
        <w:rPr>
          <w:rFonts w:hint="default" w:ascii="Times New Roman" w:hAnsi="Times New Roman" w:eastAsia="黑体" w:cs="Times New Roman"/>
          <w:color w:val="000000" w:themeColor="text1"/>
          <w:sz w:val="24"/>
          <w:szCs w:val="24"/>
          <w14:textFill>
            <w14:solidFill>
              <w14:schemeClr w14:val="tx1"/>
            </w14:solidFill>
          </w14:textFill>
        </w:rPr>
        <w:sectPr>
          <w:pgSz w:w="16839" w:h="11907" w:orient="landscape"/>
          <w:pgMar w:top="1797" w:right="1440" w:bottom="1797" w:left="1440" w:header="680" w:footer="680" w:gutter="0"/>
          <w:pgBorders>
            <w:top w:val="none" w:sz="0" w:space="0"/>
            <w:left w:val="none" w:sz="0" w:space="0"/>
            <w:bottom w:val="none" w:sz="0" w:space="0"/>
            <w:right w:val="none" w:sz="0" w:space="0"/>
          </w:pgBorders>
          <w:pgNumType w:start="51"/>
          <w:cols w:space="425" w:num="1"/>
          <w:docGrid w:type="lines" w:linePitch="312" w:charSpace="0"/>
        </w:sectPr>
      </w:pPr>
    </w:p>
    <w:p w14:paraId="6963E83F">
      <w:pPr>
        <w:spacing w:line="360" w:lineRule="auto"/>
        <w:jc w:val="center"/>
        <w:rPr>
          <w:rFonts w:hint="default" w:ascii="Times New Roman" w:hAnsi="Times New Roman" w:cs="Times New Roman"/>
          <w:color w:val="000000" w:themeColor="text1"/>
          <w14:textFill>
            <w14:solidFill>
              <w14:schemeClr w14:val="tx1"/>
            </w14:solidFill>
          </w14:textFill>
        </w:rPr>
      </w:pPr>
      <w:bookmarkStart w:id="42" w:name="_Toc173837634"/>
      <w:r>
        <w:rPr>
          <w:rFonts w:hint="default" w:ascii="Times New Roman" w:hAnsi="Times New Roman" w:eastAsia="黑体" w:cs="Times New Roman"/>
          <w:bCs/>
          <w:color w:val="000000" w:themeColor="text1"/>
          <w:sz w:val="24"/>
          <w:szCs w:val="24"/>
          <w14:textFill>
            <w14:solidFill>
              <w14:schemeClr w14:val="tx1"/>
            </w14:solidFill>
          </w14:textFill>
        </w:rPr>
        <w:t>表 2.</w:t>
      </w:r>
      <w:r>
        <w:rPr>
          <w:rFonts w:hint="eastAsia" w:eastAsia="黑体" w:cs="Times New Roman"/>
          <w:bCs/>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bCs/>
          <w:color w:val="000000" w:themeColor="text1"/>
          <w:sz w:val="24"/>
          <w:szCs w:val="24"/>
          <w14:textFill>
            <w14:solidFill>
              <w14:schemeClr w14:val="tx1"/>
            </w14:solidFill>
          </w14:textFill>
        </w:rPr>
        <w:t>-</w:t>
      </w:r>
      <w:r>
        <w:rPr>
          <w:rFonts w:hint="default" w:ascii="Times New Roman" w:hAnsi="Times New Roman" w:eastAsia="黑体" w:cs="Times New Roman"/>
          <w:bCs/>
          <w:color w:val="000000" w:themeColor="text1"/>
          <w:sz w:val="24"/>
          <w:szCs w:val="24"/>
          <w:lang w:val="en-US" w:eastAsia="zh-CN"/>
          <w14:textFill>
            <w14:solidFill>
              <w14:schemeClr w14:val="tx1"/>
            </w14:solidFill>
          </w14:textFill>
        </w:rPr>
        <w:t>7</w:t>
      </w:r>
      <w:r>
        <w:rPr>
          <w:rFonts w:hint="default" w:ascii="Times New Roman" w:hAnsi="Times New Roman" w:eastAsia="黑体" w:cs="Times New Roman"/>
          <w:bCs/>
          <w:color w:val="000000" w:themeColor="text1"/>
          <w:sz w:val="24"/>
          <w:szCs w:val="24"/>
          <w14:textFill>
            <w14:solidFill>
              <w14:schemeClr w14:val="tx1"/>
            </w14:solidFill>
          </w14:textFill>
        </w:rPr>
        <w:t>与《废塑料加工利用污染防治管理规定》相符性分析</w:t>
      </w:r>
    </w:p>
    <w:tbl>
      <w:tblPr>
        <w:tblStyle w:val="4092"/>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9"/>
        <w:gridCol w:w="4351"/>
        <w:gridCol w:w="1974"/>
        <w:gridCol w:w="986"/>
      </w:tblGrid>
      <w:tr w14:paraId="628094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1" w:type="pct"/>
            <w:tcBorders>
              <w:top w:val="single" w:color="000000" w:sz="10" w:space="0"/>
              <w:left w:val="nil"/>
            </w:tcBorders>
            <w:vAlign w:val="center"/>
          </w:tcPr>
          <w:p w14:paraId="09EA1321">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2617" w:type="pct"/>
            <w:tcBorders>
              <w:top w:val="single" w:color="000000" w:sz="10" w:space="0"/>
            </w:tcBorders>
            <w:vAlign w:val="center"/>
          </w:tcPr>
          <w:p w14:paraId="232D2FC3">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《废塑料加工利用污染防治管理规定》</w:t>
            </w:r>
          </w:p>
        </w:tc>
        <w:tc>
          <w:tcPr>
            <w:tcW w:w="1187" w:type="pct"/>
            <w:tcBorders>
              <w:top w:val="single" w:color="000000" w:sz="10" w:space="0"/>
            </w:tcBorders>
            <w:vAlign w:val="center"/>
          </w:tcPr>
          <w:p w14:paraId="5F892BD5">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w:t>
            </w:r>
          </w:p>
        </w:tc>
        <w:tc>
          <w:tcPr>
            <w:tcW w:w="593" w:type="pct"/>
            <w:tcBorders>
              <w:top w:val="single" w:color="000000" w:sz="10" w:space="0"/>
              <w:right w:val="nil"/>
            </w:tcBorders>
            <w:vAlign w:val="center"/>
          </w:tcPr>
          <w:p w14:paraId="3AAC7C9F">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相符性</w:t>
            </w:r>
          </w:p>
        </w:tc>
      </w:tr>
      <w:tr w14:paraId="5EE11C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1" w:type="pct"/>
            <w:tcBorders>
              <w:left w:val="nil"/>
            </w:tcBorders>
            <w:vAlign w:val="center"/>
          </w:tcPr>
          <w:p w14:paraId="70F6B59C">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2617" w:type="pct"/>
            <w:vAlign w:val="center"/>
          </w:tcPr>
          <w:p w14:paraId="63FB716E">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禁止在居民区加工利用废塑料。禁止利用废塑料生产厚度小于0.025mm的超薄塑料购物袋和厚度小于0.015mm超薄塑料袋。禁止利用废塑料生产食品用塑料袋。禁止无危险废物经营许可证从事废塑料类危险废物的回收利用活动，包括被危险化学品、农药等污染的废弃塑料包装物，废弃的一次性医疗用塑料制品（如输液器、血袋）等。无符合环保要求污水治理设施的，禁止从事废编织袋造粒、缸脚料淘洗、废塑料退镀（涂）、盐卤分拣等加工活动</w:t>
            </w:r>
          </w:p>
        </w:tc>
        <w:tc>
          <w:tcPr>
            <w:tcW w:w="1187" w:type="pct"/>
            <w:vAlign w:val="center"/>
          </w:tcPr>
          <w:p w14:paraId="57BD3B74">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本项目选址位于</w:t>
            </w:r>
            <w:r>
              <w:rPr>
                <w:rFonts w:hint="default" w:ascii="Times New Roman" w:hAnsi="Times New Roman" w:eastAsia="宋体" w:cs="Times New Roman"/>
                <w:color w:val="000000" w:themeColor="text1"/>
                <w:sz w:val="21"/>
                <w:szCs w:val="21"/>
                <w:lang w:eastAsia="zh-CN"/>
                <w14:textFill>
                  <w14:solidFill>
                    <w14:schemeClr w14:val="tx1"/>
                  </w14:solidFill>
                </w14:textFill>
              </w:rPr>
              <w:t>安徽省淮南市毛集社会发展综合实验区</w:t>
            </w:r>
            <w:r>
              <w:rPr>
                <w:rFonts w:hint="default" w:ascii="Times New Roman" w:hAnsi="Times New Roman" w:eastAsia="宋体" w:cs="Times New Roman"/>
                <w:color w:val="000000" w:themeColor="text1"/>
                <w:sz w:val="21"/>
                <w:szCs w:val="21"/>
                <w14:textFill>
                  <w14:solidFill>
                    <w14:schemeClr w14:val="tx1"/>
                  </w14:solidFill>
                </w14:textFill>
              </w:rPr>
              <w:t>新兴工业园，项目用地为工业用地，不在居民区加工利用废塑料；拟建项目原料主要是PET瓶</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片以及</w:t>
            </w:r>
            <w:r>
              <w:rPr>
                <w:rFonts w:hint="default" w:ascii="Times New Roman" w:hAnsi="Times New Roman" w:eastAsia="宋体" w:cs="Times New Roman"/>
                <w:color w:val="000000" w:themeColor="text1"/>
                <w:sz w:val="21"/>
                <w:szCs w:val="21"/>
                <w14:textFill>
                  <w14:solidFill>
                    <w14:schemeClr w14:val="tx1"/>
                  </w14:solidFill>
                </w14:textFill>
              </w:rPr>
              <w:t>改性粒子，不使用超薄塑料袋、不涉及危险废物等</w:t>
            </w:r>
          </w:p>
        </w:tc>
        <w:tc>
          <w:tcPr>
            <w:tcW w:w="593" w:type="pct"/>
            <w:tcBorders>
              <w:right w:val="nil"/>
            </w:tcBorders>
            <w:vAlign w:val="center"/>
          </w:tcPr>
          <w:p w14:paraId="4036F3A2">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w:t>
            </w:r>
          </w:p>
        </w:tc>
      </w:tr>
      <w:tr w14:paraId="2E1C14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1" w:type="pct"/>
            <w:tcBorders>
              <w:left w:val="nil"/>
            </w:tcBorders>
            <w:vAlign w:val="center"/>
          </w:tcPr>
          <w:p w14:paraId="12F68A90">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2617" w:type="pct"/>
            <w:vAlign w:val="center"/>
          </w:tcPr>
          <w:p w14:paraId="1C536A45">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废塑料加工利用单位应当以环境无害化方式处理废塑料加工利用过程产生的残余垃圾、滤网；禁止交不符合环保要求的单位或个人处置。禁止露天焚烧废塑料及加工利用过程产生的残余垃圾、滤网</w:t>
            </w:r>
          </w:p>
        </w:tc>
        <w:tc>
          <w:tcPr>
            <w:tcW w:w="1187" w:type="pct"/>
            <w:vAlign w:val="center"/>
          </w:tcPr>
          <w:p w14:paraId="0B2C988E">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项目生产过程中塑料边角料回用于生产；企业不在厂区露天焚烧废塑料、废过滤网等废物</w:t>
            </w:r>
          </w:p>
        </w:tc>
        <w:tc>
          <w:tcPr>
            <w:tcW w:w="593" w:type="pct"/>
            <w:tcBorders>
              <w:right w:val="nil"/>
            </w:tcBorders>
            <w:vAlign w:val="center"/>
          </w:tcPr>
          <w:p w14:paraId="450EE78C">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w:t>
            </w:r>
          </w:p>
        </w:tc>
      </w:tr>
      <w:tr w14:paraId="0EEE16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1" w:type="pct"/>
            <w:tcBorders>
              <w:left w:val="nil"/>
              <w:bottom w:val="single" w:color="000000" w:sz="10" w:space="0"/>
            </w:tcBorders>
            <w:vAlign w:val="center"/>
          </w:tcPr>
          <w:p w14:paraId="434B2079">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2617" w:type="pct"/>
            <w:tcBorders>
              <w:bottom w:val="single" w:color="000000" w:sz="10" w:space="0"/>
            </w:tcBorders>
            <w:vAlign w:val="center"/>
          </w:tcPr>
          <w:p w14:paraId="7BE09117">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进口废塑料加工利用企业应当符合《固体废物进口管理办法》以及环境保护部关于进口可用作原料的固体废物和废塑料环境保护管理相关规定。禁止进口未经清洗的使用过的废塑料</w:t>
            </w:r>
          </w:p>
        </w:tc>
        <w:tc>
          <w:tcPr>
            <w:tcW w:w="1187" w:type="pct"/>
            <w:tcBorders>
              <w:bottom w:val="single" w:color="000000" w:sz="10" w:space="0"/>
            </w:tcBorders>
            <w:vAlign w:val="center"/>
          </w:tcPr>
          <w:p w14:paraId="5755D1E5">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本项目废旧塑料均从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淮南</w:t>
            </w:r>
            <w:r>
              <w:rPr>
                <w:rFonts w:hint="default" w:ascii="Times New Roman" w:hAnsi="Times New Roman" w:eastAsia="宋体" w:cs="Times New Roman"/>
                <w:color w:val="000000" w:themeColor="text1"/>
                <w:sz w:val="21"/>
                <w:szCs w:val="21"/>
                <w14:textFill>
                  <w14:solidFill>
                    <w14:schemeClr w14:val="tx1"/>
                  </w14:solidFill>
                </w14:textFill>
              </w:rPr>
              <w:t>及周边临近城市等省内市场回收，不进口废塑料</w:t>
            </w:r>
          </w:p>
        </w:tc>
        <w:tc>
          <w:tcPr>
            <w:tcW w:w="593" w:type="pct"/>
            <w:tcBorders>
              <w:bottom w:val="single" w:color="000000" w:sz="10" w:space="0"/>
              <w:right w:val="nil"/>
            </w:tcBorders>
            <w:vAlign w:val="center"/>
          </w:tcPr>
          <w:p w14:paraId="19D1F9B3">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w:t>
            </w:r>
          </w:p>
        </w:tc>
      </w:tr>
    </w:tbl>
    <w:p w14:paraId="25B3A848">
      <w:pPr>
        <w:spacing w:line="360" w:lineRule="auto"/>
        <w:jc w:val="center"/>
        <w:rPr>
          <w:rFonts w:hint="default" w:ascii="Times New Roman" w:hAnsi="Times New Roman" w:eastAsia="黑体" w:cs="Times New Roman"/>
          <w:bCs/>
          <w:color w:val="000000" w:themeColor="text1"/>
          <w:sz w:val="24"/>
          <w:szCs w:val="24"/>
          <w:lang w:eastAsia="zh-CN"/>
          <w14:textFill>
            <w14:solidFill>
              <w14:schemeClr w14:val="tx1"/>
            </w14:solidFill>
          </w14:textFill>
        </w:rPr>
      </w:pPr>
      <w:r>
        <w:rPr>
          <w:rFonts w:hint="default" w:ascii="Times New Roman" w:hAnsi="Times New Roman" w:eastAsia="黑体" w:cs="Times New Roman"/>
          <w:bCs/>
          <w:color w:val="000000" w:themeColor="text1"/>
          <w:sz w:val="24"/>
          <w:szCs w:val="24"/>
          <w14:textFill>
            <w14:solidFill>
              <w14:schemeClr w14:val="tx1"/>
            </w14:solidFill>
          </w14:textFill>
        </w:rPr>
        <w:t>表2.</w:t>
      </w:r>
      <w:r>
        <w:rPr>
          <w:rFonts w:hint="eastAsia" w:eastAsia="黑体" w:cs="Times New Roman"/>
          <w:bCs/>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bCs/>
          <w:color w:val="000000" w:themeColor="text1"/>
          <w:sz w:val="24"/>
          <w:szCs w:val="24"/>
          <w14:textFill>
            <w14:solidFill>
              <w14:schemeClr w14:val="tx1"/>
            </w14:solidFill>
          </w14:textFill>
        </w:rPr>
        <w:t>-</w:t>
      </w:r>
      <w:r>
        <w:rPr>
          <w:rFonts w:hint="default" w:ascii="Times New Roman" w:hAnsi="Times New Roman" w:eastAsia="黑体" w:cs="Times New Roman"/>
          <w:bCs/>
          <w:color w:val="000000" w:themeColor="text1"/>
          <w:sz w:val="24"/>
          <w:szCs w:val="24"/>
          <w:lang w:val="en-US" w:eastAsia="zh-CN"/>
          <w14:textFill>
            <w14:solidFill>
              <w14:schemeClr w14:val="tx1"/>
            </w14:solidFill>
          </w14:textFill>
        </w:rPr>
        <w:t>8</w:t>
      </w:r>
      <w:r>
        <w:rPr>
          <w:rFonts w:hint="default" w:ascii="Times New Roman" w:hAnsi="Times New Roman" w:eastAsia="黑体" w:cs="Times New Roman"/>
          <w:bCs/>
          <w:color w:val="000000" w:themeColor="text1"/>
          <w:sz w:val="24"/>
          <w:szCs w:val="24"/>
          <w14:textFill>
            <w14:solidFill>
              <w14:schemeClr w14:val="tx1"/>
            </w14:solidFill>
          </w14:textFill>
        </w:rPr>
        <w:t>与《废塑料回收技术规范》的相符性分析</w:t>
      </w:r>
    </w:p>
    <w:tbl>
      <w:tblPr>
        <w:tblStyle w:val="4092"/>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6"/>
        <w:gridCol w:w="4326"/>
        <w:gridCol w:w="2090"/>
        <w:gridCol w:w="898"/>
      </w:tblGrid>
      <w:tr w14:paraId="26ECF3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202" w:type="pct"/>
            <w:gridSpan w:val="2"/>
            <w:tcBorders>
              <w:top w:val="single" w:color="000000" w:sz="10" w:space="0"/>
              <w:left w:val="nil"/>
            </w:tcBorders>
            <w:vAlign w:val="center"/>
          </w:tcPr>
          <w:p w14:paraId="344262B1">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废塑料回收技术规范</w:t>
            </w:r>
          </w:p>
        </w:tc>
        <w:tc>
          <w:tcPr>
            <w:tcW w:w="1257" w:type="pct"/>
            <w:tcBorders>
              <w:top w:val="single" w:color="000000" w:sz="10" w:space="0"/>
            </w:tcBorders>
            <w:vAlign w:val="center"/>
          </w:tcPr>
          <w:p w14:paraId="1A33EC3E">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w:t>
            </w:r>
          </w:p>
        </w:tc>
        <w:tc>
          <w:tcPr>
            <w:tcW w:w="540" w:type="pct"/>
            <w:tcBorders>
              <w:top w:val="single" w:color="000000" w:sz="10" w:space="0"/>
              <w:right w:val="nil"/>
            </w:tcBorders>
            <w:vAlign w:val="center"/>
          </w:tcPr>
          <w:p w14:paraId="78BCB11F">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相符性</w:t>
            </w:r>
          </w:p>
        </w:tc>
      </w:tr>
      <w:tr w14:paraId="46982F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0" w:type="pct"/>
            <w:tcBorders>
              <w:left w:val="nil"/>
            </w:tcBorders>
            <w:vAlign w:val="center"/>
          </w:tcPr>
          <w:p w14:paraId="24FDC7BF">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总体要求</w:t>
            </w:r>
          </w:p>
        </w:tc>
        <w:tc>
          <w:tcPr>
            <w:tcW w:w="2601" w:type="pct"/>
            <w:vAlign w:val="center"/>
          </w:tcPr>
          <w:p w14:paraId="1C46BA52">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应建立环境污染预防机制和处理环境污染事故的应急预案制度。</w:t>
            </w:r>
          </w:p>
          <w:p w14:paraId="7746A027">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宜建立废塑料回收信息管理制度，记录每批次废塑料的回收时间、地点、来源、数量、种类、分拣后废塑料流向、交易情况等信息，并保存有关信息至少两年。</w:t>
            </w:r>
          </w:p>
        </w:tc>
        <w:tc>
          <w:tcPr>
            <w:tcW w:w="1257" w:type="pct"/>
            <w:vAlign w:val="center"/>
          </w:tcPr>
          <w:p w14:paraId="73775E89">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本项目按要求编制应急预案并备案，按要求做好</w:t>
            </w:r>
            <w:r>
              <w:rPr>
                <w:rFonts w:hint="default" w:ascii="Times New Roman" w:hAnsi="Times New Roman" w:eastAsia="宋体" w:cs="Times New Roman"/>
                <w:color w:val="000000" w:themeColor="text1"/>
                <w:sz w:val="21"/>
                <w:szCs w:val="21"/>
                <w14:textFill>
                  <w14:solidFill>
                    <w14:schemeClr w14:val="tx1"/>
                  </w14:solidFill>
                </w14:textFill>
              </w:rPr>
              <w:t>废塑料回收信息</w:t>
            </w:r>
            <w:r>
              <w:rPr>
                <w:rFonts w:hint="eastAsia" w:cs="Times New Roman"/>
                <w:color w:val="000000" w:themeColor="text1"/>
                <w:sz w:val="21"/>
                <w:szCs w:val="21"/>
                <w:lang w:eastAsia="zh-CN"/>
                <w14:textFill>
                  <w14:solidFill>
                    <w14:schemeClr w14:val="tx1"/>
                  </w14:solidFill>
                </w14:textFill>
              </w:rPr>
              <w:t>记录并保存</w:t>
            </w:r>
          </w:p>
        </w:tc>
        <w:tc>
          <w:tcPr>
            <w:tcW w:w="540" w:type="pct"/>
            <w:tcBorders>
              <w:right w:val="nil"/>
            </w:tcBorders>
            <w:vAlign w:val="center"/>
          </w:tcPr>
          <w:p w14:paraId="7A028887">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w:t>
            </w:r>
          </w:p>
        </w:tc>
      </w:tr>
      <w:tr w14:paraId="677036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0" w:type="pct"/>
            <w:tcBorders>
              <w:left w:val="nil"/>
            </w:tcBorders>
            <w:vAlign w:val="center"/>
          </w:tcPr>
          <w:p w14:paraId="03B7B5A5">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收集</w:t>
            </w:r>
          </w:p>
        </w:tc>
        <w:tc>
          <w:tcPr>
            <w:tcW w:w="2601" w:type="pct"/>
            <w:vAlign w:val="center"/>
          </w:tcPr>
          <w:p w14:paraId="513A76EC">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应按废塑料的种类进行分类收集。</w:t>
            </w:r>
          </w:p>
          <w:p w14:paraId="7EF3E0CE">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废塑料收集过程中应包装完整，避免遗撒。</w:t>
            </w:r>
          </w:p>
          <w:p w14:paraId="3EDE31C3">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废塑料收集过程中应使用机械破碎技术进行减容处理，并配备相应的防尘、防噪声措施。</w:t>
            </w:r>
          </w:p>
        </w:tc>
        <w:tc>
          <w:tcPr>
            <w:tcW w:w="1257" w:type="pct"/>
            <w:vAlign w:val="center"/>
          </w:tcPr>
          <w:p w14:paraId="7228D15C">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w:t>
            </w:r>
            <w:r>
              <w:rPr>
                <w:rFonts w:hint="eastAsia" w:cs="Times New Roman"/>
                <w:color w:val="000000" w:themeColor="text1"/>
                <w:sz w:val="21"/>
                <w:szCs w:val="21"/>
                <w:lang w:eastAsia="zh-CN"/>
                <w14:textFill>
                  <w14:solidFill>
                    <w14:schemeClr w14:val="tx1"/>
                  </w14:solidFill>
                </w14:textFill>
              </w:rPr>
              <w:t>原料为初洗后的包装好的</w:t>
            </w:r>
            <w:r>
              <w:rPr>
                <w:rFonts w:hint="eastAsia" w:cs="Times New Roman"/>
                <w:color w:val="000000" w:themeColor="text1"/>
                <w:sz w:val="21"/>
                <w:szCs w:val="21"/>
                <w:lang w:val="en-US" w:eastAsia="zh-CN"/>
                <w14:textFill>
                  <w14:solidFill>
                    <w14:schemeClr w14:val="tx1"/>
                  </w14:solidFill>
                </w14:textFill>
              </w:rPr>
              <w:t>PET</w:t>
            </w:r>
            <w:r>
              <w:rPr>
                <w:rFonts w:hint="eastAsia" w:cs="Times New Roman"/>
                <w:color w:val="000000" w:themeColor="text1"/>
                <w:sz w:val="21"/>
                <w:szCs w:val="21"/>
                <w:lang w:eastAsia="zh-CN"/>
                <w14:textFill>
                  <w14:solidFill>
                    <w14:schemeClr w14:val="tx1"/>
                  </w14:solidFill>
                </w14:textFill>
              </w:rPr>
              <w:t>瓶砖，采用湿式破碎，已安装减振措施</w:t>
            </w:r>
          </w:p>
        </w:tc>
        <w:tc>
          <w:tcPr>
            <w:tcW w:w="540" w:type="pct"/>
            <w:tcBorders>
              <w:right w:val="nil"/>
            </w:tcBorders>
            <w:vAlign w:val="center"/>
          </w:tcPr>
          <w:p w14:paraId="3CAF4378">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w:t>
            </w:r>
          </w:p>
        </w:tc>
      </w:tr>
      <w:tr w14:paraId="1321A2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0" w:type="pct"/>
            <w:tcBorders>
              <w:left w:val="nil"/>
            </w:tcBorders>
            <w:vAlign w:val="center"/>
          </w:tcPr>
          <w:p w14:paraId="24F8377D">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贮存</w:t>
            </w:r>
          </w:p>
        </w:tc>
        <w:tc>
          <w:tcPr>
            <w:tcW w:w="2601" w:type="pct"/>
            <w:vAlign w:val="center"/>
          </w:tcPr>
          <w:p w14:paraId="79C6EA8F">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废塑料贮存场地应符合GB18599的有关规定。</w:t>
            </w:r>
          </w:p>
          <w:p w14:paraId="2573DBC7">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废塑料应存放在封闭或半封闭的环境中，并设有防火、防雨、防晒、防渗、防扬散措施，避免露天堆放。</w:t>
            </w:r>
          </w:p>
          <w:p w14:paraId="74D9F969">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废塑料贮存场所应符合GB 50016的有关规定。</w:t>
            </w:r>
          </w:p>
          <w:p w14:paraId="73F3963E">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废塑料贮存场所应配备消防设施，消防器材配备应按GB 50140的有关规定执行，消防供水网和消防栓应采取防冻措施，应安装消防报警设备。</w:t>
            </w:r>
          </w:p>
        </w:tc>
        <w:tc>
          <w:tcPr>
            <w:tcW w:w="1257" w:type="pct"/>
            <w:vAlign w:val="center"/>
          </w:tcPr>
          <w:p w14:paraId="520E37D8">
            <w:pPr>
              <w:pStyle w:val="34"/>
              <w:spacing w:after="0"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w:t>
            </w:r>
            <w:r>
              <w:rPr>
                <w:rFonts w:hint="eastAsia" w:cs="Times New Roman"/>
                <w:color w:val="000000" w:themeColor="text1"/>
                <w:sz w:val="21"/>
                <w:szCs w:val="21"/>
                <w:lang w:eastAsia="zh-CN"/>
                <w14:textFill>
                  <w14:solidFill>
                    <w14:schemeClr w14:val="tx1"/>
                  </w14:solidFill>
                </w14:textFill>
              </w:rPr>
              <w:t>原料库位于</w:t>
            </w:r>
            <w:r>
              <w:rPr>
                <w:rFonts w:hint="eastAsia" w:cs="Times New Roman"/>
                <w:color w:val="000000" w:themeColor="text1"/>
                <w:sz w:val="21"/>
                <w:szCs w:val="21"/>
                <w:lang w:val="en-US" w:eastAsia="zh-CN"/>
                <w14:textFill>
                  <w14:solidFill>
                    <w14:schemeClr w14:val="tx1"/>
                  </w14:solidFill>
                </w14:textFill>
              </w:rPr>
              <w:t>2#厂房内东北侧，厂区地面已按要求做好硬化、防渗等处理，原料库已按要求配备相仿设施和消防器材</w:t>
            </w:r>
          </w:p>
        </w:tc>
        <w:tc>
          <w:tcPr>
            <w:tcW w:w="540" w:type="pct"/>
            <w:tcBorders>
              <w:right w:val="nil"/>
            </w:tcBorders>
            <w:vAlign w:val="center"/>
          </w:tcPr>
          <w:p w14:paraId="4BB5D541">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w:t>
            </w:r>
          </w:p>
        </w:tc>
      </w:tr>
      <w:tr w14:paraId="0A62DB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0" w:type="pct"/>
            <w:tcBorders>
              <w:left w:val="nil"/>
              <w:bottom w:val="single" w:color="000000" w:sz="10" w:space="0"/>
            </w:tcBorders>
            <w:vAlign w:val="center"/>
          </w:tcPr>
          <w:p w14:paraId="597A2D5A">
            <w:pPr>
              <w:pStyle w:val="34"/>
              <w:spacing w:after="0" w:line="276" w:lineRule="auto"/>
              <w:jc w:val="center"/>
              <w:rPr>
                <w:rFonts w:hint="eastAsia"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运输</w:t>
            </w:r>
          </w:p>
        </w:tc>
        <w:tc>
          <w:tcPr>
            <w:tcW w:w="2601" w:type="pct"/>
            <w:tcBorders>
              <w:bottom w:val="single" w:color="000000" w:sz="10" w:space="0"/>
            </w:tcBorders>
            <w:vAlign w:val="center"/>
          </w:tcPr>
          <w:p w14:paraId="028C0A0E">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废塑料运输过程中应打包完整或采用封闭的运输工具，防止遗撒。</w:t>
            </w:r>
          </w:p>
          <w:p w14:paraId="0D94B46D">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废塑料包装物应防晒、防火、防高温，并在装卸、运输过程中应确保包装完好，无遗撒。</w:t>
            </w:r>
          </w:p>
          <w:p w14:paraId="6D87C580">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废塑料包装物表面应有标明种类、来源、原用途和去向等信息的标识，标识应清晰、易于识别、不易擦掉。</w:t>
            </w:r>
          </w:p>
          <w:p w14:paraId="19956917">
            <w:pPr>
              <w:pStyle w:val="34"/>
              <w:spacing w:after="0" w:line="276" w:lineRule="auto"/>
              <w:jc w:val="both"/>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废塑料运输工具在运输途中不得超高、超宽、超载。</w:t>
            </w:r>
          </w:p>
        </w:tc>
        <w:tc>
          <w:tcPr>
            <w:tcW w:w="1257" w:type="pct"/>
            <w:tcBorders>
              <w:bottom w:val="single" w:color="000000" w:sz="10" w:space="0"/>
            </w:tcBorders>
            <w:vAlign w:val="center"/>
          </w:tcPr>
          <w:p w14:paraId="77C17495">
            <w:pPr>
              <w:pStyle w:val="34"/>
              <w:spacing w:after="0"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企业运输车辆按要求做好包装，并做好标识，</w:t>
            </w:r>
            <w:r>
              <w:rPr>
                <w:rFonts w:hint="default" w:ascii="Times New Roman" w:hAnsi="Times New Roman" w:eastAsia="宋体" w:cs="Times New Roman"/>
                <w:color w:val="000000" w:themeColor="text1"/>
                <w:sz w:val="21"/>
                <w:szCs w:val="21"/>
                <w14:textFill>
                  <w14:solidFill>
                    <w14:schemeClr w14:val="tx1"/>
                  </w14:solidFill>
                </w14:textFill>
              </w:rPr>
              <w:t>运输途中</w:t>
            </w:r>
            <w:r>
              <w:rPr>
                <w:rFonts w:hint="eastAsia" w:cs="Times New Roman"/>
                <w:color w:val="000000" w:themeColor="text1"/>
                <w:sz w:val="21"/>
                <w:szCs w:val="21"/>
                <w:lang w:eastAsia="zh-CN"/>
                <w14:textFill>
                  <w14:solidFill>
                    <w14:schemeClr w14:val="tx1"/>
                  </w14:solidFill>
                </w14:textFill>
              </w:rPr>
              <w:t>不会</w:t>
            </w:r>
            <w:r>
              <w:rPr>
                <w:rFonts w:hint="default" w:ascii="Times New Roman" w:hAnsi="Times New Roman" w:eastAsia="宋体" w:cs="Times New Roman"/>
                <w:color w:val="000000" w:themeColor="text1"/>
                <w:sz w:val="21"/>
                <w:szCs w:val="21"/>
                <w14:textFill>
                  <w14:solidFill>
                    <w14:schemeClr w14:val="tx1"/>
                  </w14:solidFill>
                </w14:textFill>
              </w:rPr>
              <w:t>超高、超宽、超载</w:t>
            </w:r>
          </w:p>
        </w:tc>
        <w:tc>
          <w:tcPr>
            <w:tcW w:w="540" w:type="pct"/>
            <w:tcBorders>
              <w:bottom w:val="single" w:color="000000" w:sz="10" w:space="0"/>
              <w:right w:val="nil"/>
            </w:tcBorders>
            <w:vAlign w:val="center"/>
          </w:tcPr>
          <w:p w14:paraId="5B8F1FF5">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w:t>
            </w:r>
          </w:p>
        </w:tc>
      </w:tr>
    </w:tbl>
    <w:p w14:paraId="45CD31F1">
      <w:pPr>
        <w:spacing w:line="360" w:lineRule="auto"/>
        <w:jc w:val="center"/>
        <w:rPr>
          <w:rFonts w:hint="default" w:ascii="Times New Roman" w:hAnsi="Times New Roman" w:eastAsia="黑体" w:cs="Times New Roman"/>
          <w:bCs/>
          <w:color w:val="000000" w:themeColor="text1"/>
          <w:sz w:val="24"/>
          <w:szCs w:val="24"/>
          <w:lang w:eastAsia="zh-CN"/>
          <w14:textFill>
            <w14:solidFill>
              <w14:schemeClr w14:val="tx1"/>
            </w14:solidFill>
          </w14:textFill>
        </w:rPr>
      </w:pPr>
      <w:r>
        <w:rPr>
          <w:rFonts w:hint="default" w:ascii="Times New Roman" w:hAnsi="Times New Roman" w:eastAsia="黑体" w:cs="Times New Roman"/>
          <w:bCs/>
          <w:color w:val="000000" w:themeColor="text1"/>
          <w:sz w:val="24"/>
          <w:szCs w:val="24"/>
          <w14:textFill>
            <w14:solidFill>
              <w14:schemeClr w14:val="tx1"/>
            </w14:solidFill>
          </w14:textFill>
        </w:rPr>
        <w:t>表2.</w:t>
      </w:r>
      <w:r>
        <w:rPr>
          <w:rFonts w:hint="eastAsia" w:eastAsia="黑体" w:cs="Times New Roman"/>
          <w:bCs/>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bCs/>
          <w:color w:val="000000" w:themeColor="text1"/>
          <w:sz w:val="24"/>
          <w:szCs w:val="24"/>
          <w14:textFill>
            <w14:solidFill>
              <w14:schemeClr w14:val="tx1"/>
            </w14:solidFill>
          </w14:textFill>
        </w:rPr>
        <w:t>-</w:t>
      </w:r>
      <w:r>
        <w:rPr>
          <w:rFonts w:hint="eastAsia" w:eastAsia="黑体" w:cs="Times New Roman"/>
          <w:bCs/>
          <w:color w:val="000000" w:themeColor="text1"/>
          <w:sz w:val="24"/>
          <w:szCs w:val="24"/>
          <w:lang w:val="en-US" w:eastAsia="zh-CN"/>
          <w14:textFill>
            <w14:solidFill>
              <w14:schemeClr w14:val="tx1"/>
            </w14:solidFill>
          </w14:textFill>
        </w:rPr>
        <w:t>9</w:t>
      </w:r>
      <w:r>
        <w:rPr>
          <w:rFonts w:hint="default" w:ascii="Times New Roman" w:hAnsi="Times New Roman" w:eastAsia="黑体" w:cs="Times New Roman"/>
          <w:bCs/>
          <w:color w:val="000000" w:themeColor="text1"/>
          <w:sz w:val="24"/>
          <w:szCs w:val="24"/>
          <w14:textFill>
            <w14:solidFill>
              <w14:schemeClr w14:val="tx1"/>
            </w14:solidFill>
          </w14:textFill>
        </w:rPr>
        <w:t>与《废塑料再生利用技术规范》的相符性分析</w:t>
      </w:r>
    </w:p>
    <w:tbl>
      <w:tblPr>
        <w:tblStyle w:val="4092"/>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3"/>
        <w:gridCol w:w="4329"/>
        <w:gridCol w:w="2090"/>
        <w:gridCol w:w="898"/>
      </w:tblGrid>
      <w:tr w14:paraId="0E19BA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202" w:type="pct"/>
            <w:gridSpan w:val="2"/>
            <w:tcBorders>
              <w:top w:val="single" w:color="000000" w:sz="10" w:space="0"/>
              <w:left w:val="nil"/>
            </w:tcBorders>
            <w:vAlign w:val="center"/>
          </w:tcPr>
          <w:p w14:paraId="000914D4">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废塑料再生利用技术规范</w:t>
            </w:r>
          </w:p>
        </w:tc>
        <w:tc>
          <w:tcPr>
            <w:tcW w:w="1257" w:type="pct"/>
            <w:tcBorders>
              <w:top w:val="single" w:color="000000" w:sz="10" w:space="0"/>
            </w:tcBorders>
            <w:vAlign w:val="center"/>
          </w:tcPr>
          <w:p w14:paraId="174560B2">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w:t>
            </w:r>
          </w:p>
        </w:tc>
        <w:tc>
          <w:tcPr>
            <w:tcW w:w="540" w:type="pct"/>
            <w:tcBorders>
              <w:top w:val="single" w:color="000000" w:sz="10" w:space="0"/>
              <w:right w:val="nil"/>
            </w:tcBorders>
            <w:vAlign w:val="center"/>
          </w:tcPr>
          <w:p w14:paraId="422A7810">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相符性</w:t>
            </w:r>
          </w:p>
        </w:tc>
      </w:tr>
      <w:tr w14:paraId="33BD9E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98" w:type="pct"/>
            <w:tcBorders>
              <w:left w:val="nil"/>
            </w:tcBorders>
            <w:vAlign w:val="center"/>
          </w:tcPr>
          <w:p w14:paraId="1ABBEB8B">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破碎要求</w:t>
            </w:r>
          </w:p>
        </w:tc>
        <w:tc>
          <w:tcPr>
            <w:tcW w:w="2603" w:type="pct"/>
            <w:vAlign w:val="center"/>
          </w:tcPr>
          <w:p w14:paraId="52EB440A">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采用湿法破碎工艺应对废水进行收集、处理后循环使用。</w:t>
            </w:r>
          </w:p>
          <w:p w14:paraId="33B43301">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破碎机应具有安全防护措施。</w:t>
            </w:r>
          </w:p>
        </w:tc>
        <w:tc>
          <w:tcPr>
            <w:tcW w:w="1257" w:type="pct"/>
            <w:vAlign w:val="center"/>
          </w:tcPr>
          <w:p w14:paraId="5AE4BE89">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本项目采用湿法破碎，破碎废水收集经过厂区污水站处理后循环使用，破碎机已做好安全防护</w:t>
            </w:r>
          </w:p>
        </w:tc>
        <w:tc>
          <w:tcPr>
            <w:tcW w:w="540" w:type="pct"/>
            <w:tcBorders>
              <w:right w:val="nil"/>
            </w:tcBorders>
            <w:vAlign w:val="center"/>
          </w:tcPr>
          <w:p w14:paraId="1B35BA1A">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w:t>
            </w:r>
          </w:p>
        </w:tc>
      </w:tr>
      <w:tr w14:paraId="03039E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98" w:type="pct"/>
            <w:tcBorders>
              <w:left w:val="nil"/>
            </w:tcBorders>
            <w:vAlign w:val="center"/>
          </w:tcPr>
          <w:p w14:paraId="49615A54">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清洗要求</w:t>
            </w:r>
          </w:p>
        </w:tc>
        <w:tc>
          <w:tcPr>
            <w:tcW w:w="2603" w:type="pct"/>
            <w:vAlign w:val="center"/>
          </w:tcPr>
          <w:p w14:paraId="18FE5291">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宜采用节水清洗工艺，清洗废水应统一收集、分类处理或集中处理，处理后应梯级利用或循环使用。</w:t>
            </w:r>
          </w:p>
          <w:p w14:paraId="62D55B5E">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应使用低残留、环境友好型清洗剂，不得使用有毒有害和国家严令禁止的清洗剂。</w:t>
            </w:r>
          </w:p>
          <w:p w14:paraId="6A378E4C">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厂内处理后的排放废水，需进入城市污水收集管网的执行GB/T31962要求</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直接排放的需满足当地环境保护管理要求。</w:t>
            </w:r>
          </w:p>
        </w:tc>
        <w:tc>
          <w:tcPr>
            <w:tcW w:w="1257" w:type="pct"/>
            <w:vAlign w:val="center"/>
          </w:tcPr>
          <w:p w14:paraId="0985748D">
            <w:pPr>
              <w:pStyle w:val="34"/>
              <w:spacing w:after="0"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本项目清洗废水经过厂区污水站处理后</w:t>
            </w:r>
            <w:r>
              <w:rPr>
                <w:rFonts w:hint="eastAsia" w:cs="Times New Roman"/>
                <w:color w:val="000000" w:themeColor="text1"/>
                <w:sz w:val="21"/>
                <w:szCs w:val="21"/>
                <w:lang w:val="en-US" w:eastAsia="zh-CN"/>
                <w14:textFill>
                  <w14:solidFill>
                    <w14:schemeClr w14:val="tx1"/>
                  </w14:solidFill>
                </w14:textFill>
              </w:rPr>
              <w:t>90%回用，10%通过市政污水管网进入毛集实验区污水处理厂深度处理。热洗采用的清洗剂为NaOH</w:t>
            </w:r>
          </w:p>
        </w:tc>
        <w:tc>
          <w:tcPr>
            <w:tcW w:w="540" w:type="pct"/>
            <w:tcBorders>
              <w:right w:val="nil"/>
            </w:tcBorders>
            <w:vAlign w:val="center"/>
          </w:tcPr>
          <w:p w14:paraId="403EE55A">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相符</w:t>
            </w:r>
          </w:p>
        </w:tc>
      </w:tr>
      <w:tr w14:paraId="2AA591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98" w:type="pct"/>
            <w:tcBorders>
              <w:left w:val="nil"/>
            </w:tcBorders>
            <w:vAlign w:val="center"/>
          </w:tcPr>
          <w:p w14:paraId="2EAF4FEC">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干燥要求</w:t>
            </w:r>
          </w:p>
        </w:tc>
        <w:tc>
          <w:tcPr>
            <w:tcW w:w="2603" w:type="pct"/>
            <w:vAlign w:val="center"/>
          </w:tcPr>
          <w:p w14:paraId="10590742">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宜采用离心脱水、鼓风干燥、流化床干燥等工艺，应使用低能耗设备。</w:t>
            </w:r>
          </w:p>
          <w:p w14:paraId="3EBD8A2E">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干燥废气应集中收集，进入废气处理设施处理，不得随意排放</w:t>
            </w:r>
          </w:p>
        </w:tc>
        <w:tc>
          <w:tcPr>
            <w:tcW w:w="1257" w:type="pct"/>
            <w:vAlign w:val="center"/>
          </w:tcPr>
          <w:p w14:paraId="5879CB37">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本项目采用离心脱水，不涉及干燥废气</w:t>
            </w:r>
          </w:p>
        </w:tc>
        <w:tc>
          <w:tcPr>
            <w:tcW w:w="540" w:type="pct"/>
            <w:tcBorders>
              <w:right w:val="nil"/>
            </w:tcBorders>
            <w:vAlign w:val="center"/>
          </w:tcPr>
          <w:p w14:paraId="4556F663">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相符</w:t>
            </w:r>
          </w:p>
        </w:tc>
      </w:tr>
      <w:tr w14:paraId="33142B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98" w:type="pct"/>
            <w:tcBorders>
              <w:left w:val="nil"/>
            </w:tcBorders>
            <w:vAlign w:val="center"/>
          </w:tcPr>
          <w:p w14:paraId="01AA183E">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造粒和改性要求</w:t>
            </w:r>
          </w:p>
        </w:tc>
        <w:tc>
          <w:tcPr>
            <w:tcW w:w="2603" w:type="pct"/>
            <w:vAlign w:val="center"/>
          </w:tcPr>
          <w:p w14:paraId="13EB78B7">
            <w:pPr>
              <w:pStyle w:val="34"/>
              <w:numPr>
                <w:ilvl w:val="0"/>
                <w:numId w:val="0"/>
              </w:numPr>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造粒废气应集中收集处理。推荐使用真空全密闭废气收集体系收集废气。</w:t>
            </w:r>
          </w:p>
          <w:p w14:paraId="58A3BD3D">
            <w:pPr>
              <w:pStyle w:val="34"/>
              <w:numPr>
                <w:ilvl w:val="0"/>
                <w:numId w:val="0"/>
              </w:numPr>
              <w:spacing w:after="0" w:line="276" w:lineRule="auto"/>
              <w:ind w:leftChars="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推荐使用无丝网过滤器造粒机，减少废滤网产生。废弃滤网、熔融残渣应收集处理。</w:t>
            </w:r>
          </w:p>
          <w:p w14:paraId="43FCE231">
            <w:pPr>
              <w:pStyle w:val="34"/>
              <w:numPr>
                <w:ilvl w:val="0"/>
                <w:numId w:val="0"/>
              </w:numPr>
              <w:spacing w:after="0" w:line="276" w:lineRule="auto"/>
              <w:ind w:leftChars="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应选用低毒、无害的改性剂、增塑剂、相容剂等助剂进行改性，不得使用国家禁止的改性剂。</w:t>
            </w:r>
          </w:p>
        </w:tc>
        <w:tc>
          <w:tcPr>
            <w:tcW w:w="1257" w:type="pct"/>
            <w:vAlign w:val="center"/>
          </w:tcPr>
          <w:p w14:paraId="724524B4">
            <w:pPr>
              <w:pStyle w:val="34"/>
              <w:spacing w:after="0"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本项目采用无丝网过滤器的高速</w:t>
            </w:r>
            <w:r>
              <w:rPr>
                <w:rFonts w:hint="eastAsia" w:cs="Times New Roman"/>
                <w:color w:val="000000" w:themeColor="text1"/>
                <w:sz w:val="21"/>
                <w:szCs w:val="21"/>
                <w:lang w:val="en-US" w:eastAsia="zh-CN"/>
                <w14:textFill>
                  <w14:solidFill>
                    <w14:schemeClr w14:val="tx1"/>
                  </w14:solidFill>
                </w14:textFill>
              </w:rPr>
              <w:t>PET造粒设备，造粒区域全封闭负压收集，改性使用的改性剂为PET颗粒新料</w:t>
            </w:r>
          </w:p>
        </w:tc>
        <w:tc>
          <w:tcPr>
            <w:tcW w:w="540" w:type="pct"/>
            <w:tcBorders>
              <w:right w:val="nil"/>
            </w:tcBorders>
            <w:vAlign w:val="center"/>
          </w:tcPr>
          <w:p w14:paraId="6D1C1B98">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相符</w:t>
            </w:r>
          </w:p>
        </w:tc>
      </w:tr>
      <w:tr w14:paraId="772B48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98" w:type="pct"/>
            <w:tcBorders>
              <w:left w:val="nil"/>
            </w:tcBorders>
            <w:vAlign w:val="center"/>
          </w:tcPr>
          <w:p w14:paraId="02065060">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资源综合利用及能耗</w:t>
            </w:r>
          </w:p>
        </w:tc>
        <w:tc>
          <w:tcPr>
            <w:tcW w:w="2603" w:type="pct"/>
            <w:vAlign w:val="center"/>
          </w:tcPr>
          <w:p w14:paraId="52C83017">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塑料再生加工相关生产环节，每吨废塑料的综合电耗应低于500kW·h。</w:t>
            </w:r>
          </w:p>
          <w:p w14:paraId="2BE6EE46">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废PET再生瓶片类企业及其他废塑料破碎、清洗、分选的企业，每吨废塑料综合新鲜水消耗量低于1.5t。塑料再生造粒企业，每吨废塑料综合新鲜水消耗低于0.2t。</w:t>
            </w:r>
          </w:p>
        </w:tc>
        <w:tc>
          <w:tcPr>
            <w:tcW w:w="1257" w:type="pct"/>
            <w:vAlign w:val="center"/>
          </w:tcPr>
          <w:p w14:paraId="39413A95">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本项目相关生产环节的综合电耗为11.98千瓦时/吨废塑料</w:t>
            </w:r>
            <w:r>
              <w:rPr>
                <w:rFonts w:hint="eastAsia" w:cs="Times New Roman"/>
                <w:color w:val="000000" w:themeColor="text1"/>
                <w:sz w:val="21"/>
                <w:szCs w:val="21"/>
                <w:lang w:eastAsia="zh-CN"/>
                <w14:textFill>
                  <w14:solidFill>
                    <w14:schemeClr w14:val="tx1"/>
                  </w14:solidFill>
                </w14:textFill>
              </w:rPr>
              <w:t>；</w:t>
            </w:r>
          </w:p>
          <w:p w14:paraId="5C7C3093">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本项目综合新水消耗为</w:t>
            </w:r>
            <w:r>
              <w:rPr>
                <w:rFonts w:hint="eastAsia" w:cs="Times New Roman"/>
                <w:color w:val="000000" w:themeColor="text1"/>
                <w:sz w:val="21"/>
                <w:szCs w:val="21"/>
                <w:lang w:eastAsia="zh-CN"/>
                <w14:textFill>
                  <w14:solidFill>
                    <w14:schemeClr w14:val="tx1"/>
                  </w14:solidFill>
                </w14:textFill>
              </w:rPr>
              <w:t>0.06吨/吨废塑料</w:t>
            </w:r>
          </w:p>
        </w:tc>
        <w:tc>
          <w:tcPr>
            <w:tcW w:w="540" w:type="pct"/>
            <w:tcBorders>
              <w:right w:val="nil"/>
            </w:tcBorders>
            <w:vAlign w:val="center"/>
          </w:tcPr>
          <w:p w14:paraId="069F79AE">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相符</w:t>
            </w:r>
          </w:p>
        </w:tc>
      </w:tr>
      <w:tr w14:paraId="1CB247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598" w:type="pct"/>
            <w:tcBorders>
              <w:left w:val="nil"/>
            </w:tcBorders>
            <w:vAlign w:val="center"/>
          </w:tcPr>
          <w:p w14:paraId="62472AE7">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环境保护要求</w:t>
            </w:r>
          </w:p>
        </w:tc>
        <w:tc>
          <w:tcPr>
            <w:tcW w:w="2603" w:type="pct"/>
            <w:vAlign w:val="center"/>
          </w:tcPr>
          <w:p w14:paraId="370A592A">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收集到的清洗废水、分选废水、冷却水等，应根据废水污染物的情况选择分别处理或集中处理。废水处理应采用物化、生化组合处理工艺、膜处理等技术，减少药剂的使用和污泥的产生。</w:t>
            </w: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再生利用过程中收集的废气应根据废气的性质，采用催化氧化、低温等离子、喷淋等处理技术。</w:t>
            </w:r>
          </w:p>
          <w:p w14:paraId="3096F08C">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再生利用过程中产生的固体废物，属于一般工业固体废物的应执行GB18599</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属于危险废物的交由有相关危险废物处理资质单位处理。</w:t>
            </w:r>
          </w:p>
          <w:p w14:paraId="75CAEA9B">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废水处理过程产生的污泥，企业可自行处理，或交由污泥处理企业处理，不得随意丢弃。</w:t>
            </w:r>
          </w:p>
          <w:p w14:paraId="57646B7E">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应建立完善的污染防治制度，定期维护环境保护设施，建立完整的废水处理、废气治理、固体废物处理处置等环境保护相关记录。</w:t>
            </w:r>
          </w:p>
        </w:tc>
        <w:tc>
          <w:tcPr>
            <w:tcW w:w="1257" w:type="pct"/>
            <w:vAlign w:val="center"/>
          </w:tcPr>
          <w:p w14:paraId="363696F3">
            <w:pPr>
              <w:pStyle w:val="34"/>
              <w:spacing w:after="0"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本项目清洗废水经过物化</w:t>
            </w:r>
            <w:r>
              <w:rPr>
                <w:rFonts w:hint="eastAsia" w:cs="Times New Roman"/>
                <w:color w:val="000000" w:themeColor="text1"/>
                <w:sz w:val="21"/>
                <w:szCs w:val="21"/>
                <w:lang w:val="en-US" w:eastAsia="zh-CN"/>
                <w14:textFill>
                  <w14:solidFill>
                    <w14:schemeClr w14:val="tx1"/>
                  </w14:solidFill>
                </w14:textFill>
              </w:rPr>
              <w:t>+生化处理；</w:t>
            </w:r>
            <w:r>
              <w:rPr>
                <w:rFonts w:hint="default" w:ascii="Times New Roman" w:hAnsi="Times New Roman" w:cs="Times New Roman"/>
                <w:color w:val="000000" w:themeColor="text1"/>
                <w:sz w:val="21"/>
                <w:szCs w:val="21"/>
                <w14:textFill>
                  <w14:solidFill>
                    <w14:schemeClr w14:val="tx1"/>
                  </w14:solidFill>
                </w14:textFill>
              </w:rPr>
              <w:t>本项目</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熔融挤出</w:t>
            </w:r>
            <w:r>
              <w:rPr>
                <w:rFonts w:hint="default" w:ascii="Times New Roman" w:hAnsi="Times New Roman" w:eastAsia="宋体" w:cs="Times New Roman"/>
                <w:color w:val="000000" w:themeColor="text1"/>
                <w:sz w:val="21"/>
                <w:szCs w:val="21"/>
                <w14:textFill>
                  <w14:solidFill>
                    <w14:schemeClr w14:val="tx1"/>
                  </w14:solidFill>
                </w14:textFill>
              </w:rPr>
              <w:t>废气</w:t>
            </w:r>
            <w:r>
              <w:rPr>
                <w:rFonts w:hint="eastAsia" w:cs="Times New Roman"/>
                <w:color w:val="000000" w:themeColor="text1"/>
                <w:sz w:val="21"/>
                <w:szCs w:val="21"/>
                <w:lang w:val="en-US" w:eastAsia="zh-CN"/>
                <w14:textFill>
                  <w14:solidFill>
                    <w14:schemeClr w14:val="tx1"/>
                  </w14:solidFill>
                </w14:textFill>
              </w:rPr>
              <w:t>、高温分选废气、拆包废气和磨粉废气，均采用符合相关规范的处理技术；一般固废外售综合利用，危废委托有资质单位处置；污水站污泥外售综合利用；企业按要求做好污染防治制度并定期维护污染防治设施，同时做好相关记录</w:t>
            </w:r>
          </w:p>
        </w:tc>
        <w:tc>
          <w:tcPr>
            <w:tcW w:w="540" w:type="pct"/>
            <w:tcBorders>
              <w:right w:val="nil"/>
            </w:tcBorders>
            <w:vAlign w:val="center"/>
          </w:tcPr>
          <w:p w14:paraId="38FD3321">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w:t>
            </w:r>
          </w:p>
        </w:tc>
      </w:tr>
    </w:tbl>
    <w:p w14:paraId="7BAD3FDB">
      <w:pPr>
        <w:spacing w:line="360" w:lineRule="auto"/>
        <w:jc w:val="center"/>
        <w:rPr>
          <w:rFonts w:hint="default" w:ascii="Times New Roman" w:hAnsi="Times New Roman" w:eastAsia="黑体" w:cs="Times New Roman"/>
          <w:bCs/>
          <w:color w:val="000000" w:themeColor="text1"/>
          <w:sz w:val="24"/>
          <w:szCs w:val="24"/>
          <w:lang w:eastAsia="zh-CN"/>
          <w14:textFill>
            <w14:solidFill>
              <w14:schemeClr w14:val="tx1"/>
            </w14:solidFill>
          </w14:textFill>
        </w:rPr>
      </w:pPr>
      <w:r>
        <w:rPr>
          <w:rFonts w:hint="default" w:ascii="Times New Roman" w:hAnsi="Times New Roman" w:eastAsia="黑体" w:cs="Times New Roman"/>
          <w:bCs/>
          <w:color w:val="000000" w:themeColor="text1"/>
          <w:sz w:val="24"/>
          <w:szCs w:val="24"/>
          <w14:textFill>
            <w14:solidFill>
              <w14:schemeClr w14:val="tx1"/>
            </w14:solidFill>
          </w14:textFill>
        </w:rPr>
        <w:t>表2.</w:t>
      </w:r>
      <w:r>
        <w:rPr>
          <w:rFonts w:hint="eastAsia" w:eastAsia="黑体" w:cs="Times New Roman"/>
          <w:bCs/>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bCs/>
          <w:color w:val="000000" w:themeColor="text1"/>
          <w:sz w:val="24"/>
          <w:szCs w:val="24"/>
          <w14:textFill>
            <w14:solidFill>
              <w14:schemeClr w14:val="tx1"/>
            </w14:solidFill>
          </w14:textFill>
        </w:rPr>
        <w:t>-</w:t>
      </w:r>
      <w:r>
        <w:rPr>
          <w:rFonts w:hint="eastAsia" w:eastAsia="黑体" w:cs="Times New Roman"/>
          <w:bCs/>
          <w:color w:val="000000" w:themeColor="text1"/>
          <w:sz w:val="24"/>
          <w:szCs w:val="24"/>
          <w:lang w:val="en-US" w:eastAsia="zh-CN"/>
          <w14:textFill>
            <w14:solidFill>
              <w14:schemeClr w14:val="tx1"/>
            </w14:solidFill>
          </w14:textFill>
        </w:rPr>
        <w:t>10</w:t>
      </w:r>
      <w:r>
        <w:rPr>
          <w:rFonts w:hint="default" w:ascii="Times New Roman" w:hAnsi="Times New Roman" w:eastAsia="黑体" w:cs="Times New Roman"/>
          <w:bCs/>
          <w:color w:val="000000" w:themeColor="text1"/>
          <w:sz w:val="24"/>
          <w:szCs w:val="24"/>
          <w14:textFill>
            <w14:solidFill>
              <w14:schemeClr w14:val="tx1"/>
            </w14:solidFill>
          </w14:textFill>
        </w:rPr>
        <w:t>与《废塑料污染控制技术规范》的相符性分析</w:t>
      </w:r>
    </w:p>
    <w:tbl>
      <w:tblPr>
        <w:tblStyle w:val="4092"/>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6"/>
        <w:gridCol w:w="4326"/>
        <w:gridCol w:w="2090"/>
        <w:gridCol w:w="898"/>
      </w:tblGrid>
      <w:tr w14:paraId="5F744D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202" w:type="pct"/>
            <w:gridSpan w:val="2"/>
            <w:tcBorders>
              <w:top w:val="single" w:color="000000" w:sz="10" w:space="0"/>
              <w:left w:val="nil"/>
            </w:tcBorders>
            <w:vAlign w:val="center"/>
          </w:tcPr>
          <w:p w14:paraId="2B61D71D">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废塑料污染控制技术规范</w:t>
            </w:r>
          </w:p>
        </w:tc>
        <w:tc>
          <w:tcPr>
            <w:tcW w:w="1257" w:type="pct"/>
            <w:tcBorders>
              <w:top w:val="single" w:color="000000" w:sz="10" w:space="0"/>
            </w:tcBorders>
            <w:vAlign w:val="center"/>
          </w:tcPr>
          <w:p w14:paraId="2988977B">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w:t>
            </w:r>
          </w:p>
        </w:tc>
        <w:tc>
          <w:tcPr>
            <w:tcW w:w="540" w:type="pct"/>
            <w:tcBorders>
              <w:top w:val="single" w:color="000000" w:sz="10" w:space="0"/>
              <w:right w:val="nil"/>
            </w:tcBorders>
            <w:vAlign w:val="center"/>
          </w:tcPr>
          <w:p w14:paraId="3ADE55A7">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相符性</w:t>
            </w:r>
          </w:p>
        </w:tc>
      </w:tr>
      <w:tr w14:paraId="1F4303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0" w:type="pct"/>
            <w:tcBorders>
              <w:left w:val="nil"/>
            </w:tcBorders>
            <w:vAlign w:val="center"/>
          </w:tcPr>
          <w:p w14:paraId="7188FAF5">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产生环节污染控制要求</w:t>
            </w:r>
          </w:p>
        </w:tc>
        <w:tc>
          <w:tcPr>
            <w:tcW w:w="2601" w:type="pct"/>
            <w:vAlign w:val="center"/>
          </w:tcPr>
          <w:p w14:paraId="2C0F57D2">
            <w:pPr>
              <w:pStyle w:val="34"/>
              <w:spacing w:after="0" w:line="276" w:lineRule="auto"/>
              <w:jc w:val="left"/>
              <w:rPr>
                <w:rFonts w:hint="eastAsia"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1、废塑料类可回收物应按照当地生活垃圾分类管理要求投放至可回收物垃圾桶或专用回收设施内，或交给再生资源回收企业。</w:t>
            </w:r>
          </w:p>
          <w:p w14:paraId="2337152A">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2、投入有害垃圾收集设施集中收集的废塑料类有害垃圾，应交由有资质的单位进行利用处置。</w:t>
            </w:r>
          </w:p>
        </w:tc>
        <w:tc>
          <w:tcPr>
            <w:tcW w:w="1257" w:type="pct"/>
            <w:vAlign w:val="center"/>
          </w:tcPr>
          <w:p w14:paraId="661D410F">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本项目分选产生固废外售综合利用，不涉及危废</w:t>
            </w:r>
          </w:p>
        </w:tc>
        <w:tc>
          <w:tcPr>
            <w:tcW w:w="540" w:type="pct"/>
            <w:tcBorders>
              <w:right w:val="nil"/>
            </w:tcBorders>
            <w:vAlign w:val="center"/>
          </w:tcPr>
          <w:p w14:paraId="12567BAF">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w:t>
            </w:r>
          </w:p>
        </w:tc>
      </w:tr>
      <w:tr w14:paraId="5344D1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0" w:type="pct"/>
            <w:tcBorders>
              <w:left w:val="nil"/>
            </w:tcBorders>
            <w:vAlign w:val="center"/>
          </w:tcPr>
          <w:p w14:paraId="7FA86522">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收集和运输污染控制要求</w:t>
            </w:r>
          </w:p>
        </w:tc>
        <w:tc>
          <w:tcPr>
            <w:tcW w:w="2601" w:type="pct"/>
            <w:vAlign w:val="center"/>
          </w:tcPr>
          <w:p w14:paraId="53D55877">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废塑料收集企业应参照GB/T 37547，根据废塑料来源、特性及使用过程对废塑料进行分类收集。</w:t>
            </w:r>
          </w:p>
          <w:p w14:paraId="3C31354D">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废塑料收集过程中应避免扬散，不得随意倾倒残液及清洗。</w:t>
            </w:r>
          </w:p>
          <w:p w14:paraId="719EF3A0">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废塑料及其预处理产物的装卸及运输过程中，应采取必要的防扬散、防渗漏措施，应保持运输车辆的洁净，避免二次污染。</w:t>
            </w:r>
          </w:p>
        </w:tc>
        <w:tc>
          <w:tcPr>
            <w:tcW w:w="1257" w:type="pct"/>
            <w:vAlign w:val="center"/>
          </w:tcPr>
          <w:p w14:paraId="20E8CC76">
            <w:pPr>
              <w:pStyle w:val="34"/>
              <w:spacing w:after="0"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w:t>
            </w:r>
            <w:r>
              <w:rPr>
                <w:rFonts w:hint="eastAsia" w:cs="Times New Roman"/>
                <w:color w:val="000000" w:themeColor="text1"/>
                <w:sz w:val="21"/>
                <w:szCs w:val="21"/>
                <w:lang w:eastAsia="zh-CN"/>
                <w14:textFill>
                  <w14:solidFill>
                    <w14:schemeClr w14:val="tx1"/>
                  </w14:solidFill>
                </w14:textFill>
              </w:rPr>
              <w:t>原料为外购初洗后包装好的</w:t>
            </w:r>
            <w:r>
              <w:rPr>
                <w:rFonts w:hint="eastAsia" w:cs="Times New Roman"/>
                <w:color w:val="000000" w:themeColor="text1"/>
                <w:sz w:val="21"/>
                <w:szCs w:val="21"/>
                <w:lang w:val="en-US" w:eastAsia="zh-CN"/>
                <w14:textFill>
                  <w14:solidFill>
                    <w14:schemeClr w14:val="tx1"/>
                  </w14:solidFill>
                </w14:textFill>
              </w:rPr>
              <w:t>PET瓶砖，运输过程中按要求做好防护</w:t>
            </w:r>
          </w:p>
        </w:tc>
        <w:tc>
          <w:tcPr>
            <w:tcW w:w="540" w:type="pct"/>
            <w:tcBorders>
              <w:right w:val="nil"/>
            </w:tcBorders>
            <w:vAlign w:val="center"/>
          </w:tcPr>
          <w:p w14:paraId="74A9421F">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w:t>
            </w:r>
          </w:p>
        </w:tc>
      </w:tr>
      <w:tr w14:paraId="331AD8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0" w:type="pct"/>
            <w:tcBorders>
              <w:left w:val="nil"/>
              <w:bottom w:val="single" w:color="000000" w:sz="10" w:space="0"/>
            </w:tcBorders>
            <w:vAlign w:val="center"/>
          </w:tcPr>
          <w:p w14:paraId="23FA1146">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再生利用和处置污染控制要求</w:t>
            </w:r>
          </w:p>
        </w:tc>
        <w:tc>
          <w:tcPr>
            <w:tcW w:w="2601" w:type="pct"/>
            <w:tcBorders>
              <w:bottom w:val="single" w:color="000000" w:sz="10" w:space="0"/>
            </w:tcBorders>
            <w:vAlign w:val="center"/>
          </w:tcPr>
          <w:p w14:paraId="63005DE1">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应在符合《产业结构调整指导目录》的前提下，综合考虑所在区域废塑料产生情况、社会经济发展水平、产业布局及规划、再生利用产品市场需求、再生利用技术污染防治水平等因素，合理确定再生利用设施的生产规模与技术路线。</w:t>
            </w:r>
          </w:p>
          <w:p w14:paraId="07CFB278">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应根据废塑料再生利用过程产生的废水中污染物种类和浓度，配备相应的废水收集和处理设施，处理后的废水宜进行循环使用，排放的废水应根据出水受纳水体功能要求或纳管要求，执行国家和地方相关排放标准，重点控制的污染物指标包括化学需氧量、悬浮物、pH 值、色度、石油类、可吸附有机卤化物等。</w:t>
            </w:r>
          </w:p>
          <w:p w14:paraId="71A780CF">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应收集并处理废塑料再生利用过程中产生的废气，大气污染物排放应符合GB 31572或GB</w:t>
            </w:r>
          </w:p>
          <w:p w14:paraId="08BA9BC4">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16297、GB 37822等标准的规定，恶臭污染物排放应符合GB 14554的规定。</w:t>
            </w:r>
          </w:p>
          <w:p w14:paraId="4D738B15">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废塑料再生利用过程中应控制噪声污染，噪声排放应符合 GB 12348 的规定。</w:t>
            </w:r>
          </w:p>
          <w:p w14:paraId="0198D601">
            <w:pPr>
              <w:pStyle w:val="34"/>
              <w:spacing w:after="0" w:line="276" w:lineRule="auto"/>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废塑料中的金属、橡胶、纤维、渣土、油脂等夹杂物，以及废塑料再生利用过程中产生的不可利用废物应建立台账，不得擅自丢弃、倾倒、焚烧与填埋，属于危险废物的应交由有相关资质单位进行利用处置。</w:t>
            </w:r>
          </w:p>
        </w:tc>
        <w:tc>
          <w:tcPr>
            <w:tcW w:w="1257" w:type="pct"/>
            <w:tcBorders>
              <w:bottom w:val="single" w:color="000000" w:sz="10" w:space="0"/>
            </w:tcBorders>
            <w:vAlign w:val="center"/>
          </w:tcPr>
          <w:p w14:paraId="74F6C0F8">
            <w:pPr>
              <w:pStyle w:val="34"/>
              <w:spacing w:after="0"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本项目符合国家和地方的产业政策；生产废水经过厂区污水站处理后</w:t>
            </w:r>
            <w:r>
              <w:rPr>
                <w:rFonts w:hint="eastAsia" w:cs="Times New Roman"/>
                <w:color w:val="000000" w:themeColor="text1"/>
                <w:sz w:val="21"/>
                <w:szCs w:val="21"/>
                <w:lang w:val="en-US" w:eastAsia="zh-CN"/>
                <w14:textFill>
                  <w14:solidFill>
                    <w14:schemeClr w14:val="tx1"/>
                  </w14:solidFill>
                </w14:textFill>
              </w:rPr>
              <w:t>90%回用于生产，10%通过市政污水管网进入毛集实验区污水处理厂深度处理后排至西淝河；</w:t>
            </w:r>
            <w:r>
              <w:rPr>
                <w:rFonts w:hint="default" w:ascii="Times New Roman" w:hAnsi="Times New Roman" w:cs="Times New Roman"/>
                <w:color w:val="000000" w:themeColor="text1"/>
                <w:sz w:val="21"/>
                <w:szCs w:val="21"/>
                <w14:textFill>
                  <w14:solidFill>
                    <w14:schemeClr w14:val="tx1"/>
                  </w14:solidFill>
                </w14:textFill>
              </w:rPr>
              <w:t>本项目</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熔融挤出</w:t>
            </w:r>
            <w:r>
              <w:rPr>
                <w:rFonts w:hint="default" w:ascii="Times New Roman" w:hAnsi="Times New Roman" w:eastAsia="宋体" w:cs="Times New Roman"/>
                <w:color w:val="000000" w:themeColor="text1"/>
                <w:sz w:val="21"/>
                <w:szCs w:val="21"/>
                <w14:textFill>
                  <w14:solidFill>
                    <w14:schemeClr w14:val="tx1"/>
                  </w14:solidFill>
                </w14:textFill>
              </w:rPr>
              <w:t>废气</w:t>
            </w:r>
            <w:r>
              <w:rPr>
                <w:rFonts w:hint="eastAsia" w:cs="Times New Roman"/>
                <w:color w:val="000000" w:themeColor="text1"/>
                <w:sz w:val="21"/>
                <w:szCs w:val="21"/>
                <w:lang w:val="en-US" w:eastAsia="zh-CN"/>
                <w14:textFill>
                  <w14:solidFill>
                    <w14:schemeClr w14:val="tx1"/>
                  </w14:solidFill>
                </w14:textFill>
              </w:rPr>
              <w:t>、高温分选废气、拆包废气和磨粉废气，均采用符合相关规范的处理技术处理后满足相关标准要求；项目采用隔声减振措施降噪；本项目产生的一般固废外售综合利用，危废委托有资质单位处置</w:t>
            </w:r>
          </w:p>
        </w:tc>
        <w:tc>
          <w:tcPr>
            <w:tcW w:w="540" w:type="pct"/>
            <w:tcBorders>
              <w:bottom w:val="single" w:color="000000" w:sz="10" w:space="0"/>
              <w:right w:val="nil"/>
            </w:tcBorders>
            <w:vAlign w:val="center"/>
          </w:tcPr>
          <w:p w14:paraId="3E52F256">
            <w:pPr>
              <w:pStyle w:val="34"/>
              <w:spacing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相符</w:t>
            </w:r>
          </w:p>
        </w:tc>
      </w:tr>
    </w:tbl>
    <w:p w14:paraId="31EBA491">
      <w:pPr>
        <w:spacing w:line="360" w:lineRule="auto"/>
        <w:jc w:val="center"/>
        <w:rPr>
          <w:rFonts w:hint="default" w:ascii="Times New Roman" w:hAnsi="Times New Roman" w:eastAsia="黑体" w:cs="Times New Roman"/>
          <w:bCs/>
          <w:color w:val="000000" w:themeColor="text1"/>
          <w:sz w:val="24"/>
          <w:szCs w:val="24"/>
          <w:lang w:eastAsia="zh-CN"/>
          <w14:textFill>
            <w14:solidFill>
              <w14:schemeClr w14:val="tx1"/>
            </w14:solidFill>
          </w14:textFill>
        </w:rPr>
      </w:pPr>
      <w:r>
        <w:rPr>
          <w:rFonts w:hint="default" w:ascii="Times New Roman" w:hAnsi="Times New Roman" w:eastAsia="黑体" w:cs="Times New Roman"/>
          <w:bCs/>
          <w:color w:val="000000" w:themeColor="text1"/>
          <w:sz w:val="24"/>
          <w:szCs w:val="24"/>
          <w14:textFill>
            <w14:solidFill>
              <w14:schemeClr w14:val="tx1"/>
            </w14:solidFill>
          </w14:textFill>
        </w:rPr>
        <w:t>表2.</w:t>
      </w:r>
      <w:r>
        <w:rPr>
          <w:rFonts w:hint="eastAsia" w:eastAsia="黑体" w:cs="Times New Roman"/>
          <w:bCs/>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bCs/>
          <w:color w:val="000000" w:themeColor="text1"/>
          <w:sz w:val="24"/>
          <w:szCs w:val="24"/>
          <w14:textFill>
            <w14:solidFill>
              <w14:schemeClr w14:val="tx1"/>
            </w14:solidFill>
          </w14:textFill>
        </w:rPr>
        <w:t>-</w:t>
      </w:r>
      <w:r>
        <w:rPr>
          <w:rFonts w:hint="eastAsia" w:eastAsia="黑体" w:cs="Times New Roman"/>
          <w:bCs/>
          <w:color w:val="000000" w:themeColor="text1"/>
          <w:sz w:val="24"/>
          <w:szCs w:val="24"/>
          <w:lang w:val="en-US" w:eastAsia="zh-CN"/>
          <w14:textFill>
            <w14:solidFill>
              <w14:schemeClr w14:val="tx1"/>
            </w14:solidFill>
          </w14:textFill>
        </w:rPr>
        <w:t>11</w:t>
      </w:r>
      <w:r>
        <w:rPr>
          <w:rFonts w:hint="default" w:ascii="Times New Roman" w:hAnsi="Times New Roman" w:eastAsia="黑体" w:cs="Times New Roman"/>
          <w:bCs/>
          <w:color w:val="000000" w:themeColor="text1"/>
          <w:sz w:val="24"/>
          <w:szCs w:val="24"/>
          <w14:textFill>
            <w14:solidFill>
              <w14:schemeClr w14:val="tx1"/>
            </w14:solidFill>
          </w14:textFill>
        </w:rPr>
        <w:t>与《中国资源综合利用技术政策大纲》的相符性分析</w:t>
      </w:r>
    </w:p>
    <w:tbl>
      <w:tblPr>
        <w:tblStyle w:val="4092"/>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8"/>
        <w:gridCol w:w="4324"/>
        <w:gridCol w:w="2090"/>
        <w:gridCol w:w="898"/>
      </w:tblGrid>
      <w:tr w14:paraId="1A6CB9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202" w:type="pct"/>
            <w:gridSpan w:val="2"/>
            <w:tcBorders>
              <w:top w:val="single" w:color="000000" w:sz="10" w:space="0"/>
              <w:left w:val="nil"/>
            </w:tcBorders>
            <w:vAlign w:val="center"/>
          </w:tcPr>
          <w:p w14:paraId="1674E695">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中国资源综合利用技术政策大纲</w:t>
            </w:r>
          </w:p>
        </w:tc>
        <w:tc>
          <w:tcPr>
            <w:tcW w:w="1257" w:type="pct"/>
            <w:tcBorders>
              <w:top w:val="single" w:color="000000" w:sz="10" w:space="0"/>
            </w:tcBorders>
            <w:vAlign w:val="center"/>
          </w:tcPr>
          <w:p w14:paraId="2D58641B">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w:t>
            </w:r>
          </w:p>
        </w:tc>
        <w:tc>
          <w:tcPr>
            <w:tcW w:w="540" w:type="pct"/>
            <w:tcBorders>
              <w:top w:val="single" w:color="000000" w:sz="10" w:space="0"/>
              <w:right w:val="nil"/>
            </w:tcBorders>
            <w:vAlign w:val="center"/>
          </w:tcPr>
          <w:p w14:paraId="441969B6">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相符性</w:t>
            </w:r>
          </w:p>
        </w:tc>
      </w:tr>
      <w:tr w14:paraId="3AE85A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1" w:type="pct"/>
            <w:tcBorders>
              <w:left w:val="nil"/>
            </w:tcBorders>
            <w:vAlign w:val="center"/>
          </w:tcPr>
          <w:p w14:paraId="04645565">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基本原则</w:t>
            </w:r>
          </w:p>
        </w:tc>
        <w:tc>
          <w:tcPr>
            <w:tcW w:w="2601" w:type="pct"/>
            <w:vAlign w:val="center"/>
          </w:tcPr>
          <w:p w14:paraId="133D93D3">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坚持宏观调控与市场机制相结合，发挥市场配置资源的基础性作用，完善政策体系，建立有利于促进资源综合利用的长效机制；坚持以企业为主体，产学研相结合，选择环境影响严重、产生量大的废弃资源，组织技术攻关，强化科技创新能力建设；坚持重点突破和全面推进相结合，依据资源禀赋和产业构成，形成资源综合利用产业集群，探索和完善循环经济发展模式</w:t>
            </w:r>
          </w:p>
        </w:tc>
        <w:tc>
          <w:tcPr>
            <w:tcW w:w="1257" w:type="pct"/>
            <w:vAlign w:val="center"/>
          </w:tcPr>
          <w:p w14:paraId="4341CB63">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项目生产过程中污染物排放量较少，资源利用率高，能够实现循环经济模式</w:t>
            </w:r>
          </w:p>
        </w:tc>
        <w:tc>
          <w:tcPr>
            <w:tcW w:w="540" w:type="pct"/>
            <w:tcBorders>
              <w:right w:val="nil"/>
            </w:tcBorders>
            <w:vAlign w:val="center"/>
          </w:tcPr>
          <w:p w14:paraId="32DB8911">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w:t>
            </w:r>
          </w:p>
        </w:tc>
      </w:tr>
      <w:tr w14:paraId="631BE1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1" w:type="pct"/>
            <w:tcBorders>
              <w:left w:val="nil"/>
            </w:tcBorders>
            <w:vAlign w:val="center"/>
          </w:tcPr>
          <w:p w14:paraId="37428A02">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主要范围</w:t>
            </w:r>
          </w:p>
        </w:tc>
        <w:tc>
          <w:tcPr>
            <w:tcW w:w="2601" w:type="pct"/>
            <w:vAlign w:val="center"/>
          </w:tcPr>
          <w:p w14:paraId="34A18FB0">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是在矿产资源开采过程中对共生、伴生矿进行综合开发与合理利用的技术；二是对生产过程中产生的废渣、废水（废液）、废气、余热、余压等进行回收和合理利用的技术；三是对社会生产和消费过程中产生的各种废弃物进行回收和再生利用的技术</w:t>
            </w:r>
          </w:p>
        </w:tc>
        <w:tc>
          <w:tcPr>
            <w:tcW w:w="1257" w:type="pct"/>
            <w:vAlign w:val="center"/>
          </w:tcPr>
          <w:p w14:paraId="5B10AAE2">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本项目属于对社会生产和消费过程中产生的各种废弃物进行回收和再生利用的技术，符合大纲的主要范围</w:t>
            </w:r>
          </w:p>
        </w:tc>
        <w:tc>
          <w:tcPr>
            <w:tcW w:w="540" w:type="pct"/>
            <w:tcBorders>
              <w:right w:val="nil"/>
            </w:tcBorders>
            <w:vAlign w:val="center"/>
          </w:tcPr>
          <w:p w14:paraId="25DEF26B">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w:t>
            </w:r>
          </w:p>
        </w:tc>
      </w:tr>
      <w:tr w14:paraId="7D0945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01" w:type="pct"/>
            <w:tcBorders>
              <w:left w:val="nil"/>
              <w:bottom w:val="single" w:color="000000" w:sz="10" w:space="0"/>
            </w:tcBorders>
            <w:vAlign w:val="center"/>
          </w:tcPr>
          <w:p w14:paraId="10B0F174">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废塑料再生利用技术</w:t>
            </w:r>
          </w:p>
        </w:tc>
        <w:tc>
          <w:tcPr>
            <w:tcW w:w="2601" w:type="pct"/>
            <w:tcBorders>
              <w:bottom w:val="single" w:color="000000" w:sz="10" w:space="0"/>
            </w:tcBorders>
            <w:vAlign w:val="center"/>
          </w:tcPr>
          <w:p w14:paraId="39F5137F">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推广废塑料物理再生利用和机械化分类技术</w:t>
            </w:r>
          </w:p>
        </w:tc>
        <w:tc>
          <w:tcPr>
            <w:tcW w:w="1257" w:type="pct"/>
            <w:tcBorders>
              <w:bottom w:val="single" w:color="000000" w:sz="10" w:space="0"/>
            </w:tcBorders>
            <w:vAlign w:val="center"/>
          </w:tcPr>
          <w:p w14:paraId="769FFD64">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本项目属于物理再生利用和人工、机械化混合分类技术</w:t>
            </w:r>
          </w:p>
        </w:tc>
        <w:tc>
          <w:tcPr>
            <w:tcW w:w="540" w:type="pct"/>
            <w:tcBorders>
              <w:bottom w:val="single" w:color="000000" w:sz="10" w:space="0"/>
              <w:right w:val="nil"/>
            </w:tcBorders>
            <w:vAlign w:val="center"/>
          </w:tcPr>
          <w:p w14:paraId="7412F4DB">
            <w:pPr>
              <w:pStyle w:val="34"/>
              <w:spacing w:after="0"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w:t>
            </w:r>
          </w:p>
        </w:tc>
      </w:tr>
    </w:tbl>
    <w:p w14:paraId="30549D7E">
      <w:pPr>
        <w:pStyle w:val="3159"/>
        <w:spacing w:before="240"/>
        <w:ind w:firstLine="482" w:firstLineChars="200"/>
        <w:jc w:val="both"/>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综上所述，项目建设符合废塑料回收加工行业相关要求。</w:t>
      </w:r>
    </w:p>
    <w:p w14:paraId="74C2D340">
      <w:pPr>
        <w:pStyle w:val="3159"/>
        <w:spacing w:before="240"/>
        <w:rPr>
          <w:rFonts w:ascii="Times New Roman" w:hAnsi="Times New Roman" w:eastAsia="宋体"/>
          <w:color w:val="000000" w:themeColor="text1"/>
          <w:kern w:val="0"/>
          <w:sz w:val="24"/>
          <w:lang w:bidi="ar"/>
          <w14:textFill>
            <w14:solidFill>
              <w14:schemeClr w14:val="tx1"/>
            </w14:solidFill>
          </w14:textFill>
        </w:rPr>
      </w:pPr>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6</w:t>
      </w:r>
      <w:r>
        <w:rPr>
          <w:rFonts w:hint="default" w:ascii="Times New Roman" w:hAnsi="Times New Roman" w:eastAsia="黑体" w:cs="Times New Roman"/>
          <w:b w:val="0"/>
          <w:color w:val="000000" w:themeColor="text1"/>
          <w14:textFill>
            <w14:solidFill>
              <w14:schemeClr w14:val="tx1"/>
            </w14:solidFill>
          </w14:textFill>
        </w:rPr>
        <w:t>.4</w:t>
      </w:r>
      <w:bookmarkEnd w:id="42"/>
      <w:r>
        <w:rPr>
          <w:rFonts w:hint="default" w:ascii="Times New Roman" w:hAnsi="Times New Roman" w:eastAsia="黑体" w:cs="Times New Roman"/>
          <w:b w:val="0"/>
          <w:color w:val="000000" w:themeColor="text1"/>
          <w14:textFill>
            <w14:solidFill>
              <w14:schemeClr w14:val="tx1"/>
            </w14:solidFill>
          </w14:textFill>
        </w:rPr>
        <w:t>生态环境分区管控符合性分析</w:t>
      </w:r>
    </w:p>
    <w:p w14:paraId="32CD077D">
      <w:pPr>
        <w:adjustRightInd/>
        <w:snapToGrid/>
        <w:spacing w:line="360" w:lineRule="auto"/>
        <w:ind w:firstLine="472" w:firstLineChars="200"/>
        <w:rPr>
          <w:rFonts w:ascii="Times New Roman" w:hAnsi="Times New Roman" w:eastAsia="宋体"/>
          <w:color w:val="000000" w:themeColor="text1"/>
          <w:kern w:val="0"/>
          <w:sz w:val="24"/>
          <w:lang w:bidi="ar"/>
          <w14:textFill>
            <w14:solidFill>
              <w14:schemeClr w14:val="tx1"/>
            </w14:solidFill>
          </w14:textFill>
        </w:rPr>
      </w:pPr>
      <w:r>
        <w:rPr>
          <w:rFonts w:ascii="Times New Roman" w:hAnsi="Times New Roman" w:eastAsia="宋体"/>
          <w:color w:val="000000" w:themeColor="text1"/>
          <w:kern w:val="0"/>
          <w:sz w:val="24"/>
          <w:lang w:bidi="ar"/>
          <w14:textFill>
            <w14:solidFill>
              <w14:schemeClr w14:val="tx1"/>
            </w14:solidFill>
          </w14:textFill>
        </w:rPr>
        <w:t>查询</w:t>
      </w:r>
      <w:r>
        <w:rPr>
          <w:rFonts w:hint="eastAsia" w:ascii="Times New Roman" w:hAnsi="Times New Roman" w:eastAsia="宋体"/>
          <w:color w:val="000000" w:themeColor="text1"/>
          <w:kern w:val="0"/>
          <w:sz w:val="24"/>
          <w:lang w:bidi="ar"/>
          <w14:textFill>
            <w14:solidFill>
              <w14:schemeClr w14:val="tx1"/>
            </w14:solidFill>
          </w14:textFill>
        </w:rPr>
        <w:t>“</w:t>
      </w:r>
      <w:r>
        <w:rPr>
          <w:rFonts w:ascii="Times New Roman" w:hAnsi="Times New Roman" w:eastAsia="宋体"/>
          <w:color w:val="000000" w:themeColor="text1"/>
          <w:kern w:val="0"/>
          <w:sz w:val="24"/>
          <w:lang w:bidi="ar"/>
          <w14:textFill>
            <w14:solidFill>
              <w14:schemeClr w14:val="tx1"/>
            </w14:solidFill>
          </w14:textFill>
        </w:rPr>
        <w:t>安徽省‘三线一单’公众服务平台</w:t>
      </w:r>
      <w:r>
        <w:rPr>
          <w:rFonts w:hint="eastAsia" w:ascii="Times New Roman" w:hAnsi="Times New Roman" w:eastAsia="宋体"/>
          <w:color w:val="000000" w:themeColor="text1"/>
          <w:kern w:val="0"/>
          <w:sz w:val="24"/>
          <w:lang w:bidi="ar"/>
          <w14:textFill>
            <w14:solidFill>
              <w14:schemeClr w14:val="tx1"/>
            </w14:solidFill>
          </w14:textFill>
        </w:rPr>
        <w:t>”</w:t>
      </w:r>
      <w:r>
        <w:rPr>
          <w:rFonts w:ascii="Times New Roman" w:hAnsi="Times New Roman" w:eastAsia="宋体"/>
          <w:color w:val="000000" w:themeColor="text1"/>
          <w:kern w:val="0"/>
          <w:sz w:val="24"/>
          <w:lang w:bidi="ar"/>
          <w14:textFill>
            <w14:solidFill>
              <w14:schemeClr w14:val="tx1"/>
            </w14:solidFill>
          </w14:textFill>
        </w:rPr>
        <w:t>，经与</w:t>
      </w:r>
      <w:r>
        <w:rPr>
          <w:rFonts w:hint="eastAsia" w:ascii="Times New Roman" w:hAnsi="Times New Roman" w:eastAsia="宋体"/>
          <w:color w:val="000000" w:themeColor="text1"/>
          <w:kern w:val="0"/>
          <w:sz w:val="24"/>
          <w:lang w:bidi="ar"/>
          <w14:textFill>
            <w14:solidFill>
              <w14:schemeClr w14:val="tx1"/>
            </w14:solidFill>
          </w14:textFill>
        </w:rPr>
        <w:t>“</w:t>
      </w:r>
      <w:r>
        <w:rPr>
          <w:rFonts w:ascii="Times New Roman" w:hAnsi="Times New Roman" w:eastAsia="宋体"/>
          <w:color w:val="000000" w:themeColor="text1"/>
          <w:kern w:val="0"/>
          <w:sz w:val="24"/>
          <w:lang w:bidi="ar"/>
          <w14:textFill>
            <w14:solidFill>
              <w14:schemeClr w14:val="tx1"/>
            </w14:solidFill>
          </w14:textFill>
        </w:rPr>
        <w:t>三线一单</w:t>
      </w:r>
      <w:r>
        <w:rPr>
          <w:rFonts w:hint="eastAsia" w:ascii="Times New Roman" w:hAnsi="Times New Roman" w:eastAsia="宋体"/>
          <w:color w:val="000000" w:themeColor="text1"/>
          <w:kern w:val="0"/>
          <w:sz w:val="24"/>
          <w:lang w:bidi="ar"/>
          <w14:textFill>
            <w14:solidFill>
              <w14:schemeClr w14:val="tx1"/>
            </w14:solidFill>
          </w14:textFill>
        </w:rPr>
        <w:t>”</w:t>
      </w:r>
      <w:r>
        <w:rPr>
          <w:rFonts w:ascii="Times New Roman" w:hAnsi="Times New Roman" w:eastAsia="宋体"/>
          <w:color w:val="000000" w:themeColor="text1"/>
          <w:kern w:val="0"/>
          <w:sz w:val="24"/>
          <w:lang w:bidi="ar"/>
          <w14:textFill>
            <w14:solidFill>
              <w14:schemeClr w14:val="tx1"/>
            </w14:solidFill>
          </w14:textFill>
        </w:rPr>
        <w:t>成果数据分析，与1个环境管控单元存在交叠，其中优先保护类0个，重点管控类1个，一般管控类0个。具体管控要求及交叠情况详见下表。</w:t>
      </w:r>
    </w:p>
    <w:p w14:paraId="465F166C">
      <w:pPr>
        <w:spacing w:line="360" w:lineRule="auto"/>
        <w:jc w:val="center"/>
        <w:rPr>
          <w:rFonts w:ascii="Times New Roman" w:hAnsi="Times New Roman" w:eastAsia="宋体"/>
          <w:color w:val="000000" w:themeColor="text1"/>
          <w14:textFill>
            <w14:solidFill>
              <w14:schemeClr w14:val="tx1"/>
            </w14:solidFill>
          </w14:textFill>
        </w:rPr>
      </w:pPr>
      <w:r>
        <w:rPr>
          <w:rFonts w:hint="default" w:ascii="Times New Roman" w:hAnsi="Times New Roman" w:eastAsia="黑体" w:cs="Times New Roman"/>
          <w:bCs/>
          <w:color w:val="000000" w:themeColor="text1"/>
          <w:sz w:val="24"/>
          <w:szCs w:val="24"/>
          <w14:textFill>
            <w14:solidFill>
              <w14:schemeClr w14:val="tx1"/>
            </w14:solidFill>
          </w14:textFill>
        </w:rPr>
        <w:t>表</w:t>
      </w:r>
      <w:r>
        <w:rPr>
          <w:rFonts w:hint="eastAsia" w:ascii="Times New Roman" w:hAnsi="Times New Roman" w:eastAsia="黑体" w:cs="Times New Roman"/>
          <w:bCs/>
          <w:color w:val="000000" w:themeColor="text1"/>
          <w:sz w:val="24"/>
          <w:szCs w:val="24"/>
          <w:lang w:val="en-US" w:eastAsia="zh-CN"/>
          <w14:textFill>
            <w14:solidFill>
              <w14:schemeClr w14:val="tx1"/>
            </w14:solidFill>
          </w14:textFill>
        </w:rPr>
        <w:t>2</w:t>
      </w:r>
      <w:r>
        <w:rPr>
          <w:rFonts w:hint="default" w:ascii="Times New Roman" w:hAnsi="Times New Roman" w:eastAsia="黑体" w:cs="Times New Roman"/>
          <w:bCs/>
          <w:color w:val="000000" w:themeColor="text1"/>
          <w:sz w:val="24"/>
          <w:szCs w:val="24"/>
          <w14:textFill>
            <w14:solidFill>
              <w14:schemeClr w14:val="tx1"/>
            </w14:solidFill>
          </w14:textFill>
        </w:rPr>
        <w:t>.6-</w:t>
      </w:r>
      <w:r>
        <w:rPr>
          <w:rFonts w:hint="eastAsia" w:eastAsia="黑体" w:cs="Times New Roman"/>
          <w:bCs/>
          <w:color w:val="000000" w:themeColor="text1"/>
          <w:sz w:val="24"/>
          <w:szCs w:val="24"/>
          <w:lang w:val="en-US" w:eastAsia="zh-CN"/>
          <w14:textFill>
            <w14:solidFill>
              <w14:schemeClr w14:val="tx1"/>
            </w14:solidFill>
          </w14:textFill>
        </w:rPr>
        <w:t>1</w:t>
      </w:r>
      <w:r>
        <w:rPr>
          <w:rFonts w:hint="default" w:ascii="Times New Roman" w:hAnsi="Times New Roman" w:eastAsia="黑体" w:cs="Times New Roman"/>
          <w:bCs/>
          <w:color w:val="000000" w:themeColor="text1"/>
          <w:sz w:val="24"/>
          <w:szCs w:val="24"/>
          <w14:textFill>
            <w14:solidFill>
              <w14:schemeClr w14:val="tx1"/>
            </w14:solidFill>
          </w14:textFill>
        </w:rPr>
        <w:t>2三线一单管控单元情况表</w:t>
      </w:r>
    </w:p>
    <w:tbl>
      <w:tblPr>
        <w:tblStyle w:val="88"/>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497"/>
        <w:gridCol w:w="3326"/>
        <w:gridCol w:w="2498"/>
      </w:tblGrid>
      <w:tr w14:paraId="79E752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500" w:type="pct"/>
            <w:shd w:val="clear" w:color="auto" w:fill="D9D9D9"/>
            <w:vAlign w:val="center"/>
          </w:tcPr>
          <w:p w14:paraId="486088AA">
            <w:pPr>
              <w:spacing w:line="240" w:lineRule="auto"/>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环境管控单元编码</w:t>
            </w:r>
          </w:p>
        </w:tc>
        <w:tc>
          <w:tcPr>
            <w:tcW w:w="1998" w:type="pct"/>
            <w:shd w:val="clear" w:color="auto" w:fill="D9D9D9"/>
            <w:vAlign w:val="center"/>
          </w:tcPr>
          <w:p w14:paraId="0EACE60C">
            <w:pPr>
              <w:spacing w:line="240" w:lineRule="auto"/>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环境管控单元名称</w:t>
            </w:r>
          </w:p>
        </w:tc>
        <w:tc>
          <w:tcPr>
            <w:tcW w:w="1500" w:type="pct"/>
            <w:shd w:val="clear" w:color="auto" w:fill="D9D9D9"/>
            <w:vAlign w:val="center"/>
          </w:tcPr>
          <w:p w14:paraId="53AB7FD2">
            <w:pPr>
              <w:spacing w:line="240" w:lineRule="auto"/>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环境管控单元分类</w:t>
            </w:r>
          </w:p>
        </w:tc>
      </w:tr>
      <w:tr w14:paraId="63C8C1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493" w:type="dxa"/>
          </w:tcPr>
          <w:p w14:paraId="13A458EE">
            <w:pPr>
              <w:spacing w:line="240" w:lineRule="auto"/>
              <w:jc w:val="center"/>
              <w:rPr>
                <w:rFonts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ZH34042120015</w:t>
            </w:r>
          </w:p>
        </w:tc>
        <w:tc>
          <w:tcPr>
            <w:tcW w:w="3321" w:type="dxa"/>
          </w:tcPr>
          <w:p w14:paraId="143F6A03">
            <w:pPr>
              <w:spacing w:line="240"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重点管控单元</w:t>
            </w:r>
            <w:r>
              <w:rPr>
                <w:rFonts w:hint="eastAsia" w:eastAsia="宋体"/>
                <w:color w:val="000000" w:themeColor="text1"/>
                <w:sz w:val="21"/>
                <w:szCs w:val="21"/>
                <w:lang w:val="en-US" w:eastAsia="zh-CN"/>
                <w14:textFill>
                  <w14:solidFill>
                    <w14:schemeClr w14:val="tx1"/>
                  </w14:solidFill>
                </w14:textFill>
              </w:rPr>
              <w:t>25</w:t>
            </w:r>
          </w:p>
        </w:tc>
        <w:tc>
          <w:tcPr>
            <w:tcW w:w="2494" w:type="dxa"/>
          </w:tcPr>
          <w:p w14:paraId="0AA538AE">
            <w:pPr>
              <w:spacing w:line="240" w:lineRule="auto"/>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重点管控单元</w:t>
            </w:r>
          </w:p>
        </w:tc>
      </w:tr>
    </w:tbl>
    <w:p w14:paraId="6A120D10">
      <w:pPr>
        <w:pStyle w:val="251"/>
        <w:ind w:firstLine="480"/>
        <w:rPr>
          <w:rFonts w:ascii="Times New Roman" w:hAnsi="Times New Roman" w:eastAsia="宋体"/>
          <w:color w:val="000000" w:themeColor="text1"/>
          <w:kern w:val="0"/>
          <w:sz w:val="24"/>
          <w:lang w:bidi="ar"/>
          <w14:textFill>
            <w14:solidFill>
              <w14:schemeClr w14:val="tx1"/>
            </w14:solidFill>
          </w14:textFill>
        </w:rPr>
      </w:pPr>
      <w:r>
        <w:rPr>
          <w:rFonts w:ascii="Times New Roman" w:hAnsi="Times New Roman" w:eastAsia="宋体"/>
          <w:color w:val="000000" w:themeColor="text1"/>
          <w:kern w:val="0"/>
          <w:sz w:val="24"/>
          <w:lang w:bidi="ar"/>
          <w14:textFill>
            <w14:solidFill>
              <w14:schemeClr w14:val="tx1"/>
            </w14:solidFill>
          </w14:textFill>
        </w:rPr>
        <w:t>项目涉及重点管控区域要求符合性分析如下表：</w:t>
      </w:r>
    </w:p>
    <w:p w14:paraId="1F337FC2">
      <w:pPr>
        <w:pStyle w:val="251"/>
        <w:ind w:left="0" w:leftChars="0" w:firstLine="0" w:firstLineChars="0"/>
        <w:rPr>
          <w:rFonts w:ascii="Times New Roman" w:hAnsi="Times New Roman" w:eastAsia="宋体"/>
          <w:color w:val="000000" w:themeColor="text1"/>
          <w:kern w:val="0"/>
          <w:sz w:val="24"/>
          <w:lang w:bidi="ar"/>
          <w14:textFill>
            <w14:solidFill>
              <w14:schemeClr w14:val="tx1"/>
            </w14:solidFill>
          </w14:textFill>
        </w:rPr>
        <w:sectPr>
          <w:pgSz w:w="11907" w:h="16839"/>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p>
    <w:p w14:paraId="3EE777BF">
      <w:pPr>
        <w:spacing w:line="360" w:lineRule="auto"/>
        <w:jc w:val="center"/>
        <w:rPr>
          <w:rFonts w:ascii="Times New Roman" w:hAnsi="Times New Roman" w:eastAsia="宋体"/>
          <w:b/>
          <w:bCs/>
          <w:color w:val="000000" w:themeColor="text1"/>
          <w:kern w:val="0"/>
          <w:sz w:val="24"/>
          <w:lang w:bidi="ar"/>
          <w14:textFill>
            <w14:solidFill>
              <w14:schemeClr w14:val="tx1"/>
            </w14:solidFill>
          </w14:textFill>
        </w:rPr>
      </w:pPr>
      <w:r>
        <w:rPr>
          <w:rFonts w:hint="default" w:ascii="Times New Roman" w:hAnsi="Times New Roman" w:eastAsia="黑体" w:cs="Times New Roman"/>
          <w:bCs/>
          <w:color w:val="000000" w:themeColor="text1"/>
          <w:sz w:val="24"/>
          <w:szCs w:val="24"/>
          <w14:textFill>
            <w14:solidFill>
              <w14:schemeClr w14:val="tx1"/>
            </w14:solidFill>
          </w14:textFill>
        </w:rPr>
        <w:t>表</w:t>
      </w:r>
      <w:r>
        <w:rPr>
          <w:rFonts w:hint="eastAsia" w:ascii="Times New Roman" w:hAnsi="Times New Roman" w:eastAsia="黑体" w:cs="Times New Roman"/>
          <w:bCs/>
          <w:color w:val="000000" w:themeColor="text1"/>
          <w:sz w:val="24"/>
          <w:szCs w:val="24"/>
          <w:lang w:val="en-US" w:eastAsia="zh-CN"/>
          <w14:textFill>
            <w14:solidFill>
              <w14:schemeClr w14:val="tx1"/>
            </w14:solidFill>
          </w14:textFill>
        </w:rPr>
        <w:t>2</w:t>
      </w:r>
      <w:r>
        <w:rPr>
          <w:rFonts w:hint="default" w:ascii="Times New Roman" w:hAnsi="Times New Roman" w:eastAsia="黑体" w:cs="Times New Roman"/>
          <w:bCs/>
          <w:color w:val="000000" w:themeColor="text1"/>
          <w:sz w:val="24"/>
          <w:szCs w:val="24"/>
          <w14:textFill>
            <w14:solidFill>
              <w14:schemeClr w14:val="tx1"/>
            </w14:solidFill>
          </w14:textFill>
        </w:rPr>
        <w:t>.6-</w:t>
      </w:r>
      <w:r>
        <w:rPr>
          <w:rFonts w:hint="eastAsia" w:ascii="Times New Roman" w:hAnsi="Times New Roman" w:eastAsia="黑体" w:cs="Times New Roman"/>
          <w:bCs/>
          <w:color w:val="000000" w:themeColor="text1"/>
          <w:sz w:val="24"/>
          <w:szCs w:val="24"/>
          <w:lang w:val="en-US" w:eastAsia="zh-CN"/>
          <w14:textFill>
            <w14:solidFill>
              <w14:schemeClr w14:val="tx1"/>
            </w14:solidFill>
          </w14:textFill>
        </w:rPr>
        <w:t>1</w:t>
      </w:r>
      <w:r>
        <w:rPr>
          <w:rFonts w:hint="default" w:ascii="Times New Roman" w:hAnsi="Times New Roman" w:eastAsia="黑体" w:cs="Times New Roman"/>
          <w:bCs/>
          <w:color w:val="000000" w:themeColor="text1"/>
          <w:sz w:val="24"/>
          <w:szCs w:val="24"/>
          <w14:textFill>
            <w14:solidFill>
              <w14:schemeClr w14:val="tx1"/>
            </w14:solidFill>
          </w14:textFill>
        </w:rPr>
        <w:t>3  项目与</w:t>
      </w:r>
      <w:r>
        <w:rPr>
          <w:rFonts w:hint="eastAsia" w:ascii="Times New Roman" w:hAnsi="Times New Roman" w:eastAsia="黑体" w:cs="Times New Roman"/>
          <w:bCs/>
          <w:color w:val="000000" w:themeColor="text1"/>
          <w:sz w:val="24"/>
          <w:szCs w:val="24"/>
          <w14:textFill>
            <w14:solidFill>
              <w14:schemeClr w14:val="tx1"/>
            </w14:solidFill>
          </w14:textFill>
        </w:rPr>
        <w:t>《安徽省生态环境厅关于发布&lt;安徽省生态环境分区管控动态更新成果&gt;的通知》（皖环函〔2024〕451号）符合性分析</w:t>
      </w:r>
    </w:p>
    <w:tbl>
      <w:tblPr>
        <w:tblStyle w:val="88"/>
        <w:tblW w:w="5091"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54"/>
        <w:gridCol w:w="882"/>
        <w:gridCol w:w="817"/>
        <w:gridCol w:w="636"/>
        <w:gridCol w:w="751"/>
        <w:gridCol w:w="7039"/>
        <w:gridCol w:w="2417"/>
        <w:gridCol w:w="626"/>
      </w:tblGrid>
      <w:tr w14:paraId="229C54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370" w:type="pct"/>
            <w:shd w:val="clear" w:color="auto" w:fill="D9D9D9"/>
            <w:vAlign w:val="center"/>
          </w:tcPr>
          <w:p w14:paraId="6C8C46BC">
            <w:pPr>
              <w:topLinePunct/>
              <w:spacing w:line="240" w:lineRule="auto"/>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环境管控单元编码</w:t>
            </w:r>
          </w:p>
        </w:tc>
        <w:tc>
          <w:tcPr>
            <w:tcW w:w="310" w:type="pct"/>
            <w:shd w:val="clear" w:color="auto" w:fill="D9D9D9"/>
            <w:vAlign w:val="center"/>
          </w:tcPr>
          <w:p w14:paraId="665BA1E3">
            <w:pPr>
              <w:topLinePunct/>
              <w:spacing w:line="240" w:lineRule="auto"/>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环境管控单元名称</w:t>
            </w:r>
          </w:p>
        </w:tc>
        <w:tc>
          <w:tcPr>
            <w:tcW w:w="287" w:type="pct"/>
            <w:shd w:val="clear" w:color="auto" w:fill="D9D9D9"/>
            <w:vAlign w:val="center"/>
          </w:tcPr>
          <w:p w14:paraId="08CEF418">
            <w:pPr>
              <w:topLinePunct/>
              <w:spacing w:line="240" w:lineRule="auto"/>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环境管控单元分类</w:t>
            </w:r>
          </w:p>
        </w:tc>
        <w:tc>
          <w:tcPr>
            <w:tcW w:w="223" w:type="pct"/>
            <w:shd w:val="clear" w:color="auto" w:fill="D9D9D9"/>
            <w:vAlign w:val="center"/>
          </w:tcPr>
          <w:p w14:paraId="7149BC89">
            <w:pPr>
              <w:topLinePunct/>
              <w:spacing w:line="240" w:lineRule="auto"/>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区域管控要求</w:t>
            </w:r>
          </w:p>
        </w:tc>
        <w:tc>
          <w:tcPr>
            <w:tcW w:w="264" w:type="pct"/>
            <w:shd w:val="clear" w:color="auto" w:fill="D9D9D9"/>
            <w:vAlign w:val="center"/>
          </w:tcPr>
          <w:p w14:paraId="15F9F2A9">
            <w:pPr>
              <w:topLinePunct/>
              <w:spacing w:line="240" w:lineRule="auto"/>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管控类别</w:t>
            </w:r>
          </w:p>
        </w:tc>
        <w:tc>
          <w:tcPr>
            <w:tcW w:w="2474" w:type="pct"/>
            <w:shd w:val="clear" w:color="auto" w:fill="D9D9D9"/>
            <w:vAlign w:val="center"/>
          </w:tcPr>
          <w:p w14:paraId="70EDDB40">
            <w:pPr>
              <w:topLinePunct/>
              <w:spacing w:line="240" w:lineRule="auto"/>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管控要求</w:t>
            </w:r>
          </w:p>
        </w:tc>
        <w:tc>
          <w:tcPr>
            <w:tcW w:w="849" w:type="pct"/>
            <w:shd w:val="clear" w:color="auto" w:fill="D9D9D9"/>
            <w:vAlign w:val="center"/>
          </w:tcPr>
          <w:p w14:paraId="2A9638F5">
            <w:pPr>
              <w:topLinePunct/>
              <w:spacing w:line="240" w:lineRule="auto"/>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项目情况</w:t>
            </w:r>
          </w:p>
        </w:tc>
        <w:tc>
          <w:tcPr>
            <w:tcW w:w="220" w:type="pct"/>
            <w:shd w:val="clear" w:color="auto" w:fill="D9D9D9"/>
            <w:vAlign w:val="center"/>
          </w:tcPr>
          <w:p w14:paraId="71F7E006">
            <w:pPr>
              <w:topLinePunct/>
              <w:spacing w:line="240" w:lineRule="auto"/>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是否相符</w:t>
            </w:r>
          </w:p>
        </w:tc>
      </w:tr>
      <w:tr w14:paraId="33315B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370" w:type="pct"/>
            <w:vMerge w:val="restart"/>
            <w:vAlign w:val="center"/>
          </w:tcPr>
          <w:p w14:paraId="066E0AB8">
            <w:pPr>
              <w:widowControl/>
              <w:topLinePunct/>
              <w:autoSpaceDE w:val="0"/>
              <w:spacing w:line="240" w:lineRule="auto"/>
              <w:jc w:val="center"/>
              <w:textAlignment w:val="baseline"/>
              <w:rPr>
                <w:rFonts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ZH34042120015</w:t>
            </w:r>
          </w:p>
        </w:tc>
        <w:tc>
          <w:tcPr>
            <w:tcW w:w="310" w:type="pct"/>
            <w:vMerge w:val="restart"/>
            <w:vAlign w:val="center"/>
          </w:tcPr>
          <w:p w14:paraId="2AE2C28F">
            <w:pPr>
              <w:widowControl/>
              <w:topLinePunct/>
              <w:autoSpaceDE w:val="0"/>
              <w:spacing w:line="240" w:lineRule="auto"/>
              <w:jc w:val="center"/>
              <w:textAlignment w:val="baseline"/>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重点管控单元</w:t>
            </w:r>
            <w:r>
              <w:rPr>
                <w:rFonts w:hint="eastAsia" w:eastAsia="宋体"/>
                <w:color w:val="000000" w:themeColor="text1"/>
                <w:sz w:val="21"/>
                <w:szCs w:val="21"/>
                <w:lang w:val="en-US" w:eastAsia="zh-CN"/>
                <w14:textFill>
                  <w14:solidFill>
                    <w14:schemeClr w14:val="tx1"/>
                  </w14:solidFill>
                </w14:textFill>
              </w:rPr>
              <w:t>25</w:t>
            </w:r>
          </w:p>
        </w:tc>
        <w:tc>
          <w:tcPr>
            <w:tcW w:w="287" w:type="pct"/>
            <w:vMerge w:val="restart"/>
            <w:vAlign w:val="center"/>
          </w:tcPr>
          <w:p w14:paraId="49F59334">
            <w:pPr>
              <w:widowControl/>
              <w:topLinePunct/>
              <w:autoSpaceDE w:val="0"/>
              <w:spacing w:line="240" w:lineRule="auto"/>
              <w:jc w:val="center"/>
              <w:textAlignment w:val="baseline"/>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重点管控单元</w:t>
            </w:r>
          </w:p>
        </w:tc>
        <w:tc>
          <w:tcPr>
            <w:tcW w:w="223" w:type="pct"/>
            <w:vMerge w:val="restart"/>
            <w:vAlign w:val="center"/>
          </w:tcPr>
          <w:p w14:paraId="18659953">
            <w:pPr>
              <w:widowControl/>
              <w:topLinePunct/>
              <w:autoSpaceDE w:val="0"/>
              <w:spacing w:line="240" w:lineRule="auto"/>
              <w:jc w:val="center"/>
              <w:textAlignment w:val="baseline"/>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无</w:t>
            </w:r>
          </w:p>
        </w:tc>
        <w:tc>
          <w:tcPr>
            <w:tcW w:w="264" w:type="pct"/>
            <w:vAlign w:val="center"/>
          </w:tcPr>
          <w:p w14:paraId="647334E4">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空间布局约束</w:t>
            </w:r>
          </w:p>
        </w:tc>
        <w:tc>
          <w:tcPr>
            <w:tcW w:w="2474" w:type="pct"/>
            <w:vAlign w:val="center"/>
          </w:tcPr>
          <w:p w14:paraId="43DF8FC3">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76严格城市规划蓝线管理，城市规划区范围内应保留一定比例的水域面积，现有水域面积不得减少。新建项目一律不得违规占用水域。</w:t>
            </w:r>
          </w:p>
          <w:p w14:paraId="627C0054">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77落实磷石膏综合利用途径，综合利用不畅的可利用现有磷石膏库堆存，不得新建、扩建磷石膏库(暂存场除外)。</w:t>
            </w:r>
          </w:p>
          <w:p w14:paraId="740357A2">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1在城市城区及其近郊禁止新建、扩建钢铁、有色、石化、水泥、化工等重污染企业。</w:t>
            </w:r>
          </w:p>
          <w:p w14:paraId="110A24C7">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2禁止新建燃料类煤气发生炉（园区现有企业统一建设的清洁煤制气中心除外）。</w:t>
            </w:r>
          </w:p>
          <w:p w14:paraId="2ADAC247">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3严禁新增钢铁、焦化、电解铝、铸造、水泥和平板玻璃等产能；严格执行钢铁、水泥、平板玻璃等行业产能置换实施办法。</w:t>
            </w:r>
          </w:p>
          <w:p w14:paraId="5EB7848E">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4严格执行国家关于“两高”产业准入目录和产能总量控制政策措施。严禁新增钢铁、焦化、电解铝、铸造、水泥和平板玻璃等产能；新、改、扩建涉及大宗物料运输的建设项目，原则上不得采用公路运输。</w:t>
            </w:r>
          </w:p>
          <w:p w14:paraId="00120632">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7非电行业新建项目，禁止配套建设自备纯凝、抽凝燃煤电站。</w:t>
            </w:r>
          </w:p>
          <w:p w14:paraId="4103F61B">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8在城市建成区及居民区、医院、学校等环境敏感区域，严禁现场露天灰土拌合。</w:t>
            </w:r>
          </w:p>
          <w:p w14:paraId="631A1EA8">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9严格控制新增“两高”项目审批，认真分析评估拟建项目必要性、可行性和对产业高质量发展、能耗双控、碳排放和环境质量的影响，严格审查项目是否符合产业政策、产业规划、“三线一单”、规划环评要求，是否依法依规</w:t>
            </w:r>
          </w:p>
          <w:p w14:paraId="7D67FA7F">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落实产能置换、能耗置换、煤炭消费减量替代、污染物排放区域削减等要求。对已建成投产的存量“两高”项目，有节能减排潜力的加快改造升级，属于落后产能的加快淘汰。</w:t>
            </w:r>
          </w:p>
          <w:p w14:paraId="0BFCD514">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10禁止建设生产和使用高挥发性有机物含量涂料、油墨、胶粘剂、清洗剂等项目。</w:t>
            </w:r>
          </w:p>
          <w:p w14:paraId="7B075605">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11禁止新建不符合国家规定的燃煤发电机组、燃油发电机组和燃煤热电机组。</w:t>
            </w:r>
          </w:p>
          <w:p w14:paraId="04CF3ED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12禁止新建、扩建分散燃煤供热锅炉。</w:t>
            </w:r>
          </w:p>
          <w:p w14:paraId="132C6FA8">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13在城市规划区内禁止新建、扩建大气污染严重的建设项目。</w:t>
            </w:r>
          </w:p>
          <w:p w14:paraId="4F6FCB2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14禁止高灰分、高硫分煤炭进入市场。新建煤矿应当同步建设煤炭洗选设施，已建成的煤矿所采煤炭属于高灰分、高硫分的，应当在国家和省规定的期限内建成配套的煤炭洗选设施，使煤炭中的灰分、硫分达到规定的标准。</w:t>
            </w:r>
          </w:p>
          <w:p w14:paraId="2EE647B1">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15禁止在人口集中地区、机场周围、交通干线附近以及当地人民政府划定的区域露天焚烧秸秆、落叶、垃圾等产生烟尘污染的物质。</w:t>
            </w:r>
          </w:p>
          <w:p w14:paraId="261377E3">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16在燃气管网和集中供热管网覆盖的区域，不得新建、扩建、改建燃烧煤炭、重油、渣油的供热设施；原有分散的中小型燃煤供热锅炉应当限期拆除。</w:t>
            </w:r>
          </w:p>
          <w:p w14:paraId="1FEFD899">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17禁止在居民住宅楼、未配套设立专用烟道的商住综合楼、商住综合楼内与居住层相邻的商业楼层内新建、改建、扩建产生油烟、异味、废气的饮食服务项目。</w:t>
            </w:r>
          </w:p>
          <w:p w14:paraId="593EDB01">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18任何单位和个人不得在政府划定的禁止露天烧烤区域内露天烧烤食品或者为露天烧烤食品提供场地。</w:t>
            </w:r>
          </w:p>
          <w:p w14:paraId="30C4A228">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19在机关、学校、医院、居民住宅区等人口集中地区和其他依法需要特殊保护的区域内，禁止从事下列生产活动：</w:t>
            </w:r>
          </w:p>
          <w:p w14:paraId="0BEFFC5A">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（1）橡胶制品生产、经营性喷漆、制骨胶、制骨粉、屠宰、畜禽养殖、生物发酵等产生恶臭、有毒有害气体的生产经营活动；</w:t>
            </w:r>
          </w:p>
          <w:p w14:paraId="1C899E7E">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（2）露天焚烧油毡、沥青、橡胶、塑料、皮革、垃圾或者其他可能产生恶臭、有毒有害气体的活动。</w:t>
            </w:r>
          </w:p>
          <w:p w14:paraId="1A479E1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20严禁钢铁、水泥、电解铝、平板玻璃等行业新增产能，对确有必要新建的必须实施等量或减量置换。</w:t>
            </w:r>
          </w:p>
          <w:p w14:paraId="6D05A3F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21禁止淘汰落后类的产业进入开发区。</w:t>
            </w:r>
          </w:p>
          <w:p w14:paraId="166883A9">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22从事餐饮服务业的经营活动，不得有下列行为：</w:t>
            </w:r>
          </w:p>
          <w:p w14:paraId="7B970B70">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一）未经处理直接排放、倾倒废弃油脂和含油废物；（二）在居民住宅楼、未配套设立专用烟道的商住综合楼以及商住综合楼内与居住层相邻的商业楼层内新建、改建、扩建产生油烟、异味、废气的餐饮服务项目；（三）在当地人民政府禁止的区域内露天烧烤食品或者为露天烧烤食品提供场所。1 禁止在淮河流域新建化学制浆造纸企业和印染、制革、化工、电镀、酿造等污染严重的小型企业。</w:t>
            </w:r>
          </w:p>
          <w:p w14:paraId="4F0EF2C0">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 在饮用水水源保护区内，禁止设置排污口。在风景名胜区水体、重要渔业水体和其他具有特殊经济文化价值的水体的保护区内，不得新建排污口。</w:t>
            </w:r>
          </w:p>
          <w:p w14:paraId="4D8D6DB2">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 禁止下列行为：(一)向水体排放或者倾倒油类、酸液、碱液和其他有毒有害液体；(二)在水体中清洗装贮过有毒有害污染物的车辆、船舶和容器；(三)向水体排放、倾倒含有汞、镉、砷、铬、铅、氰化物、黄磷等可溶性剧毒废液或者将上述物质直接埋入地下；(四)向水体排放、倾倒工业废渣、城镇垃圾和其他废弃物；(五)向水体排放、倾倒放射性固体废弃物或者放射性废水；(六)利用渗井、渗坑、裂隙、溶洞、塌陷区和废弃矿坑排放、倾倒，或者利用无防渗措施的沟渠、坑塘输送或者存贮含毒污染物或者病原体的废水和其他废弃物；(七)在河流、湖泊、运河、渠道、水库最高水位线以下的滩地和岸坡堆放、贮存固体废弃物和其他污染物；(八)围湖和其他破坏水环境生态平衡的活动；(九)引进不符合国家环境保护规定要求的技术和设备；(十)法律、法规禁止的其他行为。</w:t>
            </w:r>
          </w:p>
          <w:p w14:paraId="2B7A2C59">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 在淮河水域航行的船舶，应当遵守国家和省有关内河的船舶污染物排放标准，禁止向水体排放残油、废油、不符合规定的船舶压载水和倾倒船舶垃圾。</w:t>
            </w:r>
          </w:p>
          <w:p w14:paraId="404F7AB8">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 全面停止天然林商业性采伐。</w:t>
            </w:r>
          </w:p>
          <w:p w14:paraId="146ABEB3">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 坚持节约优先、保护优先、自然恢复为主的方针，依法有序推进新建露天矿山开采，严禁在自然保护区、风景名胜区、地质公园等禁止开采区域内新设矿权。</w:t>
            </w:r>
          </w:p>
          <w:p w14:paraId="78B15F9F">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 坚持水资源水生态水环境水灾害统筹治理，严格落实水产种质资源保护区和自然保护区全面禁捕措施。12全市范围内严禁违规新增钢铁、焦化、水泥熟料、平板玻璃、电解铝、氧化铝、煤化工产能，合理控制煤制油气产能规模。未纳入国家有关领域产业规划的，一律不得新建改扩建炼油和新建乙烯、对二甲苯、煤制烯烃项目。</w:t>
            </w:r>
          </w:p>
          <w:p w14:paraId="0400A0EC">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13严把“两高”项目审批，严格落实区域削减措施，对不符合规定的坚决停批停建。</w:t>
            </w:r>
          </w:p>
          <w:p w14:paraId="1F01AD05">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14禁止在具有生态环境保护功能区内、城建规划区周边以及重要交通干线、河流湖泊直观可视范围内进行固体矿产勘查开发活动。禁止在生态环境脆弱区域开展不符合其功能定位的矿山勘查开发活动。</w:t>
            </w:r>
          </w:p>
          <w:p w14:paraId="5AAD0B45">
            <w:pPr>
              <w:widowControl/>
              <w:topLinePunct/>
              <w:autoSpaceDE w:val="0"/>
              <w:spacing w:line="240" w:lineRule="auto"/>
              <w:textAlignment w:val="baseline"/>
              <w:rPr>
                <w:rFonts w:hint="eastAsia" w:ascii="Times New Roman" w:hAnsi="Times New Roman" w:eastAsia="宋体"/>
                <w:color w:val="000000" w:themeColor="text1"/>
                <w:sz w:val="21"/>
                <w:szCs w:val="21"/>
                <w:lang w:eastAsia="zh-CN"/>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15禁止建设生产和使用VOCs含量限值不符合国家标准的涂料、油墨、胶黏剂、清洗剂等项目</w:t>
            </w:r>
            <w:r>
              <w:rPr>
                <w:rFonts w:hint="eastAsia" w:eastAsia="宋体"/>
                <w:color w:val="000000" w:themeColor="text1"/>
                <w:sz w:val="21"/>
                <w:szCs w:val="21"/>
                <w:lang w:eastAsia="zh-CN"/>
                <w14:textFill>
                  <w14:solidFill>
                    <w14:schemeClr w14:val="tx1"/>
                  </w14:solidFill>
                </w14:textFill>
              </w:rPr>
              <w:t>。</w:t>
            </w:r>
          </w:p>
          <w:p w14:paraId="3859F5C8">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16严格城市规划蓝线管理，城市规划区范围内应保留一定比例的水域面积。新建项目一律不得违规占用水域。</w:t>
            </w:r>
          </w:p>
          <w:p w14:paraId="214C9F4B">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17禁止新建焦化、有色金属、制革、农药等行业企业。</w:t>
            </w:r>
          </w:p>
          <w:p w14:paraId="329BB4F3">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18禁止非法污泥堆放和处理不达标的污泥进入耕地。</w:t>
            </w:r>
          </w:p>
          <w:p w14:paraId="29C423DA">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19禁止在限养区内新建、扩建规模化畜禽养殖场。</w:t>
            </w:r>
          </w:p>
          <w:p w14:paraId="0F27D362">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20禁止生产、销售不符合节水标准的产品、设备。</w:t>
            </w:r>
          </w:p>
          <w:p w14:paraId="68178146">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21城市建成区排放污水的工业企业应依法持有排污许可证，并严格按证排污。排入城镇水体的工业污水应符合相关行业标准及地方标准要求，严禁任何企业、单位超标和超总量排污，对超标或超总量的排污单位一律限制生产或停</w:t>
            </w:r>
          </w:p>
          <w:p w14:paraId="25B15457">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产整顿。</w:t>
            </w:r>
          </w:p>
          <w:p w14:paraId="085F61CE">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22科学确定城市河道疏浚范围和清淤深度，妥善处理底泥，严禁清淤底泥沿岸随意堆放或作为水体治理工程回填土，防止二次污染。</w:t>
            </w:r>
          </w:p>
          <w:p w14:paraId="0BA472CB">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23严肃执法监督，严格执行排污许可、排水许可制度，严禁生活污水和工业废水直排水体。严防道路冲洗污水、洗车冲洗污水、餐饮泔水、施工排水等污水进入雨水口。</w:t>
            </w:r>
          </w:p>
          <w:p w14:paraId="68FCAC1B">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24禁止在居民区、学校、医疗和养老机构等周边新建有色金属冶炼、焦化等行业企业。</w:t>
            </w:r>
          </w:p>
          <w:p w14:paraId="629040DB">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25对涉重金属重点行业新建、改（扩）建项目实行新增重金属污染物排放等量或倍量替代，对区域重金属排放量继续上升的地区，停止审批新增重金属污染物排放的建设项目。落实重金属相关行业规范条件，禁止新建落后产能项目，严禁产能严重过剩行业新增产能建设项目。禁止向涉重金属相关行业落后产能和产能过剩行业供应土地。</w:t>
            </w:r>
          </w:p>
          <w:p w14:paraId="56D94C92">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26针对耕地重金属污染突出区域和涉重金属工矿企业，组织开展重金属重点行业污染源排查整治专项行动，督促相关企业完善污染防治设施，在煤化工、有色金属、电镀行业实施清洁化改造。对整改后仍不能稳定达标的企业，依法责令停产、关闭。坚决关闭不符合国家产业政策的落后生产工艺装备，依法全面取缔不符合国家产业政策的有色金属、电镀等行业生产项目。</w:t>
            </w:r>
          </w:p>
          <w:p w14:paraId="274DBAE0">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省-重点-水-工业-空间布局-限制；</w:t>
            </w:r>
          </w:p>
          <w:p w14:paraId="4F152CA2">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23加大钢铁、铸造、炼焦、建材、电解铝等产能压减力度。</w:t>
            </w:r>
          </w:p>
          <w:p w14:paraId="4496EFCB">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24严格资源节约和环保准入门槛，转入项目必须符合国家产业政策、资源节约和污染物排放强度要求，避免产业转移中的资源浪费和污染扩散。</w:t>
            </w:r>
          </w:p>
          <w:p w14:paraId="7DA5C1DA">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25对污染治理不规范的露天矿山，依法责令停产整治，整治完成并经相关部门组织验收合格后方可恢复生产。</w:t>
            </w:r>
          </w:p>
          <w:p w14:paraId="1B4DF32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26加大落后产能淘汰和过剩产能压减力度。严防“地条钢”死灰复燃。</w:t>
            </w:r>
          </w:p>
          <w:p w14:paraId="3ED3087A">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28重点区域钢铁、水泥、焦化、石化、化工、有色等行业，二氧化硫、氮氧化物、颗粒物、挥发性有机物（VOCs）排放全面执行大气污染物特别排放限值。</w:t>
            </w:r>
          </w:p>
          <w:p w14:paraId="73D77DFF">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29加大工业涂装、包装印刷等行业低挥发性有机物含量原辅材料替代力度，严格执行涂料、油墨、胶粘剂、清洗剂挥发性有机物含量限值标准，确保生产、销售、进口、使用符合标准的产品。</w:t>
            </w:r>
          </w:p>
          <w:p w14:paraId="0448320B">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30严格合理控制煤炭消费增长，大气污染防治重点区域内新建、改扩建用煤项目严格实施煤炭消费等量或减量替代。</w:t>
            </w:r>
          </w:p>
          <w:p w14:paraId="44916A6A">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31推动钢铁行业碳达峰。严格执行产能置换，严禁新增产能，依法依规淘汰落后产能。</w:t>
            </w:r>
          </w:p>
          <w:p w14:paraId="2652454B">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32优化产能规模和布局，引导化工企业向产业园区转移，提高集聚发展水平。8 严格限制在淮河流域新建印染、制革、化工、电镀、酿造等大中型项目或者其他污染严重的项目；建设该类项目的，应当事前征得省人民政府生态环境行政主管部门的同意，并按照规定办理有关手续。</w:t>
            </w:r>
          </w:p>
          <w:p w14:paraId="61C15078">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9 新建、改建、扩建直接或者间接向水体排放污染物的建设项目和其他水上设施，应当依法进行环境影响评价。建设项目的水污染防治设施，应当符合经批准或者备案的环境影响评价文件的要求，并与主体工程同时设计、同时施工、同时投入使用。新建、扩建、改建项目，除执行前款规定外，还应当遵守下列规定：（一）新建项目的选址应符合城市总体规划，避开饮用水水源地和对环境有特殊要求的功能区；（二）采用资源利用率高、污染物排放量少的先进设备和先进工艺；（三）改建、扩建项目和技改项目应当把水污染治理纳入项目内容。工程配套建设的水污染防治设施竣工后，建设单位应当按照国务院生态环境行政主管部门规定的标准和程序进行验收。验收合格后，方可投入使用；未经验收或者验收不合格的，不得投入生产或者使用。</w:t>
            </w:r>
          </w:p>
          <w:p w14:paraId="4D083203">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10 在保护区附近新建排污口，应当保证保护区水体不受污染。</w:t>
            </w:r>
          </w:p>
          <w:p w14:paraId="161CD5EE">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11 严格环境准入，在水污染防治重点控制单元的区域内，限制新建耗水量大、废水排放量大的项目和单纯扩大产能的项目。严格控制缺水地区、水污染严重地区和敏感区域高耗水、高污染行业发展。</w:t>
            </w:r>
          </w:p>
          <w:p w14:paraId="376BBFBF">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12 严格管控重污染耕地，划定农产品禁止生产区，加强对严格管控类耕地的用途管理。实施建设用地准入管理，城市控制性详细规划涉及疑似污染地块或污染地块的，应根据规划用途明确其土壤环境质量要求并作为规划许可条件。</w:t>
            </w:r>
          </w:p>
          <w:p w14:paraId="7CD046F2">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13 完善规模畜禽养殖场污染治理设施，科学划定畜禽养殖禁养区、限养区，实行适度规模养殖。</w:t>
            </w:r>
          </w:p>
          <w:p w14:paraId="7243D745">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27严格实施行业内新建项目重点污染物排放等量或减量置换，煤炭、水泥等产能过剩行业实施重点污染物排放等量或减量置换。</w:t>
            </w:r>
          </w:p>
          <w:p w14:paraId="0C2FED99">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28推进生态健康养殖。在淮河、茨淮新河等通航河流全部实施限制养殖制度。在《瓦埠湖养殖水域滩涂规划》《高塘湖养殖水域滩涂规划》和《焦岗湖养殖水域滩涂规划》的基础上，科学合理实施“三湖”养殖区、限养区、禁养区功能规划。</w:t>
            </w:r>
          </w:p>
          <w:p w14:paraId="040DDFDB">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29加强养殖投入品管理和专项整治，限制使用抗生素等化学药品。</w:t>
            </w:r>
          </w:p>
          <w:p w14:paraId="235F67D2">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30严格执行国家鼓励和淘汰的用水技术、工艺、设备、产品目录及 高耗水行业取用水定额标准，开展水平衡测试，严格用水定额管理。</w:t>
            </w:r>
          </w:p>
          <w:p w14:paraId="22304F4D">
            <w:pPr>
              <w:widowControl/>
              <w:topLinePunct/>
              <w:autoSpaceDE w:val="0"/>
              <w:spacing w:line="240" w:lineRule="auto"/>
              <w:textAlignment w:val="baseline"/>
              <w:rPr>
                <w:rFonts w:hint="eastAsia" w:ascii="Times New Roman" w:hAnsi="Times New Roman" w:eastAsia="宋体"/>
                <w:color w:val="000000" w:themeColor="text1"/>
                <w:sz w:val="21"/>
                <w:szCs w:val="21"/>
                <w:lang w:eastAsia="zh-CN"/>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31严格限值高VOCs排放化工类建设项目</w:t>
            </w:r>
            <w:r>
              <w:rPr>
                <w:rFonts w:hint="eastAsia" w:eastAsia="宋体"/>
                <w:color w:val="000000" w:themeColor="text1"/>
                <w:sz w:val="21"/>
                <w:szCs w:val="21"/>
                <w:lang w:eastAsia="zh-CN"/>
                <w14:textFill>
                  <w14:solidFill>
                    <w14:schemeClr w14:val="tx1"/>
                  </w14:solidFill>
                </w14:textFill>
              </w:rPr>
              <w:t>。</w:t>
            </w:r>
          </w:p>
          <w:p w14:paraId="15BB1B2A">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78坚持以水定城、以水定地、以水定人、以水定产，严格控制缺水地区、水污染严重地区和敏感区域高耗水、高污染行业发展，鼓励推动高耗水企业向水资源条件允许的工业园区集中。</w:t>
            </w:r>
          </w:p>
          <w:p w14:paraId="496F6B68">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79引导石化、化工、钢铁、建材、有色金属等重点行业合理布局，提高化工、有色金属、农副食品加工、印染、制革、原料药制造、电镀等行业集聚水平。</w:t>
            </w:r>
          </w:p>
          <w:p w14:paraId="57792EC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80严格控制缺水地区、水污染严重地区和敏感区域高耗水、高污染行业发展，鼓励推动高耗水企业向水资源条件允许的工业园区集中。</w:t>
            </w:r>
          </w:p>
          <w:p w14:paraId="03E1FA31">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81新建、扩建磷化工项目应布设在依法合规设立的化工园区或具有化工定位的产业园区内，所在化工园区或产业园区应依法开展规划环境影响评价工作，磷化工建设项目应符合园区规划及规划环评要求。44合理确定发展布局,依托园区积极申报省级战略性新兴产业集聚发展基地，着力打造省级软件与信息服务产业集聚发展基地、现代化工产业集聚发展基地、现代医药产业集聚发展基地。充分考虑水资源合理利用，水环境承载能力等因素，对空间位置相邻、产业方向相近的园区进行资源整合。优化园区空间规划，明确园区功能定位，改善园区资源利用，统一布局主导产业与配套产业，引导同类企业向园区集聚，将现有零散工业园区凝聚成为大型综合性园区或特色园区，合力打造资源利用率高的优势产业集群,实现园区低碳绿色发展。支持企业依靠技术进步改变高投入、高消耗、高污染、低效率、难循环的发展方式，提高科技含量和产品附加值。</w:t>
            </w:r>
          </w:p>
          <w:p w14:paraId="76F357D9">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45积极推进“海绵城市”建设，推行低影响开发建设模式，建设滞、渗、蓄、用、排相结合的雨水收集利用设施。新建城区硬化地面，可渗透面积要达到40%以上。</w:t>
            </w:r>
          </w:p>
          <w:p w14:paraId="499782FC">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46完善高标准农田建设、土地开发整理等标准规范，新建高标准农田要达到相关环保要求。</w:t>
            </w:r>
          </w:p>
          <w:p w14:paraId="49DC071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47实施水产养殖池塘改造，探索一条适合淮南的绿色健康养殖和采煤沉陷区水域生态环境综合治理模式，以及稻-虾、稻-鳖、稻-鳅等稻田综合养殖技术。</w:t>
            </w:r>
          </w:p>
          <w:p w14:paraId="5B2DF8F7">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48在瓦埠湖流域选择一个大中型灌区，利用现有沟、塘、渠等，配置水生植物群落、格栅和透水坝，建设生态沟渠、污水净化塘、地表径流集蓄池等设施，净化农田排水及地表径流。</w:t>
            </w:r>
          </w:p>
          <w:p w14:paraId="1549B1DF">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49推广渠道防渗、管道输水、喷灌、微灌等节水灌溉技术，示范推 广通滴灌机械设备，完善灌溉用水计量设施。推进规模化高效节水灌 溉，推广农作物节水抗旱技术。</w:t>
            </w:r>
          </w:p>
          <w:p w14:paraId="20C76FB4">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50减少化肥和农药使用，大力推广测土配方施肥技术和农作物病虫害绿色防控</w:t>
            </w:r>
          </w:p>
          <w:p w14:paraId="7ED47665">
            <w:pPr>
              <w:widowControl/>
              <w:topLinePunct/>
              <w:autoSpaceDE w:val="0"/>
              <w:spacing w:line="240" w:lineRule="auto"/>
              <w:textAlignment w:val="baseline"/>
              <w:rPr>
                <w:rFonts w:hint="eastAsia" w:ascii="Times New Roman" w:hAnsi="Times New Roman" w:eastAsia="宋体"/>
                <w:color w:val="000000" w:themeColor="text1"/>
                <w:sz w:val="21"/>
                <w:szCs w:val="21"/>
                <w:lang w:eastAsia="zh-CN"/>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技术，以产业结构调整为带动，力争实现主要农作物化肥、农药使用量实现零增长</w:t>
            </w:r>
            <w:r>
              <w:rPr>
                <w:rFonts w:hint="eastAsia" w:eastAsia="宋体"/>
                <w:color w:val="000000" w:themeColor="text1"/>
                <w:sz w:val="21"/>
                <w:szCs w:val="21"/>
                <w:lang w:eastAsia="zh-CN"/>
                <w14:textFill>
                  <w14:solidFill>
                    <w14:schemeClr w14:val="tx1"/>
                  </w14:solidFill>
                </w14:textFill>
              </w:rPr>
              <w:t>。</w:t>
            </w:r>
          </w:p>
          <w:p w14:paraId="3CEBF3F1">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82持续开展涉水“散乱污”企业 清理整治，严把能耗、环保等标准，促使一批达不到标准或淘汰类产能的企业，依法依规关停退出。</w:t>
            </w:r>
          </w:p>
          <w:p w14:paraId="0C177E40">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83推动污染企业退出。城市建成区内现有钢铁、有色金属、造纸、印染、原料药制造、化工等污染较重的企业应有序搬迁改造或依法关闭。</w:t>
            </w:r>
          </w:p>
          <w:p w14:paraId="20FCFDC1">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84严格水域岸线用途管制，土地开发利用应按照有关法律法规和技术标准要求，留足河道、湖泊的管理和保护范围，非法挤占的应限期退出。</w:t>
            </w:r>
          </w:p>
          <w:p w14:paraId="3E9D49A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85国家禁止新建不符合国家产业政策的小型造纸、制革、印染、染料、炼焦、炼硫、炼砷、炼汞、炼油、电镀、农药、石棉、水泥、玻璃、钢铁、火电以及其他严重污染水环境的生产项目。</w:t>
            </w:r>
          </w:p>
          <w:p w14:paraId="2A65F8AC">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33加快城市建成区、重点流域的重污染企业和危险化学品企业搬迁改造，加快推进危险化学品生产企业搬迁改造工程。</w:t>
            </w:r>
          </w:p>
          <w:p w14:paraId="4A0EF5B5">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34对城区内已建重污染企业要结合产业结构调整实施搬迁改造。</w:t>
            </w:r>
          </w:p>
          <w:p w14:paraId="1B44E554">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35城市规划区内已建的大气污染严重的建设项目应当搬迁、改造，城市建成区应当在规定的时间内完成重污染企业搬迁、改造或者关闭退出。36严格执行环境保护法律法规，对超过大气和水等污染物排放标准排污，以及超过重点污染物总量控制指标排污的企业，责令限制生产、停产整治等；情节严重的，报经有批准权的地方政府批准，责令停业、关闭。依法打击违反固体废物管理法律法规行为。</w:t>
            </w:r>
          </w:p>
          <w:p w14:paraId="36849007">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37加快区域产业调整。加快城市建成区重污染企业搬迁改造或关闭退出；城市钢铁企业要切实采取彻底关停、转型发展、就地改造、域外搬迁等方式，推动转型升级。加大现有化工园区整治力度。退城企业，逾期不退城的予以停产。</w:t>
            </w:r>
          </w:p>
          <w:p w14:paraId="4A875426">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38对不服从整改的餐饮企业，责令停业整治。依法关闭市、县（区）人民政府禁止区域内的露天餐饮、烧烤摊点，推广无炭烧烤。</w:t>
            </w:r>
          </w:p>
          <w:p w14:paraId="1F61B438">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39对违反资源环境法律法规、规划，污染环境、破坏生态、乱采滥挖的露天矿山，依法予以关闭；对污染治理不规范的露天矿山，依法责令停产整治，对拒不停产或擅自恢复生产的依法强制关闭。</w:t>
            </w:r>
          </w:p>
          <w:p w14:paraId="1D6E56C1">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40对热效率低下、敞开未封闭，装备简易落后、自动化程度低，无组织排放突出，以及无治理设施或治理设施工艺落后等严重污染环境的工业炉窑，依法责令停业关闭。</w:t>
            </w:r>
          </w:p>
          <w:p w14:paraId="40C6984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41对以煤、石油焦、渣油、重油等为燃料的工业炉窑，加快使用清洁低碳能源以及利用工厂余热、电厂热力等进行替代。重点区域禁止掺烧高硫石油焦（硫含量大于3%）。玻璃行业全面禁止掺烧高硫石油焦。</w:t>
            </w:r>
          </w:p>
          <w:p w14:paraId="1EC7181E">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42重点区域取缔燃煤热风炉，基本淘汰热电联产供热管网覆盖范围内的燃煤加热、烘干炉（窑）。加快推动铸造（10吨/小时及以下）、岩棉等行业冲天炉改为电炉。</w:t>
            </w:r>
          </w:p>
          <w:p w14:paraId="53956465">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43严格执行水泥熟料、平板玻璃产能置换要求，实施水泥常态化错峰生产，有序退出低效产能。推进燃煤窑炉清洁能源替代，逐步淘汰钢铁企业煤气发生炉。14 加强重金属污染源头控制和重金属重点防控区域治理，对重要粮食生产区域周边的工矿企业实施重金属排放总量控制，对达不到环保要求的企业要限期升级改造或依法关闭、搬迁。</w:t>
            </w:r>
          </w:p>
          <w:p w14:paraId="144F6E9E">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15 依法开展环境影响评价工作，严格落实生态环境损害责任追究问责制度，对不符合要求占用的岸线、河段、土地和布局的产业，必须无条件退出。32推进重污染企业搬迁改造，加快城市建成区、重点流域重污染企业和危险化学品等环境风险大的企业搬迁改造或关停退出。</w:t>
            </w:r>
          </w:p>
          <w:p w14:paraId="7330C368">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33原则上不再新增自备燃煤机组，推进现有机组实施清洁能源替代、功能转换。34现有经济开发区等工业集中区应实施热电联产或集中供热改造，将工业企业纳入集中供热范围，逐步淘汰分散燃煤锅炉，核准审批新建热电联产项目要求关停的燃煤锅炉必须按期淘汰。</w:t>
            </w:r>
          </w:p>
          <w:p w14:paraId="1D8D7015">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35关停退出、能耗、安全、质量技术等方面不达标、不合格产品。同时，鼓励引导“限制类”生产工艺装备和产品逐步退出。重点对水泥、砖瓦、铸造、化工等重点行业过剩产能逐渐淘汰，加快淘汰落后产能和不达标工业炉窑。</w:t>
            </w:r>
          </w:p>
          <w:p w14:paraId="652D0624">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36依法淘汰落后产能。全市和各县区要依据工业行业淘汰落后生产工艺装备和产品指导目录、产业结构调整指导目录及相关行业污染物排放标准，结合水质改善要求及产业发展情况，制定并实施分年度的落后产能淘汰方案。未完成淘汰任务的县区，暂停审批和核准其相关行业新建项目。</w:t>
            </w:r>
          </w:p>
          <w:p w14:paraId="69C3B42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37推动重污染企业退出。大力实施企业“退城进园”，有序推进城市建成区内现有原料药制造、化工等污染较重的企业有序搬迁改造或依法关闭。</w:t>
            </w:r>
          </w:p>
          <w:p w14:paraId="06F84916">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38严格水域岸线用途管制，土地开发利用应按照有关法律法规和技术标准要求，留足河流、湖泊的管理和保护范围，非法挤占的应限期退出。</w:t>
            </w:r>
          </w:p>
          <w:p w14:paraId="23702E35">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39强化河湖生态缓冲带监管，引导 与生态保护无关的生产活动和建设项目逐步退出，涉及敏感水体及富 营养化湖库的优先实施。</w:t>
            </w:r>
          </w:p>
          <w:p w14:paraId="45E9F3A0">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40全面排查装备水平低、环保设施差的小型工业企业，重点开展小 型化工、塑料、印染、造纸、电镀等行业取缔整治工作，制订取缔项 目清单。2025 年底前全面取缔到位。</w:t>
            </w:r>
          </w:p>
          <w:p w14:paraId="70771ED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41对取用水总量已达到或超过控制指标的地区，暂停审批其建设项目新增取水许可。</w:t>
            </w:r>
          </w:p>
          <w:p w14:paraId="0373E997">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42加快对河道两岸违法建设的清理。对河道湖泊绿线范围内的岸线进行排查、清理，重点治理河湖水域岸线乱建、乱占行为。对硬质驳岸的非行洪河道、渠道，有计划实施生态修复与改造。</w:t>
            </w:r>
          </w:p>
          <w:p w14:paraId="12EDCCC3">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43结合推进新型城镇化、产业结构调整和化解过剩产能等，有序搬迁或依法关闭对土壤造成严重污染的现有企业。</w:t>
            </w:r>
          </w:p>
          <w:p w14:paraId="14CE97D7">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44强化“散乱污”企业综合整治。全面开展“散乱污”企业及集群综合整治行动。根据产业政策、产业布局规划，以及土地、环保、质量、安全、能耗等要求，制定“散乱污”企业及集群整治标准。按照“先停后治”的原则，实施分类处置。45企业应当全面推进清洁生产，优先采用能源和原材料利用效率高、污染物排放量少的清洁生产技术、工艺和设备，淘汰严重污染大气环境质量的产品、落后工艺和落后设备，减少大气污染物的产生和排放。16 推进农业水价综合改革，推广节水灌溉水肥一体化技术，提高农业灌溉水利用效率。在缺水地区试行退地减水，有序调整种植业结构与布局。加快产业升级，降低单位工业增加值用水量，大力开展节水型载体建设。提高城镇水资源重复利用率，促进再生水利用。</w:t>
            </w:r>
          </w:p>
          <w:p w14:paraId="324DD45C">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52凡涉及排放汞、铅、砷、镉、铬等重金属和多环芳烃类、石油烃类有机污染物及涉及释放伴生放射性物质等重点污染物的建设项目，开展环境影响评价时，要增加土壤环境影响评价内容，并提出防范土壤污染的具体措施。</w:t>
            </w:r>
          </w:p>
          <w:p w14:paraId="310E872F">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53有的金属冶炼、石油加工、化工、焦化、电镀、制革等行业企业拆除生产设施设备、构筑物和污染治理设施，必须事先制定残留污染物清理和安全处置方案，报市和所在地县区环境保护、经信部门备案；要严格按照有关规定实施安全处理处置，防范拆除活动污染土壤。</w:t>
            </w:r>
          </w:p>
        </w:tc>
        <w:tc>
          <w:tcPr>
            <w:tcW w:w="849" w:type="pct"/>
            <w:vAlign w:val="center"/>
          </w:tcPr>
          <w:p w14:paraId="72EF3E67">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1、该项目不属于</w:t>
            </w:r>
            <w:r>
              <w:rPr>
                <w:rFonts w:hint="eastAsia" w:ascii="Times New Roman" w:hAnsi="Times New Roman" w:eastAsia="宋体"/>
                <w:color w:val="000000" w:themeColor="text1"/>
                <w:sz w:val="21"/>
                <w:szCs w:val="21"/>
                <w14:textFill>
                  <w14:solidFill>
                    <w14:schemeClr w14:val="tx1"/>
                  </w14:solidFill>
                </w14:textFill>
              </w:rPr>
              <w:t>“</w:t>
            </w:r>
            <w:r>
              <w:rPr>
                <w:rFonts w:ascii="Times New Roman" w:hAnsi="Times New Roman" w:eastAsia="宋体"/>
                <w:color w:val="000000" w:themeColor="text1"/>
                <w:sz w:val="21"/>
                <w:szCs w:val="21"/>
                <w14:textFill>
                  <w14:solidFill>
                    <w14:schemeClr w14:val="tx1"/>
                  </w14:solidFill>
                </w14:textFill>
              </w:rPr>
              <w:t>两高</w:t>
            </w:r>
            <w:r>
              <w:rPr>
                <w:rFonts w:hint="eastAsia" w:ascii="Times New Roman" w:hAnsi="Times New Roman" w:eastAsia="宋体"/>
                <w:color w:val="000000" w:themeColor="text1"/>
                <w:sz w:val="21"/>
                <w:szCs w:val="21"/>
                <w14:textFill>
                  <w14:solidFill>
                    <w14:schemeClr w14:val="tx1"/>
                  </w14:solidFill>
                </w14:textFill>
              </w:rPr>
              <w:t>”</w:t>
            </w:r>
            <w:r>
              <w:rPr>
                <w:rFonts w:ascii="Times New Roman" w:hAnsi="Times New Roman" w:eastAsia="宋体"/>
                <w:color w:val="000000" w:themeColor="text1"/>
                <w:sz w:val="21"/>
                <w:szCs w:val="21"/>
                <w14:textFill>
                  <w14:solidFill>
                    <w14:schemeClr w14:val="tx1"/>
                  </w14:solidFill>
                </w14:textFill>
              </w:rPr>
              <w:t>项目，符合</w:t>
            </w:r>
            <w:r>
              <w:rPr>
                <w:rFonts w:hint="eastAsia" w:eastAsia="宋体"/>
                <w:color w:val="000000" w:themeColor="text1"/>
                <w:sz w:val="21"/>
                <w:szCs w:val="21"/>
                <w:lang w:eastAsia="zh-CN"/>
                <w14:textFill>
                  <w14:solidFill>
                    <w14:schemeClr w14:val="tx1"/>
                  </w14:solidFill>
                </w14:textFill>
              </w:rPr>
              <w:t>《毛集实验区毛集镇国土空间总体规划（2021-2035年）》</w:t>
            </w:r>
            <w:r>
              <w:rPr>
                <w:rFonts w:ascii="Times New Roman" w:hAnsi="Times New Roman" w:eastAsia="宋体"/>
                <w:color w:val="000000" w:themeColor="text1"/>
                <w:sz w:val="21"/>
                <w:szCs w:val="21"/>
                <w14:textFill>
                  <w14:solidFill>
                    <w14:schemeClr w14:val="tx1"/>
                  </w14:solidFill>
                </w14:textFill>
              </w:rPr>
              <w:t>产业政策；</w:t>
            </w:r>
            <w:r>
              <w:rPr>
                <w:rFonts w:hint="eastAsia" w:ascii="Times New Roman" w:hAnsi="Times New Roman" w:eastAsia="宋体"/>
                <w:color w:val="000000" w:themeColor="text1"/>
                <w:sz w:val="21"/>
                <w:szCs w:val="21"/>
                <w14:textFill>
                  <w14:solidFill>
                    <w14:schemeClr w14:val="tx1"/>
                  </w14:solidFill>
                </w14:textFill>
              </w:rPr>
              <w:t>属于</w:t>
            </w:r>
            <w:r>
              <w:rPr>
                <w:rFonts w:ascii="Times New Roman" w:hAnsi="Times New Roman" w:eastAsia="宋体"/>
                <w:color w:val="000000" w:themeColor="text1"/>
                <w:sz w:val="21"/>
                <w:szCs w:val="21"/>
                <w14:textFill>
                  <w14:solidFill>
                    <w14:schemeClr w14:val="tx1"/>
                  </w14:solidFill>
                </w14:textFill>
              </w:rPr>
              <w:t>该区域主导产业；符合</w:t>
            </w:r>
            <w:r>
              <w:rPr>
                <w:rFonts w:hint="eastAsia" w:ascii="Times New Roman" w:hAnsi="Times New Roman" w:eastAsia="宋体"/>
                <w:color w:val="000000" w:themeColor="text1"/>
                <w:sz w:val="21"/>
                <w:szCs w:val="21"/>
                <w14:textFill>
                  <w14:solidFill>
                    <w14:schemeClr w14:val="tx1"/>
                  </w14:solidFill>
                </w14:textFill>
              </w:rPr>
              <w:t>“</w:t>
            </w:r>
            <w:r>
              <w:rPr>
                <w:rFonts w:ascii="Times New Roman" w:hAnsi="Times New Roman" w:eastAsia="宋体"/>
                <w:color w:val="000000" w:themeColor="text1"/>
                <w:sz w:val="21"/>
                <w:szCs w:val="21"/>
                <w14:textFill>
                  <w14:solidFill>
                    <w14:schemeClr w14:val="tx1"/>
                  </w14:solidFill>
                </w14:textFill>
              </w:rPr>
              <w:t>三线一单</w:t>
            </w:r>
            <w:r>
              <w:rPr>
                <w:rFonts w:hint="eastAsia" w:ascii="Times New Roman" w:hAnsi="Times New Roman" w:eastAsia="宋体"/>
                <w:color w:val="000000" w:themeColor="text1"/>
                <w:sz w:val="21"/>
                <w:szCs w:val="21"/>
                <w14:textFill>
                  <w14:solidFill>
                    <w14:schemeClr w14:val="tx1"/>
                  </w14:solidFill>
                </w14:textFill>
              </w:rPr>
              <w:t>”</w:t>
            </w:r>
            <w:r>
              <w:rPr>
                <w:rFonts w:ascii="Times New Roman" w:hAnsi="Times New Roman" w:eastAsia="宋体"/>
                <w:color w:val="000000" w:themeColor="text1"/>
                <w:sz w:val="21"/>
                <w:szCs w:val="21"/>
                <w14:textFill>
                  <w14:solidFill>
                    <w14:schemeClr w14:val="tx1"/>
                  </w14:solidFill>
                </w14:textFill>
              </w:rPr>
              <w:t>、规划环评要求。2、不使用高挥发性有机物含量涂料、油墨、胶粘剂、清洗剂等，不新建、扩建分散燃煤供热锅炉，不属于淘汰落后类的产业。3、本项目</w:t>
            </w:r>
            <w:r>
              <w:rPr>
                <w:rFonts w:hint="eastAsia" w:eastAsia="宋体"/>
                <w:color w:val="000000" w:themeColor="text1"/>
                <w:sz w:val="21"/>
                <w:szCs w:val="21"/>
                <w:lang w:eastAsia="zh-CN"/>
                <w14:textFill>
                  <w14:solidFill>
                    <w14:schemeClr w14:val="tx1"/>
                  </w14:solidFill>
                </w14:textFill>
              </w:rPr>
              <w:t>生产废水经厂区污水站处理后</w:t>
            </w:r>
            <w:r>
              <w:rPr>
                <w:rFonts w:hint="eastAsia" w:eastAsia="宋体"/>
                <w:color w:val="000000" w:themeColor="text1"/>
                <w:sz w:val="21"/>
                <w:szCs w:val="21"/>
                <w:lang w:val="en-US" w:eastAsia="zh-CN"/>
                <w14:textFill>
                  <w14:solidFill>
                    <w14:schemeClr w14:val="tx1"/>
                  </w14:solidFill>
                </w14:textFill>
              </w:rPr>
              <w:t>90%回用</w:t>
            </w:r>
            <w:r>
              <w:rPr>
                <w:rFonts w:ascii="Times New Roman" w:hAnsi="Times New Roman" w:eastAsia="宋体"/>
                <w:color w:val="000000" w:themeColor="text1"/>
                <w:sz w:val="21"/>
                <w:szCs w:val="21"/>
                <w14:textFill>
                  <w14:solidFill>
                    <w14:schemeClr w14:val="tx1"/>
                  </w14:solidFill>
                </w14:textFill>
              </w:rPr>
              <w:t>。4、对照《固定污染源排污许可分类管理名录》（2019年版），本项目属于</w:t>
            </w:r>
            <w:r>
              <w:rPr>
                <w:rFonts w:hint="eastAsia" w:ascii="Times New Roman" w:hAnsi="Times New Roman" w:eastAsia="宋体"/>
                <w:color w:val="000000" w:themeColor="text1"/>
                <w:sz w:val="21"/>
                <w:szCs w:val="21"/>
                <w14:textFill>
                  <w14:solidFill>
                    <w14:schemeClr w14:val="tx1"/>
                  </w14:solidFill>
                </w14:textFill>
              </w:rPr>
              <w:t>“</w:t>
            </w:r>
            <w:r>
              <w:rPr>
                <w:rFonts w:ascii="Times New Roman" w:hAnsi="Times New Roman" w:eastAsia="宋体"/>
                <w:color w:val="000000" w:themeColor="text1"/>
                <w:sz w:val="21"/>
                <w:szCs w:val="21"/>
                <w14:textFill>
                  <w14:solidFill>
                    <w14:schemeClr w14:val="tx1"/>
                  </w14:solidFill>
                </w14:textFill>
              </w:rPr>
              <w:t>简化管理</w:t>
            </w:r>
            <w:r>
              <w:rPr>
                <w:rFonts w:hint="eastAsia" w:ascii="Times New Roman" w:hAnsi="Times New Roman" w:eastAsia="宋体"/>
                <w:color w:val="000000" w:themeColor="text1"/>
                <w:sz w:val="21"/>
                <w:szCs w:val="21"/>
                <w14:textFill>
                  <w14:solidFill>
                    <w14:schemeClr w14:val="tx1"/>
                  </w14:solidFill>
                </w14:textFill>
              </w:rPr>
              <w:t>”</w:t>
            </w:r>
            <w:r>
              <w:rPr>
                <w:rFonts w:ascii="Times New Roman" w:hAnsi="Times New Roman" w:eastAsia="宋体"/>
                <w:color w:val="000000" w:themeColor="text1"/>
                <w:sz w:val="21"/>
                <w:szCs w:val="21"/>
                <w14:textFill>
                  <w14:solidFill>
                    <w14:schemeClr w14:val="tx1"/>
                  </w14:solidFill>
                </w14:textFill>
              </w:rPr>
              <w:t>，按规定申领排污许可证。5、本项目为</w:t>
            </w:r>
            <w:r>
              <w:rPr>
                <w:rFonts w:hint="eastAsia" w:eastAsia="宋体"/>
                <w:color w:val="000000" w:themeColor="text1"/>
                <w:sz w:val="21"/>
                <w:szCs w:val="21"/>
                <w:lang w:eastAsia="zh-CN"/>
                <w14:textFill>
                  <w14:solidFill>
                    <w14:schemeClr w14:val="tx1"/>
                  </w14:solidFill>
                </w14:textFill>
              </w:rPr>
              <w:t>新建的废弃资源综合利用项目</w:t>
            </w:r>
            <w:r>
              <w:rPr>
                <w:rFonts w:ascii="Times New Roman" w:hAnsi="Times New Roman" w:eastAsia="宋体"/>
                <w:color w:val="000000" w:themeColor="text1"/>
                <w:sz w:val="21"/>
                <w:szCs w:val="21"/>
                <w14:textFill>
                  <w14:solidFill>
                    <w14:schemeClr w14:val="tx1"/>
                  </w14:solidFill>
                </w14:textFill>
              </w:rPr>
              <w:t>，不属于化工项目。6、项目不在饮用水水源一级保护区的岸线和河段范围内，不属于落后产能、过剩产能行业的项目。</w:t>
            </w:r>
          </w:p>
        </w:tc>
        <w:tc>
          <w:tcPr>
            <w:tcW w:w="220" w:type="pct"/>
            <w:vAlign w:val="center"/>
          </w:tcPr>
          <w:p w14:paraId="7DF80BEE">
            <w:pPr>
              <w:widowControl/>
              <w:topLinePunct/>
              <w:autoSpaceDE w:val="0"/>
              <w:spacing w:line="240" w:lineRule="auto"/>
              <w:jc w:val="center"/>
              <w:textAlignment w:val="baseline"/>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是</w:t>
            </w:r>
          </w:p>
        </w:tc>
      </w:tr>
      <w:tr w14:paraId="1C5EE4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370" w:type="pct"/>
            <w:vMerge w:val="continue"/>
            <w:vAlign w:val="center"/>
          </w:tcPr>
          <w:p w14:paraId="6DCA3F9F">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p>
        </w:tc>
        <w:tc>
          <w:tcPr>
            <w:tcW w:w="310" w:type="pct"/>
            <w:vMerge w:val="continue"/>
            <w:vAlign w:val="center"/>
          </w:tcPr>
          <w:p w14:paraId="7F7F737D">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p>
        </w:tc>
        <w:tc>
          <w:tcPr>
            <w:tcW w:w="287" w:type="pct"/>
            <w:vMerge w:val="continue"/>
            <w:vAlign w:val="center"/>
          </w:tcPr>
          <w:p w14:paraId="50348540">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p>
        </w:tc>
        <w:tc>
          <w:tcPr>
            <w:tcW w:w="223" w:type="pct"/>
            <w:vMerge w:val="continue"/>
            <w:vAlign w:val="center"/>
          </w:tcPr>
          <w:p w14:paraId="5C862BAF">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p>
        </w:tc>
        <w:tc>
          <w:tcPr>
            <w:tcW w:w="264" w:type="pct"/>
            <w:vAlign w:val="center"/>
          </w:tcPr>
          <w:p w14:paraId="18390D94">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环境风险管控</w:t>
            </w:r>
          </w:p>
        </w:tc>
        <w:tc>
          <w:tcPr>
            <w:tcW w:w="2474" w:type="pct"/>
            <w:vAlign w:val="center"/>
          </w:tcPr>
          <w:p w14:paraId="42BE991A">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93全省工业园区污水管网排查整治、化工园区初期雨水污染控制试点、高耗水企业废水资源化利用、重点行业清洁化改造、工业废水深度治理项目等。</w:t>
            </w:r>
          </w:p>
          <w:p w14:paraId="354DCBB3">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94落实工业企业环境风险防范主体责任，以石油、化工、涉重金属等企业为重点，合理布设企业生产设施，强化工业企业应急导流槽、事故调蓄池、应急闸坝等事故排水收集截留设施以及事故水输送设施建设，合理设置消防事故水池。</w:t>
            </w:r>
          </w:p>
          <w:p w14:paraId="1B6BB8A6">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95以沿江有色金属、化工园区及危险化学品码头为重点，强化工业园区环境风险防范。加强园区内工业废水的分类分质处理和监控，开展工业园区污水处理厂综合毒性试点监测。</w:t>
            </w:r>
          </w:p>
          <w:p w14:paraId="1D3418CE">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96充分发挥河（湖）长制作用，落实跨省流域上下游突发水污染事件联防联控协议，统筹研判预警、共同防范、互通信息、联合监测、协同处置等全过程。加强应急、交通、水利、公安、生态环境等部门应急联动，形成突发水环境事件应急处理处置合力。</w:t>
            </w:r>
          </w:p>
          <w:p w14:paraId="4E90C741">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97磷石膏库、尾矿库、暂存场按第Ⅱ类一般工业固体废物处置要求采取防渗、地下水导排等措施，并建设地下水监测井，开展日常监控，防范地下水环境污染。</w:t>
            </w:r>
          </w:p>
          <w:p w14:paraId="2333FCEA">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98推进既有产业园区和产业集群循环化改造，推进企业内部工业用水循环利用、园区内企业间用水系统集成优化积极推进清洁生产审核，推动石化、化工、印染、电镀、有色金属等重点行业制定清洁生产改造提升计划推进新能源与节能环保产业发展，带动重大水生态环境治理项目实施。</w:t>
            </w:r>
          </w:p>
          <w:p w14:paraId="59DE6F4C">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78以化工园区、尾矿库、冶炼企业等为重点，严格落实企业生态环境风险防范主体责任。</w:t>
            </w:r>
          </w:p>
          <w:p w14:paraId="5E3CA656">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79对使用有毒有害化学物质或在生产过程中排放有毒有害物质的企业，全面实施强制性清洁生产审核，严格执行产品质量标准中有毒有害化学物质的含量限值，加强农药、石化、涂料、印染、医药等行业新污染物环境风险管控。</w:t>
            </w:r>
          </w:p>
          <w:p w14:paraId="73B0B712">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26 饮用水源受到污染可能威胁供水安全的，生态环境行政主管部门应当责令有关排污单位采取停止排放水污染物等措施，并通报饮用水供水单位和住房城乡建设、卫生健康、水行政等部门；跨行政区域的，还应当通报相关人民政府。</w:t>
            </w:r>
          </w:p>
          <w:p w14:paraId="5830F6DE">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27 淮河流域上下游相关市、县人民政府应当建立联防联控机制，协同做好跨界水体污染防治、水闸防污调控、水质联合监测、信息共享、联动执法和突发水环境事件应急处置等工作，提高水环境质量，保障水环境安全。</w:t>
            </w:r>
          </w:p>
          <w:p w14:paraId="6C30864C">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28 阜阳闸、颍上闸和蚌埠闸等淮河流域水闸的管理单位应当在保证防汛、抗旱的前提下，兼顾上游下游水质，执行防污调控方案，避免闸控河道蓄积的污水集中下泄。</w:t>
            </w:r>
          </w:p>
          <w:p w14:paraId="540BB8EC">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29 创新跨区域生态保护与环境治理，完善环境污染联防联控机制和预警应急体系，推行环境信息共享，建立健全跨部门、跨区域突发环境事件应急响应机制，建立环保信用评价、信息强制性披露、严惩重罚等制度和环评会商、联合执法、预警应急的区域联动机制，实现统一规划、统一标准、统一环评、统一监测、统一执法。充分发挥现有淮河流域水资源保护机构的作用，强化水质跨界断面的监测和考核，协调推进上中下游水资源保护与水污染防治工作。</w:t>
            </w:r>
          </w:p>
          <w:p w14:paraId="0B62D158">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30 排污单位发生事故或者其他突发性事件，造成或者可能造成水污染事故的，应当立即启动本单位的应急方案，采取隔离等应急措施，防止水污染物进入水体，并向事故发生地的县级以上人民政府或者生态环境行政主管部门报告。</w:t>
            </w:r>
          </w:p>
          <w:p w14:paraId="6A324275">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31 造成渔业污染事故的，应当向事故发生地的渔业部门报告，接受调查处理。船舶造成水污染事故的，应当向事故发生地的交通运输部门报告，接受调查处理；给渔业造成损害的，交通运输部门应当通知渔业部门参与调查处理。</w:t>
            </w:r>
          </w:p>
          <w:p w14:paraId="15F05901">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32 生态环境行政主管部门和有关部门接到水污染事故报告后，应当及时向本级人民政府报告，并抄送有关部门。同时应当做好下列工作：（一）立即通知下游可能受到危害的地方生态环境行政主管部门和其他有关部门，并同时向上级主管部门报告；（二）采取措施，减轻或者消除污染；（三）对事故可能影响的水域进行监测；（四）及时进行调查处理；（五）按规定向同级人民政府和上一级主管部门报告调查情况和处理意见。</w:t>
            </w:r>
          </w:p>
          <w:p w14:paraId="5339FEC1">
            <w:pPr>
              <w:widowControl/>
              <w:topLinePunct/>
              <w:autoSpaceDE w:val="0"/>
              <w:spacing w:line="240" w:lineRule="auto"/>
              <w:textAlignment w:val="baseline"/>
              <w:rPr>
                <w:rFonts w:hint="eastAsia" w:eastAsia="宋体"/>
                <w:color w:val="000000" w:themeColor="text1"/>
                <w:sz w:val="21"/>
                <w:szCs w:val="21"/>
                <w:lang w:eastAsia="zh-CN"/>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33 持续做好沱湖、洪泽湖流域跨界水体联防联控，进一步完善水环境监测预警体系，建立联合监测、联合执法、信息共享等机制，科学调度闸坝下泄水量和泄流时段，切实改善区域水生态环境质量。积极推进淮河流域跨省河流上下游突发水污染事件联防联控。持续推进沱湖流域生态补偿机制建设</w:t>
            </w:r>
            <w:r>
              <w:rPr>
                <w:rFonts w:hint="eastAsia" w:eastAsia="宋体"/>
                <w:color w:val="000000" w:themeColor="text1"/>
                <w:sz w:val="21"/>
                <w:szCs w:val="21"/>
                <w:lang w:eastAsia="zh-CN"/>
                <w14:textFill>
                  <w14:solidFill>
                    <w14:schemeClr w14:val="tx1"/>
                  </w14:solidFill>
                </w14:textFill>
              </w:rPr>
              <w:t>。</w:t>
            </w:r>
          </w:p>
          <w:p w14:paraId="40740EE7">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61严控行业新增产能。在规划和建设项目环境影响评价中，强化土壤环境调查，增加对土壤环境影响的评价内容，明确防范土壤污染具体措施，纳入排污许可管理。对排放重点重金属的重点行业，要严控增量、减少存量，新增产能和淘汰产能实行“等量置换”或“减量置换”。对涉重金属重点行业新建、改（扩）建项目实行新增重金属污染物排放等量或倍量替代，对区域重金属排放量继续上升的地区，停止审批新增重金属污染物排放的建设项目。落实重金属相关行业规范条件，禁止新建落后产能项目，严禁产能严重过剩行业新增产能建设项目。禁止向涉重金属相关行业落后产能和产能过剩行业供应土地。</w:t>
            </w:r>
          </w:p>
          <w:p w14:paraId="78679BF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62新建、升级工业集聚区应同步规划、建设污水、垃圾集中处理等污染治理设施。</w:t>
            </w:r>
          </w:p>
          <w:p w14:paraId="3752DE22">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63严厉打击环境违法行为。重点打击私设暗管或利用渗井、渗坑等排放、倾倒含有毒有害污染物废水、含病原体污水，监测数据弄虚作假，不正常使用水污染物处理设施，或者未经批准拆除、闲置水污染物处理设施等环境违法行为。严肃查处建设项目未批先建、边批边建、批建不符、久试不验等违法违规行为。</w:t>
            </w:r>
          </w:p>
          <w:p w14:paraId="655803AE">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64制定完善全市船舶运输等水上污染事故应急预案，加强专业化应急处置队伍建设，配备必要的应急装备、物资。港口、码头、装卸站的经营人应制定防治船舶及其有关活动污染水环境的应急计划，并定期组织演练。</w:t>
            </w:r>
          </w:p>
          <w:p w14:paraId="1862A00F">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65将水环境污染事故应急响应纳入突发事件应急管理体系，制定和完善水污染事故应急预案，落实责任主体，明确应对措施，定期开展应急演练。</w:t>
            </w:r>
          </w:p>
          <w:p w14:paraId="0FBBD3A3">
            <w:pPr>
              <w:widowControl/>
              <w:topLinePunct/>
              <w:autoSpaceDE w:val="0"/>
              <w:spacing w:line="240" w:lineRule="auto"/>
              <w:textAlignment w:val="baseline"/>
              <w:rPr>
                <w:rFonts w:hint="eastAsia" w:ascii="Times New Roman" w:hAnsi="Times New Roman" w:eastAsia="宋体"/>
                <w:color w:val="000000" w:themeColor="text1"/>
                <w:sz w:val="21"/>
                <w:szCs w:val="21"/>
                <w:lang w:eastAsia="zh-CN"/>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66落实工业企业环境风险防范主体责任，以石油、化工、涉重金属 等企业为重点，合理布设企业生产设施，强化工业企业应急导流槽、事故调蓄池、应急闸坝等事故排水收集截留设施以及事故水输送设施 建设, 合理设置消防事故水池。以沿江有色金属、化工园区及危险化 学品码头为重点，强化工业园区环境风险防范。加强园区内工业废水的分类分质处理和监控，开展工业园区污水处理厂综合毒性试点监测。 切实做好尾矿库环境风险隐患排查，重点针对雨污分流系统、渗滤液 收集设施等，摸清尾矿库污染防治措施落实情况，坚决守住环境安全底线，确保不发生环境污染事件</w:t>
            </w:r>
            <w:r>
              <w:rPr>
                <w:rFonts w:hint="eastAsia" w:eastAsia="宋体"/>
                <w:color w:val="000000" w:themeColor="text1"/>
                <w:sz w:val="21"/>
                <w:szCs w:val="21"/>
                <w:lang w:eastAsia="zh-CN"/>
                <w14:textFill>
                  <w14:solidFill>
                    <w14:schemeClr w14:val="tx1"/>
                  </w14:solidFill>
                </w14:textFill>
              </w:rPr>
              <w:t>。</w:t>
            </w:r>
          </w:p>
          <w:p w14:paraId="27AC3849">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67对拟收回土地使用权的有色金属冶炼、石油加工、化工、焦化、电镀、制革等行业企业用地，以及用途拟变更为居住和商业、学校、医疗、养老机构等公共设施的上述企业用地，由土地使用权人负责开展土壤环境状况调查评估；已经收回的，由所在地市、县级人民政府负责开展调查评估；重点排查已搬迁或关闭企业原址场地土壤污染状况，建立潜在污染地块清单，并动态更新。已经污染的地块，治理不达标的，不得出让、转让。68加强对矿产资源开发利用活动的辐射安全监管，在开发前应开展原矿石铀系、钍系等放射性核素检测。</w:t>
            </w:r>
          </w:p>
        </w:tc>
        <w:tc>
          <w:tcPr>
            <w:tcW w:w="849" w:type="pct"/>
            <w:vAlign w:val="center"/>
          </w:tcPr>
          <w:p w14:paraId="667881CA">
            <w:pPr>
              <w:widowControl/>
              <w:topLinePunct/>
              <w:autoSpaceDE w:val="0"/>
              <w:spacing w:line="240" w:lineRule="auto"/>
              <w:textAlignment w:val="baseline"/>
              <w:rPr>
                <w:rFonts w:hint="eastAsia" w:ascii="Times New Roman" w:hAnsi="Times New Roman" w:eastAsia="宋体"/>
                <w:color w:val="000000" w:themeColor="text1"/>
                <w:sz w:val="21"/>
                <w:szCs w:val="21"/>
                <w:lang w:val="en-US" w:eastAsia="zh-CN"/>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1、本项目为</w:t>
            </w:r>
            <w:r>
              <w:rPr>
                <w:rFonts w:hint="eastAsia" w:eastAsia="宋体"/>
                <w:color w:val="000000" w:themeColor="text1"/>
                <w:sz w:val="21"/>
                <w:szCs w:val="21"/>
                <w:lang w:eastAsia="zh-CN"/>
                <w14:textFill>
                  <w14:solidFill>
                    <w14:schemeClr w14:val="tx1"/>
                  </w14:solidFill>
                </w14:textFill>
              </w:rPr>
              <w:t>新建的废弃资源综合利用项目</w:t>
            </w:r>
            <w:r>
              <w:rPr>
                <w:rFonts w:ascii="Times New Roman" w:hAnsi="Times New Roman" w:eastAsia="宋体"/>
                <w:color w:val="000000" w:themeColor="text1"/>
                <w:sz w:val="21"/>
                <w:szCs w:val="21"/>
                <w14:textFill>
                  <w14:solidFill>
                    <w14:schemeClr w14:val="tx1"/>
                  </w14:solidFill>
                </w14:textFill>
              </w:rPr>
              <w:t>，不属于化工项目</w:t>
            </w:r>
            <w:r>
              <w:rPr>
                <w:rFonts w:hint="eastAsia" w:eastAsia="宋体"/>
                <w:color w:val="000000" w:themeColor="text1"/>
                <w:sz w:val="21"/>
                <w:szCs w:val="21"/>
                <w:lang w:eastAsia="zh-CN"/>
                <w14:textFill>
                  <w14:solidFill>
                    <w14:schemeClr w14:val="tx1"/>
                  </w14:solidFill>
                </w14:textFill>
              </w:rPr>
              <w:t>，不涉及重金属</w:t>
            </w:r>
            <w:r>
              <w:rPr>
                <w:rFonts w:ascii="Times New Roman" w:hAnsi="Times New Roman" w:eastAsia="宋体"/>
                <w:color w:val="000000" w:themeColor="text1"/>
                <w:sz w:val="21"/>
                <w:szCs w:val="21"/>
                <w14:textFill>
                  <w14:solidFill>
                    <w14:schemeClr w14:val="tx1"/>
                  </w14:solidFill>
                </w14:textFill>
              </w:rPr>
              <w:t>。</w:t>
            </w:r>
            <w:r>
              <w:rPr>
                <w:rFonts w:hint="eastAsia" w:eastAsia="宋体"/>
                <w:color w:val="000000" w:themeColor="text1"/>
                <w:sz w:val="21"/>
                <w:szCs w:val="21"/>
                <w:lang w:val="en-US" w:eastAsia="zh-CN"/>
                <w14:textFill>
                  <w14:solidFill>
                    <w14:schemeClr w14:val="tx1"/>
                  </w14:solidFill>
                </w14:textFill>
              </w:rPr>
              <w:t>2</w:t>
            </w:r>
            <w:r>
              <w:rPr>
                <w:rFonts w:ascii="Times New Roman" w:hAnsi="Times New Roman" w:eastAsia="宋体"/>
                <w:color w:val="000000" w:themeColor="text1"/>
                <w:sz w:val="21"/>
                <w:szCs w:val="21"/>
                <w14:textFill>
                  <w14:solidFill>
                    <w14:schemeClr w14:val="tx1"/>
                  </w14:solidFill>
                </w14:textFill>
              </w:rPr>
              <w:t>、项目</w:t>
            </w:r>
            <w:r>
              <w:rPr>
                <w:rFonts w:hint="eastAsia" w:eastAsia="宋体"/>
                <w:color w:val="000000" w:themeColor="text1"/>
                <w:sz w:val="21"/>
                <w:szCs w:val="21"/>
                <w:lang w:eastAsia="zh-CN"/>
                <w14:textFill>
                  <w14:solidFill>
                    <w14:schemeClr w14:val="tx1"/>
                  </w14:solidFill>
                </w14:textFill>
              </w:rPr>
              <w:t>不属于</w:t>
            </w:r>
            <w:r>
              <w:rPr>
                <w:rFonts w:hint="eastAsia" w:ascii="Times New Roman" w:hAnsi="Times New Roman" w:eastAsia="宋体"/>
                <w:color w:val="000000" w:themeColor="text1"/>
                <w:sz w:val="21"/>
                <w:szCs w:val="21"/>
                <w14:textFill>
                  <w14:solidFill>
                    <w14:schemeClr w14:val="tx1"/>
                  </w14:solidFill>
                </w14:textFill>
              </w:rPr>
              <w:t>使用有毒有害化学物质或在生产过程中排放有毒有害物质的企业</w:t>
            </w:r>
            <w:r>
              <w:rPr>
                <w:rFonts w:ascii="Times New Roman" w:hAnsi="Times New Roman" w:eastAsia="宋体"/>
                <w:color w:val="000000" w:themeColor="text1"/>
                <w:sz w:val="21"/>
                <w:szCs w:val="21"/>
                <w14:textFill>
                  <w14:solidFill>
                    <w14:schemeClr w14:val="tx1"/>
                  </w14:solidFill>
                </w14:textFill>
              </w:rPr>
              <w:t>。</w:t>
            </w:r>
            <w:r>
              <w:rPr>
                <w:rFonts w:hint="eastAsia" w:eastAsia="宋体"/>
                <w:color w:val="000000" w:themeColor="text1"/>
                <w:sz w:val="21"/>
                <w:szCs w:val="21"/>
                <w:lang w:val="en-US" w:eastAsia="zh-CN"/>
                <w14:textFill>
                  <w14:solidFill>
                    <w14:schemeClr w14:val="tx1"/>
                  </w14:solidFill>
                </w14:textFill>
              </w:rPr>
              <w:t>3、企业按要求建设应急事故池，编制应急预案并备案，并做好应急联动，按要求进行应急演练。</w:t>
            </w:r>
          </w:p>
        </w:tc>
        <w:tc>
          <w:tcPr>
            <w:tcW w:w="220" w:type="pct"/>
            <w:vAlign w:val="center"/>
          </w:tcPr>
          <w:p w14:paraId="164CB84E">
            <w:pPr>
              <w:widowControl/>
              <w:topLinePunct/>
              <w:autoSpaceDE w:val="0"/>
              <w:spacing w:line="240" w:lineRule="auto"/>
              <w:jc w:val="center"/>
              <w:textAlignment w:val="baseline"/>
              <w:rPr>
                <w:rFonts w:hint="eastAsia" w:ascii="Times New Roman" w:hAnsi="Times New Roman" w:eastAsia="宋体"/>
                <w:color w:val="000000" w:themeColor="text1"/>
                <w:sz w:val="21"/>
                <w:szCs w:val="21"/>
                <w:lang w:eastAsia="zh-CN"/>
                <w14:textFill>
                  <w14:solidFill>
                    <w14:schemeClr w14:val="tx1"/>
                  </w14:solidFill>
                </w14:textFill>
              </w:rPr>
            </w:pPr>
            <w:r>
              <w:rPr>
                <w:rFonts w:hint="eastAsia" w:eastAsia="宋体"/>
                <w:color w:val="000000" w:themeColor="text1"/>
                <w:sz w:val="21"/>
                <w:szCs w:val="21"/>
                <w:lang w:eastAsia="zh-CN"/>
                <w14:textFill>
                  <w14:solidFill>
                    <w14:schemeClr w14:val="tx1"/>
                  </w14:solidFill>
                </w14:textFill>
              </w:rPr>
              <w:t>是</w:t>
            </w:r>
          </w:p>
        </w:tc>
      </w:tr>
      <w:tr w14:paraId="75AF8C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370" w:type="pct"/>
            <w:vMerge w:val="continue"/>
            <w:vAlign w:val="center"/>
          </w:tcPr>
          <w:p w14:paraId="1148501E">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p>
        </w:tc>
        <w:tc>
          <w:tcPr>
            <w:tcW w:w="310" w:type="pct"/>
            <w:vMerge w:val="continue"/>
            <w:vAlign w:val="center"/>
          </w:tcPr>
          <w:p w14:paraId="2CF18D7E">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p>
        </w:tc>
        <w:tc>
          <w:tcPr>
            <w:tcW w:w="287" w:type="pct"/>
            <w:vMerge w:val="continue"/>
            <w:vAlign w:val="center"/>
          </w:tcPr>
          <w:p w14:paraId="238C65BA">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p>
        </w:tc>
        <w:tc>
          <w:tcPr>
            <w:tcW w:w="223" w:type="pct"/>
            <w:vMerge w:val="continue"/>
            <w:vAlign w:val="center"/>
          </w:tcPr>
          <w:p w14:paraId="57F5FF08">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p>
        </w:tc>
        <w:tc>
          <w:tcPr>
            <w:tcW w:w="264" w:type="pct"/>
            <w:vAlign w:val="center"/>
          </w:tcPr>
          <w:p w14:paraId="7BAA7485">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资源开发效率要求</w:t>
            </w:r>
          </w:p>
        </w:tc>
        <w:tc>
          <w:tcPr>
            <w:tcW w:w="2474" w:type="pct"/>
            <w:vAlign w:val="center"/>
          </w:tcPr>
          <w:p w14:paraId="0EE1248E">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80坚持集中式与分布式建设并举，因地制宜建设集中式光伏发电项目，推动整县（市、区）屋顶分布式光伏发电试点工作。坚持集中式和分散式相结合，有序推进皖北平原连片风电项目建设，稳妥推进皖西南地区集中式风电项目建设，鼓励分散式风电商业模式创新。大力推进风光储一体化建设。加快建设一批抽水蓄能电站，打造千万千瓦级绿色储能基地。多元高效利用生物质能，推进农林生物质热电联产项目新建和供热改造，合理规划城镇生活垃圾焚烧发电项目，统筹布局生物燃料乙醇项目，适度发展先进生物质液体燃料。到2025年，非化石能源占能源消费总量比重达到15.5%以上。</w:t>
            </w:r>
          </w:p>
          <w:p w14:paraId="7FAC1315">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81推动煤电行业实施节能降耗改造、供热改造和灵活性改造“三改联动”。加快供热管网建设，淘汰管网覆盖范围内的燃煤锅炉和散煤。到2025年，火电平均供电煤耗降至295克标煤/千瓦时，散煤基本清零。</w:t>
            </w:r>
          </w:p>
          <w:p w14:paraId="4E875089">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82实施“煤改气”和“以电代煤”。在陶瓷、玻璃、铸造等行业积极推进天然气替代煤气化工程，有序实施燃煤设施煤改气。结合区域和行业用能特点，积极推进工业生产、建筑供暖供冷、交通运输、农业生产、居民生活五大领域实施“以电代煤”，着力提高电能占终端能源消费比重。</w:t>
            </w:r>
          </w:p>
          <w:p w14:paraId="42A989E8">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83推动光伏发电规模化发展，充分利用荒山荒坡、采煤沉陷区等未利用空间，建设集中式光伏电站。加快工业园区、公共建筑、居民住宅等屋顶光伏建设，有序推动国家整县（市、区）屋顶分布式光伏开发试点，因地制宜推进“光伏+”项目。</w:t>
            </w:r>
          </w:p>
          <w:p w14:paraId="42A96D30">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84积极开发风电资源，在皖北平原、皖西南地区建设集中连片风电，持续推进就近接入、就地消纳的分散式风电建设。</w:t>
            </w:r>
          </w:p>
          <w:p w14:paraId="1FC28A71">
            <w:pPr>
              <w:widowControl/>
              <w:topLinePunct/>
              <w:autoSpaceDE w:val="0"/>
              <w:spacing w:line="240" w:lineRule="auto"/>
              <w:textAlignment w:val="baseline"/>
              <w:rPr>
                <w:rFonts w:hint="eastAsia" w:ascii="Times New Roman" w:hAnsi="Times New Roman" w:eastAsia="宋体"/>
                <w:color w:val="000000" w:themeColor="text1"/>
                <w:sz w:val="21"/>
                <w:szCs w:val="21"/>
                <w:lang w:eastAsia="zh-CN"/>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85大力推广新能源汽车，推动城市公共服务车辆、政府公务用车新能源或清洁能源替代</w:t>
            </w:r>
            <w:r>
              <w:rPr>
                <w:rFonts w:hint="eastAsia" w:eastAsia="宋体"/>
                <w:color w:val="000000" w:themeColor="text1"/>
                <w:sz w:val="21"/>
                <w:szCs w:val="21"/>
                <w:lang w:eastAsia="zh-CN"/>
                <w14:textFill>
                  <w14:solidFill>
                    <w14:schemeClr w14:val="tx1"/>
                  </w14:solidFill>
                </w14:textFill>
              </w:rPr>
              <w:t>。</w:t>
            </w:r>
          </w:p>
          <w:p w14:paraId="687D0684">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34 按照省政府下达给区域各市的水资源利用总量及效率要求执行。、35 兴建地下工程设施或者进行地下勘探、采矿等活动，应当采取防护性措施，防止地下水污染。</w:t>
            </w:r>
          </w:p>
          <w:p w14:paraId="6E25FE27">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36 开采地下水时，对下列含水层应当分层开采，不得混合开采：（一）半咸水、咸水、卤水层；（二）已受污染的含水层；（三）含有毒有害元素，超过生活饮用水卫生标准的水层；（四）有医疗价值和特殊经济价值的地下热水、温泉水和矿泉水。</w:t>
            </w:r>
          </w:p>
          <w:p w14:paraId="44F7DC4E">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37 淮河流域地下水开采区应当依靠降雨、地下径流、河流和湖泊、水库渗漏等补给地下水。人工回灌补给地下水，不得恶化地下水质。</w:t>
            </w:r>
          </w:p>
          <w:p w14:paraId="4555663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38 按照省政府下达给区域各市能源利用总量及效率要求执行。</w:t>
            </w:r>
          </w:p>
          <w:p w14:paraId="566DA096">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39 按照省级清单中禁燃区要求执行。</w:t>
            </w:r>
          </w:p>
          <w:p w14:paraId="39815A89">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40 土地资源利用效率按照省政府下达给区域各市的要求执行。；69到2025年，全市用水总量控制在23.02亿m</w:t>
            </w:r>
            <w:r>
              <w:rPr>
                <w:rFonts w:hint="eastAsia" w:ascii="Times New Roman" w:hAnsi="Times New Roman" w:eastAsia="宋体"/>
                <w:color w:val="000000" w:themeColor="text1"/>
                <w:sz w:val="21"/>
                <w:szCs w:val="21"/>
                <w:vertAlign w:val="superscript"/>
                <w14:textFill>
                  <w14:solidFill>
                    <w14:schemeClr w14:val="tx1"/>
                  </w14:solidFill>
                </w14:textFill>
              </w:rPr>
              <w:t>3</w:t>
            </w:r>
            <w:r>
              <w:rPr>
                <w:rFonts w:hint="eastAsia" w:ascii="Times New Roman" w:hAnsi="Times New Roman" w:eastAsia="宋体"/>
                <w:color w:val="000000" w:themeColor="text1"/>
                <w:sz w:val="21"/>
                <w:szCs w:val="21"/>
                <w14:textFill>
                  <w14:solidFill>
                    <w14:schemeClr w14:val="tx1"/>
                  </w14:solidFill>
                </w14:textFill>
              </w:rPr>
              <w:t>以内，万元GDP用水量和万元工业增加值用水量分别比2020年下降18.5%和18%，规模以上工业用水重复利用率达到93%，全市农田灌溉水有效利用系数提高到0.60；全市新增县域节水型社会达标县（区）4个，新增3个省级节水型园区、10家节水型企业、3个节水型灌区</w:t>
            </w:r>
          </w:p>
          <w:p w14:paraId="4C52F0B2">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家节水型高校。城镇公共供水管网漏损率下降到10%，非常规水利用率达到25%，非农业用水计量率达到100%，大中型灌区渠首计量率达到100%。、702025年天然气占能源消费比重达到8%以上。2025年非化石能源占能源消费总量的10%以上。</w:t>
            </w:r>
          </w:p>
          <w:p w14:paraId="70AEF7EE">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71控制煤炭消费总量，加快实施重点用能单位节能低碳行动和重点产业能效提升计划，严格执行高耗能行业产品能耗限额标准体系。推进煤电企业通过资产整合、股权投资等方式深度融合，提高煤炭就地转化率，提高煤电联营规模，推动电力、煤炭产业一体化协调发展。推进传统电力能源和电力新能源协调发展，建设智慧电厂，全面推行热电联产、冷热电联供模式，利用国际领先水平的清洁高效煤电成套设备，升级改造现役电厂发电设备和配套设施，全面提升电网智能化水平，提升电网接入和消纳能力。优化电力新能源项目布局，支持光伏发电、风电项目建设。严格实施行业内新建项目重点污染物排放等量或减量置换，煤炭、水泥等产能过剩行业实施重点污染物排放等量或减量置换。严格控制煤炭消费总量，落实煤炭消费减量替代与污染减排“双挂钩”制度，提高非化石能源消费比重，降低煤炭在能源总消费中比例。优化配置生产要素，发挥清洁能源市场规模优势和已有的能源产业基础优势，促进传统能源要素和新兴清洁能源要素的有机融合。</w:t>
            </w:r>
          </w:p>
          <w:p w14:paraId="2893537A">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72加快淘汰国三及以下排放标准的柴油货车、老旧燃气车辆；</w:t>
            </w:r>
          </w:p>
          <w:p w14:paraId="398DFE5A">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73禁燃区内禁止燃用《高污染燃料目录》中的Ⅱ类燃料组合，即在禁燃区内，禁止使用除单台出力大于等于20蒸吨/小时的锅炉以外燃用的煤炭及其制品，及石油焦、油页岩、原油、重油、渣油、煤焦油。</w:t>
            </w:r>
          </w:p>
          <w:p w14:paraId="794B7D1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74禁燃区内禁止销售、燃用高污染燃料，不得新建、扩建燃用高污染燃料的锅炉、窑炉、炉灶等燃烧设施（集中供热、火电厂锅炉除外）。</w:t>
            </w:r>
          </w:p>
          <w:p w14:paraId="23106E06">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75禁燃区内现有高污染燃料燃烧设施（集中供热、火电厂锅炉除外），完成改用天然气、液化石油气、电等清洁能源，或改用城市集中供热。逾期未改用的，不得继续使用。</w:t>
            </w:r>
          </w:p>
          <w:p w14:paraId="6886482E">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76现有经济开发区等工业集中区应实施热电联产或集中供热改造，将工业企业纳入集中供热范围，逐步淘汰分散燃煤锅炉，核准审批新建热电联产项目要求关停的燃煤锅炉必须按期淘汰。</w:t>
            </w:r>
          </w:p>
          <w:p w14:paraId="63387175">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77淮南市禁燃区范围：</w:t>
            </w:r>
          </w:p>
          <w:p w14:paraId="094A05DB">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（一）寿县：寿春镇（不含城南防洪圈堤以南地区），寿西湖农场，寿县工业园，寿县新桥国际产业园区，寿县蜀山现代产业园区。</w:t>
            </w:r>
          </w:p>
          <w:p w14:paraId="7EA76C92">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（二）凤台县：县城中心区域（东至淮河，西至凤蒙路-凤利路-南湖大道一线，南至淮河，北至淮阜铁路线）。</w:t>
            </w:r>
          </w:p>
          <w:p w14:paraId="60EEBA99">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三）大通区：大通主城区（东至中兴路，西至居仁村，南至舜耕山，北至淮蚌铁路线），九龙岗镇城区（东至镇东路，西至万向路，南至舜耕山，北至洞山东路），国庆东路洛河段两侧500米范围内，国庆东路上窑段两侧500米范围内，大通工业园区。</w:t>
            </w:r>
          </w:p>
          <w:p w14:paraId="6FD14824">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（四）田家庵区：东至田大路，西至与谢家集区交界处，南至舜耕山，北至淮河沿线。</w:t>
            </w:r>
          </w:p>
          <w:p w14:paraId="5105EC3E">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（五）谢家集区：东至沿矿路，西至东西部第二通道，南至谢李路环卫处、莲花市场一线，北至与八公山区交界处。</w:t>
            </w:r>
          </w:p>
          <w:p w14:paraId="22D40A3F">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（六）八公山区：东至水张铁路线（八公山镇至山王镇李嘴孜段），西至东西部第二通道，南至常山路，北至东西部第二通道与淮凤路交界处。</w:t>
            </w:r>
          </w:p>
          <w:p w14:paraId="691B94E5">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（七）潘集区：东至齐云山路，西至西外环路，南至珠江路，北至滨河路。</w:t>
            </w:r>
          </w:p>
          <w:p w14:paraId="55BAC900">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（八）毛集实验区：东至丁家沟，西至合淮阜高速连接线，南至焦岗湖大道，北至102省道范围内及焦岗湖景区。</w:t>
            </w:r>
          </w:p>
          <w:p w14:paraId="2F259892">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（九）淮南经济技术开发区：东至中兴路高压走廊-洛九路，西至田大路，南至洞山东路，北至淮河大坝。</w:t>
            </w:r>
          </w:p>
          <w:p w14:paraId="5C6EE703">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（十）淮南高新技术产业开发区：全部辖区。</w:t>
            </w:r>
          </w:p>
          <w:p w14:paraId="616CCDB4">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（十一）八公山风景名胜区、舜耕山风景区、上窑国家森林公园：全部辖区。</w:t>
            </w:r>
          </w:p>
          <w:p w14:paraId="56162BF3">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78烟花爆竹禁放区域：田家庵区、谢家集区、八公山区、大通区行政区域内禁止燃放烟花爆竹。空气重污染黄色、橙色、红色预警期间，本市行政区域内禁止燃放烟花爆竹。禁放地点：田家庵区、谢家集区、八公山区、大通区行政区域外，下列地点禁止燃放烟花爆竹：（一）国家机关、人民团体和广播电台、电视台等重要新闻单位；（二）火车站、汽车站、码头等交通枢纽以及铁路线路安全保护区；（三）商场（超市）、影剧院、旅游景区、公园等人员密集的公共场所；（四）教育、科研、医疗等单位和养老机构、儿童福利院；（五）博物馆、图书馆、档案馆、文物保护单位；（六）经营性墓地、陵园；（七）重要军事设施保护区；（八）企业生产经营场所、物资储存仓库；（九）山林、苗圃等重点防火区；（十）生产、储存、经营易燃易爆物品、民用爆炸物品、化学危险品的场所，加油（气）站、输气（油）管线、输变电设施安全保护区；（十一）高层建筑、停车场（库）；（十二）市人民政府和县、区人民政府规定的其他地点。</w:t>
            </w:r>
          </w:p>
          <w:p w14:paraId="3444F72C">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79到2030年，全市受污染耕地安全利用率达到96%以上，污染地块安全利用率达到95%以上。</w:t>
            </w:r>
          </w:p>
          <w:p w14:paraId="781B411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80加强种植业面源污染防治。持续推进化肥农药零增长。提高生态农业发展水平，推广农业清洁生产技术，开展化肥、农药减量和替代使用，加强农药、化肥等包装废弃物回收处置，加大测土配方施肥、病虫害绿色防控、统防统治等技术推广力度，实行生态平衡施肥技术和防治技术。推广高效低毒低残留农药和现代植保机械，鼓励使用有机肥、生物有机肥和绿肥种植，禁用高毒、高残留农药和重金属等有毒有害物质超标的肥料。力争到2025年，主要农作物化肥农药使用量实现零增长。</w:t>
            </w:r>
          </w:p>
          <w:p w14:paraId="0C5566B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81力争到2025年，农田残膜“白色污染”得到有效控制，力争实现废弃农膜全面回收利用。</w:t>
            </w:r>
          </w:p>
          <w:p w14:paraId="1ECB88D3">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822025年底，全市规模化畜禽养殖场粪污处理设施装备配套率达到95%。</w:t>
            </w:r>
          </w:p>
        </w:tc>
        <w:tc>
          <w:tcPr>
            <w:tcW w:w="849" w:type="pct"/>
            <w:vAlign w:val="center"/>
          </w:tcPr>
          <w:p w14:paraId="15ED17D8">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1、</w:t>
            </w:r>
            <w:r>
              <w:rPr>
                <w:rFonts w:hint="eastAsia" w:eastAsia="宋体"/>
                <w:color w:val="000000" w:themeColor="text1"/>
                <w:sz w:val="21"/>
                <w:szCs w:val="21"/>
                <w:lang w:eastAsia="zh-CN"/>
                <w14:textFill>
                  <w14:solidFill>
                    <w14:schemeClr w14:val="tx1"/>
                  </w14:solidFill>
                </w14:textFill>
              </w:rPr>
              <w:t>本项目使用电能和蒸汽等清洁能源，运输采用新能源汽车</w:t>
            </w:r>
            <w:r>
              <w:rPr>
                <w:rFonts w:ascii="Times New Roman" w:hAnsi="Times New Roman" w:eastAsia="宋体"/>
                <w:color w:val="000000" w:themeColor="text1"/>
                <w:sz w:val="21"/>
                <w:szCs w:val="21"/>
                <w14:textFill>
                  <w14:solidFill>
                    <w14:schemeClr w14:val="tx1"/>
                  </w14:solidFill>
                </w14:textFill>
              </w:rPr>
              <w:t>。2、</w:t>
            </w:r>
            <w:r>
              <w:rPr>
                <w:rFonts w:hint="eastAsia" w:eastAsia="宋体"/>
                <w:color w:val="000000" w:themeColor="text1"/>
                <w:sz w:val="21"/>
                <w:szCs w:val="21"/>
                <w:lang w:eastAsia="zh-CN"/>
                <w14:textFill>
                  <w14:solidFill>
                    <w14:schemeClr w14:val="tx1"/>
                  </w14:solidFill>
                </w14:textFill>
              </w:rPr>
              <w:t>本项目不使用地下水，不涉及锅炉等</w:t>
            </w:r>
            <w:r>
              <w:rPr>
                <w:rFonts w:ascii="Times New Roman" w:hAnsi="Times New Roman" w:eastAsia="宋体"/>
                <w:color w:val="000000" w:themeColor="text1"/>
                <w:sz w:val="21"/>
                <w:szCs w:val="21"/>
                <w14:textFill>
                  <w14:solidFill>
                    <w14:schemeClr w14:val="tx1"/>
                  </w14:solidFill>
                </w14:textFill>
              </w:rPr>
              <w:t>。3、本项目为</w:t>
            </w:r>
            <w:r>
              <w:rPr>
                <w:rFonts w:hint="eastAsia" w:eastAsia="宋体"/>
                <w:color w:val="000000" w:themeColor="text1"/>
                <w:sz w:val="21"/>
                <w:szCs w:val="21"/>
                <w:lang w:eastAsia="zh-CN"/>
                <w14:textFill>
                  <w14:solidFill>
                    <w14:schemeClr w14:val="tx1"/>
                  </w14:solidFill>
                </w14:textFill>
              </w:rPr>
              <w:t>新建的废弃资源综合利用项目</w:t>
            </w:r>
            <w:r>
              <w:rPr>
                <w:rFonts w:ascii="Times New Roman" w:hAnsi="Times New Roman" w:eastAsia="宋体"/>
                <w:color w:val="000000" w:themeColor="text1"/>
                <w:sz w:val="21"/>
                <w:szCs w:val="21"/>
                <w14:textFill>
                  <w14:solidFill>
                    <w14:schemeClr w14:val="tx1"/>
                  </w14:solidFill>
                </w14:textFill>
              </w:rPr>
              <w:t>。</w:t>
            </w:r>
          </w:p>
        </w:tc>
        <w:tc>
          <w:tcPr>
            <w:tcW w:w="220" w:type="pct"/>
            <w:vAlign w:val="center"/>
          </w:tcPr>
          <w:p w14:paraId="10D9D8FB">
            <w:pPr>
              <w:widowControl/>
              <w:topLinePunct/>
              <w:autoSpaceDE w:val="0"/>
              <w:spacing w:line="240" w:lineRule="auto"/>
              <w:jc w:val="center"/>
              <w:textAlignment w:val="baseline"/>
              <w:rPr>
                <w:rFonts w:hint="eastAsia" w:ascii="Times New Roman" w:hAnsi="Times New Roman" w:eastAsia="宋体"/>
                <w:color w:val="000000" w:themeColor="text1"/>
                <w:sz w:val="21"/>
                <w:szCs w:val="21"/>
                <w:lang w:eastAsia="zh-CN"/>
                <w14:textFill>
                  <w14:solidFill>
                    <w14:schemeClr w14:val="tx1"/>
                  </w14:solidFill>
                </w14:textFill>
              </w:rPr>
            </w:pPr>
            <w:r>
              <w:rPr>
                <w:rFonts w:hint="eastAsia" w:eastAsia="宋体"/>
                <w:color w:val="000000" w:themeColor="text1"/>
                <w:sz w:val="21"/>
                <w:szCs w:val="21"/>
                <w:lang w:eastAsia="zh-CN"/>
                <w14:textFill>
                  <w14:solidFill>
                    <w14:schemeClr w14:val="tx1"/>
                  </w14:solidFill>
                </w14:textFill>
              </w:rPr>
              <w:t>是</w:t>
            </w:r>
          </w:p>
        </w:tc>
      </w:tr>
      <w:tr w14:paraId="07E6B2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370" w:type="pct"/>
            <w:vMerge w:val="continue"/>
            <w:vAlign w:val="center"/>
          </w:tcPr>
          <w:p w14:paraId="1C6CA3FF">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p>
        </w:tc>
        <w:tc>
          <w:tcPr>
            <w:tcW w:w="310" w:type="pct"/>
            <w:vMerge w:val="continue"/>
            <w:vAlign w:val="center"/>
          </w:tcPr>
          <w:p w14:paraId="7A1E67CF">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p>
        </w:tc>
        <w:tc>
          <w:tcPr>
            <w:tcW w:w="287" w:type="pct"/>
            <w:vMerge w:val="continue"/>
            <w:vAlign w:val="center"/>
          </w:tcPr>
          <w:p w14:paraId="7E60568F">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p>
        </w:tc>
        <w:tc>
          <w:tcPr>
            <w:tcW w:w="223" w:type="pct"/>
            <w:vMerge w:val="continue"/>
            <w:vAlign w:val="center"/>
          </w:tcPr>
          <w:p w14:paraId="5DEBAC56">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p>
        </w:tc>
        <w:tc>
          <w:tcPr>
            <w:tcW w:w="264" w:type="pct"/>
            <w:vAlign w:val="center"/>
          </w:tcPr>
          <w:p w14:paraId="65AC5BF2">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污染物排放管控</w:t>
            </w:r>
          </w:p>
        </w:tc>
        <w:tc>
          <w:tcPr>
            <w:tcW w:w="2474" w:type="pct"/>
            <w:vAlign w:val="center"/>
          </w:tcPr>
          <w:p w14:paraId="58CB0586">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46环境空气质量持续改善， 全省细颗粒物（PM</w:t>
            </w:r>
            <w:r>
              <w:rPr>
                <w:rFonts w:hint="eastAsia" w:ascii="Times New Roman" w:hAnsi="Times New Roman" w:eastAsia="宋体"/>
                <w:color w:val="000000" w:themeColor="text1"/>
                <w:sz w:val="21"/>
                <w:szCs w:val="21"/>
                <w:vertAlign w:val="subscript"/>
                <w14:textFill>
                  <w14:solidFill>
                    <w14:schemeClr w14:val="tx1"/>
                  </w14:solidFill>
                </w14:textFill>
              </w:rPr>
              <w:t>2.5</w:t>
            </w:r>
            <w:r>
              <w:rPr>
                <w:rFonts w:hint="eastAsia" w:ascii="Times New Roman" w:hAnsi="Times New Roman" w:eastAsia="宋体"/>
                <w:color w:val="000000" w:themeColor="text1"/>
                <w:sz w:val="21"/>
                <w:szCs w:val="21"/>
                <w14:textFill>
                  <w14:solidFill>
                    <w14:schemeClr w14:val="tx1"/>
                  </w14:solidFill>
                </w14:textFill>
              </w:rPr>
              <w:t>）浓度总体达标，基本消除重污染天气，优良天数比率进一步提升。</w:t>
            </w:r>
          </w:p>
          <w:p w14:paraId="477C86A7">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47化学需氧量、氨氮、氮氧化物、挥发性有机物等4项主要污染物重点工程减排量分别累计达到13.67万吨、0.69万吨、8.3万吨、3.07万吨。</w:t>
            </w:r>
          </w:p>
          <w:p w14:paraId="09705DD3">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48严格合理控制煤炭消费增长，大气污染防治重点区域内新、改、扩建用煤项目实施煤炭消费等量或减量替代。重点削减非电力用煤，各市将减煤目标按年度分解落实到重点耗煤企业，实施“一企一策”减煤诊断。</w:t>
            </w:r>
          </w:p>
          <w:p w14:paraId="6A059811">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49新建、改建、扩建排放重点大气污染物的项目不符合总量控制要求的，不得通过环境影响评价。17 按照省政府下达给区域各市的允许排放量相关要求执行。</w:t>
            </w:r>
          </w:p>
          <w:p w14:paraId="37D290BB">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54全面提升锅炉烟气排放标准。全市燃气锅炉氮氧化物浓度不高于50毫克/立方米；柴油锅炉污染物排放达到或优于燃气锅炉特别排放限值要求。</w:t>
            </w:r>
          </w:p>
          <w:p w14:paraId="18530D61">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86企业事业单位和其他生产经营者超过污染物排放标准或者超过重点污染物排放总量控制指标排放污染物的，县级以上人民政府环境保护主管部门可以责令其采取限制生产、停产整治等措施；情节严重的，报经有批准权的人民政府批准，责令停业、关闭。</w:t>
            </w:r>
          </w:p>
          <w:p w14:paraId="327811A6">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87积极推进清洁生产审核，对焦化、 有色金属、石化、化工、电镀、制革、石油开采、造纸、印染、 农副食品加工等行业，全面推进清洁生产改造或清洁化改造。</w:t>
            </w:r>
          </w:p>
          <w:p w14:paraId="2A59F7F5">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88建设项目所在水环境控制单元或断面总磷超标的，实施总磷排放量2倍或以上削减替代。所在水环境控制单元或断面总磷达标的，实施总磷排放量等量或以上削减替代。替代量应来源于项目同一水环境控制单元或断面上游拟实施关停、升级改造的工业企业，不得来源于农业源、城镇污水处理厂或已列入流域环境质量改善计划的工业企业。相应的减排措施应确保在项目投产前完成。50进出钢铁企业的铁精矿、煤炭、焦炭等大宗物料和产品采用铁路、水路、管道或管状带式输送机等清洁方式运输比例不低于80%；达不到的，汽车运输部分应全部采用新能源汽车或达到国六排放标准的汽车（2021年底前可采用国五排放标准的汽车）。</w:t>
            </w:r>
          </w:p>
          <w:p w14:paraId="46DED51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51对以煤、石油焦、渣油、重油等为燃料的工业炉窑，加快使用清洁低碳能源以及利用工厂余热、电厂热力等进行替代。</w:t>
            </w:r>
          </w:p>
          <w:p w14:paraId="225C4CCF">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52推动具备条件的省级以上园区全部实施循环化改造。（责任单位：省发展改革委，配合单位：省经济和信息化厅等）推动工业园区能源系统整体优化，鼓励工业企业、园区优先使用可再生能源。推进园区电、热、冷、气等多种能源协同的综合能源项目建设。</w:t>
            </w:r>
          </w:p>
          <w:p w14:paraId="6F9007C7">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53进一步强化区域协作机制，完善重污染天气应对和重点行业绩效分级管理体系，突出PM</w:t>
            </w:r>
            <w:r>
              <w:rPr>
                <w:rFonts w:hint="eastAsia" w:ascii="Times New Roman" w:hAnsi="Times New Roman" w:eastAsia="宋体"/>
                <w:color w:val="000000" w:themeColor="text1"/>
                <w:sz w:val="21"/>
                <w:szCs w:val="21"/>
                <w:vertAlign w:val="subscript"/>
                <w14:textFill>
                  <w14:solidFill>
                    <w14:schemeClr w14:val="tx1"/>
                  </w14:solidFill>
                </w14:textFill>
              </w:rPr>
              <w:t>2.5</w:t>
            </w:r>
            <w:r>
              <w:rPr>
                <w:rFonts w:hint="eastAsia" w:ascii="Times New Roman" w:hAnsi="Times New Roman" w:eastAsia="宋体"/>
                <w:color w:val="000000" w:themeColor="text1"/>
                <w:sz w:val="21"/>
                <w:szCs w:val="21"/>
                <w14:textFill>
                  <w14:solidFill>
                    <w14:schemeClr w14:val="tx1"/>
                  </w14:solidFill>
                </w14:textFill>
              </w:rPr>
              <w:t>和臭氧协同控制，加大钢铁、水泥、焦化、玻璃等行业以及工业锅炉、炉窑、移动源氮氧化物减排力度。</w:t>
            </w:r>
          </w:p>
          <w:p w14:paraId="57F80D0F">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54全面推动挥发性有机物纳入排污许可管理。禁止建设生产和使用高挥发性有机物含量涂料、油墨、胶粘剂、清洗剂等项目。加快推进石化、化工、涂装、医药、包装印刷和油品储运销等重点行业挥发性有机物深度治理，全面提升废气收集率、治理设施同步运行率和去除率，提高水性、高固体分、无溶剂、粉末、辐射固化等低挥发性有机物含量产品的比重。加大工业涂装、包装印刷等行业低挥发性有机物含量原辅材料替代力度，严格执行涂料、油墨、胶粘剂、清洗剂挥发性有机物含量限值标准，确保生产、销售、进口、使用符合标准的产品。到2025年，溶剂型工业涂料、油墨使用比例分别降低20个、10个百分点。溶剂型胶粘剂使用量降低20%。</w:t>
            </w:r>
          </w:p>
          <w:p w14:paraId="5F937475">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55实行重点排放源排放浓度与去除效率双重控制。车间或生产设施收集排放的废气，VOCs初始排放速率大于等于2千克/小时的，应加大控制力度，除确保排放浓度稳定达标外，还应实行去除效率控制，去除效率不低于80%；采用的原辅材料符合国家有关低VOCs含量产品规定的除外，有行业排放标准的按其相关规定执行。</w:t>
            </w:r>
          </w:p>
          <w:p w14:paraId="0C166701">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56使用粉末、水性、高固体分、辐射固化等低VOCs含量的涂料替代溶剂型涂料。汽车制造底漆大力推广使用水性涂料，乘用车中涂、色漆大力推广使用高固体分或水性涂料，加快客车、货车等中涂、色漆改造。钢制集装箱制造在箱内、箱外、木地板涂装等工序大力推广使用水性涂料，在确保防腐蚀功能的前提下，加快推进特种集装箱采用水性涂料。木质家具制造大力推广使用水性、辐射固化、粉末等涂料和水性胶粘剂；金属家具制造大力推广使用粉末涂料；软体家具制造大力推广使用水性胶粘剂。工程机械制造大力推广使用水性、粉末和高固体分涂料。电子产品制造推广使用粉末、水性、辐射固化等涂料。</w:t>
            </w:r>
          </w:p>
          <w:p w14:paraId="4C5496D9">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89专项整治十大重点行业。制定造纸、焦化、氮肥、有色金属、印染、农副食品加工、原料药制造、制革、农药、电镀等行业专项治理方案，对重点行业企业实施清洁化改造。</w:t>
            </w:r>
          </w:p>
          <w:p w14:paraId="00F8945A">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90实施技术、工艺、设备等生态化、循环化改造，加快布局分散的企业向园区集中，按要求设置生态隔离带，建设相应的防护工程。57污染物排放标准中有特别排放限值的标准的行业，二氧化硫、氮氧化物、颗粒物、挥发性有机物（VOCs）全面执行大气污染物特别排放限值。已核发排污许可证的，应严格执行许可要求。</w:t>
            </w:r>
          </w:p>
          <w:p w14:paraId="5E9CE318">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58对国家级新区、工业园区、高新区等进行集中整治，限期进行达标改造。</w:t>
            </w:r>
          </w:p>
          <w:p w14:paraId="4C18BDB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59按《挥发性有机物无组织排放控制标准》（GB 37822-2019）要求，做好VOCs物料储存、物料转移和输送、工艺过程、设备与管线组件、敞开液面VOCs排放，以及VOCs无组织排放废气收集处理系统要求。</w:t>
            </w:r>
          </w:p>
          <w:p w14:paraId="0C4A32DF">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60新改扩建（含搬迁）钢铁项目要严格执行产能置换实施办法，按照钢铁企业超低排放指标要求，同步配套建设高效脱硫、脱硝、除尘设施，落实物料储存、输送及生产工艺过程无组织排放管控措施。</w:t>
            </w:r>
          </w:p>
          <w:p w14:paraId="4D991674">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61烧结机机头、球团焙烧烟气颗粒物、二氧化硫、氮氧化物排放浓度小时均值分别不高于10、35、50毫克/立方米；其他主要污染源颗粒物、二氧化硫、氮氧化物排放浓度小时均值原则上分别不高于10、50、200毫克/立方米，达到超低排放的钢铁企业每月至少95%以上时段小时均值排放浓度满足上述要求。</w:t>
            </w:r>
          </w:p>
          <w:p w14:paraId="43B13851">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62已有行业排放标准的工业炉窑，严格执行行业排放标准相关规定，配套建设高效脱硫脱硝除尘设施，确保稳定达标排放。已制定更严格地方排放标准的，按地方标准执行。</w:t>
            </w:r>
          </w:p>
          <w:p w14:paraId="745F6761">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63铸造行业烧结、高炉工序污染排放控制按照钢铁行业相关标准要求执行；原则上按照颗粒物、二氧化硫、氮氧化物排放限值分别不高于30、200、300毫克/立方米实施改造，其中，日用玻璃、玻璃棉氮氧化物排放限值不高于</w:t>
            </w:r>
          </w:p>
          <w:p w14:paraId="0B797805">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400毫克/立方米。</w:t>
            </w:r>
          </w:p>
          <w:p w14:paraId="05871742">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64城市建成区生物质锅炉实施超低排放改造。</w:t>
            </w:r>
          </w:p>
          <w:p w14:paraId="78BFBF16">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65实施煤电节能降碳改造、灵活性改造、供热改造“三改联动”，推动煤电由主体电源向支撑性、调节性电源转变。</w:t>
            </w:r>
          </w:p>
          <w:p w14:paraId="22D6E224">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18 全面排查并淘汰经整改环保仍不达标的落后产能，集中治理产业集聚区水污染，全面建成污水集中处理及重污染企业污水预处理设施。实施重污染行业专项整治，加强清洁生产审核和工业用水循环利用。</w:t>
            </w:r>
          </w:p>
          <w:p w14:paraId="1FE7C376">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55对国家确定的“十大”重点行业，我市现有的造纸、氮肥、印染、农副食品加工、原料药制造、电镀等重点行业要制定专项治理方案，依法开展强制性清洁生产审核，并实施清洁化改造。</w:t>
            </w:r>
          </w:p>
          <w:p w14:paraId="5DF16BF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56造纸行业完成纸浆无元素氯漂白改造或采取其他低污染制浆技术，氮肥行业尿素生产完成工艺冷凝液水解解析技术改造，印染行业实施低排水染整工艺改造，制药（抗生素、维生素）行业实施绿色酶法生产技术改造。对安徽淮化股份有限公司、安徽德邦化工有限公司实行污水特别排放限值，完成污水处理设施提标改造，外排废水中氨氮浓度控制在15mg/L以下。</w:t>
            </w:r>
          </w:p>
          <w:p w14:paraId="2464474F">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57持续推进城镇污水处理厂建设，推进老旧城区、城中村、城乡结合部生活污水收集和处理，加快补齐生活污水收集处理设施短板。推进建成区污水管网全覆盖，生活污水全收集、全处理。加快城市雨污分流制改造，系统治理雨污错接、混接、漏接等问题。加强管网新建和提标改造，对于近期设施难以覆盖的地区，因地制宜建设分散污水处理设施，处理达标后排放。</w:t>
            </w:r>
          </w:p>
          <w:p w14:paraId="1E441FD9">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91所有排污单位必须依法实现全面达标排放。逐一排查工业企业排污情况，达标企业应采取措施确保稳定达标；对超标和超总量的企业予以“黄牌”警示，一律限制生产或停产整治；对整治仍不能达到要求且情节严重的企业予以“红牌”处罚，一律停业、关闭。</w:t>
            </w:r>
          </w:p>
          <w:p w14:paraId="28E8EA9A">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92开展经济技术开发区、高新技术产业开发区、出口加工区等工业集聚区水污染治理设施排查和污染治理，全面推行工业集聚区企业废水量、水污染物纳管总量双控制度。集聚区内工业废水必须经预处理达到集中处理要求，方可进入污水集中处理设施。</w:t>
            </w:r>
          </w:p>
          <w:p w14:paraId="142C3E8A">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66强化工业企业无组织排放管理，推进挥发性有机物排放综合整治，开展大气氨排放控制试点。</w:t>
            </w:r>
          </w:p>
          <w:p w14:paraId="714F5974">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67依法严禁秸秆露天焚烧，全面推进综合利用。</w:t>
            </w:r>
          </w:p>
          <w:p w14:paraId="7ADA6E06">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68深化工业污染治理，工业污染源全面达标排放，未达标排放的企业一律依法停产整治。</w:t>
            </w:r>
          </w:p>
          <w:p w14:paraId="142870D6">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69露天开采、加工矿产资源，应当采取喷淋、集中开采、运输道路硬化绿化等防止扬尘污染的措施。</w:t>
            </w:r>
          </w:p>
          <w:p w14:paraId="61E9E663">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70合理控制燃油机动车保有量，严格控制重型柴油车进入城市建成区，限制摩托车的行驶范围，并向社会公告。机动车和船舶向大气排放污染物不得超过规定的排放标准。</w:t>
            </w:r>
          </w:p>
          <w:p w14:paraId="660E7022">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71农业生产经营者应当改进施肥方式，科学合理施用化肥并按照国家有关规定使用农药，减少氨、挥发性有机物等大气污染物的排放。禁止在人口集中地区对树木、花草喷洒剧毒、高毒农药。</w:t>
            </w:r>
          </w:p>
          <w:p w14:paraId="74AB92BD">
            <w:pPr>
              <w:widowControl/>
              <w:topLinePunct/>
              <w:autoSpaceDE w:val="0"/>
              <w:spacing w:line="240" w:lineRule="auto"/>
              <w:textAlignment w:val="baseline"/>
              <w:rPr>
                <w:rFonts w:hint="eastAsia" w:ascii="Times New Roman" w:hAnsi="Times New Roman" w:eastAsia="宋体"/>
                <w:color w:val="000000" w:themeColor="text1"/>
                <w:sz w:val="21"/>
                <w:szCs w:val="21"/>
                <w:lang w:eastAsia="zh-CN"/>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72工业生产中产生的可燃性气体应当回收利用。不具备回收利用条件而向大气排放的，应当进行污染防治处理.</w:t>
            </w:r>
            <w:r>
              <w:rPr>
                <w:rFonts w:hint="eastAsia" w:eastAsia="宋体"/>
                <w:color w:val="000000" w:themeColor="text1"/>
                <w:sz w:val="21"/>
                <w:szCs w:val="21"/>
                <w:lang w:eastAsia="zh-CN"/>
                <w14:textFill>
                  <w14:solidFill>
                    <w14:schemeClr w14:val="tx1"/>
                  </w14:solidFill>
                </w14:textFill>
              </w:rPr>
              <w:t>。</w:t>
            </w:r>
          </w:p>
          <w:p w14:paraId="3D0B8CF8">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73强化餐饮油烟和露天烧烤治理。加强餐饮油烟污染治理，对未安装油烟净化设施、不正常使用油烟净化设施或者未采取其他油烟净化措施，超过排放标准排放油烟的，依法责令改正，并处以罚款。</w:t>
            </w:r>
          </w:p>
          <w:p w14:paraId="3BAC0065">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74县级以上城市建成区禁止销售、燃放烟花爆竹。</w:t>
            </w:r>
          </w:p>
          <w:p w14:paraId="2A8DFC9C">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75非煤矿山企业对产生扬尘的作业场所，应当按《安徽省非煤矿山管理条例》采取相应污染防治措施。</w:t>
            </w:r>
          </w:p>
          <w:p w14:paraId="0C8396BF">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76建筑工程施工现场扬尘污染防治应做到工地周边围挡、物料堆放覆盖、路面硬化、土方开挖湿法作业、出入车辆清洗、渣土车辆密闭运输“六个百分之百”。具体要求执行《建筑工程施工和预拌混凝土生产扬尘污染防治标准》（试行）。</w:t>
            </w:r>
          </w:p>
          <w:p w14:paraId="3C700154">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77裸露地面扬尘、道路扬尘、装卸扬尘控制具体要求从严执行《安徽省大气污染防治条例》和《安徽省打赢蓝天保卫战三年行动计划实施方案》等要求。19 完善大气污染物排放总量控制制度，加强对工业烟尘、粉尘、城市扬尘和有毒有害空气污染物排放的协同控制。严格煤炭消费总量，增加清洁能源供给和使用，力争实现煤炭消费负增长。强化机动车尾气治理，优先发展公共交通，严禁秸秆露天焚烧，推进秸秆综合利用，全面推行“绿色施工”。</w:t>
            </w:r>
          </w:p>
          <w:p w14:paraId="22DEEF18">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20 加快城镇污水垃圾处理设施和配套管网建设，提升污泥处理处置水平。逐步推进老城区雨污分流改造，新建城区严格实行雨污分流。推进村庄生活污水治理，因村制宜选择接入市政管网、建设小型设施相对集中处理、分散处</w:t>
            </w:r>
          </w:p>
          <w:p w14:paraId="0754F78C">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理等模式，提高生活污水处理水平。</w:t>
            </w:r>
          </w:p>
          <w:p w14:paraId="22CCBB07">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21 加强船舶港口污染控制，增强港口码头污染防治能力。</w:t>
            </w:r>
          </w:p>
          <w:p w14:paraId="4D8709AC">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22 建立农业面源污染监测体系，严格控制农业面源污染。加强秸秆、农膜、农产品加工剩余物等农业废弃物综合利用，推进种养结合的废弃物无害化处理、资源化利用，构建废弃物收集、转化、应用全链条污染防治与资源化利用体系。推进农业面源污染综合防治示范区建设，加快发展循环农业，实施化肥农药使用量零增长行动，加大测土配方施肥推广力度，引导科学施肥，提高化肥利用效率，强化病虫害统防统治，推广绿色防控技术，广泛使用高效低毒低残留农药。</w:t>
            </w:r>
          </w:p>
          <w:p w14:paraId="3EC669A0">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23 向淮河流域水体排放含病原体废水的，应当经过消毒处理，符合国家和省规定的有关标准后，方可排放。向水体排放含热废水，应当采取措施，保证水体的水温符合水环境质量标准。</w:t>
            </w:r>
          </w:p>
          <w:p w14:paraId="1E9CE155">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24 船舶装载运输油类或者有毒货物，应当采取防止散落、溢流和渗漏措施，防止货物落水造成水污染。</w:t>
            </w:r>
          </w:p>
          <w:p w14:paraId="25A61C50">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25 省及淮河流域县级以上人民政府应当推广精准施肥、生物防治病虫害等先进适用的农业生产技术，推广使用高效、低毒、低残留农药，减少化肥、农药使用量，支持秸秆综合利用和畜禽粪污处理设施建设，调整农业产业结构，发展绿色生态农业，开展清洁小流域建设，有效控制农业面源污染。</w:t>
            </w:r>
          </w:p>
          <w:p w14:paraId="2866EF19">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58达标企业应采取措施确保稳定达标；对超标和超总量的企业予以“黄牌”警示，一律限制生产或停产整治；对整治仍不能达到要求且情节严重的企业予以“鹃牌”处罚，一律停业、关闭。</w:t>
            </w:r>
          </w:p>
          <w:p w14:paraId="784E110D">
            <w:pPr>
              <w:widowControl/>
              <w:topLinePunct/>
              <w:autoSpaceDE w:val="0"/>
              <w:spacing w:line="240" w:lineRule="auto"/>
              <w:textAlignment w:val="baseline"/>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59完成县级以上经济开发区、高新技术产业开发区等工业集聚区水污染治理设施排查。全面推行工业集聚区企业废水、水污染物纳管总量双控制度。</w:t>
            </w:r>
          </w:p>
          <w:p w14:paraId="4D06E8AD">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60现有各类开发区、工业集聚区应全面实现污水集中处理。</w:t>
            </w:r>
          </w:p>
        </w:tc>
        <w:tc>
          <w:tcPr>
            <w:tcW w:w="849" w:type="pct"/>
            <w:vAlign w:val="center"/>
          </w:tcPr>
          <w:p w14:paraId="3E13DFA7">
            <w:pPr>
              <w:widowControl/>
              <w:topLinePunct/>
              <w:autoSpaceDE w:val="0"/>
              <w:spacing w:line="240" w:lineRule="auto"/>
              <w:textAlignment w:val="baseline"/>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1、本项目</w:t>
            </w:r>
            <w:r>
              <w:rPr>
                <w:rFonts w:hint="eastAsia" w:eastAsia="宋体"/>
                <w:color w:val="000000" w:themeColor="text1"/>
                <w:sz w:val="21"/>
                <w:szCs w:val="21"/>
                <w:lang w:eastAsia="zh-CN"/>
                <w14:textFill>
                  <w14:solidFill>
                    <w14:schemeClr w14:val="tx1"/>
                  </w14:solidFill>
                </w14:textFill>
              </w:rPr>
              <w:t>不涉及锅炉，不使用高</w:t>
            </w:r>
            <w:r>
              <w:rPr>
                <w:rFonts w:hint="eastAsia" w:eastAsia="宋体"/>
                <w:color w:val="000000" w:themeColor="text1"/>
                <w:sz w:val="21"/>
                <w:szCs w:val="21"/>
                <w:lang w:val="en-US" w:eastAsia="zh-CN"/>
                <w14:textFill>
                  <w14:solidFill>
                    <w14:schemeClr w14:val="tx1"/>
                  </w14:solidFill>
                </w14:textFill>
              </w:rPr>
              <w:t>VOC</w:t>
            </w:r>
            <w:r>
              <w:rPr>
                <w:rFonts w:hint="eastAsia" w:eastAsia="宋体"/>
                <w:color w:val="000000" w:themeColor="text1"/>
                <w:sz w:val="21"/>
                <w:szCs w:val="21"/>
                <w:vertAlign w:val="subscript"/>
                <w:lang w:val="en-US" w:eastAsia="zh-CN"/>
                <w14:textFill>
                  <w14:solidFill>
                    <w14:schemeClr w14:val="tx1"/>
                  </w14:solidFill>
                </w14:textFill>
              </w:rPr>
              <w:t>S</w:t>
            </w:r>
            <w:r>
              <w:rPr>
                <w:rFonts w:hint="eastAsia" w:eastAsia="宋体"/>
                <w:color w:val="000000" w:themeColor="text1"/>
                <w:sz w:val="21"/>
                <w:szCs w:val="21"/>
                <w:lang w:val="en-US" w:eastAsia="zh-CN"/>
                <w14:textFill>
                  <w14:solidFill>
                    <w14:schemeClr w14:val="tx1"/>
                  </w14:solidFill>
                </w14:textFill>
              </w:rPr>
              <w:t>有机溶剂，</w:t>
            </w:r>
            <w:r>
              <w:rPr>
                <w:rFonts w:ascii="Times New Roman" w:hAnsi="Times New Roman" w:eastAsia="宋体"/>
                <w:color w:val="000000" w:themeColor="text1"/>
                <w:sz w:val="21"/>
                <w:szCs w:val="21"/>
                <w14:textFill>
                  <w14:solidFill>
                    <w14:schemeClr w14:val="tx1"/>
                  </w14:solidFill>
                </w14:textFill>
              </w:rPr>
              <w:t>。2、使用电能以及天然气等清洁能源。3、</w:t>
            </w:r>
            <w:r>
              <w:rPr>
                <w:rFonts w:hint="eastAsia" w:eastAsia="宋体"/>
                <w:color w:val="000000" w:themeColor="text1"/>
                <w:sz w:val="21"/>
                <w:szCs w:val="21"/>
                <w:lang w:eastAsia="zh-CN"/>
                <w14:textFill>
                  <w14:solidFill>
                    <w14:schemeClr w14:val="tx1"/>
                  </w14:solidFill>
                </w14:textFill>
              </w:rPr>
              <w:t>项目运输采用新能源汽车。</w:t>
            </w:r>
            <w:r>
              <w:rPr>
                <w:rFonts w:hint="eastAsia" w:eastAsia="宋体"/>
                <w:color w:val="000000" w:themeColor="text1"/>
                <w:sz w:val="21"/>
                <w:szCs w:val="21"/>
                <w:lang w:val="en-US" w:eastAsia="zh-CN"/>
                <w14:textFill>
                  <w14:solidFill>
                    <w14:schemeClr w14:val="tx1"/>
                  </w14:solidFill>
                </w14:textFill>
              </w:rPr>
              <w:t>4、</w:t>
            </w:r>
            <w:r>
              <w:rPr>
                <w:rFonts w:hint="eastAsia" w:ascii="Times New Roman" w:hAnsi="Times New Roman" w:eastAsia="宋体"/>
                <w:color w:val="000000" w:themeColor="text1"/>
                <w:sz w:val="21"/>
                <w:szCs w:val="21"/>
                <w14:textFill>
                  <w14:solidFill>
                    <w14:schemeClr w14:val="tx1"/>
                  </w14:solidFill>
                </w14:textFill>
              </w:rPr>
              <w:t>本项目涉及的挥发性有机物主要为熔融挤出废气、</w:t>
            </w:r>
            <w:r>
              <w:rPr>
                <w:rFonts w:hint="eastAsia"/>
                <w:color w:val="000000" w:themeColor="text1"/>
                <w:sz w:val="21"/>
                <w:szCs w:val="21"/>
                <w:lang w:eastAsia="zh-CN"/>
                <w14:textFill>
                  <w14:solidFill>
                    <w14:schemeClr w14:val="tx1"/>
                  </w14:solidFill>
                </w14:textFill>
              </w:rPr>
              <w:t>高温分选</w:t>
            </w:r>
            <w:r>
              <w:rPr>
                <w:rFonts w:hint="eastAsia" w:ascii="Times New Roman" w:hAnsi="Times New Roman" w:eastAsia="宋体"/>
                <w:color w:val="000000" w:themeColor="text1"/>
                <w:sz w:val="21"/>
                <w:szCs w:val="21"/>
                <w14:textFill>
                  <w14:solidFill>
                    <w14:schemeClr w14:val="tx1"/>
                  </w14:solidFill>
                </w14:textFill>
              </w:rPr>
              <w:t>废气、拆包废气和磨粉废气，熔融挤出废气经区域封闭+集气罩收集后进入“油烟净化器+两级活性炭吸附装置（TA001）”处理后通过15m高排气筒（DA001）排放；</w:t>
            </w:r>
            <w:r>
              <w:rPr>
                <w:rFonts w:hint="eastAsia"/>
                <w:color w:val="000000" w:themeColor="text1"/>
                <w:sz w:val="21"/>
                <w:szCs w:val="21"/>
                <w:lang w:eastAsia="zh-CN"/>
                <w14:textFill>
                  <w14:solidFill>
                    <w14:schemeClr w14:val="tx1"/>
                  </w14:solidFill>
                </w14:textFill>
              </w:rPr>
              <w:t>高温分选</w:t>
            </w:r>
            <w:r>
              <w:rPr>
                <w:rFonts w:hint="eastAsia" w:ascii="Times New Roman" w:hAnsi="Times New Roman" w:eastAsia="宋体"/>
                <w:color w:val="000000" w:themeColor="text1"/>
                <w:sz w:val="21"/>
                <w:szCs w:val="21"/>
                <w14:textFill>
                  <w14:solidFill>
                    <w14:schemeClr w14:val="tx1"/>
                  </w14:solidFill>
                </w14:textFill>
              </w:rPr>
              <w:t>废气经设备密闭+集气罩收集后进入“油烟净化器+两级活性炭吸附装置（TA001）”处理后通过15m高排气筒（DA001）排放；拆包废气经软帘+集气罩收集后进入“脉冲布袋除尘器（TA002）”处理后通过15m高排气筒（DA002）排放；磨粉废气经设备密闭+集气罩收集后进入“脉冲布袋除尘器（TA002）”处理后通过15m高排气筒（DA002）排放。</w:t>
            </w:r>
          </w:p>
        </w:tc>
        <w:tc>
          <w:tcPr>
            <w:tcW w:w="220" w:type="pct"/>
            <w:vAlign w:val="center"/>
          </w:tcPr>
          <w:p w14:paraId="1B244052">
            <w:pPr>
              <w:widowControl/>
              <w:topLinePunct/>
              <w:autoSpaceDE w:val="0"/>
              <w:spacing w:line="240" w:lineRule="auto"/>
              <w:jc w:val="center"/>
              <w:textAlignment w:val="baseline"/>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是</w:t>
            </w:r>
          </w:p>
        </w:tc>
      </w:tr>
    </w:tbl>
    <w:p w14:paraId="74D98A83">
      <w:pPr>
        <w:adjustRightInd/>
        <w:snapToGrid/>
        <w:spacing w:line="240" w:lineRule="auto"/>
        <w:jc w:val="center"/>
        <w:rPr>
          <w:rFonts w:ascii="Times New Roman" w:hAnsi="Times New Roman" w:eastAsia="宋体"/>
          <w:color w:val="000000" w:themeColor="text1"/>
          <w14:textFill>
            <w14:solidFill>
              <w14:schemeClr w14:val="tx1"/>
            </w14:solidFill>
          </w14:textFill>
        </w:rPr>
      </w:pPr>
    </w:p>
    <w:p w14:paraId="6EE5E620">
      <w:pPr>
        <w:adjustRightInd/>
        <w:snapToGrid/>
        <w:spacing w:line="240" w:lineRule="auto"/>
        <w:jc w:val="center"/>
        <w:rPr>
          <w:rFonts w:ascii="Times New Roman" w:hAnsi="Times New Roman" w:eastAsia="宋体"/>
          <w:color w:val="000000" w:themeColor="text1"/>
          <w14:textFill>
            <w14:solidFill>
              <w14:schemeClr w14:val="tx1"/>
            </w14:solidFill>
          </w14:textFill>
        </w:rPr>
      </w:pPr>
    </w:p>
    <w:p w14:paraId="5E3FEAEF">
      <w:pPr>
        <w:adjustRightInd/>
        <w:snapToGrid/>
        <w:spacing w:line="240" w:lineRule="auto"/>
        <w:jc w:val="center"/>
        <w:rPr>
          <w:rFonts w:hint="eastAsia" w:eastAsia="宋体"/>
          <w:color w:val="000000" w:themeColor="text1"/>
          <w:lang w:eastAsia="zh-CN"/>
          <w14:textFill>
            <w14:solidFill>
              <w14:schemeClr w14:val="tx1"/>
            </w14:solidFill>
          </w14:textFill>
        </w:rPr>
      </w:pPr>
      <w:r>
        <w:rPr>
          <w:rFonts w:ascii="Times New Roman" w:hAnsi="Times New Roman" w:eastAsia="宋体"/>
          <w:color w:val="000000" w:themeColor="text1"/>
          <w14:textFill>
            <w14:solidFill>
              <w14:schemeClr w14:val="tx1"/>
            </w14:solidFill>
          </w14:textFill>
        </w:rPr>
        <mc:AlternateContent>
          <mc:Choice Requires="wps">
            <w:drawing>
              <wp:anchor distT="0" distB="0" distL="114300" distR="114300" simplePos="0" relativeHeight="251829248" behindDoc="0" locked="0" layoutInCell="1" allowOverlap="1">
                <wp:simplePos x="0" y="0"/>
                <wp:positionH relativeFrom="column">
                  <wp:posOffset>2305050</wp:posOffset>
                </wp:positionH>
                <wp:positionV relativeFrom="paragraph">
                  <wp:posOffset>716280</wp:posOffset>
                </wp:positionV>
                <wp:extent cx="1238250" cy="360045"/>
                <wp:effectExtent l="6350" t="6350" r="508000" b="586105"/>
                <wp:wrapNone/>
                <wp:docPr id="280" name="矩形标注 280"/>
                <wp:cNvGraphicFramePr/>
                <a:graphic xmlns:a="http://schemas.openxmlformats.org/drawingml/2006/main">
                  <a:graphicData uri="http://schemas.microsoft.com/office/word/2010/wordprocessingShape">
                    <wps:wsp>
                      <wps:cNvSpPr/>
                      <wps:spPr>
                        <a:xfrm>
                          <a:off x="2786380" y="2000250"/>
                          <a:ext cx="1238250" cy="360045"/>
                        </a:xfrm>
                        <a:prstGeom prst="wedgeRectCallout">
                          <a:avLst>
                            <a:gd name="adj1" fmla="val 86666"/>
                            <a:gd name="adj2" fmla="val 199735"/>
                          </a:avLst>
                        </a:prstGeom>
                        <a:noFill/>
                        <a:ln>
                          <a:solidFill>
                            <a:srgbClr val="0070C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F94F2ED">
                            <w:pPr>
                              <w:jc w:val="center"/>
                              <w:rPr>
                                <w:rFonts w:ascii="宋体" w:hAnsi="宋体" w:eastAsia="宋体" w:cs="宋体"/>
                                <w:b/>
                                <w:bCs/>
                                <w:color w:val="0207FC"/>
                              </w:rPr>
                            </w:pPr>
                            <w:r>
                              <w:rPr>
                                <w:rFonts w:hint="eastAsia" w:ascii="宋体" w:hAnsi="宋体" w:eastAsia="宋体" w:cs="宋体"/>
                                <w:b/>
                                <w:bCs/>
                                <w:color w:val="0207FC"/>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81.5pt;margin-top:56.4pt;height:28.35pt;width:97.5pt;z-index:251829248;v-text-anchor:middle;mso-width-relative:page;mso-height-relative:page;" filled="f" stroked="t" coordsize="21600,21600" o:gfxdata="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0UHpDtkAAAALAQAADwAAAAAAAAABACAAAAAi&#10;AAAAZHJzL2Rvd25yZXYueG1sUEsBAhQAFAAAAAgAh07iQCrD4mO0AgAASgUAAA4AAAAAAAAAAQAg&#10;AAAAKAEAAGRycy9lMm9Eb2MueG1sUEsFBgAAAAAGAAYAWQEAAE4GAAAAAA==&#10;" adj="29520,53943">
                <v:fill on="f" focussize="0,0"/>
                <v:stroke weight="1pt" color="#0070C0 [2404]" miterlimit="8" joinstyle="miter"/>
                <v:imagedata o:title=""/>
                <o:lock v:ext="edit" aspectratio="f"/>
                <v:textbox>
                  <w:txbxContent>
                    <w:p w14:paraId="1F94F2ED">
                      <w:pPr>
                        <w:jc w:val="center"/>
                        <w:rPr>
                          <w:rFonts w:ascii="宋体" w:hAnsi="宋体" w:eastAsia="宋体" w:cs="宋体"/>
                          <w:b/>
                          <w:bCs/>
                          <w:color w:val="0207FC"/>
                        </w:rPr>
                      </w:pPr>
                      <w:r>
                        <w:rPr>
                          <w:rFonts w:hint="eastAsia" w:ascii="宋体" w:hAnsi="宋体" w:eastAsia="宋体" w:cs="宋体"/>
                          <w:b/>
                          <w:bCs/>
                          <w:color w:val="0207FC"/>
                        </w:rPr>
                        <w:t>本项目位置</w:t>
                      </w:r>
                    </w:p>
                  </w:txbxContent>
                </v:textbox>
              </v:shape>
            </w:pict>
          </mc:Fallback>
        </mc:AlternateContent>
      </w:r>
      <w:r>
        <w:rPr>
          <w:rFonts w:hint="eastAsia" w:eastAsia="宋体"/>
          <w:color w:val="000000" w:themeColor="text1"/>
          <w:lang w:eastAsia="zh-CN"/>
          <w14:textFill>
            <w14:solidFill>
              <w14:schemeClr w14:val="tx1"/>
            </w14:solidFill>
          </w14:textFill>
        </w:rPr>
        <w:drawing>
          <wp:inline distT="0" distB="0" distL="114300" distR="114300">
            <wp:extent cx="8862060" cy="4091940"/>
            <wp:effectExtent l="0" t="0" r="15240" b="3810"/>
            <wp:docPr id="282" name="图片 282" descr="微信图片_2026-01-21_100055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微信图片_2026-01-21_100055_150"/>
                    <pic:cNvPicPr>
                      <a:picLocks noChangeAspect="1"/>
                    </pic:cNvPicPr>
                  </pic:nvPicPr>
                  <pic:blipFill>
                    <a:blip r:embed="rId22"/>
                    <a:stretch>
                      <a:fillRect/>
                    </a:stretch>
                  </pic:blipFill>
                  <pic:spPr>
                    <a:xfrm>
                      <a:off x="0" y="0"/>
                      <a:ext cx="8862060" cy="4091940"/>
                    </a:xfrm>
                    <a:prstGeom prst="rect">
                      <a:avLst/>
                    </a:prstGeom>
                  </pic:spPr>
                </pic:pic>
              </a:graphicData>
            </a:graphic>
          </wp:inline>
        </w:drawing>
      </w:r>
    </w:p>
    <w:p w14:paraId="6F1423FE">
      <w:pPr>
        <w:pStyle w:val="251"/>
        <w:ind w:left="0" w:leftChars="0" w:firstLine="0" w:firstLineChars="0"/>
        <w:jc w:val="center"/>
        <w:rPr>
          <w:rFonts w:hint="eastAsia" w:ascii="Times New Roman" w:hAnsi="Times New Roman" w:eastAsia="黑体"/>
          <w:color w:val="000000" w:themeColor="text1"/>
          <w:kern w:val="0"/>
          <w:sz w:val="24"/>
          <w:lang w:eastAsia="zh-CN" w:bidi="ar"/>
          <w14:textFill>
            <w14:solidFill>
              <w14:schemeClr w14:val="tx1"/>
            </w14:solidFill>
          </w14:textFill>
        </w:rPr>
        <w:sectPr>
          <w:pgSz w:w="16839" w:h="11907" w:orient="landscape"/>
          <w:pgMar w:top="1797" w:right="1440" w:bottom="1797" w:left="1440"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黑体" w:cs="Times New Roman"/>
          <w:b w:val="0"/>
          <w:bCs w:val="0"/>
          <w:color w:val="000000" w:themeColor="text1"/>
          <w:sz w:val="24"/>
          <w:szCs w:val="21"/>
          <w14:textFill>
            <w14:solidFill>
              <w14:schemeClr w14:val="tx1"/>
            </w14:solidFill>
          </w14:textFill>
        </w:rPr>
        <w:t>图</w:t>
      </w:r>
      <w:r>
        <w:rPr>
          <w:rFonts w:hint="default" w:ascii="Times New Roman" w:hAnsi="Times New Roman" w:eastAsia="黑体" w:cs="Times New Roman"/>
          <w:b w:val="0"/>
          <w:bCs w:val="0"/>
          <w:color w:val="000000" w:themeColor="text1"/>
          <w:sz w:val="24"/>
          <w:szCs w:val="21"/>
          <w:lang w:val="en-US" w:eastAsia="zh-CN"/>
          <w14:textFill>
            <w14:solidFill>
              <w14:schemeClr w14:val="tx1"/>
            </w14:solidFill>
          </w14:textFill>
        </w:rPr>
        <w:t>2</w:t>
      </w:r>
      <w:r>
        <w:rPr>
          <w:rFonts w:hint="default" w:ascii="Times New Roman" w:hAnsi="Times New Roman" w:eastAsia="黑体" w:cs="Times New Roman"/>
          <w:b w:val="0"/>
          <w:bCs w:val="0"/>
          <w:color w:val="000000" w:themeColor="text1"/>
          <w:sz w:val="24"/>
          <w:szCs w:val="21"/>
          <w14:textFill>
            <w14:solidFill>
              <w14:schemeClr w14:val="tx1"/>
            </w14:solidFill>
          </w14:textFill>
        </w:rPr>
        <w:t>.6-</w:t>
      </w:r>
      <w:r>
        <w:rPr>
          <w:rFonts w:hint="default" w:ascii="Times New Roman" w:hAnsi="Times New Roman" w:eastAsia="黑体" w:cs="Times New Roman"/>
          <w:b w:val="0"/>
          <w:bCs w:val="0"/>
          <w:color w:val="000000" w:themeColor="text1"/>
          <w:sz w:val="24"/>
          <w:szCs w:val="21"/>
          <w:lang w:val="en-US" w:eastAsia="zh-CN"/>
          <w14:textFill>
            <w14:solidFill>
              <w14:schemeClr w14:val="tx1"/>
            </w14:solidFill>
          </w14:textFill>
        </w:rPr>
        <w:t>2</w:t>
      </w:r>
      <w:r>
        <w:rPr>
          <w:rFonts w:hint="default" w:ascii="Times New Roman" w:hAnsi="Times New Roman" w:eastAsia="黑体" w:cs="Times New Roman"/>
          <w:b w:val="0"/>
          <w:bCs w:val="0"/>
          <w:color w:val="000000" w:themeColor="text1"/>
          <w:sz w:val="24"/>
          <w:szCs w:val="21"/>
          <w14:textFill>
            <w14:solidFill>
              <w14:schemeClr w14:val="tx1"/>
            </w14:solidFill>
          </w14:textFill>
        </w:rPr>
        <w:t xml:space="preserve">  点位分析</w:t>
      </w:r>
      <w:r>
        <w:rPr>
          <w:rFonts w:hint="eastAsia" w:ascii="Times New Roman" w:hAnsi="Times New Roman" w:eastAsia="黑体" w:cs="Times New Roman"/>
          <w:b w:val="0"/>
          <w:bCs w:val="0"/>
          <w:color w:val="000000" w:themeColor="text1"/>
          <w:sz w:val="24"/>
          <w:szCs w:val="21"/>
          <w:lang w:eastAsia="zh-CN"/>
          <w14:textFill>
            <w14:solidFill>
              <w14:schemeClr w14:val="tx1"/>
            </w14:solidFill>
          </w14:textFill>
        </w:rPr>
        <w:t>图</w:t>
      </w:r>
    </w:p>
    <w:p w14:paraId="764798B7">
      <w:pPr>
        <w:pStyle w:val="251"/>
        <w:ind w:left="0" w:leftChars="0" w:firstLine="480" w:firstLineChars="20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十三五”环境影响评价改革实施方案》（环环评〔2016〕95号）、《关于以改善环境质量为核心加强环境影响评价管理的通知》（环环函〔2016〕150号）等文件要求：“为适应以改善环境质量为核心的环境管理要求，切实加强环境影响评价（以下简称环评）管理，落实“生态保护红线、环境质量底线、资源利用上线和环境准入负面清单”（以下简称“三线一单”）约束”，本项目与“三线一单”相符性分析如下。</w:t>
      </w:r>
    </w:p>
    <w:p w14:paraId="15F1380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一、生态保护红线</w:t>
      </w:r>
    </w:p>
    <w:p w14:paraId="06182B4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关于规划环境影响评价加强空间管制、总量管控和环境准入的指导意见（试行）》（环办环评〔2016〕14号）中禁止开发区域相关定义，禁止开发的区域包括：重点生态功能区、生态敏感区、生态脆弱区、生物多样性保护优先区和自然保护区等法定禁止开发区域，以及其他对于维持生态系统结构和功能具有重要意义的区域及规划区域已经划定的生态保护红线内区域。本次评价就拟建项目选址范围与区域禁止开发范围的相对定位进行分析。</w:t>
      </w:r>
    </w:p>
    <w:p w14:paraId="20E6EAF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项目选址位于</w:t>
      </w:r>
      <w:r>
        <w:rPr>
          <w:rFonts w:hint="default" w:ascii="Times New Roman" w:hAnsi="Times New Roman"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14:textFill>
            <w14:solidFill>
              <w14:schemeClr w14:val="tx1"/>
            </w14:solidFill>
          </w14:textFill>
        </w:rPr>
        <w:t>，不涉及自然保护区、风景名胜区等生态保护红线，满足淮南市生态保护红线要求。</w:t>
      </w:r>
    </w:p>
    <w:p w14:paraId="7EE5924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根据《淮南市“三线一单”生态环境准入清单》，本项目位于重点管控单元，管控单元编号：ZH34042110016。</w:t>
      </w:r>
    </w:p>
    <w:p w14:paraId="68A8E0A9">
      <w:pPr>
        <w:pStyle w:val="251"/>
        <w:ind w:firstLine="480"/>
        <w:rPr>
          <w:rFonts w:hint="default" w:ascii="Times New Roman" w:hAnsi="Times New Roman" w:cs="Times New Roman"/>
          <w:color w:val="000000" w:themeColor="text1"/>
          <w14:textFill>
            <w14:solidFill>
              <w14:schemeClr w14:val="tx1"/>
            </w14:solidFill>
          </w14:textFill>
        </w:rPr>
        <w:sectPr>
          <w:pgSz w:w="11907" w:h="16839"/>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cs="Times New Roman"/>
          <w:color w:val="000000" w:themeColor="text1"/>
          <w14:textFill>
            <w14:solidFill>
              <w14:schemeClr w14:val="tx1"/>
            </w14:solidFill>
          </w14:textFill>
        </w:rPr>
        <w:t>本项目选址与淮南市生态保护红线相符性见下图。</w:t>
      </w:r>
    </w:p>
    <w:p w14:paraId="7D26DC6B">
      <w:pPr>
        <w:autoSpaceDE w:val="0"/>
        <w:autoSpaceDN w:val="0"/>
        <w:spacing w:line="360" w:lineRule="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1849120</wp:posOffset>
                </wp:positionH>
                <wp:positionV relativeFrom="paragraph">
                  <wp:posOffset>2186305</wp:posOffset>
                </wp:positionV>
                <wp:extent cx="314960" cy="775970"/>
                <wp:effectExtent l="4445" t="1905" r="10795" b="9525"/>
                <wp:wrapNone/>
                <wp:docPr id="84" name="自选图形 9387"/>
                <wp:cNvGraphicFramePr/>
                <a:graphic xmlns:a="http://schemas.openxmlformats.org/drawingml/2006/main">
                  <a:graphicData uri="http://schemas.microsoft.com/office/word/2010/wordprocessingShape">
                    <wps:wsp>
                      <wps:cNvCnPr/>
                      <wps:spPr>
                        <a:xfrm>
                          <a:off x="0" y="0"/>
                          <a:ext cx="314960" cy="775970"/>
                        </a:xfrm>
                        <a:prstGeom prst="straightConnector1">
                          <a:avLst/>
                        </a:prstGeom>
                        <a:ln w="9525" cap="flat" cmpd="sng">
                          <a:solidFill>
                            <a:srgbClr val="FF0000"/>
                          </a:solidFill>
                          <a:prstDash val="solid"/>
                          <a:headEnd type="none" w="med" len="med"/>
                          <a:tailEnd type="triangle" w="sm" len="med"/>
                        </a:ln>
                      </wps:spPr>
                      <wps:bodyPr/>
                    </wps:wsp>
                  </a:graphicData>
                </a:graphic>
              </wp:anchor>
            </w:drawing>
          </mc:Choice>
          <mc:Fallback>
            <w:pict>
              <v:shape id="自选图形 9387" o:spid="_x0000_s1026" o:spt="32" type="#_x0000_t32" style="position:absolute;left:0pt;margin-left:145.6pt;margin-top:172.15pt;height:61.1pt;width:24.8pt;z-index:251670528;mso-width-relative:page;mso-height-relative:page;" filled="f" stroked="t" coordsize="21600,21600" o:gfxdata="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mudkLZAAAACwEAAA8AAAAAAAAAAQAgAAAA&#10;IgAAAGRycy9kb3ducmV2LnhtbFBLAQIUABQAAAAIAIdO4kAhDYhdCgIAAO4DAAAOAAAAAAAAAAEA&#10;IAAAACgBAABkcnMvZTJvRG9jLnhtbFBLBQYAAAAABgAGAFkBAACkBQAAAAA=&#10;">
                <v:fill on="f" focussize="0,0"/>
                <v:stroke color="#FF0000" joinstyle="round" endarrow="block" endarrowwidth="narrow"/>
                <v:imagedata o:title=""/>
                <o:lock v:ext="edit" aspectratio="f"/>
              </v:shape>
            </w:pict>
          </mc:Fallback>
        </mc:AlternateContent>
      </w: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1007110</wp:posOffset>
                </wp:positionH>
                <wp:positionV relativeFrom="paragraph">
                  <wp:posOffset>1293495</wp:posOffset>
                </wp:positionV>
                <wp:extent cx="914400" cy="251460"/>
                <wp:effectExtent l="0" t="0" r="0" b="0"/>
                <wp:wrapNone/>
                <wp:docPr id="372" name="Text Box 381"/>
                <wp:cNvGraphicFramePr/>
                <a:graphic xmlns:a="http://schemas.openxmlformats.org/drawingml/2006/main">
                  <a:graphicData uri="http://schemas.microsoft.com/office/word/2010/wordprocessingShape">
                    <wps:wsp>
                      <wps:cNvSpPr txBox="1">
                        <a:spLocks noChangeArrowheads="1"/>
                      </wps:cNvSpPr>
                      <wps:spPr bwMode="auto">
                        <a:xfrm>
                          <a:off x="0" y="0"/>
                          <a:ext cx="914400" cy="251460"/>
                        </a:xfrm>
                        <a:prstGeom prst="rect">
                          <a:avLst/>
                        </a:prstGeom>
                        <a:noFill/>
                        <a:ln>
                          <a:noFill/>
                        </a:ln>
                        <a:effectLst/>
                      </wps:spPr>
                      <wps:txbx>
                        <w:txbxContent>
                          <w:p w14:paraId="76419340">
                            <w:pPr>
                              <w:rPr>
                                <w:rFonts w:ascii="黑体" w:hAnsi="黑体" w:eastAsia="黑体"/>
                                <w:color w:val="FF0000"/>
                                <w:sz w:val="16"/>
                              </w:rPr>
                            </w:pPr>
                            <w:r>
                              <w:rPr>
                                <w:rFonts w:ascii="黑体" w:hAnsi="黑体" w:eastAsia="黑体"/>
                                <w:color w:val="FF0000"/>
                                <w:sz w:val="16"/>
                              </w:rPr>
                              <w:t>本项目位置</w:t>
                            </w:r>
                          </w:p>
                        </w:txbxContent>
                      </wps:txbx>
                      <wps:bodyPr rot="0" vert="horz" wrap="square" lIns="91440" tIns="45720" rIns="91440" bIns="45720" anchor="t" anchorCtr="0" upright="1">
                        <a:noAutofit/>
                      </wps:bodyPr>
                    </wps:wsp>
                  </a:graphicData>
                </a:graphic>
              </wp:anchor>
            </w:drawing>
          </mc:Choice>
          <mc:Fallback>
            <w:pict>
              <v:shape id="Text Box 381" o:spid="_x0000_s1026" o:spt="202" type="#_x0000_t202" style="position:absolute;left:0pt;margin-left:79.3pt;margin-top:101.85pt;height:19.8pt;width:72pt;z-index:251671552;mso-width-relative:page;mso-height-relative:page;" filled="f" stroked="f" coordsize="21600,21600" o:gfxdata="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SbIhJ1wAAAAsBAAAPAAAAAAAAAAEAIAAA&#10;ACIAAABkcnMvZG93bnJldi54bWxQSwECFAAUAAAACACHTuJAD83FNw0CAAAlBAAADgAAAAAAAAAB&#10;ACAAAAAmAQAAZHJzL2Uyb0RvYy54bWxQSwUGAAAAAAYABgBZAQAApQUAAAAA&#10;">
                <v:fill on="f" focussize="0,0"/>
                <v:stroke on="f"/>
                <v:imagedata o:title=""/>
                <o:lock v:ext="edit" aspectratio="f"/>
                <v:textbox>
                  <w:txbxContent>
                    <w:p w14:paraId="76419340">
                      <w:pPr>
                        <w:rPr>
                          <w:rFonts w:ascii="黑体" w:hAnsi="黑体" w:eastAsia="黑体"/>
                          <w:color w:val="FF0000"/>
                          <w:sz w:val="16"/>
                        </w:rPr>
                      </w:pPr>
                      <w:r>
                        <w:rPr>
                          <w:rFonts w:ascii="黑体" w:hAnsi="黑体" w:eastAsia="黑体"/>
                          <w:color w:val="FF0000"/>
                          <w:sz w:val="16"/>
                        </w:rPr>
                        <w:t>本项目位置</w:t>
                      </w:r>
                    </w:p>
                  </w:txbxContent>
                </v:textbox>
              </v:shape>
            </w:pict>
          </mc:Fallback>
        </mc:AlternateContent>
      </w: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1017905</wp:posOffset>
                </wp:positionH>
                <wp:positionV relativeFrom="paragraph">
                  <wp:posOffset>1469390</wp:posOffset>
                </wp:positionV>
                <wp:extent cx="107950" cy="107950"/>
                <wp:effectExtent l="13970" t="15875" r="17780" b="15875"/>
                <wp:wrapNone/>
                <wp:docPr id="85" name="自选图形 9389"/>
                <wp:cNvGraphicFramePr/>
                <a:graphic xmlns:a="http://schemas.openxmlformats.org/drawingml/2006/main">
                  <a:graphicData uri="http://schemas.microsoft.com/office/word/2010/wordprocessingShape">
                    <wps:wsp>
                      <wps:cNvSpPr/>
                      <wps:spPr>
                        <a:xfrm>
                          <a:off x="0" y="0"/>
                          <a:ext cx="107950" cy="107950"/>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9389" o:spid="_x0000_s1026" style="position:absolute;left:0pt;margin-left:80.15pt;margin-top:115.7pt;height:8.5pt;width:8.5pt;z-index:251672576;mso-width-relative:page;mso-height-relative:page;" fillcolor="#FF0000" filled="t" stroked="t" coordsize="107950,107950" o:gfxdata="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vHDEHYAAAACwEAAA8AAAAAAAAAAQAgAAAAIgAA&#10;AGRycy9kb3ducmV2LnhtbFBLAQIUABQAAAAIAIdO4kCRQZrbCAIAACgEAAAOAAAAAAAAAAEAIAAA&#10;ACcBAABkcnMvZTJvRG9jLnhtbFBLBQYAAAAABgAGAFkBAAChBQAAAAA=&#10;" path="m0,41233l41233,41233,53975,0,66716,41233,107949,41233,74591,66716,87333,107949,53975,82465,20616,107949,33358,66716xe">
                <v:path o:connectlocs="53975,0;0,41233;20616,107949;87333,107949;107949,41233" o:connectangles="247,164,82,82,0"/>
                <v:fill on="t" focussize="0,0"/>
                <v:stroke color="#000000" joinstyle="miter"/>
                <v:imagedata o:title=""/>
                <o:lock v:ext="edit" aspectratio="f"/>
              </v:shape>
            </w:pict>
          </mc:Fallback>
        </mc:AlternateContent>
      </w:r>
      <w:r>
        <w:rPr>
          <w:rFonts w:hint="default"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663360" behindDoc="0" locked="0" layoutInCell="1" allowOverlap="1">
            <wp:simplePos x="0" y="0"/>
            <wp:positionH relativeFrom="column">
              <wp:posOffset>249555</wp:posOffset>
            </wp:positionH>
            <wp:positionV relativeFrom="paragraph">
              <wp:posOffset>723900</wp:posOffset>
            </wp:positionV>
            <wp:extent cx="2124075" cy="1438275"/>
            <wp:effectExtent l="19050" t="19050" r="28575" b="28575"/>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3" cstate="print"/>
                    <a:srcRect/>
                    <a:stretch>
                      <a:fillRect/>
                    </a:stretch>
                  </pic:blipFill>
                  <pic:spPr>
                    <a:xfrm>
                      <a:off x="0" y="0"/>
                      <a:ext cx="2124075" cy="1438275"/>
                    </a:xfrm>
                    <a:prstGeom prst="rect">
                      <a:avLst/>
                    </a:prstGeom>
                    <a:noFill/>
                    <a:ln w="9525">
                      <a:solidFill>
                        <a:schemeClr val="tx1"/>
                      </a:solidFill>
                      <a:miter lim="800000"/>
                      <a:headEnd/>
                      <a:tailEnd/>
                    </a:ln>
                  </pic:spPr>
                </pic:pic>
              </a:graphicData>
            </a:graphic>
          </wp:anchor>
        </w:drawing>
      </w: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5278755" cy="7459345"/>
            <wp:effectExtent l="19050" t="0" r="0" b="0"/>
            <wp:docPr id="15" name="图片 2" descr="C:\Users\余健\AppData\Local\Temp\360zip$Temp\360$1\5  淮南市生态保护红线分布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descr="C:\Users\余健\AppData\Local\Temp\360zip$Temp\360$1\5  淮南市生态保护红线分布图.jpg"/>
                    <pic:cNvPicPr>
                      <a:picLocks noChangeAspect="1" noChangeArrowheads="1"/>
                    </pic:cNvPicPr>
                  </pic:nvPicPr>
                  <pic:blipFill>
                    <a:blip r:embed="rId24" cstate="print"/>
                    <a:srcRect/>
                    <a:stretch>
                      <a:fillRect/>
                    </a:stretch>
                  </pic:blipFill>
                  <pic:spPr>
                    <a:xfrm>
                      <a:off x="0" y="0"/>
                      <a:ext cx="5278755" cy="7459826"/>
                    </a:xfrm>
                    <a:prstGeom prst="rect">
                      <a:avLst/>
                    </a:prstGeom>
                    <a:noFill/>
                    <a:ln w="9525">
                      <a:noFill/>
                      <a:miter lim="800000"/>
                      <a:headEnd/>
                      <a:tailEnd/>
                    </a:ln>
                  </pic:spPr>
                </pic:pic>
              </a:graphicData>
            </a:graphic>
          </wp:inline>
        </w:drawing>
      </w:r>
    </w:p>
    <w:p w14:paraId="17D2A186">
      <w:pPr>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图2.</w:t>
      </w:r>
      <w:r>
        <w:rPr>
          <w:rFonts w:hint="eastAsia" w:eastAsia="黑体" w:cs="Times New Roman"/>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color w:val="000000" w:themeColor="text1"/>
          <w:sz w:val="24"/>
          <w:szCs w:val="24"/>
          <w14:textFill>
            <w14:solidFill>
              <w14:schemeClr w14:val="tx1"/>
            </w14:solidFill>
          </w14:textFill>
        </w:rPr>
        <w:t>-</w:t>
      </w:r>
      <w:r>
        <w:rPr>
          <w:rFonts w:hint="eastAsia" w:eastAsia="黑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黑体" w:cs="Times New Roman"/>
          <w:color w:val="000000" w:themeColor="text1"/>
          <w:sz w:val="24"/>
          <w:szCs w:val="24"/>
          <w14:textFill>
            <w14:solidFill>
              <w14:schemeClr w14:val="tx1"/>
            </w14:solidFill>
          </w14:textFill>
        </w:rPr>
        <w:t>本项目与生态保护红线位置关系图</w:t>
      </w:r>
    </w:p>
    <w:p w14:paraId="5737479C">
      <w:pPr>
        <w:autoSpaceDE w:val="0"/>
        <w:autoSpaceDN w:val="0"/>
        <w:spacing w:line="360" w:lineRule="auto"/>
        <w:rPr>
          <w:rFonts w:hint="default" w:ascii="Times New Roman" w:hAnsi="Times New Roman" w:cs="Times New Roman"/>
          <w:color w:val="000000" w:themeColor="text1"/>
          <w:sz w:val="24"/>
          <w:szCs w:val="24"/>
          <w14:textFill>
            <w14:solidFill>
              <w14:schemeClr w14:val="tx1"/>
            </w14:solidFill>
          </w14:textFill>
        </w:rPr>
      </w:pPr>
    </w:p>
    <w:p w14:paraId="416E5EB9">
      <w:pPr>
        <w:autoSpaceDE w:val="0"/>
        <w:autoSpaceDN w:val="0"/>
        <w:spacing w:line="360" w:lineRule="auto"/>
        <w:rPr>
          <w:rFonts w:hint="default" w:ascii="Times New Roman" w:hAnsi="Times New Roman" w:cs="Times New Roman"/>
          <w:color w:val="000000" w:themeColor="text1"/>
          <w:sz w:val="24"/>
          <w:szCs w:val="24"/>
          <w14:textFill>
            <w14:solidFill>
              <w14:schemeClr w14:val="tx1"/>
            </w14:solidFill>
          </w14:textFill>
        </w:rPr>
      </w:pPr>
    </w:p>
    <w:p w14:paraId="00FB670B">
      <w:pPr>
        <w:autoSpaceDE w:val="0"/>
        <w:autoSpaceDN w:val="0"/>
        <w:spacing w:line="360" w:lineRule="auto"/>
        <w:rPr>
          <w:rFonts w:hint="default" w:ascii="Times New Roman" w:hAnsi="Times New Roman" w:cs="Times New Roman"/>
          <w:color w:val="000000" w:themeColor="text1"/>
          <w:sz w:val="24"/>
          <w:szCs w:val="24"/>
          <w14:textFill>
            <w14:solidFill>
              <w14:schemeClr w14:val="tx1"/>
            </w14:solidFill>
          </w14:textFill>
        </w:rPr>
      </w:pPr>
    </w:p>
    <w:p w14:paraId="6FC03244">
      <w:pPr>
        <w:autoSpaceDE w:val="0"/>
        <w:autoSpaceDN w:val="0"/>
        <w:spacing w:line="360" w:lineRule="auto"/>
        <w:rPr>
          <w:rFonts w:hint="default" w:ascii="Times New Roman" w:hAnsi="Times New Roman" w:cs="Times New Roman"/>
          <w:color w:val="000000" w:themeColor="text1"/>
          <w:sz w:val="24"/>
          <w:szCs w:val="24"/>
          <w14:textFill>
            <w14:solidFill>
              <w14:schemeClr w14:val="tx1"/>
            </w14:solidFill>
          </w14:textFill>
        </w:rPr>
        <w:sectPr>
          <w:pgSz w:w="11907" w:h="16839"/>
          <w:pgMar w:top="1440" w:right="1797" w:bottom="1440" w:left="1797" w:header="851" w:footer="992" w:gutter="0"/>
          <w:pgBorders>
            <w:top w:val="none" w:sz="0" w:space="0"/>
            <w:left w:val="none" w:sz="0" w:space="0"/>
            <w:bottom w:val="none" w:sz="0" w:space="0"/>
            <w:right w:val="none" w:sz="0" w:space="0"/>
          </w:pgBorders>
          <w:cols w:space="720" w:num="1"/>
          <w:docGrid w:type="linesAndChars" w:linePitch="312" w:charSpace="0"/>
        </w:sectPr>
      </w:pPr>
    </w:p>
    <w:p w14:paraId="5C414E64">
      <w:pPr>
        <w:pStyle w:val="251"/>
        <w:ind w:firstLine="199" w:firstLineChars="83"/>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二、环境质量底线以及环境分区管控</w:t>
      </w:r>
    </w:p>
    <w:p w14:paraId="7C1F313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1、环境质量底线</w:t>
      </w:r>
    </w:p>
    <w:p w14:paraId="3C7807D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（1）根据淮南市生态环境局公布的《</w:t>
      </w:r>
      <w:r>
        <w:rPr>
          <w:rFonts w:hint="default" w:ascii="Times New Roman" w:hAnsi="Times New Roman" w:cs="Times New Roman"/>
          <w:color w:val="000000" w:themeColor="text1"/>
          <w:lang w:eastAsia="zh-CN"/>
          <w14:textFill>
            <w14:solidFill>
              <w14:schemeClr w14:val="tx1"/>
            </w14:solidFill>
          </w14:textFill>
        </w:rPr>
        <w:t>2024年淮南市生态环境质量状况公报</w:t>
      </w:r>
      <w:r>
        <w:rPr>
          <w:rFonts w:hint="default" w:ascii="Times New Roman" w:hAnsi="Times New Roman" w:cs="Times New Roman"/>
          <w:color w:val="000000" w:themeColor="text1"/>
          <w14:textFill>
            <w14:solidFill>
              <w14:schemeClr w14:val="tx1"/>
            </w14:solidFill>
          </w14:textFill>
        </w:rPr>
        <w:t>》中大气环境质量部分内容，并结合《环境空气质量标准》（GB3095-2012）及2018年修改单中二级标准可知，项目所在区</w:t>
      </w:r>
      <w:r>
        <w:rPr>
          <w:rFonts w:hint="default" w:ascii="Times New Roman" w:hAnsi="Times New Roman" w:cs="Times New Roman"/>
          <w:bCs/>
          <w:color w:val="000000" w:themeColor="text1"/>
          <w14:textFill>
            <w14:solidFill>
              <w14:schemeClr w14:val="tx1"/>
            </w14:solidFill>
          </w14:textFill>
        </w:rPr>
        <w:t>PM</w:t>
      </w:r>
      <w:r>
        <w:rPr>
          <w:rFonts w:hint="default" w:ascii="Times New Roman" w:hAnsi="Times New Roman" w:cs="Times New Roman"/>
          <w:bCs/>
          <w:color w:val="000000" w:themeColor="text1"/>
          <w:vertAlign w:val="subscript"/>
          <w14:textFill>
            <w14:solidFill>
              <w14:schemeClr w14:val="tx1"/>
            </w14:solidFill>
          </w14:textFill>
        </w:rPr>
        <w:t>2.5</w:t>
      </w:r>
      <w:r>
        <w:rPr>
          <w:rFonts w:hint="default" w:ascii="Times New Roman" w:hAnsi="Times New Roman" w:cs="Times New Roman"/>
          <w:color w:val="000000" w:themeColor="text1"/>
          <w14:textFill>
            <w14:solidFill>
              <w14:schemeClr w14:val="tx1"/>
            </w14:solidFill>
          </w14:textFill>
        </w:rPr>
        <w:t>平均质量浓度超标倍数为0.1</w:t>
      </w:r>
      <w:r>
        <w:rPr>
          <w:rFonts w:hint="default"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，其他基本污染物均达标。因此，项目所在区域判定为不达标区。</w:t>
      </w:r>
    </w:p>
    <w:p w14:paraId="7834571D">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w:t>
      </w:r>
      <w:r>
        <w:rPr>
          <w:rFonts w:hint="default" w:ascii="Times New Roman" w:hAnsi="Times New Roman" w:cs="Times New Roman"/>
          <w:color w:val="000000" w:themeColor="text1"/>
          <w:lang w:val="en-US" w:eastAsia="zh-CN"/>
          <w14:textFill>
            <w14:solidFill>
              <w14:schemeClr w14:val="tx1"/>
            </w14:solidFill>
          </w14:textFill>
        </w:rPr>
        <w:t>引用监测数据和</w:t>
      </w:r>
      <w:r>
        <w:rPr>
          <w:rFonts w:hint="default" w:ascii="Times New Roman" w:hAnsi="Times New Roman" w:cs="Times New Roman"/>
          <w:color w:val="000000" w:themeColor="text1"/>
          <w14:textFill>
            <w14:solidFill>
              <w14:schemeClr w14:val="tx1"/>
            </w14:solidFill>
          </w14:textFill>
        </w:rPr>
        <w:t>现状监测结果，监测期间区域大气环境TSP满足《环境空气质量标准》（GB3095-2012）表2及附录A中二级浓度限值要求；</w:t>
      </w:r>
      <w:r>
        <w:rPr>
          <w:rFonts w:hint="default" w:ascii="Times New Roman" w:hAnsi="Times New Roman" w:cs="Times New Roman"/>
          <w:color w:val="000000" w:themeColor="text1"/>
          <w:lang w:val="en-US" w:eastAsia="zh-CN"/>
          <w14:textFill>
            <w14:solidFill>
              <w14:schemeClr w14:val="tx1"/>
            </w14:solidFill>
          </w14:textFill>
        </w:rPr>
        <w:t>硫化氢</w:t>
      </w:r>
      <w:r>
        <w:rPr>
          <w:rFonts w:hint="default" w:ascii="Times New Roman" w:hAnsi="Times New Roman" w:cs="Times New Roman"/>
          <w:color w:val="000000" w:themeColor="text1"/>
          <w14:textFill>
            <w14:solidFill>
              <w14:schemeClr w14:val="tx1"/>
            </w14:solidFill>
          </w14:textFill>
        </w:rPr>
        <w:t>、氨满足《环境影响评价技术导则大气环境》（HJ2.2-2018）附录D中表D.1其他污染物空气质量浓度参考限值要求；非甲烷总烃满足《大气污染物综合排放标准详解》中限值要求。</w:t>
      </w:r>
    </w:p>
    <w:p w14:paraId="2B9736D9">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（2）根据安徽省淮南生态环境监测中心</w:t>
      </w:r>
      <w:r>
        <w:rPr>
          <w:rFonts w:hint="eastAsia" w:ascii="Times New Roman" w:hAnsi="Times New Roman" w:cs="Times New Roman"/>
          <w:color w:val="000000" w:themeColor="text1"/>
          <w:lang w:val="en-US" w:eastAsia="zh-CN"/>
          <w14:textFill>
            <w14:solidFill>
              <w14:schemeClr w14:val="tx1"/>
            </w14:solidFill>
          </w14:textFill>
        </w:rPr>
        <w:t>发布的《</w:t>
      </w:r>
      <w:r>
        <w:rPr>
          <w:rFonts w:hint="default" w:ascii="Times New Roman" w:hAnsi="Times New Roman" w:cs="Times New Roman"/>
          <w:color w:val="000000" w:themeColor="text1"/>
          <w:lang w:eastAsia="zh-CN"/>
          <w14:textFill>
            <w14:solidFill>
              <w14:schemeClr w14:val="tx1"/>
            </w14:solidFill>
          </w14:textFill>
        </w:rPr>
        <w:t>2025年11月环境质量月报</w:t>
      </w:r>
      <w:r>
        <w:rPr>
          <w:rFonts w:hint="eastAsia"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，西淝河</w:t>
      </w:r>
      <w:r>
        <w:rPr>
          <w:rFonts w:hint="eastAsia" w:ascii="Times New Roman" w:hAnsi="Times New Roman" w:cs="Times New Roman"/>
          <w:color w:val="000000" w:themeColor="text1"/>
          <w:lang w:eastAsia="zh-CN"/>
          <w14:textFill>
            <w14:solidFill>
              <w14:schemeClr w14:val="tx1"/>
            </w14:solidFill>
          </w14:textFill>
        </w:rPr>
        <w:t>和淮河</w:t>
      </w:r>
      <w:r>
        <w:rPr>
          <w:rFonts w:hint="default" w:ascii="Times New Roman" w:hAnsi="Times New Roman" w:cs="Times New Roman"/>
          <w:color w:val="000000" w:themeColor="text1"/>
          <w14:textFill>
            <w14:solidFill>
              <w14:schemeClr w14:val="tx1"/>
            </w14:solidFill>
          </w14:textFill>
        </w:rPr>
        <w:t>断面水质满足《地表水环境质量标准》（GB3838-2002）中Ⅲ类标准要求。</w:t>
      </w:r>
    </w:p>
    <w:p w14:paraId="31685A0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（3）根据引用监测数据，项目区域各监测点所有监测因子均符合《地下水质量标准》（GB/T14848-2017）中Ⅲ类标准。</w:t>
      </w:r>
    </w:p>
    <w:p w14:paraId="5F2177A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（4）根据引用监测数据，项目</w:t>
      </w:r>
      <w:r>
        <w:rPr>
          <w:rFonts w:hint="default" w:ascii="Times New Roman" w:hAnsi="Times New Roman" w:cs="Times New Roman"/>
          <w:color w:val="000000" w:themeColor="text1"/>
          <w:lang w:val="en-US" w:eastAsia="zh-CN"/>
          <w14:textFill>
            <w14:solidFill>
              <w14:schemeClr w14:val="tx1"/>
            </w14:solidFill>
          </w14:textFill>
        </w:rPr>
        <w:t>评价范围</w:t>
      </w:r>
      <w:r>
        <w:rPr>
          <w:rFonts w:hint="default" w:ascii="Times New Roman" w:hAnsi="Times New Roman" w:cs="Times New Roman"/>
          <w:color w:val="000000" w:themeColor="text1"/>
          <w14:textFill>
            <w14:solidFill>
              <w14:schemeClr w14:val="tx1"/>
            </w14:solidFill>
          </w14:textFill>
        </w:rPr>
        <w:t>内土壤监测结果满足《土壤环境质量建设用地土壤污染风险管控标准》中的第二类用地筛选值。</w:t>
      </w:r>
    </w:p>
    <w:p w14:paraId="22D8403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综上所述，项目的建设符合环境质量底线要求。</w:t>
      </w:r>
    </w:p>
    <w:p w14:paraId="190738C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2、环境分区管控</w:t>
      </w:r>
    </w:p>
    <w:p w14:paraId="6BFE06B5">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（1）大气环境管控分区管控要求</w:t>
      </w:r>
    </w:p>
    <w:p w14:paraId="21688372">
      <w:pPr>
        <w:pStyle w:val="251"/>
        <w:ind w:firstLine="480"/>
        <w:rPr>
          <w:rFonts w:hint="default" w:ascii="Times New Roman" w:hAnsi="Times New Roman" w:eastAsia="黑体"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根据《长江经济带战略环境评价-安徽省淮南市生态环境分区管控编制文本》，本项目属于大气环境高排放重点管控区。</w:t>
      </w:r>
    </w:p>
    <w:p w14:paraId="2E0AA296">
      <w:pPr>
        <w:adjustRightInd w:val="0"/>
        <w:spacing w:line="360" w:lineRule="auto"/>
        <w:jc w:val="center"/>
        <w:rPr>
          <w:rFonts w:hint="default" w:ascii="Times New Roman" w:hAnsi="Times New Roman" w:eastAsia="黑体" w:cs="Times New Roman"/>
          <w:color w:val="000000" w:themeColor="text1"/>
          <w14:textFill>
            <w14:solidFill>
              <w14:schemeClr w14:val="tx1"/>
            </w14:solidFill>
          </w14:textFill>
        </w:rPr>
      </w:pPr>
      <w:r>
        <w:rPr>
          <w:rFonts w:hint="default" w:ascii="Times New Roman" w:hAnsi="Times New Roman" w:eastAsia="黑体" w:cs="Times New Roman"/>
          <w:bCs/>
          <w:color w:val="000000" w:themeColor="text1"/>
          <w:sz w:val="24"/>
          <w:szCs w:val="24"/>
          <w14:textFill>
            <w14:solidFill>
              <w14:schemeClr w14:val="tx1"/>
            </w14:solidFill>
          </w14:textFill>
        </w:rPr>
        <w:t>表2.</w:t>
      </w:r>
      <w:r>
        <w:rPr>
          <w:rFonts w:hint="eastAsia" w:eastAsia="黑体" w:cs="Times New Roman"/>
          <w:bCs/>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bCs/>
          <w:color w:val="000000" w:themeColor="text1"/>
          <w:sz w:val="24"/>
          <w:szCs w:val="24"/>
          <w14:textFill>
            <w14:solidFill>
              <w14:schemeClr w14:val="tx1"/>
            </w14:solidFill>
          </w14:textFill>
        </w:rPr>
        <w:t>-</w:t>
      </w:r>
      <w:r>
        <w:rPr>
          <w:rFonts w:hint="eastAsia" w:eastAsia="黑体" w:cs="Times New Roman"/>
          <w:bCs/>
          <w:color w:val="000000" w:themeColor="text1"/>
          <w:sz w:val="24"/>
          <w:szCs w:val="24"/>
          <w:lang w:val="en-US" w:eastAsia="zh-CN"/>
          <w14:textFill>
            <w14:solidFill>
              <w14:schemeClr w14:val="tx1"/>
            </w14:solidFill>
          </w14:textFill>
        </w:rPr>
        <w:t>9</w:t>
      </w:r>
      <w:r>
        <w:rPr>
          <w:rFonts w:hint="default" w:ascii="Times New Roman" w:hAnsi="Times New Roman" w:eastAsia="黑体" w:cs="Times New Roman"/>
          <w:bCs/>
          <w:color w:val="000000" w:themeColor="text1"/>
          <w:sz w:val="24"/>
          <w:szCs w:val="24"/>
          <w14:textFill>
            <w14:solidFill>
              <w14:schemeClr w14:val="tx1"/>
            </w14:solidFill>
          </w14:textFill>
        </w:rPr>
        <w:t>与大气环境分区管控要求的协调性分析</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27"/>
        <w:gridCol w:w="4251"/>
        <w:gridCol w:w="2751"/>
      </w:tblGrid>
      <w:tr w14:paraId="3F1C13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95" w:type="pct"/>
            <w:tcBorders>
              <w:top w:val="single" w:color="auto" w:sz="12" w:space="0"/>
              <w:left w:val="nil"/>
              <w:bottom w:val="single" w:color="auto" w:sz="6" w:space="0"/>
              <w:right w:val="single" w:color="auto" w:sz="6" w:space="0"/>
            </w:tcBorders>
            <w:vAlign w:val="center"/>
          </w:tcPr>
          <w:p w14:paraId="206FF204">
            <w:pPr>
              <w:spacing w:line="276" w:lineRule="auto"/>
              <w:jc w:val="center"/>
              <w:rPr>
                <w:rFonts w:hint="default" w:ascii="Times New Roman" w:hAnsi="Times New Roman" w:cs="Times New Roman"/>
                <w:b/>
                <w:bCs/>
                <w:color w:val="000000" w:themeColor="text1"/>
                <w:kern w:val="2"/>
                <w:sz w:val="21"/>
                <w:szCs w:val="21"/>
                <w14:textFill>
                  <w14:solidFill>
                    <w14:schemeClr w14:val="tx1"/>
                  </w14:solidFill>
                </w14:textFill>
              </w:rPr>
            </w:pPr>
            <w:r>
              <w:rPr>
                <w:rFonts w:hint="default" w:ascii="Times New Roman" w:hAnsi="Times New Roman" w:cs="Times New Roman"/>
                <w:b/>
                <w:bCs/>
                <w:color w:val="000000" w:themeColor="text1"/>
                <w:kern w:val="2"/>
                <w:sz w:val="21"/>
                <w:szCs w:val="21"/>
                <w14:textFill>
                  <w14:solidFill>
                    <w14:schemeClr w14:val="tx1"/>
                  </w14:solidFill>
                </w14:textFill>
              </w:rPr>
              <w:t>管控单元分类</w:t>
            </w:r>
          </w:p>
        </w:tc>
        <w:tc>
          <w:tcPr>
            <w:tcW w:w="2492" w:type="pct"/>
            <w:tcBorders>
              <w:top w:val="single" w:color="auto" w:sz="12" w:space="0"/>
              <w:left w:val="single" w:color="auto" w:sz="6" w:space="0"/>
              <w:bottom w:val="single" w:color="auto" w:sz="6" w:space="0"/>
              <w:right w:val="single" w:color="auto" w:sz="6" w:space="0"/>
            </w:tcBorders>
            <w:vAlign w:val="center"/>
          </w:tcPr>
          <w:p w14:paraId="23B8219B">
            <w:pPr>
              <w:spacing w:line="276" w:lineRule="auto"/>
              <w:jc w:val="center"/>
              <w:rPr>
                <w:rFonts w:hint="default" w:ascii="Times New Roman" w:hAnsi="Times New Roman" w:cs="Times New Roman"/>
                <w:b/>
                <w:bCs/>
                <w:color w:val="000000" w:themeColor="text1"/>
                <w:kern w:val="2"/>
                <w:sz w:val="21"/>
                <w:szCs w:val="21"/>
                <w14:textFill>
                  <w14:solidFill>
                    <w14:schemeClr w14:val="tx1"/>
                  </w14:solidFill>
                </w14:textFill>
              </w:rPr>
            </w:pPr>
            <w:r>
              <w:rPr>
                <w:rFonts w:hint="default" w:ascii="Times New Roman" w:hAnsi="Times New Roman" w:cs="Times New Roman"/>
                <w:b/>
                <w:bCs/>
                <w:color w:val="000000" w:themeColor="text1"/>
                <w:kern w:val="2"/>
                <w:sz w:val="21"/>
                <w:szCs w:val="21"/>
                <w14:textFill>
                  <w14:solidFill>
                    <w14:schemeClr w14:val="tx1"/>
                  </w14:solidFill>
                </w14:textFill>
              </w:rPr>
              <w:t>环境管控要求</w:t>
            </w:r>
          </w:p>
        </w:tc>
        <w:tc>
          <w:tcPr>
            <w:tcW w:w="1613" w:type="pct"/>
            <w:tcBorders>
              <w:top w:val="single" w:color="auto" w:sz="12" w:space="0"/>
              <w:left w:val="single" w:color="auto" w:sz="6" w:space="0"/>
              <w:bottom w:val="single" w:color="auto" w:sz="6" w:space="0"/>
              <w:right w:val="nil"/>
            </w:tcBorders>
            <w:vAlign w:val="center"/>
          </w:tcPr>
          <w:p w14:paraId="5445FF86">
            <w:pPr>
              <w:spacing w:line="276" w:lineRule="auto"/>
              <w:jc w:val="center"/>
              <w:rPr>
                <w:rFonts w:hint="default" w:ascii="Times New Roman" w:hAnsi="Times New Roman" w:cs="Times New Roman"/>
                <w:b/>
                <w:bCs/>
                <w:color w:val="000000" w:themeColor="text1"/>
                <w:kern w:val="2"/>
                <w:sz w:val="21"/>
                <w:szCs w:val="21"/>
                <w14:textFill>
                  <w14:solidFill>
                    <w14:schemeClr w14:val="tx1"/>
                  </w14:solidFill>
                </w14:textFill>
              </w:rPr>
            </w:pPr>
            <w:r>
              <w:rPr>
                <w:rFonts w:hint="default" w:ascii="Times New Roman" w:hAnsi="Times New Roman" w:cs="Times New Roman"/>
                <w:b/>
                <w:bCs/>
                <w:color w:val="000000" w:themeColor="text1"/>
                <w:kern w:val="2"/>
                <w:sz w:val="21"/>
                <w:szCs w:val="21"/>
                <w14:textFill>
                  <w14:solidFill>
                    <w14:schemeClr w14:val="tx1"/>
                  </w14:solidFill>
                </w14:textFill>
              </w:rPr>
              <w:t>协调性分析</w:t>
            </w:r>
          </w:p>
        </w:tc>
      </w:tr>
      <w:tr w14:paraId="2999D59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95" w:type="pct"/>
            <w:tcBorders>
              <w:top w:val="single" w:color="auto" w:sz="6" w:space="0"/>
              <w:left w:val="nil"/>
              <w:bottom w:val="single" w:color="auto" w:sz="12" w:space="0"/>
              <w:right w:val="single" w:color="auto" w:sz="6" w:space="0"/>
            </w:tcBorders>
            <w:vAlign w:val="center"/>
          </w:tcPr>
          <w:p w14:paraId="20D1353A">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重点管控区</w:t>
            </w:r>
          </w:p>
        </w:tc>
        <w:tc>
          <w:tcPr>
            <w:tcW w:w="2492" w:type="pct"/>
            <w:tcBorders>
              <w:top w:val="single" w:color="auto" w:sz="6" w:space="0"/>
              <w:left w:val="single" w:color="auto" w:sz="6" w:space="0"/>
              <w:bottom w:val="single" w:color="auto" w:sz="12" w:space="0"/>
              <w:right w:val="single" w:color="auto" w:sz="6" w:space="0"/>
            </w:tcBorders>
            <w:vAlign w:val="center"/>
          </w:tcPr>
          <w:p w14:paraId="07C6A5F0">
            <w:pPr>
              <w:spacing w:line="276" w:lineRule="auto"/>
              <w:jc w:val="center"/>
              <w:rPr>
                <w:rFonts w:hint="default" w:ascii="Times New Roman" w:hAnsi="Times New Roman" w:cs="Times New Roman"/>
                <w:bCs/>
                <w:color w:val="000000" w:themeColor="text1"/>
                <w:kern w:val="2"/>
                <w:sz w:val="21"/>
                <w:szCs w:val="21"/>
                <w14:textFill>
                  <w14:solidFill>
                    <w14:schemeClr w14:val="tx1"/>
                  </w14:solidFill>
                </w14:textFill>
              </w:rPr>
            </w:pPr>
            <w:r>
              <w:rPr>
                <w:rFonts w:hint="default" w:ascii="Times New Roman" w:hAnsi="Times New Roman" w:cs="Times New Roman"/>
                <w:bCs/>
                <w:color w:val="000000" w:themeColor="text1"/>
                <w:kern w:val="2"/>
                <w:sz w:val="21"/>
                <w:szCs w:val="21"/>
                <w:lang w:bidi="en-US"/>
                <w14:textFill>
                  <w14:solidFill>
                    <w14:schemeClr w14:val="tx1"/>
                  </w14:solidFill>
                </w14:textFill>
              </w:rPr>
              <w:t>落实《“十四五”生态环境保护规划》《安徽省“十四五”环境保护规划》《安徽省自然保护地建设项目准入负面清单（试行）》《淮南市“十四五”生态环境保护规划》（淮环通〔2022〕46号）《淮南市“十四五”大气污染防治规划》（淮环委办[2022]49号）《深入打好污染防治攻坚战行动方案》（淮发〔2022〕17号）等要求，严格目标实施计划，加强环境监管，促进生态环境质量好转。上年度PM</w:t>
            </w:r>
            <w:r>
              <w:rPr>
                <w:rFonts w:hint="default" w:ascii="Times New Roman" w:hAnsi="Times New Roman" w:cs="Times New Roman"/>
                <w:bCs/>
                <w:color w:val="000000" w:themeColor="text1"/>
                <w:kern w:val="2"/>
                <w:sz w:val="21"/>
                <w:szCs w:val="21"/>
                <w:vertAlign w:val="subscript"/>
                <w:lang w:bidi="en-US"/>
                <w14:textFill>
                  <w14:solidFill>
                    <w14:schemeClr w14:val="tx1"/>
                  </w14:solidFill>
                </w14:textFill>
              </w:rPr>
              <w:t>2.5</w:t>
            </w:r>
            <w:r>
              <w:rPr>
                <w:rFonts w:hint="default" w:ascii="Times New Roman" w:hAnsi="Times New Roman" w:cs="Times New Roman"/>
                <w:bCs/>
                <w:color w:val="000000" w:themeColor="text1"/>
                <w:kern w:val="2"/>
                <w:sz w:val="21"/>
                <w:szCs w:val="21"/>
                <w:lang w:bidi="en-US"/>
                <w14:textFill>
                  <w14:solidFill>
                    <w14:schemeClr w14:val="tx1"/>
                  </w14:solidFill>
                </w14:textFill>
              </w:rPr>
              <w:t>不达标城市新建、改建和扩建项目大气污染物实施“倍量替代”，执行特别排放标准的行业实施提标升级改造。</w:t>
            </w:r>
          </w:p>
        </w:tc>
        <w:tc>
          <w:tcPr>
            <w:tcW w:w="1613" w:type="pct"/>
            <w:tcBorders>
              <w:top w:val="single" w:color="auto" w:sz="6" w:space="0"/>
              <w:left w:val="single" w:color="auto" w:sz="6" w:space="0"/>
              <w:bottom w:val="single" w:color="auto" w:sz="12" w:space="0"/>
              <w:right w:val="nil"/>
            </w:tcBorders>
            <w:vAlign w:val="center"/>
          </w:tcPr>
          <w:p w14:paraId="09A8FBE0">
            <w:pPr>
              <w:spacing w:line="276" w:lineRule="auto"/>
              <w:jc w:val="center"/>
              <w:rPr>
                <w:rFonts w:hint="default" w:ascii="Times New Roman" w:hAnsi="Times New Roman" w:cs="Times New Roman"/>
                <w:bCs/>
                <w:color w:val="000000" w:themeColor="text1"/>
                <w:kern w:val="2"/>
                <w:sz w:val="21"/>
                <w:szCs w:val="21"/>
                <w14:textFill>
                  <w14:solidFill>
                    <w14:schemeClr w14:val="tx1"/>
                  </w14:solidFill>
                </w14:textFill>
              </w:rPr>
            </w:pPr>
            <w:r>
              <w:rPr>
                <w:rFonts w:hint="default" w:ascii="Times New Roman" w:hAnsi="Times New Roman" w:cs="Times New Roman"/>
                <w:bCs/>
                <w:color w:val="000000" w:themeColor="text1"/>
                <w:kern w:val="2"/>
                <w:sz w:val="21"/>
                <w:szCs w:val="21"/>
                <w14:textFill>
                  <w14:solidFill>
                    <w14:schemeClr w14:val="tx1"/>
                  </w14:solidFill>
                </w14:textFill>
              </w:rPr>
              <w:t>项目落实《安徽省“十四五”环境保护规划》</w:t>
            </w:r>
            <w:r>
              <w:rPr>
                <w:rFonts w:hint="default" w:ascii="Times New Roman" w:hAnsi="Times New Roman" w:cs="Times New Roman"/>
                <w:bCs/>
                <w:color w:val="000000" w:themeColor="text1"/>
                <w:kern w:val="2"/>
                <w:sz w:val="21"/>
                <w:szCs w:val="21"/>
                <w:lang w:bidi="en-US"/>
                <w14:textFill>
                  <w14:solidFill>
                    <w14:schemeClr w14:val="tx1"/>
                  </w14:solidFill>
                </w14:textFill>
              </w:rPr>
              <w:t>《淮南市“十四五”生态环境保护规划》（淮环通〔2022〕46号）《淮南市“十四五”大气污染防治规划》（淮环委办[2022]49号）《深入打好污染防治攻坚战行动方案》（淮发〔2022〕17号）等要求</w:t>
            </w:r>
            <w:r>
              <w:rPr>
                <w:rFonts w:hint="default" w:ascii="Times New Roman" w:hAnsi="Times New Roman" w:cs="Times New Roman"/>
                <w:bCs/>
                <w:color w:val="000000" w:themeColor="text1"/>
                <w:kern w:val="2"/>
                <w:sz w:val="21"/>
                <w:szCs w:val="21"/>
                <w14:textFill>
                  <w14:solidFill>
                    <w14:schemeClr w14:val="tx1"/>
                  </w14:solidFill>
                </w14:textFill>
              </w:rPr>
              <w:t>。</w:t>
            </w:r>
          </w:p>
        </w:tc>
      </w:tr>
    </w:tbl>
    <w:p w14:paraId="0525ADF9">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2、水环境分区管控要求</w:t>
      </w:r>
    </w:p>
    <w:p w14:paraId="24D47B1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根据《长江经济带战略环境评价-安徽省淮南市生态环境分区管控编制文本》，本项目属于水环境工业污染重点管控区。</w:t>
      </w:r>
    </w:p>
    <w:p w14:paraId="09F665DB">
      <w:pPr>
        <w:adjustRightInd w:val="0"/>
        <w:spacing w:line="360" w:lineRule="auto"/>
        <w:jc w:val="center"/>
        <w:rPr>
          <w:rFonts w:hint="default" w:ascii="Times New Roman" w:hAnsi="Times New Roman" w:eastAsia="黑体" w:cs="Times New Roman"/>
          <w:bCs/>
          <w:color w:val="000000" w:themeColor="text1"/>
          <w:sz w:val="24"/>
          <w:szCs w:val="24"/>
          <w14:textFill>
            <w14:solidFill>
              <w14:schemeClr w14:val="tx1"/>
            </w14:solidFill>
          </w14:textFill>
        </w:rPr>
      </w:pPr>
      <w:r>
        <w:rPr>
          <w:rFonts w:hint="default" w:ascii="Times New Roman" w:hAnsi="Times New Roman" w:eastAsia="黑体" w:cs="Times New Roman"/>
          <w:bCs/>
          <w:color w:val="000000" w:themeColor="text1"/>
          <w:sz w:val="24"/>
          <w:szCs w:val="24"/>
          <w14:textFill>
            <w14:solidFill>
              <w14:schemeClr w14:val="tx1"/>
            </w14:solidFill>
          </w14:textFill>
        </w:rPr>
        <w:t>表2.</w:t>
      </w:r>
      <w:r>
        <w:rPr>
          <w:rFonts w:hint="eastAsia" w:eastAsia="黑体" w:cs="Times New Roman"/>
          <w:bCs/>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bCs/>
          <w:color w:val="000000" w:themeColor="text1"/>
          <w:sz w:val="24"/>
          <w:szCs w:val="24"/>
          <w14:textFill>
            <w14:solidFill>
              <w14:schemeClr w14:val="tx1"/>
            </w14:solidFill>
          </w14:textFill>
        </w:rPr>
        <w:t>-</w:t>
      </w:r>
      <w:r>
        <w:rPr>
          <w:rFonts w:hint="eastAsia" w:eastAsia="黑体" w:cs="Times New Roman"/>
          <w:bCs/>
          <w:color w:val="000000" w:themeColor="text1"/>
          <w:sz w:val="24"/>
          <w:szCs w:val="24"/>
          <w:lang w:val="en-US" w:eastAsia="zh-CN"/>
          <w14:textFill>
            <w14:solidFill>
              <w14:schemeClr w14:val="tx1"/>
            </w14:solidFill>
          </w14:textFill>
        </w:rPr>
        <w:t>10</w:t>
      </w:r>
      <w:r>
        <w:rPr>
          <w:rFonts w:hint="default" w:ascii="Times New Roman" w:hAnsi="Times New Roman" w:eastAsia="黑体" w:cs="Times New Roman"/>
          <w:bCs/>
          <w:color w:val="000000" w:themeColor="text1"/>
          <w:sz w:val="24"/>
          <w:szCs w:val="24"/>
          <w14:textFill>
            <w14:solidFill>
              <w14:schemeClr w14:val="tx1"/>
            </w14:solidFill>
          </w14:textFill>
        </w:rPr>
        <w:t>与水环境分区管控要求的协调性分析</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27"/>
        <w:gridCol w:w="4251"/>
        <w:gridCol w:w="2751"/>
      </w:tblGrid>
      <w:tr w14:paraId="3CEB3D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5" w:type="pct"/>
            <w:tcBorders>
              <w:top w:val="single" w:color="auto" w:sz="12" w:space="0"/>
              <w:left w:val="nil"/>
              <w:bottom w:val="single" w:color="auto" w:sz="6" w:space="0"/>
              <w:right w:val="single" w:color="auto" w:sz="6" w:space="0"/>
            </w:tcBorders>
            <w:vAlign w:val="center"/>
          </w:tcPr>
          <w:p w14:paraId="0AF7A8FA">
            <w:pPr>
              <w:spacing w:line="276" w:lineRule="auto"/>
              <w:jc w:val="center"/>
              <w:rPr>
                <w:rFonts w:hint="default" w:ascii="Times New Roman" w:hAnsi="Times New Roman" w:cs="Times New Roman"/>
                <w:b/>
                <w:bCs/>
                <w:color w:val="000000" w:themeColor="text1"/>
                <w:kern w:val="2"/>
                <w:sz w:val="21"/>
                <w:szCs w:val="21"/>
                <w14:textFill>
                  <w14:solidFill>
                    <w14:schemeClr w14:val="tx1"/>
                  </w14:solidFill>
                </w14:textFill>
              </w:rPr>
            </w:pPr>
            <w:r>
              <w:rPr>
                <w:rFonts w:hint="default" w:ascii="Times New Roman" w:hAnsi="Times New Roman" w:cs="Times New Roman"/>
                <w:b/>
                <w:bCs/>
                <w:color w:val="000000" w:themeColor="text1"/>
                <w:kern w:val="2"/>
                <w:sz w:val="21"/>
                <w:szCs w:val="21"/>
                <w14:textFill>
                  <w14:solidFill>
                    <w14:schemeClr w14:val="tx1"/>
                  </w14:solidFill>
                </w14:textFill>
              </w:rPr>
              <w:t>管控单元分类</w:t>
            </w:r>
          </w:p>
        </w:tc>
        <w:tc>
          <w:tcPr>
            <w:tcW w:w="2492" w:type="pct"/>
            <w:tcBorders>
              <w:top w:val="single" w:color="auto" w:sz="12" w:space="0"/>
              <w:left w:val="single" w:color="auto" w:sz="6" w:space="0"/>
              <w:bottom w:val="single" w:color="auto" w:sz="6" w:space="0"/>
              <w:right w:val="single" w:color="auto" w:sz="6" w:space="0"/>
            </w:tcBorders>
            <w:vAlign w:val="center"/>
          </w:tcPr>
          <w:p w14:paraId="4F17F423">
            <w:pPr>
              <w:spacing w:line="276" w:lineRule="auto"/>
              <w:jc w:val="center"/>
              <w:rPr>
                <w:rFonts w:hint="default" w:ascii="Times New Roman" w:hAnsi="Times New Roman" w:cs="Times New Roman"/>
                <w:b/>
                <w:bCs/>
                <w:color w:val="000000" w:themeColor="text1"/>
                <w:kern w:val="2"/>
                <w:sz w:val="21"/>
                <w:szCs w:val="21"/>
                <w14:textFill>
                  <w14:solidFill>
                    <w14:schemeClr w14:val="tx1"/>
                  </w14:solidFill>
                </w14:textFill>
              </w:rPr>
            </w:pPr>
            <w:r>
              <w:rPr>
                <w:rFonts w:hint="default" w:ascii="Times New Roman" w:hAnsi="Times New Roman" w:cs="Times New Roman"/>
                <w:b/>
                <w:bCs/>
                <w:color w:val="000000" w:themeColor="text1"/>
                <w:kern w:val="2"/>
                <w:sz w:val="21"/>
                <w:szCs w:val="21"/>
                <w14:textFill>
                  <w14:solidFill>
                    <w14:schemeClr w14:val="tx1"/>
                  </w14:solidFill>
                </w14:textFill>
              </w:rPr>
              <w:t>环境管控要求</w:t>
            </w:r>
          </w:p>
        </w:tc>
        <w:tc>
          <w:tcPr>
            <w:tcW w:w="1613" w:type="pct"/>
            <w:tcBorders>
              <w:top w:val="single" w:color="auto" w:sz="12" w:space="0"/>
              <w:left w:val="single" w:color="auto" w:sz="6" w:space="0"/>
              <w:bottom w:val="single" w:color="auto" w:sz="6" w:space="0"/>
              <w:right w:val="nil"/>
            </w:tcBorders>
            <w:vAlign w:val="center"/>
          </w:tcPr>
          <w:p w14:paraId="5FE6B79F">
            <w:pPr>
              <w:spacing w:line="276" w:lineRule="auto"/>
              <w:jc w:val="center"/>
              <w:rPr>
                <w:rFonts w:hint="default" w:ascii="Times New Roman" w:hAnsi="Times New Roman" w:cs="Times New Roman"/>
                <w:b/>
                <w:bCs/>
                <w:color w:val="000000" w:themeColor="text1"/>
                <w:kern w:val="2"/>
                <w:sz w:val="21"/>
                <w:szCs w:val="21"/>
                <w14:textFill>
                  <w14:solidFill>
                    <w14:schemeClr w14:val="tx1"/>
                  </w14:solidFill>
                </w14:textFill>
              </w:rPr>
            </w:pPr>
            <w:r>
              <w:rPr>
                <w:rFonts w:hint="default" w:ascii="Times New Roman" w:hAnsi="Times New Roman" w:cs="Times New Roman"/>
                <w:b/>
                <w:bCs/>
                <w:color w:val="000000" w:themeColor="text1"/>
                <w:kern w:val="2"/>
                <w:sz w:val="21"/>
                <w:szCs w:val="21"/>
                <w14:textFill>
                  <w14:solidFill>
                    <w14:schemeClr w14:val="tx1"/>
                  </w14:solidFill>
                </w14:textFill>
              </w:rPr>
              <w:t>协调性分析</w:t>
            </w:r>
          </w:p>
        </w:tc>
      </w:tr>
      <w:tr w14:paraId="21E9C8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5" w:type="pct"/>
            <w:tcBorders>
              <w:top w:val="single" w:color="auto" w:sz="6" w:space="0"/>
              <w:left w:val="nil"/>
              <w:bottom w:val="single" w:color="auto" w:sz="12" w:space="0"/>
              <w:right w:val="single" w:color="auto" w:sz="6" w:space="0"/>
            </w:tcBorders>
            <w:vAlign w:val="center"/>
          </w:tcPr>
          <w:p w14:paraId="3557027A">
            <w:pPr>
              <w:spacing w:line="276" w:lineRule="auto"/>
              <w:jc w:val="center"/>
              <w:rPr>
                <w:rFonts w:hint="default" w:ascii="Times New Roman" w:hAnsi="Times New Roman" w:cs="Times New Roman"/>
                <w:bCs/>
                <w:color w:val="000000" w:themeColor="text1"/>
                <w:kern w:val="2"/>
                <w:sz w:val="21"/>
                <w:szCs w:val="21"/>
                <w14:textFill>
                  <w14:solidFill>
                    <w14:schemeClr w14:val="tx1"/>
                  </w14:solidFill>
                </w14:textFill>
              </w:rPr>
            </w:pPr>
            <w:r>
              <w:rPr>
                <w:rFonts w:hint="default" w:ascii="Times New Roman" w:hAnsi="Times New Roman" w:cs="Times New Roman"/>
                <w:bCs/>
                <w:color w:val="000000" w:themeColor="text1"/>
                <w:kern w:val="2"/>
                <w:sz w:val="21"/>
                <w:szCs w:val="21"/>
                <w14:textFill>
                  <w14:solidFill>
                    <w14:schemeClr w14:val="tx1"/>
                  </w14:solidFill>
                </w14:textFill>
              </w:rPr>
              <w:t>重点管控区</w:t>
            </w:r>
          </w:p>
        </w:tc>
        <w:tc>
          <w:tcPr>
            <w:tcW w:w="2492" w:type="pct"/>
            <w:tcBorders>
              <w:top w:val="single" w:color="auto" w:sz="6" w:space="0"/>
              <w:left w:val="single" w:color="auto" w:sz="6" w:space="0"/>
              <w:bottom w:val="single" w:color="auto" w:sz="12" w:space="0"/>
              <w:right w:val="single" w:color="auto" w:sz="6" w:space="0"/>
            </w:tcBorders>
            <w:vAlign w:val="center"/>
          </w:tcPr>
          <w:p w14:paraId="0E2CFDB1">
            <w:pPr>
              <w:spacing w:line="276" w:lineRule="auto"/>
              <w:jc w:val="center"/>
              <w:rPr>
                <w:rFonts w:hint="default" w:ascii="Times New Roman" w:hAnsi="Times New Roman" w:cs="Times New Roman"/>
                <w:bCs/>
                <w:color w:val="000000" w:themeColor="text1"/>
                <w:kern w:val="2"/>
                <w:sz w:val="21"/>
                <w:szCs w:val="21"/>
                <w14:textFill>
                  <w14:solidFill>
                    <w14:schemeClr w14:val="tx1"/>
                  </w14:solidFill>
                </w14:textFill>
              </w:rPr>
            </w:pPr>
            <w:r>
              <w:rPr>
                <w:rFonts w:hint="default" w:ascii="Times New Roman" w:hAnsi="Times New Roman" w:cs="Times New Roman"/>
                <w:bCs/>
                <w:color w:val="000000" w:themeColor="text1"/>
                <w:kern w:val="2"/>
                <w:sz w:val="21"/>
                <w:szCs w:val="21"/>
                <w14:textFill>
                  <w14:solidFill>
                    <w14:schemeClr w14:val="tx1"/>
                  </w14:solidFill>
                </w14:textFill>
              </w:rPr>
              <w:t>依据《中华人民共和国水污染防治法》《水污染防治行动计划》《安徽省水污染防治工作方案》及《淮南市水生态环境保护“十四五”规划》（淮环通[2022]97号）对重点管控区实施管控；依据《安徽省淮河流域水污染防治条例》对淮河流域实施管控；依据开发区规划、规划环评及审查意见相关要求对开发区实施管控；落实《“十四五”生态环境保护规划》《安徽省“十四五”环境保护规划》《安徽省“十四五”节能减排实施方案》《安徽省“十四五”重点流域水生态环境保护规划》等要求，新建、改建和扩建项目水污染物实施“等量替代”。</w:t>
            </w:r>
          </w:p>
        </w:tc>
        <w:tc>
          <w:tcPr>
            <w:tcW w:w="1613" w:type="pct"/>
            <w:tcBorders>
              <w:top w:val="single" w:color="auto" w:sz="6" w:space="0"/>
              <w:left w:val="single" w:color="auto" w:sz="6" w:space="0"/>
              <w:bottom w:val="single" w:color="auto" w:sz="12" w:space="0"/>
              <w:right w:val="nil"/>
            </w:tcBorders>
            <w:vAlign w:val="center"/>
          </w:tcPr>
          <w:p w14:paraId="48A5B6B8">
            <w:pPr>
              <w:spacing w:line="276" w:lineRule="auto"/>
              <w:jc w:val="center"/>
              <w:rPr>
                <w:rFonts w:hint="default" w:ascii="Times New Roman" w:hAnsi="Times New Roman" w:eastAsia="宋体" w:cs="Times New Roman"/>
                <w:bCs/>
                <w:color w:val="000000" w:themeColor="text1"/>
                <w:kern w:val="2"/>
                <w:sz w:val="21"/>
                <w:szCs w:val="21"/>
                <w:lang w:eastAsia="zh-CN"/>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项目落实《“十四五”生态环境保护规划》《安徽省“十四五”环境保护规划》《安徽省“十四五”节能减排实施方案》《安徽省“十四五”重点流域水生态环境保护规划》等要求；</w:t>
            </w:r>
            <w:r>
              <w:rPr>
                <w:rFonts w:hint="default" w:ascii="Times New Roman" w:hAnsi="Times New Roman" w:cs="Times New Roman"/>
                <w:bCs/>
                <w:color w:val="000000" w:themeColor="text1"/>
                <w:sz w:val="21"/>
                <w:szCs w:val="21"/>
                <w:lang w:bidi="en-US"/>
                <w14:textFill>
                  <w14:solidFill>
                    <w14:schemeClr w14:val="tx1"/>
                  </w14:solidFill>
                </w14:textFill>
              </w:rPr>
              <w:t>本项目</w:t>
            </w:r>
            <w:r>
              <w:rPr>
                <w:rFonts w:hint="default" w:ascii="Times New Roman" w:hAnsi="Times New Roman" w:cs="Times New Roman"/>
                <w:bCs/>
                <w:color w:val="000000" w:themeColor="text1"/>
                <w:sz w:val="21"/>
                <w:szCs w:val="21"/>
                <w:lang w:val="en-US" w:eastAsia="zh-CN" w:bidi="en-US"/>
                <w14:textFill>
                  <w14:solidFill>
                    <w14:schemeClr w14:val="tx1"/>
                  </w14:solidFill>
                </w14:textFill>
              </w:rPr>
              <w:t>废水经处理后达到</w:t>
            </w:r>
            <w:r>
              <w:rPr>
                <w:rFonts w:hint="default" w:ascii="Times New Roman" w:hAnsi="Times New Roman" w:cs="Times New Roman"/>
                <w:color w:val="000000" w:themeColor="text1"/>
                <w:sz w:val="21"/>
                <w:szCs w:val="21"/>
                <w14:textFill>
                  <w14:solidFill>
                    <w14:schemeClr w14:val="tx1"/>
                  </w14:solidFill>
                </w14:textFill>
              </w:rPr>
              <w:t>毛集实验区污水处理厂接管标准后排入毛集实验区污水处理厂集中处理</w:t>
            </w:r>
            <w:r>
              <w:rPr>
                <w:rFonts w:hint="default" w:ascii="Times New Roman" w:hAnsi="Times New Roman" w:cs="Times New Roman"/>
                <w:bCs/>
                <w:color w:val="000000" w:themeColor="text1"/>
                <w:sz w:val="21"/>
                <w:szCs w:val="21"/>
                <w:lang w:bidi="en-US"/>
                <w14:textFill>
                  <w14:solidFill>
                    <w14:schemeClr w14:val="tx1"/>
                  </w14:solidFill>
                </w14:textFill>
              </w:rPr>
              <w:t>，</w:t>
            </w:r>
            <w:r>
              <w:rPr>
                <w:rFonts w:hint="default" w:ascii="Times New Roman" w:hAnsi="Times New Roman" w:cs="Times New Roman"/>
                <w:bCs/>
                <w:color w:val="000000" w:themeColor="text1"/>
                <w:sz w:val="21"/>
                <w:szCs w:val="21"/>
                <w:lang w:val="en-US" w:eastAsia="zh-CN" w:bidi="en-US"/>
                <w14:textFill>
                  <w14:solidFill>
                    <w14:schemeClr w14:val="tx1"/>
                  </w14:solidFill>
                </w14:textFill>
              </w:rPr>
              <w:t>总量纳入污水处理厂总量中，</w:t>
            </w:r>
            <w:r>
              <w:rPr>
                <w:rFonts w:hint="default" w:ascii="Times New Roman" w:hAnsi="Times New Roman" w:cs="Times New Roman"/>
                <w:bCs/>
                <w:color w:val="000000" w:themeColor="text1"/>
                <w:sz w:val="21"/>
                <w:szCs w:val="21"/>
                <w:lang w:bidi="en-US"/>
                <w14:textFill>
                  <w14:solidFill>
                    <w14:schemeClr w14:val="tx1"/>
                  </w14:solidFill>
                </w14:textFill>
              </w:rPr>
              <w:t>无需另外申请</w:t>
            </w:r>
            <w:r>
              <w:rPr>
                <w:rFonts w:hint="default" w:ascii="Times New Roman" w:hAnsi="Times New Roman" w:cs="Times New Roman"/>
                <w:bCs/>
                <w:color w:val="000000" w:themeColor="text1"/>
                <w:sz w:val="21"/>
                <w:szCs w:val="21"/>
                <w:lang w:eastAsia="zh-CN" w:bidi="en-US"/>
                <w14:textFill>
                  <w14:solidFill>
                    <w14:schemeClr w14:val="tx1"/>
                  </w14:solidFill>
                </w14:textFill>
              </w:rPr>
              <w:t>。</w:t>
            </w:r>
          </w:p>
        </w:tc>
      </w:tr>
    </w:tbl>
    <w:p w14:paraId="09F75154">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3、土壤环境分区管控要求</w:t>
      </w:r>
    </w:p>
    <w:p w14:paraId="595E569D">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根据《长江经济带战略环境评价-安徽省淮南市生态环境分区管控编制文本》，本项目属于土壤环境一般管控区。</w:t>
      </w:r>
    </w:p>
    <w:p w14:paraId="40E519AD">
      <w:pPr>
        <w:adjustRightInd w:val="0"/>
        <w:spacing w:line="360" w:lineRule="auto"/>
        <w:jc w:val="center"/>
        <w:rPr>
          <w:rFonts w:hint="default" w:ascii="Times New Roman" w:hAnsi="Times New Roman" w:eastAsia="黑体" w:cs="Times New Roman"/>
          <w:bCs/>
          <w:color w:val="000000" w:themeColor="text1"/>
          <w:sz w:val="24"/>
          <w:szCs w:val="24"/>
          <w14:textFill>
            <w14:solidFill>
              <w14:schemeClr w14:val="tx1"/>
            </w14:solidFill>
          </w14:textFill>
        </w:rPr>
      </w:pPr>
      <w:r>
        <w:rPr>
          <w:rFonts w:hint="default" w:ascii="Times New Roman" w:hAnsi="Times New Roman" w:eastAsia="黑体" w:cs="Times New Roman"/>
          <w:bCs/>
          <w:color w:val="000000" w:themeColor="text1"/>
          <w:sz w:val="24"/>
          <w:szCs w:val="24"/>
          <w14:textFill>
            <w14:solidFill>
              <w14:schemeClr w14:val="tx1"/>
            </w14:solidFill>
          </w14:textFill>
        </w:rPr>
        <w:t>表2.</w:t>
      </w:r>
      <w:r>
        <w:rPr>
          <w:rFonts w:hint="eastAsia" w:eastAsia="黑体" w:cs="Times New Roman"/>
          <w:bCs/>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bCs/>
          <w:color w:val="000000" w:themeColor="text1"/>
          <w:sz w:val="24"/>
          <w:szCs w:val="24"/>
          <w14:textFill>
            <w14:solidFill>
              <w14:schemeClr w14:val="tx1"/>
            </w14:solidFill>
          </w14:textFill>
        </w:rPr>
        <w:t>-</w:t>
      </w:r>
      <w:r>
        <w:rPr>
          <w:rFonts w:hint="eastAsia" w:eastAsia="黑体" w:cs="Times New Roman"/>
          <w:bCs/>
          <w:color w:val="000000" w:themeColor="text1"/>
          <w:sz w:val="24"/>
          <w:szCs w:val="24"/>
          <w:lang w:val="en-US" w:eastAsia="zh-CN"/>
          <w14:textFill>
            <w14:solidFill>
              <w14:schemeClr w14:val="tx1"/>
            </w14:solidFill>
          </w14:textFill>
        </w:rPr>
        <w:t>11</w:t>
      </w:r>
      <w:r>
        <w:rPr>
          <w:rFonts w:hint="default" w:ascii="Times New Roman" w:hAnsi="Times New Roman" w:eastAsia="黑体" w:cs="Times New Roman"/>
          <w:bCs/>
          <w:color w:val="000000" w:themeColor="text1"/>
          <w:sz w:val="24"/>
          <w:szCs w:val="24"/>
          <w14:textFill>
            <w14:solidFill>
              <w14:schemeClr w14:val="tx1"/>
            </w14:solidFill>
          </w14:textFill>
        </w:rPr>
        <w:t>与土壤环境分区管控要求的协调性分析</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26"/>
        <w:gridCol w:w="4253"/>
        <w:gridCol w:w="2750"/>
      </w:tblGrid>
      <w:tr w14:paraId="294921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5" w:type="pct"/>
            <w:tcBorders>
              <w:top w:val="single" w:color="auto" w:sz="12" w:space="0"/>
              <w:left w:val="nil"/>
              <w:bottom w:val="single" w:color="auto" w:sz="6" w:space="0"/>
              <w:right w:val="single" w:color="auto" w:sz="6" w:space="0"/>
            </w:tcBorders>
            <w:vAlign w:val="center"/>
          </w:tcPr>
          <w:p w14:paraId="7B4939B1">
            <w:pPr>
              <w:spacing w:line="276" w:lineRule="auto"/>
              <w:jc w:val="center"/>
              <w:rPr>
                <w:rFonts w:hint="default" w:ascii="Times New Roman" w:hAnsi="Times New Roman" w:cs="Times New Roman"/>
                <w:b/>
                <w:bCs/>
                <w:color w:val="000000" w:themeColor="text1"/>
                <w:kern w:val="2"/>
                <w:sz w:val="21"/>
                <w:szCs w:val="21"/>
                <w14:textFill>
                  <w14:solidFill>
                    <w14:schemeClr w14:val="tx1"/>
                  </w14:solidFill>
                </w14:textFill>
              </w:rPr>
            </w:pPr>
            <w:r>
              <w:rPr>
                <w:rFonts w:hint="default" w:ascii="Times New Roman" w:hAnsi="Times New Roman" w:cs="Times New Roman"/>
                <w:b/>
                <w:bCs/>
                <w:color w:val="000000" w:themeColor="text1"/>
                <w:kern w:val="2"/>
                <w:sz w:val="21"/>
                <w:szCs w:val="21"/>
                <w14:textFill>
                  <w14:solidFill>
                    <w14:schemeClr w14:val="tx1"/>
                  </w14:solidFill>
                </w14:textFill>
              </w:rPr>
              <w:t>管控单元分类</w:t>
            </w:r>
          </w:p>
        </w:tc>
        <w:tc>
          <w:tcPr>
            <w:tcW w:w="2493" w:type="pct"/>
            <w:tcBorders>
              <w:top w:val="single" w:color="auto" w:sz="12" w:space="0"/>
              <w:left w:val="single" w:color="auto" w:sz="6" w:space="0"/>
              <w:bottom w:val="single" w:color="auto" w:sz="6" w:space="0"/>
              <w:right w:val="single" w:color="auto" w:sz="6" w:space="0"/>
            </w:tcBorders>
            <w:vAlign w:val="center"/>
          </w:tcPr>
          <w:p w14:paraId="35ECAAD7">
            <w:pPr>
              <w:spacing w:line="276" w:lineRule="auto"/>
              <w:jc w:val="center"/>
              <w:rPr>
                <w:rFonts w:hint="default" w:ascii="Times New Roman" w:hAnsi="Times New Roman" w:cs="Times New Roman"/>
                <w:b/>
                <w:bCs/>
                <w:color w:val="000000" w:themeColor="text1"/>
                <w:kern w:val="2"/>
                <w:sz w:val="21"/>
                <w:szCs w:val="21"/>
                <w14:textFill>
                  <w14:solidFill>
                    <w14:schemeClr w14:val="tx1"/>
                  </w14:solidFill>
                </w14:textFill>
              </w:rPr>
            </w:pPr>
            <w:r>
              <w:rPr>
                <w:rFonts w:hint="default" w:ascii="Times New Roman" w:hAnsi="Times New Roman" w:cs="Times New Roman"/>
                <w:b/>
                <w:bCs/>
                <w:color w:val="000000" w:themeColor="text1"/>
                <w:kern w:val="2"/>
                <w:sz w:val="21"/>
                <w:szCs w:val="21"/>
                <w14:textFill>
                  <w14:solidFill>
                    <w14:schemeClr w14:val="tx1"/>
                  </w14:solidFill>
                </w14:textFill>
              </w:rPr>
              <w:t>环境管控要求</w:t>
            </w:r>
          </w:p>
        </w:tc>
        <w:tc>
          <w:tcPr>
            <w:tcW w:w="1612" w:type="pct"/>
            <w:tcBorders>
              <w:top w:val="single" w:color="auto" w:sz="12" w:space="0"/>
              <w:left w:val="single" w:color="auto" w:sz="6" w:space="0"/>
              <w:bottom w:val="single" w:color="auto" w:sz="6" w:space="0"/>
              <w:right w:val="nil"/>
            </w:tcBorders>
            <w:vAlign w:val="center"/>
          </w:tcPr>
          <w:p w14:paraId="5D629B9E">
            <w:pPr>
              <w:spacing w:line="276" w:lineRule="auto"/>
              <w:jc w:val="center"/>
              <w:rPr>
                <w:rFonts w:hint="default" w:ascii="Times New Roman" w:hAnsi="Times New Roman" w:cs="Times New Roman"/>
                <w:b/>
                <w:bCs/>
                <w:color w:val="000000" w:themeColor="text1"/>
                <w:kern w:val="2"/>
                <w:sz w:val="21"/>
                <w:szCs w:val="21"/>
                <w14:textFill>
                  <w14:solidFill>
                    <w14:schemeClr w14:val="tx1"/>
                  </w14:solidFill>
                </w14:textFill>
              </w:rPr>
            </w:pPr>
            <w:r>
              <w:rPr>
                <w:rFonts w:hint="default" w:ascii="Times New Roman" w:hAnsi="Times New Roman" w:cs="Times New Roman"/>
                <w:b/>
                <w:bCs/>
                <w:color w:val="000000" w:themeColor="text1"/>
                <w:kern w:val="2"/>
                <w:sz w:val="21"/>
                <w:szCs w:val="21"/>
                <w14:textFill>
                  <w14:solidFill>
                    <w14:schemeClr w14:val="tx1"/>
                  </w14:solidFill>
                </w14:textFill>
              </w:rPr>
              <w:t>协调性分析</w:t>
            </w:r>
          </w:p>
        </w:tc>
      </w:tr>
      <w:tr w14:paraId="547AE4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5" w:type="pct"/>
            <w:tcBorders>
              <w:top w:val="single" w:color="auto" w:sz="6" w:space="0"/>
              <w:left w:val="nil"/>
              <w:bottom w:val="single" w:color="auto" w:sz="12" w:space="0"/>
              <w:right w:val="single" w:color="auto" w:sz="6" w:space="0"/>
            </w:tcBorders>
            <w:vAlign w:val="center"/>
          </w:tcPr>
          <w:p w14:paraId="03C39AE6">
            <w:pPr>
              <w:spacing w:line="276" w:lineRule="auto"/>
              <w:jc w:val="center"/>
              <w:rPr>
                <w:rFonts w:hint="default" w:ascii="Times New Roman" w:hAnsi="Times New Roman" w:cs="Times New Roman"/>
                <w:bCs/>
                <w:color w:val="000000" w:themeColor="text1"/>
                <w:kern w:val="2"/>
                <w:sz w:val="21"/>
                <w:szCs w:val="21"/>
                <w14:textFill>
                  <w14:solidFill>
                    <w14:schemeClr w14:val="tx1"/>
                  </w14:solidFill>
                </w14:textFill>
              </w:rPr>
            </w:pPr>
            <w:r>
              <w:rPr>
                <w:rFonts w:hint="default" w:ascii="Times New Roman" w:hAnsi="Times New Roman" w:cs="Times New Roman"/>
                <w:bCs/>
                <w:color w:val="000000" w:themeColor="text1"/>
                <w:kern w:val="2"/>
                <w:sz w:val="21"/>
                <w:szCs w:val="21"/>
                <w14:textFill>
                  <w14:solidFill>
                    <w14:schemeClr w14:val="tx1"/>
                  </w14:solidFill>
                </w14:textFill>
              </w:rPr>
              <w:t>一般管控区</w:t>
            </w:r>
          </w:p>
        </w:tc>
        <w:tc>
          <w:tcPr>
            <w:tcW w:w="2493" w:type="pct"/>
            <w:tcBorders>
              <w:top w:val="single" w:color="auto" w:sz="6" w:space="0"/>
              <w:left w:val="single" w:color="auto" w:sz="6" w:space="0"/>
              <w:bottom w:val="single" w:color="auto" w:sz="12" w:space="0"/>
              <w:right w:val="single" w:color="auto" w:sz="6" w:space="0"/>
            </w:tcBorders>
            <w:vAlign w:val="center"/>
          </w:tcPr>
          <w:p w14:paraId="3D4C0F7A">
            <w:pPr>
              <w:spacing w:line="276" w:lineRule="auto"/>
              <w:rPr>
                <w:rFonts w:hint="default" w:ascii="Times New Roman" w:hAnsi="Times New Roman" w:cs="Times New Roman"/>
                <w:bCs/>
                <w:color w:val="000000" w:themeColor="text1"/>
                <w:kern w:val="2"/>
                <w:sz w:val="21"/>
                <w:szCs w:val="21"/>
                <w14:textFill>
                  <w14:solidFill>
                    <w14:schemeClr w14:val="tx1"/>
                  </w14:solidFill>
                </w14:textFill>
              </w:rPr>
            </w:pPr>
            <w:r>
              <w:rPr>
                <w:rFonts w:hint="default" w:ascii="Times New Roman" w:hAnsi="Times New Roman" w:cs="Times New Roman"/>
                <w:bCs/>
                <w:color w:val="000000" w:themeColor="text1"/>
                <w:kern w:val="2"/>
                <w:sz w:val="21"/>
                <w:szCs w:val="21"/>
                <w:lang w:bidi="en-US"/>
                <w14:textFill>
                  <w14:solidFill>
                    <w14:schemeClr w14:val="tx1"/>
                  </w14:solidFill>
                </w14:textFill>
              </w:rPr>
              <w:t>依据《中华人民共和国土壤污染防治法》《土壤污染防治行动计划》《安徽省“十四五”环境保护规划》《淮南市“十四五”生态环境保护规划》等要求及各市土壤污染防治工作方案对一般管控区实施管控。</w:t>
            </w:r>
          </w:p>
        </w:tc>
        <w:tc>
          <w:tcPr>
            <w:tcW w:w="1612" w:type="pct"/>
            <w:tcBorders>
              <w:top w:val="single" w:color="auto" w:sz="6" w:space="0"/>
              <w:left w:val="single" w:color="auto" w:sz="6" w:space="0"/>
              <w:bottom w:val="single" w:color="auto" w:sz="12" w:space="0"/>
              <w:right w:val="nil"/>
            </w:tcBorders>
            <w:vAlign w:val="center"/>
          </w:tcPr>
          <w:p w14:paraId="192A0113">
            <w:pPr>
              <w:spacing w:line="276" w:lineRule="auto"/>
              <w:jc w:val="center"/>
              <w:rPr>
                <w:rFonts w:hint="default" w:ascii="Times New Roman" w:hAnsi="Times New Roman" w:cs="Times New Roman"/>
                <w:bCs/>
                <w:color w:val="000000" w:themeColor="text1"/>
                <w:kern w:val="2"/>
                <w:sz w:val="21"/>
                <w:szCs w:val="21"/>
                <w14:textFill>
                  <w14:solidFill>
                    <w14:schemeClr w14:val="tx1"/>
                  </w14:solidFill>
                </w14:textFill>
              </w:rPr>
            </w:pPr>
            <w:r>
              <w:rPr>
                <w:rFonts w:hint="default" w:ascii="Times New Roman" w:hAnsi="Times New Roman" w:cs="Times New Roman"/>
                <w:bCs/>
                <w:color w:val="000000" w:themeColor="text1"/>
                <w:kern w:val="2"/>
                <w:sz w:val="21"/>
                <w:szCs w:val="21"/>
                <w14:textFill>
                  <w14:solidFill>
                    <w14:schemeClr w14:val="tx1"/>
                  </w14:solidFill>
                </w14:textFill>
              </w:rPr>
              <w:t>项目运营期固废按照国家有关规定进行安全处置，同时将进一步加强对土壤的跟踪管理和监控，预防对土壤产生不利影响。</w:t>
            </w:r>
          </w:p>
        </w:tc>
      </w:tr>
    </w:tbl>
    <w:p w14:paraId="22A5F80B">
      <w:pPr>
        <w:widowControl/>
        <w:spacing w:line="360" w:lineRule="auto"/>
        <w:jc w:val="left"/>
        <w:rPr>
          <w:rFonts w:hint="default" w:ascii="Times New Roman" w:hAnsi="Times New Roman" w:cs="Times New Roman"/>
          <w:color w:val="000000" w:themeColor="text1"/>
          <w:sz w:val="24"/>
          <w:szCs w:val="24"/>
          <w14:textFill>
            <w14:solidFill>
              <w14:schemeClr w14:val="tx1"/>
            </w14:solidFill>
          </w14:textFill>
        </w:rPr>
        <w:sectPr>
          <w:pgSz w:w="11907" w:h="16839"/>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p>
    <w:p w14:paraId="13CA8BFD">
      <w:pPr>
        <w:spacing w:line="36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2217420</wp:posOffset>
                </wp:positionH>
                <wp:positionV relativeFrom="paragraph">
                  <wp:posOffset>1141730</wp:posOffset>
                </wp:positionV>
                <wp:extent cx="965200" cy="311150"/>
                <wp:effectExtent l="0" t="0" r="0" b="0"/>
                <wp:wrapNone/>
                <wp:docPr id="87" name="矩形 9391"/>
                <wp:cNvGraphicFramePr/>
                <a:graphic xmlns:a="http://schemas.openxmlformats.org/drawingml/2006/main">
                  <a:graphicData uri="http://schemas.microsoft.com/office/word/2010/wordprocessingShape">
                    <wps:wsp>
                      <wps:cNvSpPr/>
                      <wps:spPr>
                        <a:xfrm>
                          <a:off x="0" y="0"/>
                          <a:ext cx="965200" cy="311150"/>
                        </a:xfrm>
                        <a:prstGeom prst="rect">
                          <a:avLst/>
                        </a:prstGeom>
                        <a:noFill/>
                        <a:ln>
                          <a:noFill/>
                        </a:ln>
                      </wps:spPr>
                      <wps:txbx>
                        <w:txbxContent>
                          <w:p w14:paraId="7650BF5A">
                            <w:pPr>
                              <w:rPr>
                                <w:rFonts w:ascii="黑体" w:hAnsi="黑体" w:eastAsia="黑体"/>
                                <w:color w:val="FF0000"/>
                                <w:sz w:val="18"/>
                              </w:rPr>
                            </w:pPr>
                            <w:r>
                              <w:rPr>
                                <w:rFonts w:ascii="黑体" w:hAnsi="黑体" w:eastAsia="黑体"/>
                                <w:color w:val="FF0000"/>
                                <w:sz w:val="18"/>
                              </w:rPr>
                              <w:t>项目所在地</w:t>
                            </w:r>
                          </w:p>
                        </w:txbxContent>
                      </wps:txbx>
                      <wps:bodyPr upright="1"/>
                    </wps:wsp>
                  </a:graphicData>
                </a:graphic>
              </wp:anchor>
            </w:drawing>
          </mc:Choice>
          <mc:Fallback>
            <w:pict>
              <v:rect id="矩形 9391" o:spid="_x0000_s1026" o:spt="1" style="position:absolute;left:0pt;margin-left:174.6pt;margin-top:89.9pt;height:24.5pt;width:76pt;z-index:251674624;mso-width-relative:page;mso-height-relative:page;" filled="f" stroked="f" coordsize="21600,21600" o:gfxdata="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CKOX7cAAAACwEA&#10;AA8AAAAAAAAAAQAgAAAAIgAAAGRycy9kb3ducmV2LnhtbFBLAQIUABQAAAAIAIdO4kAHxs/cpAEA&#10;AEQDAAAOAAAAAAAAAAEAIAAAACsBAABkcnMvZTJvRG9jLnhtbFBLBQYAAAAABgAGAFkBAABBBQAA&#10;AAA=&#10;">
                <v:fill on="f" focussize="0,0"/>
                <v:stroke on="f"/>
                <v:imagedata o:title=""/>
                <o:lock v:ext="edit" aspectratio="f"/>
                <v:textbox>
                  <w:txbxContent>
                    <w:p w14:paraId="7650BF5A">
                      <w:pPr>
                        <w:rPr>
                          <w:rFonts w:ascii="黑体" w:hAnsi="黑体" w:eastAsia="黑体"/>
                          <w:color w:val="FF0000"/>
                          <w:sz w:val="18"/>
                        </w:rPr>
                      </w:pPr>
                      <w:r>
                        <w:rPr>
                          <w:rFonts w:ascii="黑体" w:hAnsi="黑体" w:eastAsia="黑体"/>
                          <w:color w:val="FF0000"/>
                          <w:sz w:val="18"/>
                        </w:rPr>
                        <w:t>项目所在地</w:t>
                      </w:r>
                    </w:p>
                  </w:txbxContent>
                </v:textbox>
              </v:rect>
            </w:pict>
          </mc:Fallback>
        </mc:AlternateContent>
      </w: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2496185</wp:posOffset>
                </wp:positionH>
                <wp:positionV relativeFrom="paragraph">
                  <wp:posOffset>1384300</wp:posOffset>
                </wp:positionV>
                <wp:extent cx="107950" cy="107950"/>
                <wp:effectExtent l="13970" t="15875" r="17780" b="15875"/>
                <wp:wrapNone/>
                <wp:docPr id="88" name="自选图形 9392"/>
                <wp:cNvGraphicFramePr/>
                <a:graphic xmlns:a="http://schemas.openxmlformats.org/drawingml/2006/main">
                  <a:graphicData uri="http://schemas.microsoft.com/office/word/2010/wordprocessingShape">
                    <wps:wsp>
                      <wps:cNvSpPr/>
                      <wps:spPr>
                        <a:xfrm>
                          <a:off x="0" y="0"/>
                          <a:ext cx="107950" cy="107950"/>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9392" o:spid="_x0000_s1026" style="position:absolute;left:0pt;margin-left:196.55pt;margin-top:109pt;height:8.5pt;width:8.5pt;z-index:251675648;mso-width-relative:page;mso-height-relative:page;" fillcolor="#FF0000" filled="t" stroked="t" coordsize="107950,107950" o:gfxdata="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Axqf/TYAAAACwEAAA8AAAAAAAAAAQAgAAAAIgAA&#10;AGRycy9kb3ducmV2LnhtbFBLAQIUABQAAAAIAIdO4kC/r8IJCAIAACgEAAAOAAAAAAAAAAEAIAAA&#10;ACcBAABkcnMvZTJvRG9jLnhtbFBLBQYAAAAABgAGAFkBAAChBQAAAAA=&#10;" path="m0,41233l41233,41233,53975,0,66716,41233,107949,41233,74591,66716,87333,107949,53975,82465,20616,107949,33358,66716xe">
                <v:path o:connectlocs="53975,0;0,41233;20616,107949;87333,107949;107949,41233" o:connectangles="247,164,82,82,0"/>
                <v:fill on="t" focussize="0,0"/>
                <v:stroke color="#000000" joinstyle="miter"/>
                <v:imagedata o:title=""/>
                <o:lock v:ext="edit" aspectratio="f"/>
              </v:shape>
            </w:pict>
          </mc:Fallback>
        </mc:AlternateContent>
      </w: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1990090</wp:posOffset>
                </wp:positionH>
                <wp:positionV relativeFrom="paragraph">
                  <wp:posOffset>2384425</wp:posOffset>
                </wp:positionV>
                <wp:extent cx="248285" cy="395605"/>
                <wp:effectExtent l="0" t="2540" r="5715" b="8255"/>
                <wp:wrapNone/>
                <wp:docPr id="86" name="自选图形 9390"/>
                <wp:cNvGraphicFramePr/>
                <a:graphic xmlns:a="http://schemas.openxmlformats.org/drawingml/2006/main">
                  <a:graphicData uri="http://schemas.microsoft.com/office/word/2010/wordprocessingShape">
                    <wps:wsp>
                      <wps:cNvCnPr/>
                      <wps:spPr>
                        <a:xfrm flipH="1">
                          <a:off x="0" y="0"/>
                          <a:ext cx="248285" cy="395605"/>
                        </a:xfrm>
                        <a:prstGeom prst="straightConnector1">
                          <a:avLst/>
                        </a:prstGeom>
                        <a:ln w="9525" cap="flat" cmpd="sng">
                          <a:solidFill>
                            <a:srgbClr val="0000FF"/>
                          </a:solidFill>
                          <a:prstDash val="solid"/>
                          <a:headEnd type="none" w="med" len="med"/>
                          <a:tailEnd type="triangle" w="sm" len="med"/>
                        </a:ln>
                      </wps:spPr>
                      <wps:bodyPr/>
                    </wps:wsp>
                  </a:graphicData>
                </a:graphic>
              </wp:anchor>
            </w:drawing>
          </mc:Choice>
          <mc:Fallback>
            <w:pict>
              <v:shape id="自选图形 9390" o:spid="_x0000_s1026" o:spt="32" type="#_x0000_t32" style="position:absolute;left:0pt;flip:x;margin-left:156.7pt;margin-top:187.75pt;height:31.15pt;width:19.55pt;z-index:251673600;mso-width-relative:page;mso-height-relative:page;" filled="f" stroked="t" coordsize="21600,21600" o:gfxdata="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yQx6jaAAAACwEAAA8AAAAAAAAAAQAg&#10;AAAAIgAAAGRycy9kb3ducmV2LnhtbFBLAQIUABQAAAAIAIdO4kBQeMBCDAIAAPgDAAAOAAAAAAAA&#10;AAEAIAAAACkBAABkcnMvZTJvRG9jLnhtbFBLBQYAAAAABgAGAFkBAACnBQAAAAA=&#10;">
                <v:fill on="f" focussize="0,0"/>
                <v:stroke color="#0000FF" joinstyle="round" endarrow="block" endarrowwidth="narrow"/>
                <v:imagedata o:title=""/>
                <o:lock v:ext="edit" aspectratio="f"/>
              </v:shape>
            </w:pict>
          </mc:Fallback>
        </mc:AlternateContent>
      </w:r>
      <w:r>
        <w:rPr>
          <w:rFonts w:hint="default"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664384" behindDoc="0" locked="0" layoutInCell="1" allowOverlap="1">
            <wp:simplePos x="0" y="0"/>
            <wp:positionH relativeFrom="column">
              <wp:posOffset>1737995</wp:posOffset>
            </wp:positionH>
            <wp:positionV relativeFrom="paragraph">
              <wp:posOffset>948055</wp:posOffset>
            </wp:positionV>
            <wp:extent cx="2113280" cy="1437640"/>
            <wp:effectExtent l="19050" t="19050" r="20320" b="10160"/>
            <wp:wrapNone/>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noChangeArrowheads="1"/>
                    </pic:cNvPicPr>
                  </pic:nvPicPr>
                  <pic:blipFill>
                    <a:blip r:embed="rId25" cstate="print"/>
                    <a:srcRect/>
                    <a:stretch>
                      <a:fillRect/>
                    </a:stretch>
                  </pic:blipFill>
                  <pic:spPr>
                    <a:xfrm>
                      <a:off x="0" y="0"/>
                      <a:ext cx="2113280" cy="1437640"/>
                    </a:xfrm>
                    <a:prstGeom prst="rect">
                      <a:avLst/>
                    </a:prstGeom>
                    <a:noFill/>
                    <a:ln w="9525">
                      <a:solidFill>
                        <a:schemeClr val="tx1"/>
                      </a:solidFill>
                      <a:miter lim="800000"/>
                      <a:headEnd/>
                      <a:tailEnd/>
                    </a:ln>
                  </pic:spPr>
                </pic:pic>
              </a:graphicData>
            </a:graphic>
          </wp:anchor>
        </w:drawing>
      </w: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5278755" cy="7459345"/>
            <wp:effectExtent l="19050" t="0" r="0" b="0"/>
            <wp:docPr id="28" name="图片 6" descr="C:\Users\余健\AppData\Local\Temp\360zip$Pic\360$2\13淮南市大气环境分区管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descr="C:\Users\余健\AppData\Local\Temp\360zip$Pic\360$2\13淮南市大气环境分区管控图.jpg"/>
                    <pic:cNvPicPr>
                      <a:picLocks noChangeAspect="1" noChangeArrowheads="1"/>
                    </pic:cNvPicPr>
                  </pic:nvPicPr>
                  <pic:blipFill>
                    <a:blip r:embed="rId26" cstate="print"/>
                    <a:srcRect/>
                    <a:stretch>
                      <a:fillRect/>
                    </a:stretch>
                  </pic:blipFill>
                  <pic:spPr>
                    <a:xfrm>
                      <a:off x="0" y="0"/>
                      <a:ext cx="5278755" cy="7459826"/>
                    </a:xfrm>
                    <a:prstGeom prst="rect">
                      <a:avLst/>
                    </a:prstGeom>
                    <a:noFill/>
                    <a:ln w="9525">
                      <a:noFill/>
                      <a:miter lim="800000"/>
                      <a:headEnd/>
                      <a:tailEnd/>
                    </a:ln>
                  </pic:spPr>
                </pic:pic>
              </a:graphicData>
            </a:graphic>
          </wp:inline>
        </w:drawing>
      </w:r>
    </w:p>
    <w:p w14:paraId="67B76632">
      <w:pPr>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图2.</w:t>
      </w:r>
      <w:r>
        <w:rPr>
          <w:rFonts w:hint="eastAsia" w:eastAsia="黑体" w:cs="Times New Roman"/>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color w:val="000000" w:themeColor="text1"/>
          <w:sz w:val="24"/>
          <w:szCs w:val="24"/>
          <w14:textFill>
            <w14:solidFill>
              <w14:schemeClr w14:val="tx1"/>
            </w14:solidFill>
          </w14:textFill>
        </w:rPr>
        <w:t>-</w:t>
      </w:r>
      <w:r>
        <w:rPr>
          <w:rFonts w:hint="eastAsia" w:eastAsia="黑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黑体" w:cs="Times New Roman"/>
          <w:color w:val="000000" w:themeColor="text1"/>
          <w:sz w:val="24"/>
          <w:szCs w:val="24"/>
          <w14:textFill>
            <w14:solidFill>
              <w14:schemeClr w14:val="tx1"/>
            </w14:solidFill>
          </w14:textFill>
        </w:rPr>
        <w:t>本项目与淮南市大气环境分区管控区位置关系图</w:t>
      </w:r>
    </w:p>
    <w:p w14:paraId="29ED43B0">
      <w:pPr>
        <w:widowControl/>
        <w:spacing w:line="360" w:lineRule="auto"/>
        <w:jc w:val="left"/>
        <w:rPr>
          <w:rFonts w:hint="default" w:ascii="Times New Roman" w:hAnsi="Times New Roman" w:cs="Times New Roman"/>
          <w:color w:val="000000" w:themeColor="text1"/>
          <w:sz w:val="24"/>
          <w:szCs w:val="24"/>
          <w14:textFill>
            <w14:solidFill>
              <w14:schemeClr w14:val="tx1"/>
            </w14:solidFill>
          </w14:textFill>
        </w:rPr>
      </w:pPr>
    </w:p>
    <w:p w14:paraId="548651BD">
      <w:pPr>
        <w:widowControl/>
        <w:spacing w:line="360" w:lineRule="auto"/>
        <w:jc w:val="left"/>
        <w:rPr>
          <w:rFonts w:hint="default" w:ascii="Times New Roman" w:hAnsi="Times New Roman" w:cs="Times New Roman"/>
          <w:color w:val="000000" w:themeColor="text1"/>
          <w:sz w:val="24"/>
          <w:szCs w:val="24"/>
          <w14:textFill>
            <w14:solidFill>
              <w14:schemeClr w14:val="tx1"/>
            </w14:solidFill>
          </w14:textFill>
        </w:rPr>
      </w:pPr>
    </w:p>
    <w:p w14:paraId="797C75A0">
      <w:pPr>
        <w:widowControl/>
        <w:spacing w:line="360" w:lineRule="auto"/>
        <w:jc w:val="left"/>
        <w:rPr>
          <w:rFonts w:hint="default" w:ascii="Times New Roman" w:hAnsi="Times New Roman" w:cs="Times New Roman"/>
          <w:color w:val="000000" w:themeColor="text1"/>
          <w:sz w:val="24"/>
          <w:szCs w:val="24"/>
          <w14:textFill>
            <w14:solidFill>
              <w14:schemeClr w14:val="tx1"/>
            </w14:solidFill>
          </w14:textFill>
        </w:rPr>
      </w:pPr>
    </w:p>
    <w:p w14:paraId="3D0C2AD9">
      <w:pPr>
        <w:widowControl/>
        <w:spacing w:line="360" w:lineRule="auto"/>
        <w:jc w:val="left"/>
        <w:rPr>
          <w:rFonts w:hint="default" w:ascii="Times New Roman" w:hAnsi="Times New Roman" w:cs="Times New Roman"/>
          <w:color w:val="000000" w:themeColor="text1"/>
          <w:sz w:val="24"/>
          <w:szCs w:val="24"/>
          <w14:textFill>
            <w14:solidFill>
              <w14:schemeClr w14:val="tx1"/>
            </w14:solidFill>
          </w14:textFill>
        </w:rPr>
      </w:pPr>
    </w:p>
    <w:p w14:paraId="39F9325A">
      <w:pPr>
        <w:widowControl/>
        <w:spacing w:line="360" w:lineRule="auto"/>
        <w:jc w:val="left"/>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1978025</wp:posOffset>
                </wp:positionH>
                <wp:positionV relativeFrom="paragraph">
                  <wp:posOffset>2706370</wp:posOffset>
                </wp:positionV>
                <wp:extent cx="274955" cy="363220"/>
                <wp:effectExtent l="0" t="3175" r="4445" b="1905"/>
                <wp:wrapNone/>
                <wp:docPr id="89" name="自选图形 9393"/>
                <wp:cNvGraphicFramePr/>
                <a:graphic xmlns:a="http://schemas.openxmlformats.org/drawingml/2006/main">
                  <a:graphicData uri="http://schemas.microsoft.com/office/word/2010/wordprocessingShape">
                    <wps:wsp>
                      <wps:cNvCnPr/>
                      <wps:spPr>
                        <a:xfrm flipH="1">
                          <a:off x="0" y="0"/>
                          <a:ext cx="274955" cy="363220"/>
                        </a:xfrm>
                        <a:prstGeom prst="straightConnector1">
                          <a:avLst/>
                        </a:prstGeom>
                        <a:ln w="9525" cap="flat" cmpd="sng">
                          <a:solidFill>
                            <a:srgbClr val="0000FF"/>
                          </a:solidFill>
                          <a:prstDash val="solid"/>
                          <a:headEnd type="none" w="med" len="med"/>
                          <a:tailEnd type="triangle" w="sm" len="med"/>
                        </a:ln>
                      </wps:spPr>
                      <wps:bodyPr/>
                    </wps:wsp>
                  </a:graphicData>
                </a:graphic>
              </wp:anchor>
            </w:drawing>
          </mc:Choice>
          <mc:Fallback>
            <w:pict>
              <v:shape id="自选图形 9393" o:spid="_x0000_s1026" o:spt="32" type="#_x0000_t32" style="position:absolute;left:0pt;flip:x;margin-left:155.75pt;margin-top:213.1pt;height:28.6pt;width:21.65pt;z-index:251676672;mso-width-relative:page;mso-height-relative:page;" filled="f" stroked="t" coordsize="21600,21600" o:gfxdata="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leWjQtoAAAALAQAADwAAAAAA&#10;AAABACAAAAAiAAAAZHJzL2Rvd25yZXYueG1sUEsBAhQAFAAAAAgAh07iQC47hMcRAgAA+AMAAA4A&#10;AAAAAAAAAQAgAAAAKQEAAGRycy9lMm9Eb2MueG1sUEsFBgAAAAAGAAYAWQEAAKwFAAAAAA==&#10;">
                <v:fill on="f" focussize="0,0"/>
                <v:stroke color="#0000FF" joinstyle="round" endarrow="block" endarrowwidth="narrow"/>
                <v:imagedata o:title=""/>
                <o:lock v:ext="edit" aspectratio="f"/>
              </v:shape>
            </w:pict>
          </mc:Fallback>
        </mc:AlternateContent>
      </w: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2743200</wp:posOffset>
                </wp:positionH>
                <wp:positionV relativeFrom="paragraph">
                  <wp:posOffset>1562735</wp:posOffset>
                </wp:positionV>
                <wp:extent cx="850900" cy="279400"/>
                <wp:effectExtent l="0" t="0" r="0" b="0"/>
                <wp:wrapNone/>
                <wp:docPr id="90" name="矩形 9394"/>
                <wp:cNvGraphicFramePr/>
                <a:graphic xmlns:a="http://schemas.openxmlformats.org/drawingml/2006/main">
                  <a:graphicData uri="http://schemas.microsoft.com/office/word/2010/wordprocessingShape">
                    <wps:wsp>
                      <wps:cNvSpPr/>
                      <wps:spPr>
                        <a:xfrm>
                          <a:off x="0" y="0"/>
                          <a:ext cx="850900" cy="279400"/>
                        </a:xfrm>
                        <a:prstGeom prst="rect">
                          <a:avLst/>
                        </a:prstGeom>
                        <a:noFill/>
                        <a:ln>
                          <a:noFill/>
                        </a:ln>
                      </wps:spPr>
                      <wps:txbx>
                        <w:txbxContent>
                          <w:p w14:paraId="799DD855">
                            <w:pPr>
                              <w:rPr>
                                <w:rFonts w:ascii="黑体" w:hAnsi="黑体" w:eastAsia="黑体"/>
                                <w:color w:val="FF0000"/>
                                <w:sz w:val="18"/>
                              </w:rPr>
                            </w:pPr>
                            <w:r>
                              <w:rPr>
                                <w:rFonts w:hint="eastAsia" w:ascii="黑体" w:hAnsi="黑体" w:eastAsia="黑体"/>
                                <w:color w:val="FF0000"/>
                                <w:sz w:val="18"/>
                              </w:rPr>
                              <w:t>项目</w:t>
                            </w:r>
                            <w:r>
                              <w:rPr>
                                <w:rFonts w:ascii="黑体" w:hAnsi="黑体" w:eastAsia="黑体"/>
                                <w:color w:val="FF0000"/>
                                <w:sz w:val="18"/>
                              </w:rPr>
                              <w:t>所在地</w:t>
                            </w:r>
                          </w:p>
                        </w:txbxContent>
                      </wps:txbx>
                      <wps:bodyPr upright="1"/>
                    </wps:wsp>
                  </a:graphicData>
                </a:graphic>
              </wp:anchor>
            </w:drawing>
          </mc:Choice>
          <mc:Fallback>
            <w:pict>
              <v:rect id="矩形 9394" o:spid="_x0000_s1026" o:spt="1" style="position:absolute;left:0pt;margin-left:216pt;margin-top:123.05pt;height:22pt;width:67pt;z-index:251677696;mso-width-relative:page;mso-height-relative:page;" filled="f" stroked="f" coordsize="21600,21600" o:gfxdata="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Dp2AcM2wAAAAsBAAAP&#10;AAAAAAAAAAEAIAAAACIAAABkcnMvZG93bnJldi54bWxQSwECFAAUAAAACACHTuJATmYyPKMBAABE&#10;AwAADgAAAAAAAAABACAAAAAqAQAAZHJzL2Uyb0RvYy54bWxQSwUGAAAAAAYABgBZAQAAPwUAAAAA&#10;">
                <v:fill on="f" focussize="0,0"/>
                <v:stroke on="f"/>
                <v:imagedata o:title=""/>
                <o:lock v:ext="edit" aspectratio="f"/>
                <v:textbox>
                  <w:txbxContent>
                    <w:p w14:paraId="799DD855">
                      <w:pPr>
                        <w:rPr>
                          <w:rFonts w:ascii="黑体" w:hAnsi="黑体" w:eastAsia="黑体"/>
                          <w:color w:val="FF0000"/>
                          <w:sz w:val="18"/>
                        </w:rPr>
                      </w:pPr>
                      <w:r>
                        <w:rPr>
                          <w:rFonts w:hint="eastAsia" w:ascii="黑体" w:hAnsi="黑体" w:eastAsia="黑体"/>
                          <w:color w:val="FF0000"/>
                          <w:sz w:val="18"/>
                        </w:rPr>
                        <w:t>项目</w:t>
                      </w:r>
                      <w:r>
                        <w:rPr>
                          <w:rFonts w:ascii="黑体" w:hAnsi="黑体" w:eastAsia="黑体"/>
                          <w:color w:val="FF0000"/>
                          <w:sz w:val="18"/>
                        </w:rPr>
                        <w:t>所在地</w:t>
                      </w:r>
                    </w:p>
                  </w:txbxContent>
                </v:textbox>
              </v:rect>
            </w:pict>
          </mc:Fallback>
        </mc:AlternateContent>
      </w: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2698750</wp:posOffset>
                </wp:positionH>
                <wp:positionV relativeFrom="paragraph">
                  <wp:posOffset>1675765</wp:posOffset>
                </wp:positionV>
                <wp:extent cx="107950" cy="107950"/>
                <wp:effectExtent l="13970" t="15875" r="17780" b="15875"/>
                <wp:wrapNone/>
                <wp:docPr id="91" name="自选图形 9395"/>
                <wp:cNvGraphicFramePr/>
                <a:graphic xmlns:a="http://schemas.openxmlformats.org/drawingml/2006/main">
                  <a:graphicData uri="http://schemas.microsoft.com/office/word/2010/wordprocessingShape">
                    <wps:wsp>
                      <wps:cNvSpPr/>
                      <wps:spPr>
                        <a:xfrm>
                          <a:off x="0" y="0"/>
                          <a:ext cx="107950" cy="107950"/>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9395" o:spid="_x0000_s1026" style="position:absolute;left:0pt;margin-left:212.5pt;margin-top:131.95pt;height:8.5pt;width:8.5pt;z-index:251678720;mso-width-relative:page;mso-height-relative:page;" fillcolor="#FF0000" filled="t" stroked="t" coordsize="107950,107950" o:gfxdata="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Gsr6eNkAAAALAQAADwAAAAAAAAABACAAAAAiAAAA&#10;ZHJzL2Rvd25yZXYueG1sUEsBAhQAFAAAAAgAh07iQKr5dmkGAgAAKAQAAA4AAAAAAAAAAQAgAAAA&#10;KAEAAGRycy9lMm9Eb2MueG1sUEsFBgAAAAAGAAYAWQEAAKAFAAAAAA==&#10;" path="m0,41233l41233,41233,53975,0,66716,41233,107949,41233,74591,66716,87333,107949,53975,82465,20616,107949,33358,66716xe">
                <v:path o:connectlocs="53975,0;0,41233;20616,107949;87333,107949;107949,41233" o:connectangles="247,164,82,82,0"/>
                <v:fill on="t" focussize="0,0"/>
                <v:stroke color="#000000" joinstyle="miter"/>
                <v:imagedata o:title=""/>
                <o:lock v:ext="edit" aspectratio="f"/>
              </v:shape>
            </w:pict>
          </mc:Fallback>
        </mc:AlternateContent>
      </w:r>
      <w:r>
        <w:rPr>
          <w:rFonts w:hint="default"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665408" behindDoc="0" locked="0" layoutInCell="1" allowOverlap="1">
            <wp:simplePos x="0" y="0"/>
            <wp:positionH relativeFrom="column">
              <wp:posOffset>1840230</wp:posOffset>
            </wp:positionH>
            <wp:positionV relativeFrom="paragraph">
              <wp:posOffset>1250315</wp:posOffset>
            </wp:positionV>
            <wp:extent cx="2219325" cy="1440815"/>
            <wp:effectExtent l="19050" t="19050" r="28499" b="25756"/>
            <wp:wrapNone/>
            <wp:docPr id="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
                    <pic:cNvPicPr>
                      <a:picLocks noChangeAspect="1" noChangeArrowheads="1"/>
                    </pic:cNvPicPr>
                  </pic:nvPicPr>
                  <pic:blipFill>
                    <a:blip r:embed="rId27" cstate="print"/>
                    <a:srcRect/>
                    <a:stretch>
                      <a:fillRect/>
                    </a:stretch>
                  </pic:blipFill>
                  <pic:spPr>
                    <a:xfrm>
                      <a:off x="0" y="0"/>
                      <a:ext cx="2219401" cy="1441094"/>
                    </a:xfrm>
                    <a:prstGeom prst="rect">
                      <a:avLst/>
                    </a:prstGeom>
                    <a:noFill/>
                    <a:ln w="9525">
                      <a:solidFill>
                        <a:schemeClr val="tx1"/>
                      </a:solidFill>
                      <a:miter lim="800000"/>
                      <a:headEnd/>
                      <a:tailEnd/>
                    </a:ln>
                  </pic:spPr>
                </pic:pic>
              </a:graphicData>
            </a:graphic>
          </wp:anchor>
        </w:drawing>
      </w: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5278755" cy="7459345"/>
            <wp:effectExtent l="19050" t="0" r="0" b="0"/>
            <wp:docPr id="30" name="图片 10" descr="C:\Users\余健\AppData\Local\Temp\360zip$Temp\360$2\10淮南市水环境分区管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descr="C:\Users\余健\AppData\Local\Temp\360zip$Temp\360$2\10淮南市水环境分区管控图.jpg"/>
                    <pic:cNvPicPr>
                      <a:picLocks noChangeAspect="1" noChangeArrowheads="1"/>
                    </pic:cNvPicPr>
                  </pic:nvPicPr>
                  <pic:blipFill>
                    <a:blip r:embed="rId28" cstate="print"/>
                    <a:srcRect/>
                    <a:stretch>
                      <a:fillRect/>
                    </a:stretch>
                  </pic:blipFill>
                  <pic:spPr>
                    <a:xfrm>
                      <a:off x="0" y="0"/>
                      <a:ext cx="5278755" cy="7459587"/>
                    </a:xfrm>
                    <a:prstGeom prst="rect">
                      <a:avLst/>
                    </a:prstGeom>
                    <a:noFill/>
                    <a:ln w="9525">
                      <a:noFill/>
                      <a:miter lim="800000"/>
                      <a:headEnd/>
                      <a:tailEnd/>
                    </a:ln>
                  </pic:spPr>
                </pic:pic>
              </a:graphicData>
            </a:graphic>
          </wp:inline>
        </w:drawing>
      </w:r>
    </w:p>
    <w:p w14:paraId="745BBC46">
      <w:pPr>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图2.</w:t>
      </w:r>
      <w:r>
        <w:rPr>
          <w:rFonts w:hint="eastAsia" w:eastAsia="黑体" w:cs="Times New Roman"/>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color w:val="000000" w:themeColor="text1"/>
          <w:sz w:val="24"/>
          <w:szCs w:val="24"/>
          <w14:textFill>
            <w14:solidFill>
              <w14:schemeClr w14:val="tx1"/>
            </w14:solidFill>
          </w14:textFill>
        </w:rPr>
        <w:t>-</w:t>
      </w:r>
      <w:r>
        <w:rPr>
          <w:rFonts w:hint="eastAsia" w:eastAsia="黑体" w:cs="Times New Roman"/>
          <w:color w:val="000000" w:themeColor="text1"/>
          <w:sz w:val="24"/>
          <w:szCs w:val="24"/>
          <w:lang w:val="en-US" w:eastAsia="zh-CN"/>
          <w14:textFill>
            <w14:solidFill>
              <w14:schemeClr w14:val="tx1"/>
            </w14:solidFill>
          </w14:textFill>
        </w:rPr>
        <w:t>5</w:t>
      </w:r>
      <w:r>
        <w:rPr>
          <w:rFonts w:hint="default" w:ascii="Times New Roman" w:hAnsi="Times New Roman" w:eastAsia="黑体" w:cs="Times New Roman"/>
          <w:color w:val="000000" w:themeColor="text1"/>
          <w:sz w:val="24"/>
          <w:szCs w:val="24"/>
          <w14:textFill>
            <w14:solidFill>
              <w14:schemeClr w14:val="tx1"/>
            </w14:solidFill>
          </w14:textFill>
        </w:rPr>
        <w:t>本项目与淮南市水环境分区管控区位置关系图</w:t>
      </w:r>
    </w:p>
    <w:p w14:paraId="7322E0EB">
      <w:pPr>
        <w:widowControl/>
        <w:spacing w:line="360" w:lineRule="auto"/>
        <w:jc w:val="left"/>
        <w:rPr>
          <w:rFonts w:hint="default" w:ascii="Times New Roman" w:hAnsi="Times New Roman" w:cs="Times New Roman"/>
          <w:color w:val="000000" w:themeColor="text1"/>
          <w:sz w:val="24"/>
          <w:szCs w:val="24"/>
          <w14:textFill>
            <w14:solidFill>
              <w14:schemeClr w14:val="tx1"/>
            </w14:solidFill>
          </w14:textFill>
        </w:rPr>
      </w:pPr>
    </w:p>
    <w:p w14:paraId="0009D5DA">
      <w:pPr>
        <w:widowControl/>
        <w:spacing w:line="360" w:lineRule="auto"/>
        <w:jc w:val="left"/>
        <w:rPr>
          <w:rFonts w:hint="default" w:ascii="Times New Roman" w:hAnsi="Times New Roman" w:cs="Times New Roman"/>
          <w:color w:val="000000" w:themeColor="text1"/>
          <w:sz w:val="24"/>
          <w:szCs w:val="24"/>
          <w14:textFill>
            <w14:solidFill>
              <w14:schemeClr w14:val="tx1"/>
            </w14:solidFill>
          </w14:textFill>
        </w:rPr>
      </w:pPr>
    </w:p>
    <w:p w14:paraId="1E930E74">
      <w:pPr>
        <w:widowControl/>
        <w:spacing w:line="360" w:lineRule="auto"/>
        <w:jc w:val="left"/>
        <w:rPr>
          <w:rFonts w:hint="default" w:ascii="Times New Roman" w:hAnsi="Times New Roman" w:cs="Times New Roman"/>
          <w:color w:val="000000" w:themeColor="text1"/>
          <w:sz w:val="24"/>
          <w:szCs w:val="24"/>
          <w14:textFill>
            <w14:solidFill>
              <w14:schemeClr w14:val="tx1"/>
            </w14:solidFill>
          </w14:textFill>
        </w:rPr>
      </w:pPr>
    </w:p>
    <w:p w14:paraId="04CFD8FC">
      <w:pPr>
        <w:widowControl/>
        <w:spacing w:line="360" w:lineRule="auto"/>
        <w:jc w:val="left"/>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2028190</wp:posOffset>
                </wp:positionH>
                <wp:positionV relativeFrom="paragraph">
                  <wp:posOffset>2249805</wp:posOffset>
                </wp:positionV>
                <wp:extent cx="191135" cy="572135"/>
                <wp:effectExtent l="0" t="1270" r="12065" b="10795"/>
                <wp:wrapNone/>
                <wp:docPr id="97" name="自选图形 9398"/>
                <wp:cNvGraphicFramePr/>
                <a:graphic xmlns:a="http://schemas.openxmlformats.org/drawingml/2006/main">
                  <a:graphicData uri="http://schemas.microsoft.com/office/word/2010/wordprocessingShape">
                    <wps:wsp>
                      <wps:cNvCnPr/>
                      <wps:spPr>
                        <a:xfrm flipH="1">
                          <a:off x="0" y="0"/>
                          <a:ext cx="191135" cy="572135"/>
                        </a:xfrm>
                        <a:prstGeom prst="straightConnector1">
                          <a:avLst/>
                        </a:prstGeom>
                        <a:ln w="9525" cap="flat" cmpd="sng">
                          <a:solidFill>
                            <a:srgbClr val="0000FF"/>
                          </a:solidFill>
                          <a:prstDash val="solid"/>
                          <a:headEnd type="none" w="med" len="med"/>
                          <a:tailEnd type="triangle" w="sm" len="med"/>
                        </a:ln>
                      </wps:spPr>
                      <wps:bodyPr/>
                    </wps:wsp>
                  </a:graphicData>
                </a:graphic>
              </wp:anchor>
            </w:drawing>
          </mc:Choice>
          <mc:Fallback>
            <w:pict>
              <v:shape id="自选图形 9398" o:spid="_x0000_s1026" o:spt="32" type="#_x0000_t32" style="position:absolute;left:0pt;flip:x;margin-left:159.7pt;margin-top:177.15pt;height:45.05pt;width:15.05pt;z-index:251681792;mso-width-relative:page;mso-height-relative:page;" filled="f" stroked="t" coordsize="21600,21600" o:gfxdata="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03Qy2wAAAAsBAAAPAAAAAAAAAAEA&#10;IAAAACIAAABkcnMvZG93bnJldi54bWxQSwECFAAUAAAACACHTuJAgXrcFQwCAAD4AwAADgAAAAAA&#10;AAABACAAAAAqAQAAZHJzL2Uyb0RvYy54bWxQSwUGAAAAAAYABgBZAQAAqAUAAAAA&#10;">
                <v:fill on="f" focussize="0,0"/>
                <v:stroke color="#0000FF" joinstyle="round" endarrow="block" endarrowwidth="narrow"/>
                <v:imagedata o:title=""/>
                <o:lock v:ext="edit" aspectratio="f"/>
              </v:shape>
            </w:pict>
          </mc:Fallback>
        </mc:AlternateContent>
      </w: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2613025</wp:posOffset>
                </wp:positionH>
                <wp:positionV relativeFrom="paragraph">
                  <wp:posOffset>1235075</wp:posOffset>
                </wp:positionV>
                <wp:extent cx="850900" cy="279400"/>
                <wp:effectExtent l="0" t="0" r="0" b="0"/>
                <wp:wrapNone/>
                <wp:docPr id="92" name="矩形 9396"/>
                <wp:cNvGraphicFramePr/>
                <a:graphic xmlns:a="http://schemas.openxmlformats.org/drawingml/2006/main">
                  <a:graphicData uri="http://schemas.microsoft.com/office/word/2010/wordprocessingShape">
                    <wps:wsp>
                      <wps:cNvSpPr/>
                      <wps:spPr>
                        <a:xfrm>
                          <a:off x="0" y="0"/>
                          <a:ext cx="850900" cy="279400"/>
                        </a:xfrm>
                        <a:prstGeom prst="rect">
                          <a:avLst/>
                        </a:prstGeom>
                        <a:noFill/>
                        <a:ln>
                          <a:noFill/>
                        </a:ln>
                      </wps:spPr>
                      <wps:txbx>
                        <w:txbxContent>
                          <w:p w14:paraId="49E740B5">
                            <w:pPr>
                              <w:rPr>
                                <w:rFonts w:ascii="黑体" w:hAnsi="黑体" w:eastAsia="黑体"/>
                                <w:color w:val="FF0000"/>
                                <w:sz w:val="18"/>
                              </w:rPr>
                            </w:pPr>
                            <w:r>
                              <w:rPr>
                                <w:rFonts w:hint="eastAsia" w:ascii="黑体" w:hAnsi="黑体" w:eastAsia="黑体"/>
                                <w:color w:val="FF0000"/>
                                <w:sz w:val="18"/>
                              </w:rPr>
                              <w:t>项目</w:t>
                            </w:r>
                            <w:r>
                              <w:rPr>
                                <w:rFonts w:ascii="黑体" w:hAnsi="黑体" w:eastAsia="黑体"/>
                                <w:color w:val="FF0000"/>
                                <w:sz w:val="18"/>
                              </w:rPr>
                              <w:t>所在地</w:t>
                            </w:r>
                          </w:p>
                        </w:txbxContent>
                      </wps:txbx>
                      <wps:bodyPr upright="1"/>
                    </wps:wsp>
                  </a:graphicData>
                </a:graphic>
              </wp:anchor>
            </w:drawing>
          </mc:Choice>
          <mc:Fallback>
            <w:pict>
              <v:rect id="矩形 9396" o:spid="_x0000_s1026" o:spt="1" style="position:absolute;left:0pt;margin-left:205.75pt;margin-top:97.25pt;height:22pt;width:67pt;z-index:251679744;mso-width-relative:page;mso-height-relative:page;" filled="f" stroked="f" coordsize="21600,21600" o:gfxdata="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W/fXytsAAAALAQAA&#10;DwAAAAAAAAABACAAAAAiAAAAZHJzL2Rvd25yZXYueG1sUEsBAhQAFAAAAAgAh07iQDIpl1GkAQAA&#10;RAMAAA4AAAAAAAAAAQAgAAAAKgEAAGRycy9lMm9Eb2MueG1sUEsFBgAAAAAGAAYAWQEAAEAFAAAA&#10;AA==&#10;">
                <v:fill on="f" focussize="0,0"/>
                <v:stroke on="f"/>
                <v:imagedata o:title=""/>
                <o:lock v:ext="edit" aspectratio="f"/>
                <v:textbox>
                  <w:txbxContent>
                    <w:p w14:paraId="49E740B5">
                      <w:pPr>
                        <w:rPr>
                          <w:rFonts w:ascii="黑体" w:hAnsi="黑体" w:eastAsia="黑体"/>
                          <w:color w:val="FF0000"/>
                          <w:sz w:val="18"/>
                        </w:rPr>
                      </w:pPr>
                      <w:r>
                        <w:rPr>
                          <w:rFonts w:hint="eastAsia" w:ascii="黑体" w:hAnsi="黑体" w:eastAsia="黑体"/>
                          <w:color w:val="FF0000"/>
                          <w:sz w:val="18"/>
                        </w:rPr>
                        <w:t>项目</w:t>
                      </w:r>
                      <w:r>
                        <w:rPr>
                          <w:rFonts w:ascii="黑体" w:hAnsi="黑体" w:eastAsia="黑体"/>
                          <w:color w:val="FF0000"/>
                          <w:sz w:val="18"/>
                        </w:rPr>
                        <w:t>所在地</w:t>
                      </w:r>
                    </w:p>
                  </w:txbxContent>
                </v:textbox>
              </v:rect>
            </w:pict>
          </mc:Fallback>
        </mc:AlternateContent>
      </w:r>
      <w:r>
        <w:rPr>
          <w:rFonts w:hint="default"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2874645</wp:posOffset>
                </wp:positionH>
                <wp:positionV relativeFrom="paragraph">
                  <wp:posOffset>1435100</wp:posOffset>
                </wp:positionV>
                <wp:extent cx="107950" cy="107950"/>
                <wp:effectExtent l="13970" t="15875" r="17780" b="15875"/>
                <wp:wrapNone/>
                <wp:docPr id="93" name="自选图形 9397"/>
                <wp:cNvGraphicFramePr/>
                <a:graphic xmlns:a="http://schemas.openxmlformats.org/drawingml/2006/main">
                  <a:graphicData uri="http://schemas.microsoft.com/office/word/2010/wordprocessingShape">
                    <wps:wsp>
                      <wps:cNvSpPr/>
                      <wps:spPr>
                        <a:xfrm>
                          <a:off x="0" y="0"/>
                          <a:ext cx="107950" cy="107950"/>
                        </a:xfrm>
                        <a:prstGeom prst="star5">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9397" o:spid="_x0000_s1026" style="position:absolute;left:0pt;margin-left:226.35pt;margin-top:113pt;height:8.5pt;width:8.5pt;z-index:251680768;mso-width-relative:page;mso-height-relative:page;" fillcolor="#FF0000" filled="t" stroked="t" coordsize="107950,107950" o:gfxdata="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ZqOvPYAAAACwEAAA8AAAAAAAAAAQAgAAAAIgAA&#10;AGRycy9kb3ducmV2LnhtbFBLAQIUABQAAAAIAIdO4kA30DVACAIAACgEAAAOAAAAAAAAAAEAIAAA&#10;ACcBAABkcnMvZTJvRG9jLnhtbFBLBQYAAAAABgAGAFkBAAChBQAAAAA=&#10;" path="m0,41233l41233,41233,53975,0,66716,41233,107949,41233,74591,66716,87333,107949,53975,82465,20616,107949,33358,66716xe">
                <v:path o:connectlocs="53975,0;0,41233;20616,107949;87333,107949;107949,41233" o:connectangles="247,164,82,82,0"/>
                <v:fill on="t" focussize="0,0"/>
                <v:stroke color="#000000" joinstyle="miter"/>
                <v:imagedata o:title=""/>
                <o:lock v:ext="edit" aspectratio="f"/>
              </v:shape>
            </w:pict>
          </mc:Fallback>
        </mc:AlternateContent>
      </w:r>
      <w:r>
        <w:rPr>
          <w:rFonts w:hint="default"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666432" behindDoc="0" locked="0" layoutInCell="1" allowOverlap="1">
            <wp:simplePos x="0" y="0"/>
            <wp:positionH relativeFrom="column">
              <wp:posOffset>1924050</wp:posOffset>
            </wp:positionH>
            <wp:positionV relativeFrom="paragraph">
              <wp:posOffset>796290</wp:posOffset>
            </wp:positionV>
            <wp:extent cx="2146935" cy="1441450"/>
            <wp:effectExtent l="19050" t="19050" r="24831" b="25127"/>
            <wp:wrapNone/>
            <wp:docPr id="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pic:cNvPicPr>
                      <a:picLocks noChangeAspect="1" noChangeArrowheads="1"/>
                    </pic:cNvPicPr>
                  </pic:nvPicPr>
                  <pic:blipFill>
                    <a:blip r:embed="rId29" cstate="print"/>
                    <a:srcRect/>
                    <a:stretch>
                      <a:fillRect/>
                    </a:stretch>
                  </pic:blipFill>
                  <pic:spPr>
                    <a:xfrm>
                      <a:off x="0" y="0"/>
                      <a:ext cx="2146869" cy="1441723"/>
                    </a:xfrm>
                    <a:prstGeom prst="rect">
                      <a:avLst/>
                    </a:prstGeom>
                    <a:noFill/>
                    <a:ln w="9525">
                      <a:solidFill>
                        <a:schemeClr val="tx1"/>
                      </a:solidFill>
                      <a:miter lim="800000"/>
                      <a:headEnd/>
                      <a:tailEnd/>
                    </a:ln>
                  </pic:spPr>
                </pic:pic>
              </a:graphicData>
            </a:graphic>
          </wp:anchor>
        </w:drawing>
      </w:r>
      <w:r>
        <w:rPr>
          <w:rFonts w:hint="default" w:ascii="Times New Roman" w:hAnsi="Times New Roman" w:cs="Times New Roman"/>
          <w:color w:val="000000" w:themeColor="text1"/>
          <w:sz w:val="24"/>
          <w:szCs w:val="24"/>
          <w14:textFill>
            <w14:solidFill>
              <w14:schemeClr w14:val="tx1"/>
            </w14:solidFill>
          </w14:textFill>
        </w:rPr>
        <w:drawing>
          <wp:inline distT="0" distB="0" distL="0" distR="0">
            <wp:extent cx="5278755" cy="7456805"/>
            <wp:effectExtent l="19050" t="0" r="0" b="0"/>
            <wp:docPr id="32" name="图片 14" descr="C:\Users\余健\AppData\Local\Temp\360zip$Temp\360$3\14淮南市土壤环境风险分区管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descr="C:\Users\余健\AppData\Local\Temp\360zip$Temp\360$3\14淮南市土壤环境风险分区管控图.jpg"/>
                    <pic:cNvPicPr>
                      <a:picLocks noChangeAspect="1" noChangeArrowheads="1"/>
                    </pic:cNvPicPr>
                  </pic:nvPicPr>
                  <pic:blipFill>
                    <a:blip r:embed="rId30" cstate="print"/>
                    <a:srcRect/>
                    <a:stretch>
                      <a:fillRect/>
                    </a:stretch>
                  </pic:blipFill>
                  <pic:spPr>
                    <a:xfrm>
                      <a:off x="0" y="0"/>
                      <a:ext cx="5278755" cy="7457373"/>
                    </a:xfrm>
                    <a:prstGeom prst="rect">
                      <a:avLst/>
                    </a:prstGeom>
                    <a:noFill/>
                    <a:ln w="9525">
                      <a:noFill/>
                      <a:miter lim="800000"/>
                      <a:headEnd/>
                      <a:tailEnd/>
                    </a:ln>
                  </pic:spPr>
                </pic:pic>
              </a:graphicData>
            </a:graphic>
          </wp:inline>
        </w:drawing>
      </w:r>
    </w:p>
    <w:p w14:paraId="77A28432">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图2.</w:t>
      </w:r>
      <w:r>
        <w:rPr>
          <w:rFonts w:hint="eastAsia" w:eastAsia="黑体" w:cs="Times New Roman"/>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color w:val="000000" w:themeColor="text1"/>
          <w:sz w:val="24"/>
          <w:szCs w:val="24"/>
          <w14:textFill>
            <w14:solidFill>
              <w14:schemeClr w14:val="tx1"/>
            </w14:solidFill>
          </w14:textFill>
        </w:rPr>
        <w:t>-</w:t>
      </w:r>
      <w:r>
        <w:rPr>
          <w:rFonts w:hint="eastAsia" w:eastAsia="黑体" w:cs="Times New Roman"/>
          <w:color w:val="000000" w:themeColor="text1"/>
          <w:sz w:val="24"/>
          <w:szCs w:val="24"/>
          <w:lang w:val="en-US" w:eastAsia="zh-CN"/>
          <w14:textFill>
            <w14:solidFill>
              <w14:schemeClr w14:val="tx1"/>
            </w14:solidFill>
          </w14:textFill>
        </w:rPr>
        <w:t>6</w:t>
      </w:r>
      <w:r>
        <w:rPr>
          <w:rFonts w:hint="default" w:ascii="Times New Roman" w:hAnsi="Times New Roman" w:eastAsia="黑体" w:cs="Times New Roman"/>
          <w:color w:val="000000" w:themeColor="text1"/>
          <w:sz w:val="24"/>
          <w:szCs w:val="24"/>
          <w14:textFill>
            <w14:solidFill>
              <w14:schemeClr w14:val="tx1"/>
            </w14:solidFill>
          </w14:textFill>
        </w:rPr>
        <w:t>本项目与淮南市土壤环境分区管控区位置关系图</w:t>
      </w:r>
    </w:p>
    <w:p w14:paraId="00A5797B">
      <w:pPr>
        <w:widowControl/>
        <w:spacing w:line="360" w:lineRule="auto"/>
        <w:jc w:val="left"/>
        <w:rPr>
          <w:rFonts w:hint="default" w:ascii="Times New Roman" w:hAnsi="Times New Roman" w:cs="Times New Roman"/>
          <w:color w:val="000000" w:themeColor="text1"/>
          <w:sz w:val="24"/>
          <w:szCs w:val="24"/>
          <w14:textFill>
            <w14:solidFill>
              <w14:schemeClr w14:val="tx1"/>
            </w14:solidFill>
          </w14:textFill>
        </w:rPr>
      </w:pPr>
    </w:p>
    <w:p w14:paraId="4B8577A3">
      <w:pPr>
        <w:widowControl/>
        <w:spacing w:line="360" w:lineRule="auto"/>
        <w:jc w:val="left"/>
        <w:rPr>
          <w:rFonts w:hint="default" w:ascii="Times New Roman" w:hAnsi="Times New Roman" w:cs="Times New Roman"/>
          <w:color w:val="000000" w:themeColor="text1"/>
          <w:sz w:val="24"/>
          <w:szCs w:val="24"/>
          <w14:textFill>
            <w14:solidFill>
              <w14:schemeClr w14:val="tx1"/>
            </w14:solidFill>
          </w14:textFill>
        </w:rPr>
      </w:pPr>
    </w:p>
    <w:p w14:paraId="6AD5BA22">
      <w:pPr>
        <w:widowControl/>
        <w:spacing w:line="360" w:lineRule="auto"/>
        <w:jc w:val="left"/>
        <w:rPr>
          <w:rFonts w:hint="default" w:ascii="Times New Roman" w:hAnsi="Times New Roman" w:cs="Times New Roman"/>
          <w:color w:val="000000" w:themeColor="text1"/>
          <w:sz w:val="24"/>
          <w:szCs w:val="24"/>
          <w14:textFill>
            <w14:solidFill>
              <w14:schemeClr w14:val="tx1"/>
            </w14:solidFill>
          </w14:textFill>
        </w:rPr>
      </w:pPr>
    </w:p>
    <w:p w14:paraId="31DC095E">
      <w:pPr>
        <w:widowControl/>
        <w:spacing w:line="360" w:lineRule="auto"/>
        <w:jc w:val="left"/>
        <w:rPr>
          <w:rFonts w:hint="default" w:ascii="Times New Roman" w:hAnsi="Times New Roman" w:cs="Times New Roman"/>
          <w:color w:val="000000" w:themeColor="text1"/>
          <w:sz w:val="24"/>
          <w:szCs w:val="24"/>
          <w14:textFill>
            <w14:solidFill>
              <w14:schemeClr w14:val="tx1"/>
            </w14:solidFill>
          </w14:textFill>
        </w:rPr>
        <w:sectPr>
          <w:pgSz w:w="11907" w:h="16839"/>
          <w:pgMar w:top="1440" w:right="1797" w:bottom="1440" w:left="1797" w:header="851" w:footer="992" w:gutter="0"/>
          <w:pgBorders>
            <w:top w:val="none" w:sz="0" w:space="0"/>
            <w:left w:val="none" w:sz="0" w:space="0"/>
            <w:bottom w:val="none" w:sz="0" w:space="0"/>
            <w:right w:val="none" w:sz="0" w:space="0"/>
          </w:pgBorders>
          <w:cols w:space="720" w:num="1"/>
          <w:docGrid w:type="linesAndChars" w:linePitch="312" w:charSpace="0"/>
        </w:sectPr>
      </w:pPr>
    </w:p>
    <w:p w14:paraId="6128110C">
      <w:pPr>
        <w:pStyle w:val="251"/>
        <w:ind w:firstLine="199" w:firstLineChars="83"/>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3、资源利用上线</w:t>
      </w:r>
    </w:p>
    <w:p w14:paraId="4A3088A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本项目属于废弃资源综合利用，项目实施过程将回收</w:t>
      </w:r>
      <w:r>
        <w:rPr>
          <w:rFonts w:hint="default" w:ascii="Times New Roman" w:hAnsi="Times New Roman" w:cs="Times New Roman"/>
          <w:color w:val="000000" w:themeColor="text1"/>
          <w:lang w:val="en-US" w:eastAsia="zh-CN"/>
          <w14:textFill>
            <w14:solidFill>
              <w14:schemeClr w14:val="tx1"/>
            </w14:solidFill>
          </w14:textFill>
        </w:rPr>
        <w:t>废塑料瓶破碎清洗</w:t>
      </w:r>
      <w:r>
        <w:rPr>
          <w:rFonts w:hint="default" w:ascii="Times New Roman" w:hAnsi="Times New Roman" w:cs="Times New Roman"/>
          <w:color w:val="000000" w:themeColor="text1"/>
          <w:szCs w:val="24"/>
          <w14:textFill>
            <w14:solidFill>
              <w14:schemeClr w14:val="tx1"/>
            </w14:solidFill>
          </w14:textFill>
        </w:rPr>
        <w:t>得到</w:t>
      </w:r>
      <w:r>
        <w:rPr>
          <w:rFonts w:hint="default" w:ascii="Times New Roman" w:hAnsi="Times New Roman" w:cs="Times New Roman"/>
          <w:color w:val="000000" w:themeColor="text1"/>
          <w:szCs w:val="24"/>
          <w:lang w:val="en-US" w:eastAsia="zh-CN"/>
          <w14:textFill>
            <w14:solidFill>
              <w14:schemeClr w14:val="tx1"/>
            </w14:solidFill>
          </w14:textFill>
        </w:rPr>
        <w:t>PET瓶片</w:t>
      </w:r>
      <w:r>
        <w:rPr>
          <w:rFonts w:hint="default" w:ascii="Times New Roman" w:hAnsi="Times New Roman" w:cs="Times New Roman"/>
          <w:color w:val="000000" w:themeColor="text1"/>
          <w:szCs w:val="24"/>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属于资源的再生利用，项目的实施有利于区域资源回收利用；项目位于</w:t>
      </w:r>
      <w:r>
        <w:rPr>
          <w:rFonts w:hint="default" w:ascii="Times New Roman" w:hAnsi="Times New Roman"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14:textFill>
            <w14:solidFill>
              <w14:schemeClr w14:val="tx1"/>
            </w14:solidFill>
          </w14:textFill>
        </w:rPr>
        <w:t>，项目用地性质为工业用地，不会触及区域土地资源利用上线；用水来源于市政自来水，当地自来水厂能够满足本项目的新鲜水使用要求；园区电网能够满足本项目需求；园区供气管网能够满足本项目需求；因此，本项目用水、用电、用气等均在园区供应能力范围内，不突破区域资源利用上线。因此，项目建设符合资源利用上线要求。</w:t>
      </w:r>
    </w:p>
    <w:p w14:paraId="21796A6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4、生态环境准入清单</w:t>
      </w:r>
    </w:p>
    <w:p w14:paraId="2E3DCC69">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本项目位于</w:t>
      </w:r>
      <w:r>
        <w:rPr>
          <w:rFonts w:hint="default" w:ascii="Times New Roman" w:hAnsi="Times New Roman"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14:textFill>
            <w14:solidFill>
              <w14:schemeClr w14:val="tx1"/>
            </w14:solidFill>
          </w14:textFill>
        </w:rPr>
        <w:t>，对照《淮南市“三线一单”生态环境准入清单》，本项目与开发区生态环境准入清单符合性分析详见下表。</w:t>
      </w:r>
    </w:p>
    <w:p w14:paraId="57250489">
      <w:pPr>
        <w:spacing w:line="360" w:lineRule="auto"/>
        <w:rPr>
          <w:rFonts w:hint="default" w:ascii="Times New Roman" w:hAnsi="Times New Roman" w:cs="Times New Roman"/>
          <w:color w:val="000000" w:themeColor="text1"/>
          <w:sz w:val="24"/>
          <w:szCs w:val="24"/>
          <w14:textFill>
            <w14:solidFill>
              <w14:schemeClr w14:val="tx1"/>
            </w14:solidFill>
          </w14:textFill>
        </w:rPr>
      </w:pPr>
    </w:p>
    <w:p w14:paraId="70DDD209">
      <w:pPr>
        <w:spacing w:line="360" w:lineRule="auto"/>
        <w:rPr>
          <w:rFonts w:hint="default" w:ascii="Times New Roman" w:hAnsi="Times New Roman" w:cs="Times New Roman"/>
          <w:color w:val="000000" w:themeColor="text1"/>
          <w:sz w:val="24"/>
          <w:szCs w:val="24"/>
          <w14:textFill>
            <w14:solidFill>
              <w14:schemeClr w14:val="tx1"/>
            </w14:solidFill>
          </w14:textFill>
        </w:rPr>
        <w:sectPr>
          <w:pgSz w:w="11907" w:h="16839"/>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p>
    <w:p w14:paraId="66FE0D8B">
      <w:pPr>
        <w:adjustRightInd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6</w:t>
      </w:r>
      <w:r>
        <w:rPr>
          <w:rFonts w:hint="default" w:ascii="Times New Roman" w:hAnsi="Times New Roman" w:eastAsia="黑体" w:cs="Times New Roman"/>
          <w:bCs/>
          <w:color w:val="000000" w:themeColor="text1"/>
          <w:sz w:val="24"/>
          <w14:textFill>
            <w14:solidFill>
              <w14:schemeClr w14:val="tx1"/>
            </w14:solidFill>
          </w14:textFill>
        </w:rPr>
        <w:t>-</w:t>
      </w:r>
      <w:r>
        <w:rPr>
          <w:rFonts w:hint="eastAsia" w:eastAsia="黑体" w:cs="Times New Roman"/>
          <w:bCs/>
          <w:color w:val="000000" w:themeColor="text1"/>
          <w:sz w:val="24"/>
          <w:lang w:val="en-US" w:eastAsia="zh-CN"/>
          <w14:textFill>
            <w14:solidFill>
              <w14:schemeClr w14:val="tx1"/>
            </w14:solidFill>
          </w14:textFill>
        </w:rPr>
        <w:t>12</w:t>
      </w:r>
      <w:r>
        <w:rPr>
          <w:rFonts w:hint="default" w:ascii="Times New Roman" w:hAnsi="Times New Roman" w:eastAsia="黑体" w:cs="Times New Roman"/>
          <w:bCs/>
          <w:color w:val="000000" w:themeColor="text1"/>
          <w:sz w:val="24"/>
          <w14:textFill>
            <w14:solidFill>
              <w14:schemeClr w14:val="tx1"/>
            </w14:solidFill>
          </w14:textFill>
        </w:rPr>
        <w:t>与“开发区生态环境准入清单”符合性分析</w:t>
      </w:r>
    </w:p>
    <w:tbl>
      <w:tblPr>
        <w:tblStyle w:val="88"/>
        <w:tblW w:w="0" w:type="auto"/>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423"/>
        <w:gridCol w:w="1103"/>
        <w:gridCol w:w="992"/>
        <w:gridCol w:w="2126"/>
        <w:gridCol w:w="1276"/>
        <w:gridCol w:w="1559"/>
        <w:gridCol w:w="1985"/>
        <w:gridCol w:w="1417"/>
        <w:gridCol w:w="2754"/>
      </w:tblGrid>
      <w:tr w14:paraId="5486C40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23" w:type="dxa"/>
            <w:vMerge w:val="restart"/>
            <w:vAlign w:val="center"/>
          </w:tcPr>
          <w:p w14:paraId="159C622A">
            <w:pPr>
              <w:adjustRightInd w:val="0"/>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县区</w:t>
            </w:r>
          </w:p>
        </w:tc>
        <w:tc>
          <w:tcPr>
            <w:tcW w:w="1103" w:type="dxa"/>
            <w:vMerge w:val="restart"/>
            <w:vAlign w:val="center"/>
          </w:tcPr>
          <w:p w14:paraId="52977F9E">
            <w:pPr>
              <w:adjustRightInd w:val="0"/>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来源</w:t>
            </w:r>
          </w:p>
        </w:tc>
        <w:tc>
          <w:tcPr>
            <w:tcW w:w="992" w:type="dxa"/>
            <w:vMerge w:val="restart"/>
            <w:vAlign w:val="center"/>
          </w:tcPr>
          <w:p w14:paraId="0573CFF0">
            <w:pPr>
              <w:adjustRightInd w:val="0"/>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开发区名称</w:t>
            </w:r>
          </w:p>
        </w:tc>
        <w:tc>
          <w:tcPr>
            <w:tcW w:w="2126" w:type="dxa"/>
            <w:vMerge w:val="restart"/>
            <w:vAlign w:val="center"/>
          </w:tcPr>
          <w:p w14:paraId="3F13AC51">
            <w:pPr>
              <w:adjustRightInd w:val="0"/>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产业定位</w:t>
            </w:r>
          </w:p>
        </w:tc>
        <w:tc>
          <w:tcPr>
            <w:tcW w:w="1276" w:type="dxa"/>
            <w:vMerge w:val="restart"/>
            <w:vAlign w:val="center"/>
          </w:tcPr>
          <w:p w14:paraId="72074E98">
            <w:pPr>
              <w:adjustRightInd w:val="0"/>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规划面积</w:t>
            </w:r>
          </w:p>
        </w:tc>
        <w:tc>
          <w:tcPr>
            <w:tcW w:w="7715" w:type="dxa"/>
            <w:gridSpan w:val="4"/>
            <w:vAlign w:val="center"/>
          </w:tcPr>
          <w:p w14:paraId="192E9A19">
            <w:pPr>
              <w:adjustRightInd w:val="0"/>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生态环境准入清单</w:t>
            </w:r>
          </w:p>
        </w:tc>
      </w:tr>
      <w:tr w14:paraId="6F7B34B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85" w:hRule="atLeast"/>
        </w:trPr>
        <w:tc>
          <w:tcPr>
            <w:tcW w:w="423" w:type="dxa"/>
            <w:vMerge w:val="continue"/>
            <w:vAlign w:val="center"/>
          </w:tcPr>
          <w:p w14:paraId="7C4ED035">
            <w:pPr>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p>
        </w:tc>
        <w:tc>
          <w:tcPr>
            <w:tcW w:w="1103" w:type="dxa"/>
            <w:vMerge w:val="continue"/>
            <w:vAlign w:val="center"/>
          </w:tcPr>
          <w:p w14:paraId="1B8BE90A">
            <w:pPr>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p>
        </w:tc>
        <w:tc>
          <w:tcPr>
            <w:tcW w:w="992" w:type="dxa"/>
            <w:vMerge w:val="continue"/>
            <w:vAlign w:val="center"/>
          </w:tcPr>
          <w:p w14:paraId="747D903D">
            <w:pPr>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p>
        </w:tc>
        <w:tc>
          <w:tcPr>
            <w:tcW w:w="2126" w:type="dxa"/>
            <w:vMerge w:val="continue"/>
            <w:vAlign w:val="center"/>
          </w:tcPr>
          <w:p w14:paraId="4180EC1A">
            <w:pPr>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p>
        </w:tc>
        <w:tc>
          <w:tcPr>
            <w:tcW w:w="1276" w:type="dxa"/>
            <w:vMerge w:val="continue"/>
            <w:vAlign w:val="center"/>
          </w:tcPr>
          <w:p w14:paraId="6D1E64AB">
            <w:pPr>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p>
        </w:tc>
        <w:tc>
          <w:tcPr>
            <w:tcW w:w="1559" w:type="dxa"/>
            <w:vAlign w:val="center"/>
          </w:tcPr>
          <w:p w14:paraId="5108AC31">
            <w:pPr>
              <w:adjustRightInd w:val="0"/>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污染物</w:t>
            </w:r>
          </w:p>
          <w:p w14:paraId="727EED32">
            <w:pPr>
              <w:adjustRightInd w:val="0"/>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排放管控</w:t>
            </w:r>
          </w:p>
        </w:tc>
        <w:tc>
          <w:tcPr>
            <w:tcW w:w="1985" w:type="dxa"/>
            <w:vAlign w:val="center"/>
          </w:tcPr>
          <w:p w14:paraId="0C49B47E">
            <w:pPr>
              <w:adjustRightInd w:val="0"/>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环境风险管控</w:t>
            </w:r>
          </w:p>
        </w:tc>
        <w:tc>
          <w:tcPr>
            <w:tcW w:w="1417" w:type="dxa"/>
            <w:vAlign w:val="center"/>
          </w:tcPr>
          <w:p w14:paraId="606D607E">
            <w:pPr>
              <w:adjustRightInd w:val="0"/>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资源开发利用效率要求</w:t>
            </w:r>
          </w:p>
        </w:tc>
        <w:tc>
          <w:tcPr>
            <w:tcW w:w="2754" w:type="dxa"/>
            <w:vAlign w:val="center"/>
          </w:tcPr>
          <w:p w14:paraId="5D37487E">
            <w:pPr>
              <w:adjustRightInd w:val="0"/>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产业准入要求</w:t>
            </w:r>
          </w:p>
        </w:tc>
      </w:tr>
      <w:tr w14:paraId="498A720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23" w:type="dxa"/>
            <w:vAlign w:val="center"/>
          </w:tcPr>
          <w:p w14:paraId="275FB3B2">
            <w:pPr>
              <w:adjustRightInd w:val="0"/>
              <w:spacing w:line="360"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凤台县</w:t>
            </w:r>
          </w:p>
        </w:tc>
        <w:tc>
          <w:tcPr>
            <w:tcW w:w="1103" w:type="dxa"/>
            <w:vAlign w:val="center"/>
          </w:tcPr>
          <w:p w14:paraId="23E2D115">
            <w:pPr>
              <w:autoSpaceDE w:val="0"/>
              <w:autoSpaceDN w:val="0"/>
              <w:adjustRightInd w:val="0"/>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spacing w:val="0"/>
                <w:sz w:val="21"/>
                <w:szCs w:val="21"/>
                <w14:textFill>
                  <w14:solidFill>
                    <w14:schemeClr w14:val="tx1"/>
                  </w14:solidFill>
                </w14:textFill>
              </w:rPr>
              <w:t>规划环境影响跟踪评价报告书（2020年）</w:t>
            </w:r>
          </w:p>
        </w:tc>
        <w:tc>
          <w:tcPr>
            <w:tcW w:w="992" w:type="dxa"/>
            <w:vAlign w:val="center"/>
          </w:tcPr>
          <w:p w14:paraId="5AEBCE6A">
            <w:pPr>
              <w:autoSpaceDE w:val="0"/>
              <w:autoSpaceDN w:val="0"/>
              <w:adjustRightInd w:val="0"/>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开发区-毛集经济开发区</w:t>
            </w:r>
          </w:p>
        </w:tc>
        <w:tc>
          <w:tcPr>
            <w:tcW w:w="2126" w:type="dxa"/>
            <w:vAlign w:val="center"/>
          </w:tcPr>
          <w:p w14:paraId="7B6BB64F">
            <w:pPr>
              <w:autoSpaceDE w:val="0"/>
              <w:autoSpaceDN w:val="0"/>
              <w:adjustRightInd w:val="0"/>
              <w:jc w:val="left"/>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开发区功能地位：沿淮工业走廊的西部组团，合淮阜高速公路沿线重要的工业集聚区和物流园区，以农副产品深加工、先进制造、高新技术产业作为主导产业，具有循环经济特色的经济开发区。</w:t>
            </w:r>
          </w:p>
          <w:p w14:paraId="705F4020">
            <w:pPr>
              <w:autoSpaceDE w:val="0"/>
              <w:autoSpaceDN w:val="0"/>
              <w:adjustRightInd w:val="0"/>
              <w:jc w:val="left"/>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主导产业：农副产品深加工、先进制造、高新技术产业</w:t>
            </w:r>
          </w:p>
        </w:tc>
        <w:tc>
          <w:tcPr>
            <w:tcW w:w="1276" w:type="dxa"/>
            <w:vAlign w:val="center"/>
          </w:tcPr>
          <w:p w14:paraId="16F8E2E9">
            <w:pPr>
              <w:adjustRightInd w:val="0"/>
              <w:spacing w:line="360"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12.23</w:t>
            </w:r>
          </w:p>
        </w:tc>
        <w:tc>
          <w:tcPr>
            <w:tcW w:w="1559" w:type="dxa"/>
            <w:vAlign w:val="center"/>
          </w:tcPr>
          <w:p w14:paraId="52133A1F">
            <w:pPr>
              <w:autoSpaceDE w:val="0"/>
              <w:autoSpaceDN w:val="0"/>
              <w:adjustRightInd w:val="0"/>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SO</w:t>
            </w:r>
            <w:r>
              <w:rPr>
                <w:rFonts w:hint="default" w:ascii="Times New Roman" w:hAnsi="Times New Roman" w:cs="Times New Roman"/>
                <w:color w:val="000000" w:themeColor="text1"/>
                <w:spacing w:val="0"/>
                <w:sz w:val="21"/>
                <w:szCs w:val="21"/>
                <w:vertAlign w:val="subscript"/>
                <w14:textFill>
                  <w14:solidFill>
                    <w14:schemeClr w14:val="tx1"/>
                  </w14:solidFill>
                </w14:textFill>
              </w:rPr>
              <w:t>2</w:t>
            </w:r>
            <w:r>
              <w:rPr>
                <w:rFonts w:hint="default" w:ascii="Times New Roman" w:hAnsi="Times New Roman" w:cs="Times New Roman"/>
                <w:color w:val="000000" w:themeColor="text1"/>
                <w:spacing w:val="0"/>
                <w:sz w:val="21"/>
                <w:szCs w:val="21"/>
                <w14:textFill>
                  <w14:solidFill>
                    <w14:schemeClr w14:val="tx1"/>
                  </w14:solidFill>
                </w14:textFill>
              </w:rPr>
              <w:t>排放量0.0135kg/万元</w:t>
            </w:r>
          </w:p>
          <w:p w14:paraId="1CBBB9A4">
            <w:pPr>
              <w:autoSpaceDE w:val="0"/>
              <w:autoSpaceDN w:val="0"/>
              <w:adjustRightInd w:val="0"/>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COD排放量0.3296kg/万元</w:t>
            </w:r>
          </w:p>
          <w:p w14:paraId="72C9B948">
            <w:pPr>
              <w:autoSpaceDE w:val="0"/>
              <w:autoSpaceDN w:val="0"/>
              <w:adjustRightInd w:val="0"/>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NH</w:t>
            </w:r>
            <w:r>
              <w:rPr>
                <w:rFonts w:hint="default" w:ascii="Times New Roman" w:hAnsi="Times New Roman" w:cs="Times New Roman"/>
                <w:color w:val="000000" w:themeColor="text1"/>
                <w:spacing w:val="0"/>
                <w:sz w:val="21"/>
                <w:szCs w:val="21"/>
                <w:vertAlign w:val="sub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-N排放量0.0330kg/万元</w:t>
            </w:r>
          </w:p>
        </w:tc>
        <w:tc>
          <w:tcPr>
            <w:tcW w:w="1985" w:type="dxa"/>
            <w:vAlign w:val="center"/>
          </w:tcPr>
          <w:p w14:paraId="14476A73">
            <w:pPr>
              <w:autoSpaceDE w:val="0"/>
              <w:autoSpaceDN w:val="0"/>
              <w:adjustRightInd w:val="0"/>
              <w:jc w:val="left"/>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开发区已编制了突发环境事件应急预案，建立了环境风险全过程管理机制，构建了突发环境事故应急体系</w:t>
            </w:r>
          </w:p>
          <w:p w14:paraId="1694F634">
            <w:pPr>
              <w:autoSpaceDE w:val="0"/>
              <w:autoSpaceDN w:val="0"/>
              <w:adjustRightInd w:val="0"/>
              <w:jc w:val="left"/>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和联动体系，并落实了应急救援组织体系、应急预警分级及应急响应分级措施。按照更新后的《安徽省淮南市毛集社会发展综合实验区突发环境事件应急预案》落实相应措施</w:t>
            </w:r>
          </w:p>
        </w:tc>
        <w:tc>
          <w:tcPr>
            <w:tcW w:w="1417" w:type="dxa"/>
            <w:vAlign w:val="center"/>
          </w:tcPr>
          <w:p w14:paraId="12F2AC11">
            <w:pPr>
              <w:autoSpaceDE w:val="0"/>
              <w:autoSpaceDN w:val="0"/>
              <w:adjustRightInd w:val="0"/>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单位工业增加值综合能耗0.45吨标煤/万元单位工业增加值新鲜水耗1.72m</w:t>
            </w:r>
            <w:r>
              <w:rPr>
                <w:rFonts w:hint="default" w:ascii="Times New Roman" w:hAnsi="Times New Roman" w:cs="Times New Roman"/>
                <w:color w:val="000000" w:themeColor="text1"/>
                <w:spacing w:val="0"/>
                <w:sz w:val="21"/>
                <w:szCs w:val="21"/>
                <w:vertAlign w:val="super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/万元</w:t>
            </w:r>
          </w:p>
        </w:tc>
        <w:tc>
          <w:tcPr>
            <w:tcW w:w="2754" w:type="dxa"/>
            <w:vAlign w:val="center"/>
          </w:tcPr>
          <w:p w14:paraId="19CAB769">
            <w:pPr>
              <w:autoSpaceDE w:val="0"/>
              <w:autoSpaceDN w:val="0"/>
              <w:adjustRightInd w:val="0"/>
              <w:jc w:val="left"/>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鼓励类：</w:t>
            </w:r>
            <w:r>
              <w:rPr>
                <w:rFonts w:hint="default" w:ascii="Times New Roman" w:hAnsi="Times New Roman" w:cs="Times New Roman"/>
                <w:color w:val="000000" w:themeColor="text1"/>
                <w:spacing w:val="0"/>
                <w:sz w:val="21"/>
                <w:szCs w:val="21"/>
                <w14:textFill>
                  <w14:solidFill>
                    <w14:schemeClr w14:val="tx1"/>
                  </w14:solidFill>
                </w14:textFill>
              </w:rPr>
              <w:t>鼓励和发展的行业应是与规划的产业定位相一致，符合国家产业政策，风险影响相对不大的项目类型。</w:t>
            </w:r>
          </w:p>
          <w:p w14:paraId="5600B41C">
            <w:pPr>
              <w:autoSpaceDE w:val="0"/>
              <w:autoSpaceDN w:val="0"/>
              <w:adjustRightInd w:val="0"/>
              <w:jc w:val="left"/>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禁止类：</w:t>
            </w:r>
            <w:r>
              <w:rPr>
                <w:rFonts w:hint="default" w:ascii="Times New Roman" w:hAnsi="Times New Roman" w:cs="Times New Roman"/>
                <w:color w:val="000000" w:themeColor="text1"/>
                <w:spacing w:val="0"/>
                <w:sz w:val="21"/>
                <w:szCs w:val="21"/>
                <w14:textFill>
                  <w14:solidFill>
                    <w14:schemeClr w14:val="tx1"/>
                  </w14:solidFill>
                </w14:textFill>
              </w:rPr>
              <w:t>禁止入驻生产工艺或生产设备不符合国家产业政策或明令禁止限制、淘汰的建设项目；禁止入驻不满足项目产业政策文件和行业准入要求的建设项目；禁止入驻不符合清洁生产标准要求的建设项目；禁止入驻不符合规划区功能定位的建设项目类型。</w:t>
            </w:r>
          </w:p>
        </w:tc>
      </w:tr>
    </w:tbl>
    <w:p w14:paraId="4AD1839D">
      <w:pPr>
        <w:adjustRightInd w:val="0"/>
        <w:spacing w:line="360" w:lineRule="auto"/>
        <w:ind w:firstLine="472" w:firstLineChars="200"/>
        <w:jc w:val="left"/>
        <w:rPr>
          <w:rFonts w:hint="default" w:ascii="Times New Roman" w:hAnsi="Times New Roman" w:cs="Times New Roman"/>
          <w:color w:val="000000" w:themeColor="text1"/>
          <w:sz w:val="24"/>
          <w:szCs w:val="21"/>
          <w14:textFill>
            <w14:solidFill>
              <w14:schemeClr w14:val="tx1"/>
            </w14:solidFill>
          </w14:textFill>
        </w:rPr>
        <w:sectPr>
          <w:pgSz w:w="16839" w:h="11907" w:orient="landscape"/>
          <w:pgMar w:top="1797" w:right="1440" w:bottom="1797" w:left="1440" w:header="851" w:footer="992" w:gutter="0"/>
          <w:pgBorders>
            <w:top w:val="none" w:sz="0" w:space="0"/>
            <w:left w:val="none" w:sz="0" w:space="0"/>
            <w:bottom w:val="none" w:sz="0" w:space="0"/>
            <w:right w:val="none" w:sz="0" w:space="0"/>
          </w:pgBorders>
          <w:cols w:space="720" w:num="1"/>
          <w:docGrid w:type="lines" w:linePitch="312" w:charSpace="0"/>
        </w:sectPr>
      </w:pPr>
    </w:p>
    <w:p w14:paraId="112EF38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本项目使用原料为</w:t>
      </w:r>
      <w:r>
        <w:rPr>
          <w:rFonts w:hint="default" w:ascii="Times New Roman" w:hAnsi="Times New Roman" w:cs="Times New Roman"/>
          <w:color w:val="000000" w:themeColor="text1"/>
          <w:lang w:val="en-US" w:eastAsia="zh-CN"/>
          <w14:textFill>
            <w14:solidFill>
              <w14:schemeClr w14:val="tx1"/>
            </w14:solidFill>
          </w14:textFill>
        </w:rPr>
        <w:t>废塑料瓶</w:t>
      </w:r>
      <w:r>
        <w:rPr>
          <w:rFonts w:hint="default" w:ascii="Times New Roman" w:hAnsi="Times New Roman" w:cs="Times New Roman"/>
          <w:color w:val="000000" w:themeColor="text1"/>
          <w14:textFill>
            <w14:solidFill>
              <w14:schemeClr w14:val="tx1"/>
            </w14:solidFill>
          </w14:textFill>
        </w:rPr>
        <w:t>，原料主要来自</w:t>
      </w:r>
      <w:r>
        <w:rPr>
          <w:rFonts w:hint="eastAsia" w:ascii="Times New Roman" w:hAnsi="Times New Roman" w:cs="Times New Roman"/>
          <w:color w:val="000000" w:themeColor="text1"/>
          <w:lang w:val="en-US" w:eastAsia="zh-CN"/>
          <w14:textFill>
            <w14:solidFill>
              <w14:schemeClr w14:val="tx1"/>
            </w14:solidFill>
          </w14:textFill>
        </w:rPr>
        <w:t>淮南市</w:t>
      </w:r>
      <w:r>
        <w:rPr>
          <w:rFonts w:hint="default" w:ascii="Times New Roman" w:hAnsi="Times New Roman" w:cs="Times New Roman"/>
          <w:color w:val="000000" w:themeColor="text1"/>
          <w14:textFill>
            <w14:solidFill>
              <w14:schemeClr w14:val="tx1"/>
            </w14:solidFill>
          </w14:textFill>
        </w:rPr>
        <w:t>及周边地区，项目通过对回收的</w:t>
      </w:r>
      <w:r>
        <w:rPr>
          <w:rFonts w:hint="default" w:ascii="Times New Roman" w:hAnsi="Times New Roman" w:cs="Times New Roman"/>
          <w:color w:val="000000" w:themeColor="text1"/>
          <w:lang w:val="en-US" w:eastAsia="zh-CN"/>
          <w14:textFill>
            <w14:solidFill>
              <w14:schemeClr w14:val="tx1"/>
            </w14:solidFill>
          </w14:textFill>
        </w:rPr>
        <w:t>废塑料瓶</w:t>
      </w:r>
      <w:r>
        <w:rPr>
          <w:rFonts w:hint="default" w:ascii="Times New Roman" w:hAnsi="Times New Roman" w:cs="Times New Roman"/>
          <w:color w:val="000000" w:themeColor="text1"/>
          <w14:textFill>
            <w14:solidFill>
              <w14:schemeClr w14:val="tx1"/>
            </w14:solidFill>
          </w14:textFill>
        </w:rPr>
        <w:t>经过</w:t>
      </w:r>
      <w:r>
        <w:rPr>
          <w:rFonts w:hint="default" w:ascii="Times New Roman" w:hAnsi="Times New Roman" w:cs="Times New Roman"/>
          <w:color w:val="000000" w:themeColor="text1"/>
          <w:lang w:val="en-US" w:eastAsia="zh-CN"/>
          <w14:textFill>
            <w14:solidFill>
              <w14:schemeClr w14:val="tx1"/>
            </w14:solidFill>
          </w14:textFill>
        </w:rPr>
        <w:t>破碎清洗</w:t>
      </w:r>
      <w:r>
        <w:rPr>
          <w:rFonts w:hint="default" w:ascii="Times New Roman" w:hAnsi="Times New Roman" w:cs="Times New Roman"/>
          <w:color w:val="000000" w:themeColor="text1"/>
          <w:szCs w:val="24"/>
          <w14:textFill>
            <w14:solidFill>
              <w14:schemeClr w14:val="tx1"/>
            </w14:solidFill>
          </w14:textFill>
        </w:rPr>
        <w:t>得到</w:t>
      </w:r>
      <w:r>
        <w:rPr>
          <w:rFonts w:hint="default" w:ascii="Times New Roman" w:hAnsi="Times New Roman" w:cs="Times New Roman"/>
          <w:color w:val="000000" w:themeColor="text1"/>
          <w:szCs w:val="24"/>
          <w:lang w:val="en-US" w:eastAsia="zh-CN"/>
          <w14:textFill>
            <w14:solidFill>
              <w14:schemeClr w14:val="tx1"/>
            </w14:solidFill>
          </w14:textFill>
        </w:rPr>
        <w:t>PET瓶片</w:t>
      </w:r>
      <w:r>
        <w:rPr>
          <w:rFonts w:hint="default" w:ascii="Times New Roman" w:hAnsi="Times New Roman" w:cs="Times New Roman"/>
          <w:color w:val="000000" w:themeColor="text1"/>
          <w14:textFill>
            <w14:solidFill>
              <w14:schemeClr w14:val="tx1"/>
            </w14:solidFill>
          </w14:textFill>
        </w:rPr>
        <w:t>，根据本项目产品及生产工艺，项目与</w:t>
      </w:r>
      <w:r>
        <w:rPr>
          <w:rFonts w:hint="default" w:ascii="Times New Roman" w:hAnsi="Times New Roman"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14:textFill>
            <w14:solidFill>
              <w14:schemeClr w14:val="tx1"/>
            </w14:solidFill>
          </w14:textFill>
        </w:rPr>
        <w:t>规划主导产业（农副产品深加工、先进制造、高新技术产业）不冲突，同时项目于</w:t>
      </w:r>
      <w:r>
        <w:rPr>
          <w:rFonts w:hint="default" w:ascii="Times New Roman" w:hAnsi="Times New Roman" w:cs="Times New Roman"/>
          <w:color w:val="000000" w:themeColor="text1"/>
          <w:lang w:eastAsia="zh-CN"/>
          <w14:textFill>
            <w14:solidFill>
              <w14:schemeClr w14:val="tx1"/>
            </w14:solidFill>
          </w14:textFill>
        </w:rPr>
        <w:t>2025年10月28日</w:t>
      </w:r>
      <w:r>
        <w:rPr>
          <w:rFonts w:hint="default" w:ascii="Times New Roman" w:hAnsi="Times New Roman" w:cs="Times New Roman"/>
          <w:color w:val="000000" w:themeColor="text1"/>
          <w14:textFill>
            <w14:solidFill>
              <w14:schemeClr w14:val="tx1"/>
            </w14:solidFill>
          </w14:textFill>
        </w:rPr>
        <w:t>取得淮南市毛集社会发展综合实验区发展改革局备案（项目代码：</w:t>
      </w:r>
      <w:r>
        <w:rPr>
          <w:rFonts w:hint="default" w:ascii="Times New Roman" w:hAnsi="Times New Roman" w:cs="Times New Roman"/>
          <w:color w:val="000000" w:themeColor="text1"/>
          <w:lang w:eastAsia="zh-CN"/>
          <w14:textFill>
            <w14:solidFill>
              <w14:schemeClr w14:val="tx1"/>
            </w14:solidFill>
          </w14:textFill>
        </w:rPr>
        <w:t>2507-340407-04-01-650055</w:t>
      </w:r>
      <w:r>
        <w:rPr>
          <w:rFonts w:hint="default" w:ascii="Times New Roman" w:hAnsi="Times New Roman" w:cs="Times New Roman"/>
          <w:color w:val="000000" w:themeColor="text1"/>
          <w14:textFill>
            <w14:solidFill>
              <w14:schemeClr w14:val="tx1"/>
            </w14:solidFill>
          </w14:textFill>
        </w:rPr>
        <w:t>），因此，项目满足</w:t>
      </w:r>
      <w:r>
        <w:rPr>
          <w:rFonts w:hint="default" w:ascii="Times New Roman" w:hAnsi="Times New Roman"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14:textFill>
            <w14:solidFill>
              <w14:schemeClr w14:val="tx1"/>
            </w14:solidFill>
          </w14:textFill>
        </w:rPr>
        <w:t>产业准入要求。</w:t>
      </w:r>
    </w:p>
    <w:p w14:paraId="25AE0D74">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本项目采取雨污分流，冷却水循环使用</w:t>
      </w:r>
      <w:r>
        <w:rPr>
          <w:rFonts w:hint="eastAsia" w:ascii="Times New Roman" w:hAnsi="Times New Roman" w:cs="Times New Roman"/>
          <w:color w:val="000000" w:themeColor="text1"/>
          <w:lang w:eastAsia="zh-CN"/>
          <w14:textFill>
            <w14:solidFill>
              <w14:schemeClr w14:val="tx1"/>
            </w14:solidFill>
          </w14:textFill>
        </w:rPr>
        <w:t>，</w:t>
      </w:r>
      <w:r>
        <w:rPr>
          <w:rFonts w:hint="eastAsia" w:cs="Times New Roman"/>
          <w:color w:val="000000" w:themeColor="text1"/>
          <w:sz w:val="24"/>
          <w:lang w:eastAsia="zh-CN"/>
          <w14:textFill>
            <w14:solidFill>
              <w14:schemeClr w14:val="tx1"/>
            </w14:solidFill>
          </w14:textFill>
        </w:rPr>
        <w:t>定期外排水用于物料清洗</w:t>
      </w:r>
      <w:r>
        <w:rPr>
          <w:rFonts w:hint="default" w:ascii="Times New Roman" w:hAnsi="Times New Roman" w:cs="Times New Roman"/>
          <w:color w:val="000000" w:themeColor="text1"/>
          <w14:textFill>
            <w14:solidFill>
              <w14:schemeClr w14:val="tx1"/>
            </w14:solidFill>
          </w14:textFill>
        </w:rPr>
        <w:t>，瓶片清洗废水经厂区自建污水处理站处</w:t>
      </w:r>
      <w:r>
        <w:rPr>
          <w:rFonts w:hint="default" w:ascii="Times New Roman" w:hAnsi="Times New Roman" w:cs="Times New Roman"/>
          <w:color w:val="000000" w:themeColor="text1"/>
          <w14:textFill>
            <w14:solidFill>
              <w14:schemeClr w14:val="tx1"/>
            </w14:solidFill>
          </w14:textFill>
        </w:rPr>
        <w:t>理后90%循环使用，余下10%与经化粪池预处理</w:t>
      </w:r>
      <w:r>
        <w:rPr>
          <w:rFonts w:hint="default" w:ascii="Times New Roman" w:hAnsi="Times New Roman" w:cs="Times New Roman"/>
          <w:color w:val="000000" w:themeColor="text1"/>
          <w14:textFill>
            <w14:solidFill>
              <w14:schemeClr w14:val="tx1"/>
            </w14:solidFill>
          </w14:textFill>
        </w:rPr>
        <w:t>后生活污水一起达到《合成树脂工业污染物排放标准》（GB31572-2015）表2中的间接排放限值及毛集实验区污水处理厂接管标准后排入毛集实验区污水处理厂集中处理</w:t>
      </w:r>
      <w:r>
        <w:rPr>
          <w:rFonts w:hint="default" w:ascii="Times New Roman" w:hAnsi="Times New Roman" w:cs="Times New Roman"/>
          <w:color w:val="000000" w:themeColor="text1"/>
          <w:lang w:eastAsia="zh-CN"/>
          <w14:textFill>
            <w14:solidFill>
              <w14:schemeClr w14:val="tx1"/>
            </w14:solidFill>
          </w14:textFill>
        </w:rPr>
        <w:t>。</w:t>
      </w:r>
    </w:p>
    <w:p w14:paraId="36B0EE3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综合以上分析，本项目建设符合入园要求，满足开发区生态环境准入清单中相应要求。</w:t>
      </w:r>
    </w:p>
    <w:p w14:paraId="26E56113">
      <w:pPr>
        <w:pStyle w:val="251"/>
        <w:ind w:left="0" w:leftChars="0" w:firstLine="0" w:firstLineChars="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黑体" w:cs="Times New Roman"/>
          <w:b w:val="0"/>
          <w:color w:val="000000" w:themeColor="text1"/>
          <w14:textFill>
            <w14:solidFill>
              <w14:schemeClr w14:val="tx1"/>
            </w14:solidFill>
          </w14:textFill>
        </w:rPr>
        <w:t>2.</w:t>
      </w:r>
      <w:r>
        <w:rPr>
          <w:rFonts w:hint="default" w:ascii="Times New Roman" w:hAnsi="Times New Roman" w:eastAsia="黑体" w:cs="Times New Roman"/>
          <w:b w:val="0"/>
          <w:color w:val="000000" w:themeColor="text1"/>
          <w:lang w:val="en-US" w:eastAsia="zh-CN"/>
          <w14:textFill>
            <w14:solidFill>
              <w14:schemeClr w14:val="tx1"/>
            </w14:solidFill>
          </w14:textFill>
        </w:rPr>
        <w:t>6</w:t>
      </w:r>
      <w:r>
        <w:rPr>
          <w:rFonts w:hint="default" w:ascii="Times New Roman" w:hAnsi="Times New Roman" w:eastAsia="黑体" w:cs="Times New Roman"/>
          <w:b w:val="0"/>
          <w:color w:val="000000" w:themeColor="text1"/>
          <w14:textFill>
            <w14:solidFill>
              <w14:schemeClr w14:val="tx1"/>
            </w14:solidFill>
          </w14:textFill>
        </w:rPr>
        <w:t>.</w:t>
      </w:r>
      <w:r>
        <w:rPr>
          <w:rFonts w:hint="default" w:ascii="Times New Roman" w:hAnsi="Times New Roman" w:eastAsia="黑体" w:cs="Times New Roman"/>
          <w:b w:val="0"/>
          <w:color w:val="000000" w:themeColor="text1"/>
          <w:lang w:val="en-US" w:eastAsia="zh-CN"/>
          <w14:textFill>
            <w14:solidFill>
              <w14:schemeClr w14:val="tx1"/>
            </w14:solidFill>
          </w14:textFill>
        </w:rPr>
        <w:t>5</w:t>
      </w:r>
      <w:r>
        <w:rPr>
          <w:rFonts w:hint="default" w:ascii="Times New Roman" w:hAnsi="Times New Roman" w:eastAsia="黑体" w:cs="Times New Roman"/>
          <w:b w:val="0"/>
          <w:color w:val="000000" w:themeColor="text1"/>
          <w14:textFill>
            <w14:solidFill>
              <w14:schemeClr w14:val="tx1"/>
            </w14:solidFill>
          </w14:textFill>
        </w:rPr>
        <w:t>项目</w:t>
      </w:r>
      <w:r>
        <w:rPr>
          <w:rFonts w:hint="eastAsia" w:ascii="Times New Roman" w:hAnsi="Times New Roman" w:eastAsia="黑体" w:cs="Times New Roman"/>
          <w:b w:val="0"/>
          <w:color w:val="000000" w:themeColor="text1"/>
          <w:lang w:eastAsia="zh-CN"/>
          <w14:textFill>
            <w14:solidFill>
              <w14:schemeClr w14:val="tx1"/>
            </w14:solidFill>
          </w14:textFill>
        </w:rPr>
        <w:t>与《毛集实验区毛集镇国土空间总体规划（2021-2035年）》</w:t>
      </w:r>
      <w:r>
        <w:rPr>
          <w:rFonts w:hint="default" w:ascii="Times New Roman" w:hAnsi="Times New Roman" w:eastAsia="黑体" w:cs="Times New Roman"/>
          <w:b w:val="0"/>
          <w:color w:val="000000" w:themeColor="text1"/>
          <w14:textFill>
            <w14:solidFill>
              <w14:schemeClr w14:val="tx1"/>
            </w14:solidFill>
          </w14:textFill>
        </w:rPr>
        <w:t>的符合性分析</w:t>
      </w:r>
    </w:p>
    <w:p w14:paraId="325F80A6">
      <w:pPr>
        <w:spacing w:line="360" w:lineRule="auto"/>
        <w:ind w:firstLine="480" w:firstLineChars="200"/>
        <w:jc w:val="both"/>
        <w:rPr>
          <w:rFonts w:hint="default" w:ascii="Times New Roman" w:hAnsi="Times New Roman" w:eastAsia="黑体" w:cs="Times New Roman"/>
          <w:bCs/>
          <w:color w:val="000000" w:themeColor="text1"/>
          <w:sz w:val="24"/>
          <w:szCs w:val="24"/>
          <w:lang w:val="en-US" w:eastAsia="zh-CN"/>
          <w14:textFill>
            <w14:solidFill>
              <w14:schemeClr w14:val="tx1"/>
            </w14:solidFill>
          </w14:textFill>
        </w:rPr>
      </w:pPr>
      <w:r>
        <w:rPr>
          <w:rFonts w:hint="eastAsia" w:eastAsia="宋体" w:cs="Times New Roman"/>
          <w:color w:val="000000" w:themeColor="text1"/>
          <w:spacing w:val="0"/>
          <w:kern w:val="2"/>
          <w:sz w:val="24"/>
          <w:szCs w:val="28"/>
          <w:lang w:val="en-US" w:eastAsia="zh-CN" w:bidi="ar-SA"/>
          <w14:textFill>
            <w14:solidFill>
              <w14:schemeClr w14:val="tx1"/>
            </w14:solidFill>
          </w14:textFill>
        </w:rPr>
        <w:t>本项目位于淮南市毛集实验区毛集镇，</w:t>
      </w:r>
      <w:r>
        <w:rPr>
          <w:rFonts w:hint="eastAsia"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根据</w:t>
      </w:r>
      <w:r>
        <w:rPr>
          <w:rFonts w:hint="eastAsia" w:eastAsia="宋体" w:cs="Times New Roman"/>
          <w:color w:val="000000" w:themeColor="text1"/>
          <w:spacing w:val="0"/>
          <w:kern w:val="2"/>
          <w:sz w:val="24"/>
          <w:szCs w:val="28"/>
          <w:lang w:val="en-US" w:eastAsia="zh-CN" w:bidi="ar-SA"/>
          <w14:textFill>
            <w14:solidFill>
              <w14:schemeClr w14:val="tx1"/>
            </w14:solidFill>
          </w14:textFill>
        </w:rPr>
        <w:t>《</w:t>
      </w:r>
      <w:r>
        <w:rPr>
          <w:rFonts w:hint="eastAsia"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毛集实验区毛集镇国土空间总体规划（2021-2035年）</w:t>
      </w:r>
      <w:r>
        <w:rPr>
          <w:rFonts w:hint="eastAsia" w:eastAsia="宋体" w:cs="Times New Roman"/>
          <w:color w:val="000000" w:themeColor="text1"/>
          <w:spacing w:val="0"/>
          <w:kern w:val="2"/>
          <w:sz w:val="24"/>
          <w:szCs w:val="28"/>
          <w:lang w:val="en-US" w:eastAsia="zh-CN" w:bidi="ar-SA"/>
          <w14:textFill>
            <w14:solidFill>
              <w14:schemeClr w14:val="tx1"/>
            </w14:solidFill>
          </w14:textFill>
        </w:rPr>
        <w:t>》，项目所在地为工业用地，毛集实验区毛集镇主导产业为绿色食品、轻工纺织、电子信息、机械制造，以四大主导产业为抓手，积极提升技术创新能力，深化产业链延伸，促进我镇主导产业向高端化、规模化和品牌化方向发展，实现高质量发展。本项目属于废弃资源综合利用项目，原料为回收的废PET瓶砖，同时生产高质量的PET改性粒子，属于毛集镇主导产业“轻工”，因此本项目符合毛集实验区毛集镇总体规划要求。</w:t>
      </w:r>
    </w:p>
    <w:p w14:paraId="2890D44E">
      <w:pPr>
        <w:widowControl/>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p>
    <w:p w14:paraId="490D7B73">
      <w:pPr>
        <w:pStyle w:val="888"/>
        <w:ind w:firstLine="560"/>
        <w:rPr>
          <w:rFonts w:hint="default" w:ascii="Times New Roman" w:hAnsi="Times New Roman" w:cs="Times New Roman"/>
          <w:color w:val="000000" w:themeColor="text1"/>
          <w14:textFill>
            <w14:solidFill>
              <w14:schemeClr w14:val="tx1"/>
            </w14:solidFill>
          </w14:textFill>
        </w:rPr>
        <w:sectPr>
          <w:pgSz w:w="11907" w:h="16839"/>
          <w:pgMar w:top="1440" w:right="1797" w:bottom="1440" w:left="1797" w:header="851" w:footer="992" w:gutter="0"/>
          <w:pgBorders>
            <w:top w:val="none" w:sz="0" w:space="0"/>
            <w:left w:val="none" w:sz="0" w:space="0"/>
            <w:bottom w:val="none" w:sz="0" w:space="0"/>
            <w:right w:val="none" w:sz="0" w:space="0"/>
          </w:pgBorders>
          <w:cols w:space="720" w:num="1"/>
          <w:docGrid w:type="lines" w:linePitch="312" w:charSpace="0"/>
        </w:sectPr>
      </w:pPr>
    </w:p>
    <w:p w14:paraId="611F7D9B">
      <w:pPr>
        <w:pStyle w:val="888"/>
        <w:ind w:left="0" w:leftChars="0" w:firstLine="0" w:firstLineChars="0"/>
        <w:jc w:val="center"/>
        <w:rPr>
          <w:rFonts w:hint="eastAsia" w:ascii="Times New Roman" w:hAnsi="Times New Roman" w:eastAsia="仿宋_GB2312" w:cs="Times New Roman"/>
          <w:color w:val="000000" w:themeColor="text1"/>
          <w:lang w:eastAsia="zh-CN"/>
          <w14:textFill>
            <w14:solidFill>
              <w14:schemeClr w14:val="tx1"/>
            </w14:solidFill>
          </w14:textFill>
        </w:rPr>
      </w:pPr>
      <w:r>
        <w:rPr>
          <w:rFonts w:hint="eastAsia" w:ascii="Times New Roman" w:hAnsi="Times New Roman" w:eastAsia="仿宋_GB2312" w:cs="Times New Roman"/>
          <w:color w:val="000000" w:themeColor="text1"/>
          <w:lang w:eastAsia="zh-CN"/>
          <w14:textFill>
            <w14:solidFill>
              <w14:schemeClr w14:val="tx1"/>
            </w14:solidFill>
          </w14:textFill>
        </w:rPr>
        <w:drawing>
          <wp:anchor distT="0" distB="0" distL="114300" distR="114300" simplePos="0" relativeHeight="251830272" behindDoc="0" locked="0" layoutInCell="1" allowOverlap="1">
            <wp:simplePos x="0" y="0"/>
            <wp:positionH relativeFrom="column">
              <wp:posOffset>1042035</wp:posOffset>
            </wp:positionH>
            <wp:positionV relativeFrom="paragraph">
              <wp:posOffset>80645</wp:posOffset>
            </wp:positionV>
            <wp:extent cx="6995795" cy="4946650"/>
            <wp:effectExtent l="0" t="0" r="14605" b="6350"/>
            <wp:wrapNone/>
            <wp:docPr id="284" name="图片 284" descr="毛集实验区国土空间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毛集实验区国土空间规划图"/>
                    <pic:cNvPicPr>
                      <a:picLocks noChangeAspect="1"/>
                    </pic:cNvPicPr>
                  </pic:nvPicPr>
                  <pic:blipFill>
                    <a:blip r:embed="rId31"/>
                    <a:stretch>
                      <a:fillRect/>
                    </a:stretch>
                  </pic:blipFill>
                  <pic:spPr>
                    <a:xfrm>
                      <a:off x="0" y="0"/>
                      <a:ext cx="6995795" cy="4946650"/>
                    </a:xfrm>
                    <a:prstGeom prst="rect">
                      <a:avLst/>
                    </a:prstGeom>
                  </pic:spPr>
                </pic:pic>
              </a:graphicData>
            </a:graphic>
          </wp:anchor>
        </w:drawing>
      </w:r>
    </w:p>
    <w:p w14:paraId="50FDBF0D">
      <w:pPr>
        <w:pStyle w:val="888"/>
        <w:ind w:left="0" w:leftChars="0" w:firstLine="0" w:firstLineChars="0"/>
        <w:jc w:val="center"/>
        <w:rPr>
          <w:rFonts w:hint="eastAsia" w:ascii="Times New Roman" w:hAnsi="Times New Roman" w:eastAsia="仿宋_GB2312" w:cs="Times New Roman"/>
          <w:color w:val="000000" w:themeColor="text1"/>
          <w:lang w:eastAsia="zh-CN"/>
          <w14:textFill>
            <w14:solidFill>
              <w14:schemeClr w14:val="tx1"/>
            </w14:solidFill>
          </w14:textFill>
        </w:rPr>
      </w:pPr>
    </w:p>
    <w:p w14:paraId="4608CFD7">
      <w:pPr>
        <w:pStyle w:val="888"/>
        <w:ind w:left="0" w:leftChars="0" w:firstLine="0" w:firstLineChars="0"/>
        <w:jc w:val="center"/>
        <w:rPr>
          <w:rFonts w:hint="eastAsia" w:ascii="Times New Roman" w:hAnsi="Times New Roman" w:eastAsia="仿宋_GB2312" w:cs="Times New Roman"/>
          <w:color w:val="000000" w:themeColor="text1"/>
          <w:lang w:eastAsia="zh-CN"/>
          <w14:textFill>
            <w14:solidFill>
              <w14:schemeClr w14:val="tx1"/>
            </w14:solidFill>
          </w14:textFill>
        </w:rPr>
      </w:pPr>
    </w:p>
    <w:p w14:paraId="7753D7CF">
      <w:pPr>
        <w:pStyle w:val="888"/>
        <w:ind w:left="0" w:leftChars="0" w:firstLine="0" w:firstLineChars="0"/>
        <w:jc w:val="center"/>
        <w:rPr>
          <w:rFonts w:hint="eastAsia" w:ascii="Times New Roman" w:hAnsi="Times New Roman" w:eastAsia="仿宋_GB2312" w:cs="Times New Roman"/>
          <w:color w:val="000000" w:themeColor="text1"/>
          <w:lang w:eastAsia="zh-CN"/>
          <w14:textFill>
            <w14:solidFill>
              <w14:schemeClr w14:val="tx1"/>
            </w14:solidFill>
          </w14:textFill>
        </w:rPr>
      </w:pPr>
    </w:p>
    <w:p w14:paraId="13114CC2">
      <w:pPr>
        <w:pStyle w:val="888"/>
        <w:ind w:left="0" w:leftChars="0" w:firstLine="0" w:firstLineChars="0"/>
        <w:jc w:val="center"/>
        <w:rPr>
          <w:rFonts w:hint="eastAsia" w:ascii="Times New Roman" w:hAnsi="Times New Roman" w:eastAsia="仿宋_GB2312" w:cs="Times New Roman"/>
          <w:color w:val="000000" w:themeColor="text1"/>
          <w:lang w:eastAsia="zh-CN"/>
          <w14:textFill>
            <w14:solidFill>
              <w14:schemeClr w14:val="tx1"/>
            </w14:solidFill>
          </w14:textFill>
        </w:rPr>
      </w:pPr>
      <w:r>
        <w:rPr>
          <w:color w:val="000000" w:themeColor="text1"/>
          <w:sz w:val="28"/>
          <w14:textFill>
            <w14:solidFill>
              <w14:schemeClr w14:val="tx1"/>
            </w14:solidFill>
          </w14:textFill>
        </w:rPr>
        <mc:AlternateContent>
          <mc:Choice Requires="wps">
            <w:drawing>
              <wp:anchor distT="0" distB="0" distL="114300" distR="114300" simplePos="0" relativeHeight="251833344" behindDoc="0" locked="0" layoutInCell="1" allowOverlap="1">
                <wp:simplePos x="0" y="0"/>
                <wp:positionH relativeFrom="column">
                  <wp:posOffset>1192530</wp:posOffset>
                </wp:positionH>
                <wp:positionV relativeFrom="paragraph">
                  <wp:posOffset>199390</wp:posOffset>
                </wp:positionV>
                <wp:extent cx="1049655" cy="349885"/>
                <wp:effectExtent l="6350" t="6350" r="10795" b="405765"/>
                <wp:wrapNone/>
                <wp:docPr id="289" name="圆角矩形标注 289"/>
                <wp:cNvGraphicFramePr/>
                <a:graphic xmlns:a="http://schemas.openxmlformats.org/drawingml/2006/main">
                  <a:graphicData uri="http://schemas.microsoft.com/office/word/2010/wordprocessingShape">
                    <wps:wsp>
                      <wps:cNvSpPr/>
                      <wps:spPr>
                        <a:xfrm>
                          <a:off x="4713605" y="2040890"/>
                          <a:ext cx="1049655" cy="349885"/>
                        </a:xfrm>
                        <a:prstGeom prst="wedgeRoundRectCallout">
                          <a:avLst>
                            <a:gd name="adj1" fmla="val 18058"/>
                            <a:gd name="adj2" fmla="val 158348"/>
                            <a:gd name="adj3" fmla="val 166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73128AC">
                            <w:pPr>
                              <w:jc w:val="center"/>
                              <w:rPr>
                                <w:rFonts w:hint="eastAsia" w:eastAsia="宋体"/>
                                <w:color w:val="FF0000"/>
                                <w:sz w:val="24"/>
                                <w:szCs w:val="24"/>
                                <w:lang w:eastAsia="zh-CN"/>
                              </w:rPr>
                            </w:pPr>
                            <w:r>
                              <w:rPr>
                                <w:rFonts w:hint="eastAsia"/>
                                <w:color w:val="FF0000"/>
                                <w:sz w:val="24"/>
                                <w:szCs w:val="24"/>
                                <w:lang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93.9pt;margin-top:15.7pt;height:27.55pt;width:82.65pt;z-index:251833344;v-text-anchor:middle;mso-width-relative:page;mso-height-relative:page;" filled="f" stroked="t" coordsize="21600,21600" o:gfxdata="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PmGEgjaAAAACQEAAA8AAAAAAAAAAQAgAAAAIgAAAGRycy9kb3ducmV2LnhtbFBLAQIUABQAAAAI&#10;AIdO4kDrAve4zwIAAHkFAAAOAAAAAAAAAAEAIAAAACkBAABkcnMvZTJvRG9jLnhtbFBLBQYAAAAA&#10;BgAGAFkBAABqBgAAAAA=&#10;" adj="14701,45003,14400">
                <v:fill on="f" focussize="0,0"/>
                <v:stroke weight="1pt" color="#FF0000 [2404]" miterlimit="8" joinstyle="miter"/>
                <v:imagedata o:title=""/>
                <o:lock v:ext="edit" aspectratio="f"/>
                <v:textbox>
                  <w:txbxContent>
                    <w:p w14:paraId="173128AC">
                      <w:pPr>
                        <w:jc w:val="center"/>
                        <w:rPr>
                          <w:rFonts w:hint="eastAsia" w:eastAsia="宋体"/>
                          <w:color w:val="FF0000"/>
                          <w:sz w:val="24"/>
                          <w:szCs w:val="24"/>
                          <w:lang w:eastAsia="zh-CN"/>
                        </w:rPr>
                      </w:pPr>
                      <w:r>
                        <w:rPr>
                          <w:rFonts w:hint="eastAsia"/>
                          <w:color w:val="FF0000"/>
                          <w:sz w:val="24"/>
                          <w:szCs w:val="24"/>
                          <w:lang w:eastAsia="zh-CN"/>
                        </w:rPr>
                        <w:t>项目所在地</w:t>
                      </w:r>
                    </w:p>
                  </w:txbxContent>
                </v:textbox>
              </v:shape>
            </w:pict>
          </mc:Fallback>
        </mc:AlternateContent>
      </w:r>
    </w:p>
    <w:p w14:paraId="6BBE1B7C">
      <w:pPr>
        <w:pStyle w:val="888"/>
        <w:ind w:left="0" w:leftChars="0" w:firstLine="0" w:firstLineChars="0"/>
        <w:jc w:val="center"/>
        <w:rPr>
          <w:rFonts w:hint="eastAsia" w:ascii="Times New Roman" w:hAnsi="Times New Roman" w:eastAsia="仿宋_GB2312" w:cs="Times New Roman"/>
          <w:color w:val="000000" w:themeColor="text1"/>
          <w:lang w:eastAsia="zh-CN"/>
          <w14:textFill>
            <w14:solidFill>
              <w14:schemeClr w14:val="tx1"/>
            </w14:solidFill>
          </w14:textFill>
        </w:rPr>
      </w:pPr>
    </w:p>
    <w:p w14:paraId="30F54C63">
      <w:pPr>
        <w:pStyle w:val="888"/>
        <w:ind w:left="0" w:leftChars="0" w:firstLine="0" w:firstLineChars="0"/>
        <w:jc w:val="center"/>
        <w:rPr>
          <w:rFonts w:hint="eastAsia" w:ascii="Times New Roman" w:hAnsi="Times New Roman" w:eastAsia="仿宋_GB2312" w:cs="Times New Roman"/>
          <w:color w:val="000000" w:themeColor="text1"/>
          <w:lang w:eastAsia="zh-CN"/>
          <w14:textFill>
            <w14:solidFill>
              <w14:schemeClr w14:val="tx1"/>
            </w14:solidFill>
          </w14:textFill>
        </w:rPr>
      </w:pPr>
      <w:r>
        <w:rPr>
          <w:color w:val="000000" w:themeColor="text1"/>
          <w:sz w:val="28"/>
          <w14:textFill>
            <w14:solidFill>
              <w14:schemeClr w14:val="tx1"/>
            </w14:solidFill>
          </w14:textFill>
        </w:rPr>
        <mc:AlternateContent>
          <mc:Choice Requires="wps">
            <w:drawing>
              <wp:anchor distT="0" distB="0" distL="114300" distR="114300" simplePos="0" relativeHeight="251832320" behindDoc="0" locked="0" layoutInCell="1" allowOverlap="1">
                <wp:simplePos x="0" y="0"/>
                <wp:positionH relativeFrom="column">
                  <wp:posOffset>1873885</wp:posOffset>
                </wp:positionH>
                <wp:positionV relativeFrom="paragraph">
                  <wp:posOffset>214630</wp:posOffset>
                </wp:positionV>
                <wp:extent cx="76200" cy="76200"/>
                <wp:effectExtent l="19050" t="21590" r="19050" b="35560"/>
                <wp:wrapNone/>
                <wp:docPr id="288" name="五角星 288"/>
                <wp:cNvGraphicFramePr/>
                <a:graphic xmlns:a="http://schemas.openxmlformats.org/drawingml/2006/main">
                  <a:graphicData uri="http://schemas.microsoft.com/office/word/2010/wordprocessingShape">
                    <wps:wsp>
                      <wps:cNvSpPr/>
                      <wps:spPr>
                        <a:xfrm>
                          <a:off x="7790815" y="1102995"/>
                          <a:ext cx="76200" cy="7620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47.55pt;margin-top:16.9pt;height:6pt;width:6pt;z-index:251832320;v-text-anchor:middle;mso-width-relative:page;mso-height-relative:page;" fillcolor="#FF0000" filled="t" stroked="t" coordsize="76200,76200" o:gfxdata="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DVPI17ZAAAACQEAAA8AAAAAAAAAAQAgAAAA&#10;IgAAAGRycy9kb3ducmV2LnhtbFBLAQIUABQAAAAIAIdO4kBjmhqgfAIAAAUFAAAOAAAAAAAAAAEA&#10;IAAAACgBAABkcnMvZTJvRG9jLnhtbFBLBQYAAAAABgAGAFkBAAAWBgAAAAA=&#10;" path="m0,29105l29105,29105,38100,0,47094,29105,76199,29105,52652,47093,61647,76199,38100,58211,14552,76199,23547,47093xe">
                <v:path o:connectlocs="38100,0;0,29105;14552,76199;61647,76199;76199,29105" o:connectangles="247,164,82,82,0"/>
                <v:fill on="t" focussize="0,0"/>
                <v:stroke weight="1pt" color="#FF0000 [2404]" miterlimit="8" joinstyle="miter"/>
                <v:imagedata o:title=""/>
                <o:lock v:ext="edit" aspectratio="f"/>
              </v:shape>
            </w:pict>
          </mc:Fallback>
        </mc:AlternateContent>
      </w:r>
    </w:p>
    <w:p w14:paraId="11598CF3">
      <w:pPr>
        <w:pStyle w:val="888"/>
        <w:ind w:left="0" w:leftChars="0" w:firstLine="0" w:firstLineChars="0"/>
        <w:jc w:val="center"/>
        <w:rPr>
          <w:rFonts w:hint="eastAsia" w:ascii="Times New Roman" w:hAnsi="Times New Roman" w:eastAsia="仿宋_GB2312" w:cs="Times New Roman"/>
          <w:color w:val="000000" w:themeColor="text1"/>
          <w:lang w:eastAsia="zh-CN"/>
          <w14:textFill>
            <w14:solidFill>
              <w14:schemeClr w14:val="tx1"/>
            </w14:solidFill>
          </w14:textFill>
        </w:rPr>
      </w:pPr>
    </w:p>
    <w:p w14:paraId="105EC84D">
      <w:pPr>
        <w:pStyle w:val="888"/>
        <w:ind w:left="0" w:leftChars="0" w:firstLine="0" w:firstLineChars="0"/>
        <w:jc w:val="center"/>
        <w:rPr>
          <w:rFonts w:hint="eastAsia" w:ascii="Times New Roman" w:hAnsi="Times New Roman" w:eastAsia="仿宋_GB2312" w:cs="Times New Roman"/>
          <w:color w:val="000000" w:themeColor="text1"/>
          <w:lang w:eastAsia="zh-CN"/>
          <w14:textFill>
            <w14:solidFill>
              <w14:schemeClr w14:val="tx1"/>
            </w14:solidFill>
          </w14:textFill>
        </w:rPr>
      </w:pPr>
    </w:p>
    <w:p w14:paraId="2CE93B5E">
      <w:pPr>
        <w:pStyle w:val="888"/>
        <w:ind w:left="0" w:leftChars="0" w:firstLine="0" w:firstLineChars="0"/>
        <w:jc w:val="center"/>
        <w:rPr>
          <w:rFonts w:hint="eastAsia" w:ascii="Times New Roman" w:hAnsi="Times New Roman" w:eastAsia="仿宋_GB2312" w:cs="Times New Roman"/>
          <w:color w:val="000000" w:themeColor="text1"/>
          <w:lang w:eastAsia="zh-CN"/>
          <w14:textFill>
            <w14:solidFill>
              <w14:schemeClr w14:val="tx1"/>
            </w14:solidFill>
          </w14:textFill>
        </w:rPr>
      </w:pPr>
    </w:p>
    <w:p w14:paraId="6DBCCA35">
      <w:pPr>
        <w:pStyle w:val="888"/>
        <w:ind w:left="0" w:leftChars="0" w:firstLine="0" w:firstLineChars="0"/>
        <w:jc w:val="center"/>
        <w:rPr>
          <w:rFonts w:hint="eastAsia" w:ascii="Times New Roman" w:hAnsi="Times New Roman" w:eastAsia="仿宋_GB2312" w:cs="Times New Roman"/>
          <w:color w:val="000000" w:themeColor="text1"/>
          <w:lang w:eastAsia="zh-CN"/>
          <w14:textFill>
            <w14:solidFill>
              <w14:schemeClr w14:val="tx1"/>
            </w14:solidFill>
          </w14:textFill>
        </w:rPr>
      </w:pPr>
    </w:p>
    <w:p w14:paraId="22102653">
      <w:pPr>
        <w:pStyle w:val="888"/>
        <w:ind w:left="0" w:leftChars="0" w:firstLine="0" w:firstLineChars="0"/>
        <w:jc w:val="center"/>
        <w:rPr>
          <w:rFonts w:hint="eastAsia" w:ascii="Times New Roman" w:hAnsi="Times New Roman" w:eastAsia="仿宋_GB2312" w:cs="Times New Roman"/>
          <w:color w:val="000000" w:themeColor="text1"/>
          <w:lang w:eastAsia="zh-CN"/>
          <w14:textFill>
            <w14:solidFill>
              <w14:schemeClr w14:val="tx1"/>
            </w14:solidFill>
          </w14:textFill>
        </w:rPr>
      </w:pPr>
    </w:p>
    <w:p w14:paraId="2AA1A3E4">
      <w:pPr>
        <w:pStyle w:val="888"/>
        <w:ind w:left="0" w:leftChars="0" w:firstLine="0" w:firstLineChars="0"/>
        <w:jc w:val="center"/>
        <w:rPr>
          <w:rFonts w:hint="eastAsia" w:ascii="Times New Roman" w:hAnsi="Times New Roman" w:eastAsia="仿宋_GB2312" w:cs="Times New Roman"/>
          <w:color w:val="000000" w:themeColor="text1"/>
          <w:lang w:eastAsia="zh-CN"/>
          <w14:textFill>
            <w14:solidFill>
              <w14:schemeClr w14:val="tx1"/>
            </w14:solidFill>
          </w14:textFill>
        </w:rPr>
      </w:pPr>
    </w:p>
    <w:p w14:paraId="6AB3BA14">
      <w:pPr>
        <w:pStyle w:val="888"/>
        <w:ind w:left="0" w:leftChars="0" w:firstLine="0" w:firstLineChars="0"/>
        <w:jc w:val="center"/>
        <w:rPr>
          <w:rFonts w:hint="eastAsia" w:ascii="Times New Roman" w:hAnsi="Times New Roman" w:eastAsia="仿宋_GB2312" w:cs="Times New Roman"/>
          <w:color w:val="000000" w:themeColor="text1"/>
          <w:lang w:eastAsia="zh-CN"/>
          <w14:textFill>
            <w14:solidFill>
              <w14:schemeClr w14:val="tx1"/>
            </w14:solidFill>
          </w14:textFill>
        </w:rPr>
        <w:sectPr>
          <w:pgSz w:w="16839" w:h="11907" w:orient="landscape"/>
          <w:pgMar w:top="1797" w:right="1440" w:bottom="1797" w:left="1440" w:header="851" w:footer="992" w:gutter="0"/>
          <w:pgBorders>
            <w:top w:val="none" w:sz="0" w:space="0"/>
            <w:left w:val="none" w:sz="0" w:space="0"/>
            <w:bottom w:val="none" w:sz="0" w:space="0"/>
            <w:right w:val="none" w:sz="0" w:space="0"/>
          </w:pgBorders>
          <w:cols w:space="720" w:num="1"/>
          <w:docGrid w:type="lines" w:linePitch="312" w:charSpace="0"/>
        </w:sectPr>
      </w:pPr>
      <w:r>
        <w:rPr>
          <w:color w:val="000000" w:themeColor="text1"/>
          <w:sz w:val="28"/>
          <w14:textFill>
            <w14:solidFill>
              <w14:schemeClr w14:val="tx1"/>
            </w14:solidFill>
          </w14:textFill>
        </w:rPr>
        <mc:AlternateContent>
          <mc:Choice Requires="wps">
            <w:drawing>
              <wp:anchor distT="0" distB="0" distL="114300" distR="114300" simplePos="0" relativeHeight="251831296" behindDoc="0" locked="0" layoutInCell="1" allowOverlap="1">
                <wp:simplePos x="0" y="0"/>
                <wp:positionH relativeFrom="column">
                  <wp:posOffset>2698750</wp:posOffset>
                </wp:positionH>
                <wp:positionV relativeFrom="paragraph">
                  <wp:posOffset>433070</wp:posOffset>
                </wp:positionV>
                <wp:extent cx="4048760" cy="502285"/>
                <wp:effectExtent l="0" t="0" r="8890" b="12065"/>
                <wp:wrapNone/>
                <wp:docPr id="285" name="文本框 285"/>
                <wp:cNvGraphicFramePr/>
                <a:graphic xmlns:a="http://schemas.openxmlformats.org/drawingml/2006/main">
                  <a:graphicData uri="http://schemas.microsoft.com/office/word/2010/wordprocessingShape">
                    <wps:wsp>
                      <wps:cNvSpPr txBox="1"/>
                      <wps:spPr>
                        <a:xfrm>
                          <a:off x="3761105" y="6437630"/>
                          <a:ext cx="4048760" cy="5022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6230652">
                            <w:pPr>
                              <w:rPr>
                                <w:rFonts w:hint="default" w:ascii="Times New Roman" w:hAnsi="Times New Roman" w:eastAsia="黑体" w:cs="Times New Roman"/>
                                <w:sz w:val="24"/>
                                <w:szCs w:val="24"/>
                              </w:rPr>
                            </w:pPr>
                            <w:r>
                              <w:rPr>
                                <w:rFonts w:hint="default" w:ascii="Times New Roman" w:hAnsi="Times New Roman" w:eastAsia="黑体" w:cs="Times New Roman"/>
                                <w:b w:val="0"/>
                                <w:sz w:val="24"/>
                                <w:szCs w:val="24"/>
                                <w:lang w:eastAsia="zh-CN"/>
                              </w:rPr>
                              <w:t>图</w:t>
                            </w:r>
                            <w:r>
                              <w:rPr>
                                <w:rFonts w:hint="default" w:ascii="Times New Roman" w:hAnsi="Times New Roman" w:eastAsia="黑体" w:cs="Times New Roman"/>
                                <w:b w:val="0"/>
                                <w:sz w:val="24"/>
                                <w:szCs w:val="24"/>
                                <w:lang w:val="en-US" w:eastAsia="zh-CN"/>
                              </w:rPr>
                              <w:t>2.6-7项目与</w:t>
                            </w:r>
                            <w:r>
                              <w:rPr>
                                <w:rFonts w:hint="default" w:ascii="Times New Roman" w:hAnsi="Times New Roman" w:eastAsia="黑体" w:cs="Times New Roman"/>
                                <w:b w:val="0"/>
                                <w:sz w:val="24"/>
                                <w:szCs w:val="24"/>
                                <w:lang w:eastAsia="zh-CN"/>
                              </w:rPr>
                              <w:t>毛集实验区毛集镇国土空间总体规划关系图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5pt;margin-top:34.1pt;height:39.55pt;width:318.8pt;z-index:251831296;mso-width-relative:page;mso-height-relative:page;" fillcolor="#FFFFFF [3201]" filled="t" stroked="f" coordsize="21600,21600" o:gfxdata="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E0rJ&#10;EtYAAAALAQAADwAAAAAAAAABACAAAAAiAAAAZHJzL2Rvd25yZXYueG1sUEsBAhQAFAAAAAgAh07i&#10;QMLnk71dAgAAnwQAAA4AAAAAAAAAAQAgAAAAJQEAAGRycy9lMm9Eb2MueG1sUEsFBgAAAAAGAAYA&#10;WQEAAPQFAAAAAA==&#10;">
                <v:fill on="t" focussize="0,0"/>
                <v:stroke on="f" weight="0.5pt"/>
                <v:imagedata o:title=""/>
                <o:lock v:ext="edit" aspectratio="f"/>
                <v:textbox>
                  <w:txbxContent>
                    <w:p w14:paraId="46230652">
                      <w:pPr>
                        <w:rPr>
                          <w:rFonts w:hint="default" w:ascii="Times New Roman" w:hAnsi="Times New Roman" w:eastAsia="黑体" w:cs="Times New Roman"/>
                          <w:sz w:val="24"/>
                          <w:szCs w:val="24"/>
                        </w:rPr>
                      </w:pPr>
                      <w:r>
                        <w:rPr>
                          <w:rFonts w:hint="default" w:ascii="Times New Roman" w:hAnsi="Times New Roman" w:eastAsia="黑体" w:cs="Times New Roman"/>
                          <w:b w:val="0"/>
                          <w:sz w:val="24"/>
                          <w:szCs w:val="24"/>
                          <w:lang w:eastAsia="zh-CN"/>
                        </w:rPr>
                        <w:t>图</w:t>
                      </w:r>
                      <w:r>
                        <w:rPr>
                          <w:rFonts w:hint="default" w:ascii="Times New Roman" w:hAnsi="Times New Roman" w:eastAsia="黑体" w:cs="Times New Roman"/>
                          <w:b w:val="0"/>
                          <w:sz w:val="24"/>
                          <w:szCs w:val="24"/>
                          <w:lang w:val="en-US" w:eastAsia="zh-CN"/>
                        </w:rPr>
                        <w:t>2.6-7项目与</w:t>
                      </w:r>
                      <w:r>
                        <w:rPr>
                          <w:rFonts w:hint="default" w:ascii="Times New Roman" w:hAnsi="Times New Roman" w:eastAsia="黑体" w:cs="Times New Roman"/>
                          <w:b w:val="0"/>
                          <w:sz w:val="24"/>
                          <w:szCs w:val="24"/>
                          <w:lang w:eastAsia="zh-CN"/>
                        </w:rPr>
                        <w:t>毛集实验区毛集镇国土空间总体规划关系图</w:t>
                      </w:r>
                    </w:p>
                  </w:txbxContent>
                </v:textbox>
              </v:shape>
            </w:pict>
          </mc:Fallback>
        </mc:AlternateContent>
      </w:r>
    </w:p>
    <w:p w14:paraId="5854B115">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43" w:name="_Toc173837635"/>
      <w:r>
        <w:rPr>
          <w:rFonts w:hint="default" w:ascii="Times New Roman" w:hAnsi="Times New Roman" w:eastAsia="黑体" w:cs="Times New Roman"/>
          <w:b w:val="0"/>
          <w:color w:val="000000" w:themeColor="text1"/>
          <w14:textFill>
            <w14:solidFill>
              <w14:schemeClr w14:val="tx1"/>
            </w14:solidFill>
          </w14:textFill>
        </w:rPr>
        <w:t>2.</w:t>
      </w:r>
      <w:r>
        <w:rPr>
          <w:rFonts w:hint="eastAsia"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14:textFill>
            <w14:solidFill>
              <w14:schemeClr w14:val="tx1"/>
            </w14:solidFill>
          </w14:textFill>
        </w:rPr>
        <w:t>环境保护目标</w:t>
      </w:r>
      <w:bookmarkEnd w:id="43"/>
    </w:p>
    <w:p w14:paraId="78442F7F">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根据现场调查，主要环境保护目标具体情况见表2.</w:t>
      </w:r>
      <w:r>
        <w:rPr>
          <w:rFonts w:hint="eastAsia" w:ascii="Times New Roman" w:hAnsi="Times New Roman" w:cs="Times New Roman"/>
          <w:color w:val="000000" w:themeColor="text1"/>
          <w:lang w:val="en-US" w:eastAsia="zh-CN"/>
          <w14:textFill>
            <w14:solidFill>
              <w14:schemeClr w14:val="tx1"/>
            </w14:solidFill>
          </w14:textFill>
        </w:rPr>
        <w:t>7</w:t>
      </w:r>
      <w:r>
        <w:rPr>
          <w:rFonts w:hint="default" w:ascii="Times New Roman" w:hAnsi="Times New Roman" w:cs="Times New Roman"/>
          <w:color w:val="000000" w:themeColor="text1"/>
          <w14:textFill>
            <w14:solidFill>
              <w14:schemeClr w14:val="tx1"/>
            </w14:solidFill>
          </w14:textFill>
        </w:rPr>
        <w:t>-1、图2.</w:t>
      </w:r>
      <w:r>
        <w:rPr>
          <w:rFonts w:hint="eastAsia" w:ascii="Times New Roman" w:hAnsi="Times New Roman" w:cs="Times New Roman"/>
          <w:color w:val="000000" w:themeColor="text1"/>
          <w:lang w:val="en-US" w:eastAsia="zh-CN"/>
          <w14:textFill>
            <w14:solidFill>
              <w14:schemeClr w14:val="tx1"/>
            </w14:solidFill>
          </w14:textFill>
        </w:rPr>
        <w:t>7</w:t>
      </w:r>
      <w:r>
        <w:rPr>
          <w:rFonts w:hint="default" w:ascii="Times New Roman" w:hAnsi="Times New Roman" w:cs="Times New Roman"/>
          <w:color w:val="000000" w:themeColor="text1"/>
          <w14:textFill>
            <w14:solidFill>
              <w14:schemeClr w14:val="tx1"/>
            </w14:solidFill>
          </w14:textFill>
        </w:rPr>
        <w:t>-1。</w:t>
      </w:r>
    </w:p>
    <w:p w14:paraId="7F794FF7">
      <w:pPr>
        <w:adjustRightInd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表2.</w:t>
      </w:r>
      <w:r>
        <w:rPr>
          <w:rFonts w:hint="eastAsia" w:eastAsia="黑体" w:cs="Times New Roman"/>
          <w:bCs/>
          <w:color w:val="000000" w:themeColor="text1"/>
          <w:sz w:val="24"/>
          <w:lang w:val="en-US" w:eastAsia="zh-CN"/>
          <w14:textFill>
            <w14:solidFill>
              <w14:schemeClr w14:val="tx1"/>
            </w14:solidFill>
          </w14:textFill>
        </w:rPr>
        <w:t>7</w:t>
      </w:r>
      <w:r>
        <w:rPr>
          <w:rFonts w:hint="default" w:ascii="Times New Roman" w:hAnsi="Times New Roman" w:eastAsia="黑体" w:cs="Times New Roman"/>
          <w:bCs/>
          <w:color w:val="000000" w:themeColor="text1"/>
          <w:sz w:val="24"/>
          <w14:textFill>
            <w14:solidFill>
              <w14:schemeClr w14:val="tx1"/>
            </w14:solidFill>
          </w14:textFill>
        </w:rPr>
        <w:t>-1评价区域内主要环境保护目标一览表</w:t>
      </w:r>
    </w:p>
    <w:tbl>
      <w:tblPr>
        <w:tblStyle w:val="88"/>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616"/>
        <w:gridCol w:w="722"/>
        <w:gridCol w:w="741"/>
        <w:gridCol w:w="1687"/>
        <w:gridCol w:w="2419"/>
        <w:gridCol w:w="938"/>
        <w:gridCol w:w="684"/>
        <w:gridCol w:w="716"/>
      </w:tblGrid>
      <w:tr w14:paraId="7AF749E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restart"/>
            <w:vAlign w:val="center"/>
          </w:tcPr>
          <w:p w14:paraId="790F2CDB">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环境要素</w:t>
            </w:r>
          </w:p>
        </w:tc>
        <w:tc>
          <w:tcPr>
            <w:tcW w:w="858" w:type="pct"/>
            <w:gridSpan w:val="2"/>
            <w:vAlign w:val="center"/>
          </w:tcPr>
          <w:p w14:paraId="292C50BB">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坐标/m</w:t>
            </w:r>
          </w:p>
        </w:tc>
        <w:tc>
          <w:tcPr>
            <w:tcW w:w="989" w:type="pct"/>
            <w:vMerge w:val="restart"/>
            <w:vAlign w:val="center"/>
          </w:tcPr>
          <w:p w14:paraId="6CC2D808">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保护对象</w:t>
            </w:r>
          </w:p>
        </w:tc>
        <w:tc>
          <w:tcPr>
            <w:tcW w:w="1419" w:type="pct"/>
            <w:vMerge w:val="restart"/>
            <w:vAlign w:val="center"/>
          </w:tcPr>
          <w:p w14:paraId="76373138">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保护内容</w:t>
            </w:r>
          </w:p>
        </w:tc>
        <w:tc>
          <w:tcPr>
            <w:tcW w:w="550" w:type="pct"/>
            <w:vMerge w:val="restart"/>
            <w:vAlign w:val="center"/>
          </w:tcPr>
          <w:p w14:paraId="554E8A77">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环境功能区</w:t>
            </w:r>
          </w:p>
        </w:tc>
        <w:tc>
          <w:tcPr>
            <w:tcW w:w="401" w:type="pct"/>
            <w:vMerge w:val="restart"/>
            <w:vAlign w:val="center"/>
          </w:tcPr>
          <w:p w14:paraId="5AE48FCF">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相对厂址方位</w:t>
            </w:r>
          </w:p>
        </w:tc>
        <w:tc>
          <w:tcPr>
            <w:tcW w:w="420" w:type="pct"/>
            <w:vMerge w:val="restart"/>
            <w:vAlign w:val="center"/>
          </w:tcPr>
          <w:p w14:paraId="47B2CF95">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相对厂界距离/m</w:t>
            </w:r>
          </w:p>
        </w:tc>
      </w:tr>
      <w:tr w14:paraId="1ED8FDC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085290CB">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p>
        </w:tc>
        <w:tc>
          <w:tcPr>
            <w:tcW w:w="423" w:type="pct"/>
            <w:vAlign w:val="center"/>
          </w:tcPr>
          <w:p w14:paraId="482A7ED0">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X</w:t>
            </w:r>
          </w:p>
        </w:tc>
        <w:tc>
          <w:tcPr>
            <w:tcW w:w="434" w:type="pct"/>
            <w:vAlign w:val="center"/>
          </w:tcPr>
          <w:p w14:paraId="28995860">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Y</w:t>
            </w:r>
          </w:p>
        </w:tc>
        <w:tc>
          <w:tcPr>
            <w:tcW w:w="989" w:type="pct"/>
            <w:vMerge w:val="continue"/>
            <w:vAlign w:val="center"/>
          </w:tcPr>
          <w:p w14:paraId="72EAF803">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p>
        </w:tc>
        <w:tc>
          <w:tcPr>
            <w:tcW w:w="1419" w:type="pct"/>
            <w:vMerge w:val="continue"/>
            <w:vAlign w:val="center"/>
          </w:tcPr>
          <w:p w14:paraId="3597C513">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p>
        </w:tc>
        <w:tc>
          <w:tcPr>
            <w:tcW w:w="550" w:type="pct"/>
            <w:vMerge w:val="continue"/>
            <w:vAlign w:val="center"/>
          </w:tcPr>
          <w:p w14:paraId="3CBCE8F9">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p>
        </w:tc>
        <w:tc>
          <w:tcPr>
            <w:tcW w:w="401" w:type="pct"/>
            <w:vMerge w:val="continue"/>
            <w:vAlign w:val="center"/>
          </w:tcPr>
          <w:p w14:paraId="653C1FF8">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p>
        </w:tc>
        <w:tc>
          <w:tcPr>
            <w:tcW w:w="420" w:type="pct"/>
            <w:vMerge w:val="continue"/>
            <w:vAlign w:val="center"/>
          </w:tcPr>
          <w:p w14:paraId="3B1D1DD2">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p>
        </w:tc>
      </w:tr>
      <w:tr w14:paraId="6BF6927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restart"/>
            <w:vAlign w:val="center"/>
          </w:tcPr>
          <w:p w14:paraId="3716CEA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环境空气</w:t>
            </w:r>
          </w:p>
        </w:tc>
        <w:tc>
          <w:tcPr>
            <w:tcW w:w="423" w:type="pct"/>
            <w:shd w:val="clear" w:color="auto" w:fill="auto"/>
            <w:vAlign w:val="center"/>
          </w:tcPr>
          <w:p w14:paraId="5ECBB01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223</w:t>
            </w:r>
          </w:p>
        </w:tc>
        <w:tc>
          <w:tcPr>
            <w:tcW w:w="434" w:type="pct"/>
            <w:shd w:val="clear" w:color="auto" w:fill="auto"/>
            <w:vAlign w:val="center"/>
          </w:tcPr>
          <w:p w14:paraId="127C194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904</w:t>
            </w:r>
          </w:p>
        </w:tc>
        <w:tc>
          <w:tcPr>
            <w:tcW w:w="989" w:type="pct"/>
            <w:shd w:val="clear" w:color="auto" w:fill="auto"/>
            <w:vAlign w:val="center"/>
          </w:tcPr>
          <w:p w14:paraId="54BA0F1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花庄孜</w:t>
            </w:r>
          </w:p>
        </w:tc>
        <w:tc>
          <w:tcPr>
            <w:tcW w:w="1419" w:type="pct"/>
            <w:shd w:val="clear" w:color="auto" w:fill="auto"/>
            <w:vAlign w:val="center"/>
          </w:tcPr>
          <w:p w14:paraId="3EF72BD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35</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105</w:t>
            </w:r>
            <w:r>
              <w:rPr>
                <w:color w:val="000000" w:themeColor="text1"/>
                <w:sz w:val="21"/>
                <w:szCs w:val="21"/>
                <w14:textFill>
                  <w14:solidFill>
                    <w14:schemeClr w14:val="tx1"/>
                  </w14:solidFill>
                </w14:textFill>
              </w:rPr>
              <w:t>人</w:t>
            </w:r>
          </w:p>
        </w:tc>
        <w:tc>
          <w:tcPr>
            <w:tcW w:w="550" w:type="pct"/>
            <w:shd w:val="clear" w:color="auto" w:fill="auto"/>
            <w:vAlign w:val="center"/>
          </w:tcPr>
          <w:p w14:paraId="2B2A009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215FDC0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SE</w:t>
            </w:r>
          </w:p>
        </w:tc>
        <w:tc>
          <w:tcPr>
            <w:tcW w:w="420" w:type="pct"/>
            <w:shd w:val="clear" w:color="auto" w:fill="auto"/>
            <w:vAlign w:val="center"/>
          </w:tcPr>
          <w:p w14:paraId="53DBF760">
            <w:pPr>
              <w:spacing w:line="276" w:lineRule="auto"/>
              <w:jc w:val="center"/>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eastAsia"/>
                <w:color w:val="000000" w:themeColor="text1"/>
                <w:sz w:val="21"/>
                <w:szCs w:val="21"/>
                <w:highlight w:val="yellow"/>
                <w14:textFill>
                  <w14:solidFill>
                    <w14:schemeClr w14:val="tx1"/>
                  </w14:solidFill>
                </w14:textFill>
              </w:rPr>
              <w:t>938</w:t>
            </w:r>
          </w:p>
        </w:tc>
      </w:tr>
      <w:tr w14:paraId="622C02B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6FE0638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09DD255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165</w:t>
            </w:r>
          </w:p>
        </w:tc>
        <w:tc>
          <w:tcPr>
            <w:tcW w:w="434" w:type="pct"/>
            <w:shd w:val="clear" w:color="auto" w:fill="auto"/>
            <w:vAlign w:val="center"/>
          </w:tcPr>
          <w:p w14:paraId="1CA9831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1049</w:t>
            </w:r>
          </w:p>
        </w:tc>
        <w:tc>
          <w:tcPr>
            <w:tcW w:w="989" w:type="pct"/>
            <w:shd w:val="clear" w:color="auto" w:fill="auto"/>
            <w:vAlign w:val="center"/>
          </w:tcPr>
          <w:p w14:paraId="7B0DB62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毛集镇康庙村卫生室</w:t>
            </w:r>
          </w:p>
        </w:tc>
        <w:tc>
          <w:tcPr>
            <w:tcW w:w="1419" w:type="pct"/>
            <w:shd w:val="clear" w:color="auto" w:fill="auto"/>
            <w:vAlign w:val="center"/>
          </w:tcPr>
          <w:p w14:paraId="54072BA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5</w:t>
            </w:r>
            <w:r>
              <w:rPr>
                <w:color w:val="000000" w:themeColor="text1"/>
                <w:sz w:val="21"/>
                <w:szCs w:val="21"/>
                <w14:textFill>
                  <w14:solidFill>
                    <w14:schemeClr w14:val="tx1"/>
                  </w14:solidFill>
                </w14:textFill>
              </w:rPr>
              <w:t>0人</w:t>
            </w:r>
          </w:p>
        </w:tc>
        <w:tc>
          <w:tcPr>
            <w:tcW w:w="550" w:type="pct"/>
            <w:shd w:val="clear" w:color="auto" w:fill="auto"/>
            <w:vAlign w:val="center"/>
          </w:tcPr>
          <w:p w14:paraId="3962269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51F66A3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SE</w:t>
            </w:r>
          </w:p>
        </w:tc>
        <w:tc>
          <w:tcPr>
            <w:tcW w:w="420" w:type="pct"/>
            <w:shd w:val="clear" w:color="auto" w:fill="auto"/>
            <w:vAlign w:val="center"/>
          </w:tcPr>
          <w:p w14:paraId="052BB24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1055</w:t>
            </w:r>
          </w:p>
        </w:tc>
      </w:tr>
      <w:tr w14:paraId="22098A5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13E676C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17C80DF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670</w:t>
            </w:r>
          </w:p>
        </w:tc>
        <w:tc>
          <w:tcPr>
            <w:tcW w:w="434" w:type="pct"/>
            <w:shd w:val="clear" w:color="auto" w:fill="auto"/>
            <w:vAlign w:val="center"/>
          </w:tcPr>
          <w:p w14:paraId="6486645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-627</w:t>
            </w:r>
          </w:p>
        </w:tc>
        <w:tc>
          <w:tcPr>
            <w:tcW w:w="989" w:type="pct"/>
            <w:shd w:val="clear" w:color="auto" w:fill="auto"/>
            <w:vAlign w:val="center"/>
          </w:tcPr>
          <w:p w14:paraId="4FF8759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刘郢</w:t>
            </w:r>
          </w:p>
        </w:tc>
        <w:tc>
          <w:tcPr>
            <w:tcW w:w="1419" w:type="pct"/>
            <w:shd w:val="clear" w:color="auto" w:fill="auto"/>
            <w:vAlign w:val="center"/>
          </w:tcPr>
          <w:p w14:paraId="31DA60F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35</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105</w:t>
            </w:r>
            <w:r>
              <w:rPr>
                <w:color w:val="000000" w:themeColor="text1"/>
                <w:sz w:val="21"/>
                <w:szCs w:val="21"/>
                <w14:textFill>
                  <w14:solidFill>
                    <w14:schemeClr w14:val="tx1"/>
                  </w14:solidFill>
                </w14:textFill>
              </w:rPr>
              <w:t>人</w:t>
            </w:r>
          </w:p>
        </w:tc>
        <w:tc>
          <w:tcPr>
            <w:tcW w:w="550" w:type="pct"/>
            <w:shd w:val="clear" w:color="auto" w:fill="auto"/>
            <w:vAlign w:val="center"/>
          </w:tcPr>
          <w:p w14:paraId="09EB5D4F">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30AD405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SE</w:t>
            </w:r>
          </w:p>
        </w:tc>
        <w:tc>
          <w:tcPr>
            <w:tcW w:w="420" w:type="pct"/>
            <w:shd w:val="clear" w:color="auto" w:fill="auto"/>
            <w:vAlign w:val="center"/>
          </w:tcPr>
          <w:p w14:paraId="7778D16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highlight w:val="yellow"/>
                <w14:textFill>
                  <w14:solidFill>
                    <w14:schemeClr w14:val="tx1"/>
                  </w14:solidFill>
                </w14:textFill>
              </w:rPr>
              <w:t>918</w:t>
            </w:r>
          </w:p>
        </w:tc>
      </w:tr>
      <w:tr w14:paraId="1743CB1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55C3DCD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6CB97C1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1251</w:t>
            </w:r>
          </w:p>
        </w:tc>
        <w:tc>
          <w:tcPr>
            <w:tcW w:w="434" w:type="pct"/>
            <w:shd w:val="clear" w:color="auto" w:fill="auto"/>
            <w:vAlign w:val="center"/>
          </w:tcPr>
          <w:p w14:paraId="3816A19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-869</w:t>
            </w:r>
          </w:p>
        </w:tc>
        <w:tc>
          <w:tcPr>
            <w:tcW w:w="989" w:type="pct"/>
            <w:shd w:val="clear" w:color="auto" w:fill="auto"/>
            <w:vAlign w:val="center"/>
          </w:tcPr>
          <w:p w14:paraId="5B9FE21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和院</w:t>
            </w:r>
          </w:p>
        </w:tc>
        <w:tc>
          <w:tcPr>
            <w:tcW w:w="1419" w:type="pct"/>
            <w:shd w:val="clear" w:color="auto" w:fill="auto"/>
            <w:vAlign w:val="center"/>
          </w:tcPr>
          <w:p w14:paraId="05636EF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280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840</w:t>
            </w:r>
            <w:r>
              <w:rPr>
                <w:color w:val="000000" w:themeColor="text1"/>
                <w:sz w:val="21"/>
                <w:szCs w:val="21"/>
                <w14:textFill>
                  <w14:solidFill>
                    <w14:schemeClr w14:val="tx1"/>
                  </w14:solidFill>
                </w14:textFill>
              </w:rPr>
              <w:t>人</w:t>
            </w:r>
          </w:p>
        </w:tc>
        <w:tc>
          <w:tcPr>
            <w:tcW w:w="550" w:type="pct"/>
            <w:shd w:val="clear" w:color="auto" w:fill="auto"/>
            <w:vAlign w:val="center"/>
          </w:tcPr>
          <w:p w14:paraId="5C998874">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09E3386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SE</w:t>
            </w:r>
          </w:p>
        </w:tc>
        <w:tc>
          <w:tcPr>
            <w:tcW w:w="420" w:type="pct"/>
            <w:shd w:val="clear" w:color="auto" w:fill="auto"/>
            <w:vAlign w:val="center"/>
          </w:tcPr>
          <w:p w14:paraId="55E60A0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1535</w:t>
            </w:r>
          </w:p>
        </w:tc>
      </w:tr>
      <w:tr w14:paraId="5B8F3EA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1882B14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3242C81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1545</w:t>
            </w:r>
          </w:p>
        </w:tc>
        <w:tc>
          <w:tcPr>
            <w:tcW w:w="434" w:type="pct"/>
            <w:shd w:val="clear" w:color="auto" w:fill="auto"/>
            <w:vAlign w:val="center"/>
          </w:tcPr>
          <w:p w14:paraId="032EE80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-990</w:t>
            </w:r>
          </w:p>
        </w:tc>
        <w:tc>
          <w:tcPr>
            <w:tcW w:w="989" w:type="pct"/>
            <w:shd w:val="clear" w:color="auto" w:fill="auto"/>
            <w:vAlign w:val="center"/>
          </w:tcPr>
          <w:p w14:paraId="460B50E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贾郢孜</w:t>
            </w:r>
          </w:p>
        </w:tc>
        <w:tc>
          <w:tcPr>
            <w:tcW w:w="1419" w:type="pct"/>
            <w:shd w:val="clear" w:color="auto" w:fill="auto"/>
            <w:vAlign w:val="center"/>
          </w:tcPr>
          <w:p w14:paraId="7049711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280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840</w:t>
            </w:r>
            <w:r>
              <w:rPr>
                <w:color w:val="000000" w:themeColor="text1"/>
                <w:sz w:val="21"/>
                <w:szCs w:val="21"/>
                <w14:textFill>
                  <w14:solidFill>
                    <w14:schemeClr w14:val="tx1"/>
                  </w14:solidFill>
                </w14:textFill>
              </w:rPr>
              <w:t>人</w:t>
            </w:r>
          </w:p>
        </w:tc>
        <w:tc>
          <w:tcPr>
            <w:tcW w:w="550" w:type="pct"/>
            <w:shd w:val="clear" w:color="auto" w:fill="auto"/>
            <w:vAlign w:val="center"/>
          </w:tcPr>
          <w:p w14:paraId="003D69A3">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7DFC0AA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SE</w:t>
            </w:r>
          </w:p>
        </w:tc>
        <w:tc>
          <w:tcPr>
            <w:tcW w:w="420" w:type="pct"/>
            <w:shd w:val="clear" w:color="auto" w:fill="auto"/>
            <w:vAlign w:val="center"/>
          </w:tcPr>
          <w:p w14:paraId="7DED7CB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1792</w:t>
            </w:r>
          </w:p>
        </w:tc>
      </w:tr>
      <w:tr w14:paraId="04DB7A1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36AA545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4356FD7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1808</w:t>
            </w:r>
          </w:p>
        </w:tc>
        <w:tc>
          <w:tcPr>
            <w:tcW w:w="434" w:type="pct"/>
            <w:shd w:val="clear" w:color="auto" w:fill="auto"/>
            <w:vAlign w:val="center"/>
          </w:tcPr>
          <w:p w14:paraId="45D1B52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-1416</w:t>
            </w:r>
          </w:p>
        </w:tc>
        <w:tc>
          <w:tcPr>
            <w:tcW w:w="989" w:type="pct"/>
            <w:shd w:val="clear" w:color="auto" w:fill="auto"/>
            <w:vAlign w:val="center"/>
          </w:tcPr>
          <w:p w14:paraId="49EBB74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梁庵村</w:t>
            </w:r>
          </w:p>
        </w:tc>
        <w:tc>
          <w:tcPr>
            <w:tcW w:w="1419" w:type="pct"/>
            <w:shd w:val="clear" w:color="auto" w:fill="auto"/>
            <w:vAlign w:val="center"/>
          </w:tcPr>
          <w:p w14:paraId="70F57CA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50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150</w:t>
            </w:r>
            <w:r>
              <w:rPr>
                <w:color w:val="000000" w:themeColor="text1"/>
                <w:sz w:val="21"/>
                <w:szCs w:val="21"/>
                <w14:textFill>
                  <w14:solidFill>
                    <w14:schemeClr w14:val="tx1"/>
                  </w14:solidFill>
                </w14:textFill>
              </w:rPr>
              <w:t>人</w:t>
            </w:r>
          </w:p>
        </w:tc>
        <w:tc>
          <w:tcPr>
            <w:tcW w:w="550" w:type="pct"/>
            <w:shd w:val="clear" w:color="auto" w:fill="auto"/>
            <w:vAlign w:val="center"/>
          </w:tcPr>
          <w:p w14:paraId="0EBDA590">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2100B61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SE</w:t>
            </w:r>
          </w:p>
        </w:tc>
        <w:tc>
          <w:tcPr>
            <w:tcW w:w="420" w:type="pct"/>
            <w:shd w:val="clear" w:color="auto" w:fill="auto"/>
            <w:vAlign w:val="center"/>
          </w:tcPr>
          <w:p w14:paraId="5C04D4B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2334</w:t>
            </w:r>
          </w:p>
        </w:tc>
      </w:tr>
      <w:tr w14:paraId="7EBC8F0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61F87CC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234173D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1362</w:t>
            </w:r>
          </w:p>
        </w:tc>
        <w:tc>
          <w:tcPr>
            <w:tcW w:w="434" w:type="pct"/>
            <w:shd w:val="clear" w:color="auto" w:fill="auto"/>
            <w:vAlign w:val="center"/>
          </w:tcPr>
          <w:p w14:paraId="5DF4904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-1758</w:t>
            </w:r>
          </w:p>
        </w:tc>
        <w:tc>
          <w:tcPr>
            <w:tcW w:w="989" w:type="pct"/>
            <w:shd w:val="clear" w:color="auto" w:fill="auto"/>
            <w:vAlign w:val="center"/>
          </w:tcPr>
          <w:p w14:paraId="55E9153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凤台县人民法院</w:t>
            </w:r>
          </w:p>
        </w:tc>
        <w:tc>
          <w:tcPr>
            <w:tcW w:w="1419" w:type="pct"/>
            <w:shd w:val="clear" w:color="auto" w:fill="auto"/>
            <w:vAlign w:val="center"/>
          </w:tcPr>
          <w:p w14:paraId="06E3D8F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20</w:t>
            </w:r>
            <w:r>
              <w:rPr>
                <w:color w:val="000000" w:themeColor="text1"/>
                <w:sz w:val="21"/>
                <w:szCs w:val="21"/>
                <w14:textFill>
                  <w14:solidFill>
                    <w14:schemeClr w14:val="tx1"/>
                  </w14:solidFill>
                </w14:textFill>
              </w:rPr>
              <w:t>人</w:t>
            </w:r>
          </w:p>
        </w:tc>
        <w:tc>
          <w:tcPr>
            <w:tcW w:w="550" w:type="pct"/>
            <w:shd w:val="clear" w:color="auto" w:fill="auto"/>
            <w:vAlign w:val="center"/>
          </w:tcPr>
          <w:p w14:paraId="25CB70B2">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434FEF5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SE</w:t>
            </w:r>
          </w:p>
        </w:tc>
        <w:tc>
          <w:tcPr>
            <w:tcW w:w="420" w:type="pct"/>
            <w:shd w:val="clear" w:color="auto" w:fill="auto"/>
            <w:vAlign w:val="center"/>
          </w:tcPr>
          <w:p w14:paraId="7CD5356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2224</w:t>
            </w:r>
          </w:p>
        </w:tc>
      </w:tr>
      <w:tr w14:paraId="5CB546C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5A735B0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415B2DE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2017</w:t>
            </w:r>
          </w:p>
        </w:tc>
        <w:tc>
          <w:tcPr>
            <w:tcW w:w="434" w:type="pct"/>
            <w:shd w:val="clear" w:color="auto" w:fill="auto"/>
            <w:vAlign w:val="center"/>
          </w:tcPr>
          <w:p w14:paraId="53A1C9A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-969</w:t>
            </w:r>
          </w:p>
        </w:tc>
        <w:tc>
          <w:tcPr>
            <w:tcW w:w="989" w:type="pct"/>
            <w:shd w:val="clear" w:color="auto" w:fill="auto"/>
            <w:vAlign w:val="center"/>
          </w:tcPr>
          <w:p w14:paraId="5983240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梁家楼</w:t>
            </w:r>
          </w:p>
        </w:tc>
        <w:tc>
          <w:tcPr>
            <w:tcW w:w="1419" w:type="pct"/>
            <w:shd w:val="clear" w:color="auto" w:fill="auto"/>
            <w:vAlign w:val="center"/>
          </w:tcPr>
          <w:p w14:paraId="36EDBA0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90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270</w:t>
            </w:r>
            <w:r>
              <w:rPr>
                <w:color w:val="000000" w:themeColor="text1"/>
                <w:sz w:val="21"/>
                <w:szCs w:val="21"/>
                <w14:textFill>
                  <w14:solidFill>
                    <w14:schemeClr w14:val="tx1"/>
                  </w14:solidFill>
                </w14:textFill>
              </w:rPr>
              <w:t>人</w:t>
            </w:r>
          </w:p>
        </w:tc>
        <w:tc>
          <w:tcPr>
            <w:tcW w:w="550" w:type="pct"/>
            <w:shd w:val="clear" w:color="auto" w:fill="auto"/>
            <w:vAlign w:val="center"/>
          </w:tcPr>
          <w:p w14:paraId="74B1A6B3">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4AF5C01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SE</w:t>
            </w:r>
          </w:p>
        </w:tc>
        <w:tc>
          <w:tcPr>
            <w:tcW w:w="420" w:type="pct"/>
            <w:shd w:val="clear" w:color="auto" w:fill="auto"/>
            <w:vAlign w:val="center"/>
          </w:tcPr>
          <w:p w14:paraId="64314C3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2231</w:t>
            </w:r>
          </w:p>
        </w:tc>
      </w:tr>
      <w:tr w14:paraId="4B63B63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7433BA7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4D518E7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1961</w:t>
            </w:r>
          </w:p>
        </w:tc>
        <w:tc>
          <w:tcPr>
            <w:tcW w:w="434" w:type="pct"/>
            <w:shd w:val="clear" w:color="auto" w:fill="auto"/>
            <w:vAlign w:val="center"/>
          </w:tcPr>
          <w:p w14:paraId="47566DC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-1419</w:t>
            </w:r>
          </w:p>
        </w:tc>
        <w:tc>
          <w:tcPr>
            <w:tcW w:w="989" w:type="pct"/>
            <w:shd w:val="clear" w:color="auto" w:fill="auto"/>
            <w:vAlign w:val="center"/>
          </w:tcPr>
          <w:p w14:paraId="0C317D6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庄户</w:t>
            </w:r>
          </w:p>
        </w:tc>
        <w:tc>
          <w:tcPr>
            <w:tcW w:w="1419" w:type="pct"/>
            <w:shd w:val="clear" w:color="auto" w:fill="auto"/>
            <w:vAlign w:val="center"/>
          </w:tcPr>
          <w:p w14:paraId="20A4998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25</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75</w:t>
            </w:r>
            <w:r>
              <w:rPr>
                <w:color w:val="000000" w:themeColor="text1"/>
                <w:sz w:val="21"/>
                <w:szCs w:val="21"/>
                <w14:textFill>
                  <w14:solidFill>
                    <w14:schemeClr w14:val="tx1"/>
                  </w14:solidFill>
                </w14:textFill>
              </w:rPr>
              <w:t>人</w:t>
            </w:r>
          </w:p>
        </w:tc>
        <w:tc>
          <w:tcPr>
            <w:tcW w:w="550" w:type="pct"/>
            <w:shd w:val="clear" w:color="auto" w:fill="auto"/>
            <w:vAlign w:val="center"/>
          </w:tcPr>
          <w:p w14:paraId="4A3F2FB2">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15D5776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SE</w:t>
            </w:r>
          </w:p>
        </w:tc>
        <w:tc>
          <w:tcPr>
            <w:tcW w:w="420" w:type="pct"/>
            <w:shd w:val="clear" w:color="auto" w:fill="auto"/>
            <w:vAlign w:val="center"/>
          </w:tcPr>
          <w:p w14:paraId="056D538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2460</w:t>
            </w:r>
          </w:p>
        </w:tc>
      </w:tr>
      <w:tr w14:paraId="715DA57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5D739EF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2A092BC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434" w:type="pct"/>
            <w:shd w:val="clear" w:color="auto" w:fill="auto"/>
            <w:vAlign w:val="center"/>
          </w:tcPr>
          <w:p w14:paraId="29A12F6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-484</w:t>
            </w:r>
          </w:p>
        </w:tc>
        <w:tc>
          <w:tcPr>
            <w:tcW w:w="989" w:type="pct"/>
            <w:shd w:val="clear" w:color="auto" w:fill="auto"/>
            <w:vAlign w:val="center"/>
          </w:tcPr>
          <w:p w14:paraId="583AEF9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康家庙</w:t>
            </w:r>
          </w:p>
        </w:tc>
        <w:tc>
          <w:tcPr>
            <w:tcW w:w="1419" w:type="pct"/>
            <w:shd w:val="clear" w:color="auto" w:fill="auto"/>
            <w:vAlign w:val="center"/>
          </w:tcPr>
          <w:p w14:paraId="6910DC8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00户，</w:t>
            </w:r>
            <w:r>
              <w:rPr>
                <w:rFonts w:hint="eastAsia"/>
                <w:color w:val="000000" w:themeColor="text1"/>
                <w:sz w:val="21"/>
                <w:szCs w:val="21"/>
                <w14:textFill>
                  <w14:solidFill>
                    <w14:schemeClr w14:val="tx1"/>
                  </w14:solidFill>
                </w14:textFill>
              </w:rPr>
              <w:t>3</w:t>
            </w:r>
            <w:r>
              <w:rPr>
                <w:color w:val="000000" w:themeColor="text1"/>
                <w:sz w:val="21"/>
                <w:szCs w:val="21"/>
                <w14:textFill>
                  <w14:solidFill>
                    <w14:schemeClr w14:val="tx1"/>
                  </w14:solidFill>
                </w14:textFill>
              </w:rPr>
              <w:t>00人</w:t>
            </w:r>
          </w:p>
        </w:tc>
        <w:tc>
          <w:tcPr>
            <w:tcW w:w="550" w:type="pct"/>
            <w:shd w:val="clear" w:color="auto" w:fill="auto"/>
            <w:vAlign w:val="center"/>
          </w:tcPr>
          <w:p w14:paraId="3A6CDD7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775A3BB1">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S</w:t>
            </w:r>
          </w:p>
        </w:tc>
        <w:tc>
          <w:tcPr>
            <w:tcW w:w="420" w:type="pct"/>
            <w:shd w:val="clear" w:color="auto" w:fill="auto"/>
            <w:vAlign w:val="center"/>
          </w:tcPr>
          <w:p w14:paraId="2BAED21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highlight w:val="yellow"/>
                <w14:textFill>
                  <w14:solidFill>
                    <w14:schemeClr w14:val="tx1"/>
                  </w14:solidFill>
                </w14:textFill>
              </w:rPr>
              <w:t>470</w:t>
            </w:r>
          </w:p>
        </w:tc>
      </w:tr>
      <w:tr w14:paraId="1E7E9BC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2430CB1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70BBDB6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-50</w:t>
            </w:r>
          </w:p>
        </w:tc>
        <w:tc>
          <w:tcPr>
            <w:tcW w:w="434" w:type="pct"/>
            <w:shd w:val="clear" w:color="auto" w:fill="auto"/>
            <w:vAlign w:val="center"/>
          </w:tcPr>
          <w:p w14:paraId="5192B7F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-5</w:t>
            </w:r>
            <w:r>
              <w:rPr>
                <w:rFonts w:hint="eastAsia"/>
                <w:color w:val="000000" w:themeColor="text1"/>
                <w:sz w:val="21"/>
                <w:szCs w:val="21"/>
                <w:lang w:val="en-US" w:eastAsia="zh-CN"/>
                <w14:textFill>
                  <w14:solidFill>
                    <w14:schemeClr w14:val="tx1"/>
                  </w14:solidFill>
                </w14:textFill>
              </w:rPr>
              <w:t>7</w:t>
            </w:r>
            <w:r>
              <w:rPr>
                <w:rFonts w:hint="eastAsia"/>
                <w:color w:val="000000" w:themeColor="text1"/>
                <w:sz w:val="21"/>
                <w:szCs w:val="21"/>
                <w14:textFill>
                  <w14:solidFill>
                    <w14:schemeClr w14:val="tx1"/>
                  </w14:solidFill>
                </w14:textFill>
              </w:rPr>
              <w:t>6</w:t>
            </w:r>
          </w:p>
        </w:tc>
        <w:tc>
          <w:tcPr>
            <w:tcW w:w="989" w:type="pct"/>
            <w:shd w:val="clear" w:color="auto" w:fill="auto"/>
            <w:vAlign w:val="center"/>
          </w:tcPr>
          <w:p w14:paraId="55B5BEB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康庙小学</w:t>
            </w:r>
          </w:p>
        </w:tc>
        <w:tc>
          <w:tcPr>
            <w:tcW w:w="1419" w:type="pct"/>
            <w:shd w:val="clear" w:color="auto" w:fill="auto"/>
            <w:vAlign w:val="center"/>
          </w:tcPr>
          <w:p w14:paraId="60AA7FF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师生，约</w:t>
            </w:r>
            <w:r>
              <w:rPr>
                <w:rFonts w:hint="eastAsia"/>
                <w:color w:val="000000" w:themeColor="text1"/>
                <w:sz w:val="21"/>
                <w:szCs w:val="21"/>
                <w14:textFill>
                  <w14:solidFill>
                    <w14:schemeClr w14:val="tx1"/>
                  </w14:solidFill>
                </w14:textFill>
              </w:rPr>
              <w:t>245人</w:t>
            </w:r>
          </w:p>
        </w:tc>
        <w:tc>
          <w:tcPr>
            <w:tcW w:w="550" w:type="pct"/>
            <w:shd w:val="clear" w:color="auto" w:fill="auto"/>
            <w:vAlign w:val="center"/>
          </w:tcPr>
          <w:p w14:paraId="619FC2B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2F7A92B7">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S</w:t>
            </w:r>
            <w:r>
              <w:rPr>
                <w:rFonts w:hint="eastAsia"/>
                <w:color w:val="000000" w:themeColor="text1"/>
                <w:sz w:val="21"/>
                <w:szCs w:val="21"/>
                <w:lang w:val="en-US" w:eastAsia="zh-CN"/>
                <w14:textFill>
                  <w14:solidFill>
                    <w14:schemeClr w14:val="tx1"/>
                  </w14:solidFill>
                </w14:textFill>
              </w:rPr>
              <w:t>W</w:t>
            </w:r>
          </w:p>
        </w:tc>
        <w:tc>
          <w:tcPr>
            <w:tcW w:w="420" w:type="pct"/>
            <w:shd w:val="clear" w:color="auto" w:fill="auto"/>
            <w:vAlign w:val="center"/>
          </w:tcPr>
          <w:p w14:paraId="045A606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highlight w:val="yellow"/>
                <w14:textFill>
                  <w14:solidFill>
                    <w14:schemeClr w14:val="tx1"/>
                  </w14:solidFill>
                </w14:textFill>
              </w:rPr>
              <w:t>566</w:t>
            </w:r>
          </w:p>
        </w:tc>
      </w:tr>
      <w:tr w14:paraId="7CE5533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5268AF7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4D87CF3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-105</w:t>
            </w:r>
          </w:p>
        </w:tc>
        <w:tc>
          <w:tcPr>
            <w:tcW w:w="434" w:type="pct"/>
            <w:shd w:val="clear" w:color="auto" w:fill="auto"/>
            <w:vAlign w:val="center"/>
          </w:tcPr>
          <w:p w14:paraId="3031405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1506</w:t>
            </w:r>
          </w:p>
        </w:tc>
        <w:tc>
          <w:tcPr>
            <w:tcW w:w="989" w:type="pct"/>
            <w:shd w:val="clear" w:color="auto" w:fill="auto"/>
            <w:vAlign w:val="center"/>
          </w:tcPr>
          <w:p w14:paraId="4B81690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田王</w:t>
            </w:r>
          </w:p>
        </w:tc>
        <w:tc>
          <w:tcPr>
            <w:tcW w:w="1419" w:type="pct"/>
            <w:shd w:val="clear" w:color="auto" w:fill="auto"/>
            <w:vAlign w:val="center"/>
          </w:tcPr>
          <w:p w14:paraId="713F88F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30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90</w:t>
            </w:r>
            <w:r>
              <w:rPr>
                <w:color w:val="000000" w:themeColor="text1"/>
                <w:sz w:val="21"/>
                <w:szCs w:val="21"/>
                <w14:textFill>
                  <w14:solidFill>
                    <w14:schemeClr w14:val="tx1"/>
                  </w14:solidFill>
                </w14:textFill>
              </w:rPr>
              <w:t>人</w:t>
            </w:r>
          </w:p>
        </w:tc>
        <w:tc>
          <w:tcPr>
            <w:tcW w:w="550" w:type="pct"/>
            <w:shd w:val="clear" w:color="auto" w:fill="auto"/>
            <w:vAlign w:val="center"/>
          </w:tcPr>
          <w:p w14:paraId="42AB19D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6868F8D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S</w:t>
            </w:r>
            <w:r>
              <w:rPr>
                <w:rFonts w:hint="eastAsia"/>
                <w:color w:val="000000" w:themeColor="text1"/>
                <w:sz w:val="21"/>
                <w:szCs w:val="21"/>
                <w:lang w:val="en-US" w:eastAsia="zh-CN"/>
                <w14:textFill>
                  <w14:solidFill>
                    <w14:schemeClr w14:val="tx1"/>
                  </w14:solidFill>
                </w14:textFill>
              </w:rPr>
              <w:t>W</w:t>
            </w:r>
          </w:p>
        </w:tc>
        <w:tc>
          <w:tcPr>
            <w:tcW w:w="420" w:type="pct"/>
            <w:shd w:val="clear" w:color="auto" w:fill="auto"/>
            <w:vAlign w:val="center"/>
          </w:tcPr>
          <w:p w14:paraId="6986D10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1506</w:t>
            </w:r>
          </w:p>
        </w:tc>
      </w:tr>
      <w:tr w14:paraId="0C4B3EB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7B5EBF3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278A987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25</w:t>
            </w:r>
          </w:p>
        </w:tc>
        <w:tc>
          <w:tcPr>
            <w:tcW w:w="434" w:type="pct"/>
            <w:shd w:val="clear" w:color="auto" w:fill="auto"/>
            <w:vAlign w:val="center"/>
          </w:tcPr>
          <w:p w14:paraId="6A9D52D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-680</w:t>
            </w:r>
          </w:p>
        </w:tc>
        <w:tc>
          <w:tcPr>
            <w:tcW w:w="989" w:type="pct"/>
            <w:shd w:val="clear" w:color="auto" w:fill="auto"/>
            <w:vAlign w:val="center"/>
          </w:tcPr>
          <w:p w14:paraId="39A57D2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康庙社区</w:t>
            </w:r>
          </w:p>
        </w:tc>
        <w:tc>
          <w:tcPr>
            <w:tcW w:w="1419" w:type="pct"/>
            <w:shd w:val="clear" w:color="auto" w:fill="auto"/>
            <w:vAlign w:val="center"/>
          </w:tcPr>
          <w:p w14:paraId="44DA0B2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145</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435</w:t>
            </w:r>
            <w:r>
              <w:rPr>
                <w:color w:val="000000" w:themeColor="text1"/>
                <w:sz w:val="21"/>
                <w:szCs w:val="21"/>
                <w14:textFill>
                  <w14:solidFill>
                    <w14:schemeClr w14:val="tx1"/>
                  </w14:solidFill>
                </w14:textFill>
              </w:rPr>
              <w:t>人</w:t>
            </w:r>
          </w:p>
        </w:tc>
        <w:tc>
          <w:tcPr>
            <w:tcW w:w="550" w:type="pct"/>
            <w:shd w:val="clear" w:color="auto" w:fill="auto"/>
            <w:vAlign w:val="center"/>
          </w:tcPr>
          <w:p w14:paraId="063F3A5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5AB2E33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SW</w:t>
            </w:r>
          </w:p>
        </w:tc>
        <w:tc>
          <w:tcPr>
            <w:tcW w:w="420" w:type="pct"/>
            <w:shd w:val="clear" w:color="auto" w:fill="auto"/>
            <w:vAlign w:val="center"/>
          </w:tcPr>
          <w:p w14:paraId="286090F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highlight w:val="yellow"/>
                <w14:textFill>
                  <w14:solidFill>
                    <w14:schemeClr w14:val="tx1"/>
                  </w14:solidFill>
                </w14:textFill>
              </w:rPr>
              <w:t>682</w:t>
            </w:r>
          </w:p>
        </w:tc>
      </w:tr>
      <w:tr w14:paraId="6F0F777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1CD9B0A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3448CF1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-740</w:t>
            </w:r>
          </w:p>
        </w:tc>
        <w:tc>
          <w:tcPr>
            <w:tcW w:w="434" w:type="pct"/>
            <w:shd w:val="clear" w:color="auto" w:fill="auto"/>
            <w:vAlign w:val="center"/>
          </w:tcPr>
          <w:p w14:paraId="7824157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-1789</w:t>
            </w:r>
          </w:p>
        </w:tc>
        <w:tc>
          <w:tcPr>
            <w:tcW w:w="989" w:type="pct"/>
            <w:shd w:val="clear" w:color="auto" w:fill="auto"/>
            <w:vAlign w:val="center"/>
          </w:tcPr>
          <w:p w14:paraId="11C628A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公路队</w:t>
            </w:r>
          </w:p>
        </w:tc>
        <w:tc>
          <w:tcPr>
            <w:tcW w:w="1419" w:type="pct"/>
            <w:shd w:val="clear" w:color="auto" w:fill="auto"/>
            <w:vAlign w:val="center"/>
          </w:tcPr>
          <w:p w14:paraId="1AE52AE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15</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45</w:t>
            </w:r>
            <w:r>
              <w:rPr>
                <w:color w:val="000000" w:themeColor="text1"/>
                <w:sz w:val="21"/>
                <w:szCs w:val="21"/>
                <w14:textFill>
                  <w14:solidFill>
                    <w14:schemeClr w14:val="tx1"/>
                  </w14:solidFill>
                </w14:textFill>
              </w:rPr>
              <w:t>人</w:t>
            </w:r>
          </w:p>
        </w:tc>
        <w:tc>
          <w:tcPr>
            <w:tcW w:w="550" w:type="pct"/>
            <w:shd w:val="clear" w:color="auto" w:fill="auto"/>
            <w:vAlign w:val="center"/>
          </w:tcPr>
          <w:p w14:paraId="023BA4C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1B56FBC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S</w:t>
            </w:r>
            <w:r>
              <w:rPr>
                <w:rFonts w:hint="eastAsia"/>
                <w:color w:val="000000" w:themeColor="text1"/>
                <w:sz w:val="21"/>
                <w:szCs w:val="21"/>
                <w14:textFill>
                  <w14:solidFill>
                    <w14:schemeClr w14:val="tx1"/>
                  </w14:solidFill>
                </w14:textFill>
              </w:rPr>
              <w:t>W</w:t>
            </w:r>
          </w:p>
        </w:tc>
        <w:tc>
          <w:tcPr>
            <w:tcW w:w="420" w:type="pct"/>
            <w:shd w:val="clear" w:color="auto" w:fill="auto"/>
            <w:vAlign w:val="center"/>
          </w:tcPr>
          <w:p w14:paraId="1A1977E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1932</w:t>
            </w:r>
          </w:p>
        </w:tc>
      </w:tr>
      <w:tr w14:paraId="376657A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624510D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2EFFAD5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-646</w:t>
            </w:r>
          </w:p>
        </w:tc>
        <w:tc>
          <w:tcPr>
            <w:tcW w:w="434" w:type="pct"/>
            <w:shd w:val="clear" w:color="auto" w:fill="auto"/>
            <w:vAlign w:val="center"/>
          </w:tcPr>
          <w:p w14:paraId="38D45B1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-630</w:t>
            </w:r>
          </w:p>
        </w:tc>
        <w:tc>
          <w:tcPr>
            <w:tcW w:w="989" w:type="pct"/>
            <w:shd w:val="clear" w:color="auto" w:fill="auto"/>
            <w:vAlign w:val="center"/>
          </w:tcPr>
          <w:p w14:paraId="74FC7C5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门西</w:t>
            </w:r>
          </w:p>
        </w:tc>
        <w:tc>
          <w:tcPr>
            <w:tcW w:w="1419" w:type="pct"/>
            <w:shd w:val="clear" w:color="auto" w:fill="auto"/>
            <w:vAlign w:val="center"/>
          </w:tcPr>
          <w:p w14:paraId="26C960C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85</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255</w:t>
            </w:r>
            <w:r>
              <w:rPr>
                <w:color w:val="000000" w:themeColor="text1"/>
                <w:sz w:val="21"/>
                <w:szCs w:val="21"/>
                <w14:textFill>
                  <w14:solidFill>
                    <w14:schemeClr w14:val="tx1"/>
                  </w14:solidFill>
                </w14:textFill>
              </w:rPr>
              <w:t>人</w:t>
            </w:r>
          </w:p>
        </w:tc>
        <w:tc>
          <w:tcPr>
            <w:tcW w:w="550" w:type="pct"/>
            <w:shd w:val="clear" w:color="auto" w:fill="auto"/>
            <w:vAlign w:val="center"/>
          </w:tcPr>
          <w:p w14:paraId="02761F5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682CD35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SW</w:t>
            </w:r>
          </w:p>
        </w:tc>
        <w:tc>
          <w:tcPr>
            <w:tcW w:w="420" w:type="pct"/>
            <w:shd w:val="clear" w:color="auto" w:fill="auto"/>
            <w:vAlign w:val="center"/>
          </w:tcPr>
          <w:p w14:paraId="16A9EC8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highlight w:val="yellow"/>
                <w14:textFill>
                  <w14:solidFill>
                    <w14:schemeClr w14:val="tx1"/>
                  </w14:solidFill>
                </w14:textFill>
              </w:rPr>
              <w:t>908</w:t>
            </w:r>
          </w:p>
        </w:tc>
      </w:tr>
      <w:tr w14:paraId="7956125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1FF6AA5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764BF00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-1534</w:t>
            </w:r>
          </w:p>
        </w:tc>
        <w:tc>
          <w:tcPr>
            <w:tcW w:w="434" w:type="pct"/>
            <w:shd w:val="clear" w:color="auto" w:fill="auto"/>
            <w:vAlign w:val="center"/>
          </w:tcPr>
          <w:p w14:paraId="6124474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498</w:t>
            </w:r>
          </w:p>
        </w:tc>
        <w:tc>
          <w:tcPr>
            <w:tcW w:w="989" w:type="pct"/>
            <w:shd w:val="clear" w:color="auto" w:fill="auto"/>
            <w:vAlign w:val="center"/>
          </w:tcPr>
          <w:p w14:paraId="053C297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后拐孜</w:t>
            </w:r>
          </w:p>
        </w:tc>
        <w:tc>
          <w:tcPr>
            <w:tcW w:w="1419" w:type="pct"/>
            <w:shd w:val="clear" w:color="auto" w:fill="auto"/>
            <w:vAlign w:val="center"/>
          </w:tcPr>
          <w:p w14:paraId="5ABC30B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25</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75</w:t>
            </w:r>
            <w:r>
              <w:rPr>
                <w:color w:val="000000" w:themeColor="text1"/>
                <w:sz w:val="21"/>
                <w:szCs w:val="21"/>
                <w14:textFill>
                  <w14:solidFill>
                    <w14:schemeClr w14:val="tx1"/>
                  </w14:solidFill>
                </w14:textFill>
              </w:rPr>
              <w:t>人</w:t>
            </w:r>
          </w:p>
        </w:tc>
        <w:tc>
          <w:tcPr>
            <w:tcW w:w="550" w:type="pct"/>
            <w:shd w:val="clear" w:color="auto" w:fill="auto"/>
            <w:vAlign w:val="center"/>
          </w:tcPr>
          <w:p w14:paraId="10D4FCB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2196E2F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SW</w:t>
            </w:r>
          </w:p>
        </w:tc>
        <w:tc>
          <w:tcPr>
            <w:tcW w:w="420" w:type="pct"/>
            <w:shd w:val="clear" w:color="auto" w:fill="auto"/>
            <w:vAlign w:val="center"/>
          </w:tcPr>
          <w:p w14:paraId="55B3F8D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1634</w:t>
            </w:r>
          </w:p>
        </w:tc>
      </w:tr>
      <w:tr w14:paraId="509F41B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2B6813A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7468E8A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1305</w:t>
            </w:r>
          </w:p>
        </w:tc>
        <w:tc>
          <w:tcPr>
            <w:tcW w:w="434" w:type="pct"/>
            <w:shd w:val="clear" w:color="auto" w:fill="auto"/>
            <w:vAlign w:val="center"/>
          </w:tcPr>
          <w:p w14:paraId="66FD7E1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640</w:t>
            </w:r>
          </w:p>
        </w:tc>
        <w:tc>
          <w:tcPr>
            <w:tcW w:w="989" w:type="pct"/>
            <w:shd w:val="clear" w:color="auto" w:fill="auto"/>
            <w:vAlign w:val="center"/>
          </w:tcPr>
          <w:p w14:paraId="4D11A08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西刘楼村</w:t>
            </w:r>
          </w:p>
        </w:tc>
        <w:tc>
          <w:tcPr>
            <w:tcW w:w="1419" w:type="pct"/>
            <w:shd w:val="clear" w:color="auto" w:fill="auto"/>
            <w:vAlign w:val="center"/>
          </w:tcPr>
          <w:p w14:paraId="142DBB9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55</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165</w:t>
            </w:r>
            <w:r>
              <w:rPr>
                <w:color w:val="000000" w:themeColor="text1"/>
                <w:sz w:val="21"/>
                <w:szCs w:val="21"/>
                <w14:textFill>
                  <w14:solidFill>
                    <w14:schemeClr w14:val="tx1"/>
                  </w14:solidFill>
                </w14:textFill>
              </w:rPr>
              <w:t>人</w:t>
            </w:r>
          </w:p>
        </w:tc>
        <w:tc>
          <w:tcPr>
            <w:tcW w:w="550" w:type="pct"/>
            <w:shd w:val="clear" w:color="auto" w:fill="auto"/>
            <w:vAlign w:val="center"/>
          </w:tcPr>
          <w:p w14:paraId="11023F5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698F4DE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SW</w:t>
            </w:r>
          </w:p>
        </w:tc>
        <w:tc>
          <w:tcPr>
            <w:tcW w:w="420" w:type="pct"/>
            <w:shd w:val="clear" w:color="auto" w:fill="auto"/>
            <w:vAlign w:val="center"/>
          </w:tcPr>
          <w:p w14:paraId="367E782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1482</w:t>
            </w:r>
          </w:p>
        </w:tc>
      </w:tr>
      <w:tr w14:paraId="5EA9321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698A99F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2A8748F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-1917</w:t>
            </w:r>
          </w:p>
        </w:tc>
        <w:tc>
          <w:tcPr>
            <w:tcW w:w="434" w:type="pct"/>
            <w:shd w:val="clear" w:color="auto" w:fill="auto"/>
            <w:vAlign w:val="center"/>
          </w:tcPr>
          <w:p w14:paraId="3846968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961</w:t>
            </w:r>
          </w:p>
        </w:tc>
        <w:tc>
          <w:tcPr>
            <w:tcW w:w="989" w:type="pct"/>
            <w:shd w:val="clear" w:color="auto" w:fill="auto"/>
            <w:vAlign w:val="center"/>
          </w:tcPr>
          <w:p w14:paraId="028843D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刘楼小学</w:t>
            </w:r>
          </w:p>
        </w:tc>
        <w:tc>
          <w:tcPr>
            <w:tcW w:w="1419" w:type="pct"/>
            <w:shd w:val="clear" w:color="auto" w:fill="auto"/>
            <w:vAlign w:val="center"/>
          </w:tcPr>
          <w:p w14:paraId="58B42AE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100</w:t>
            </w:r>
            <w:r>
              <w:rPr>
                <w:color w:val="000000" w:themeColor="text1"/>
                <w:sz w:val="21"/>
                <w:szCs w:val="21"/>
                <w14:textFill>
                  <w14:solidFill>
                    <w14:schemeClr w14:val="tx1"/>
                  </w14:solidFill>
                </w14:textFill>
              </w:rPr>
              <w:t>人</w:t>
            </w:r>
          </w:p>
        </w:tc>
        <w:tc>
          <w:tcPr>
            <w:tcW w:w="550" w:type="pct"/>
            <w:shd w:val="clear" w:color="auto" w:fill="auto"/>
            <w:vAlign w:val="center"/>
          </w:tcPr>
          <w:p w14:paraId="5B614AE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0294C96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SW</w:t>
            </w:r>
          </w:p>
        </w:tc>
        <w:tc>
          <w:tcPr>
            <w:tcW w:w="420" w:type="pct"/>
            <w:shd w:val="clear" w:color="auto" w:fill="auto"/>
            <w:vAlign w:val="center"/>
          </w:tcPr>
          <w:p w14:paraId="611B34E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2121</w:t>
            </w:r>
          </w:p>
        </w:tc>
      </w:tr>
      <w:tr w14:paraId="3968F95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6B18D1A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587B9DF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1846</w:t>
            </w:r>
          </w:p>
        </w:tc>
        <w:tc>
          <w:tcPr>
            <w:tcW w:w="434" w:type="pct"/>
            <w:shd w:val="clear" w:color="auto" w:fill="auto"/>
            <w:vAlign w:val="center"/>
          </w:tcPr>
          <w:p w14:paraId="7B3AF2E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-1444</w:t>
            </w:r>
          </w:p>
        </w:tc>
        <w:tc>
          <w:tcPr>
            <w:tcW w:w="989" w:type="pct"/>
            <w:shd w:val="clear" w:color="auto" w:fill="auto"/>
            <w:vAlign w:val="center"/>
          </w:tcPr>
          <w:p w14:paraId="0A955B4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前王郢孜</w:t>
            </w:r>
          </w:p>
        </w:tc>
        <w:tc>
          <w:tcPr>
            <w:tcW w:w="1419" w:type="pct"/>
            <w:shd w:val="clear" w:color="auto" w:fill="auto"/>
            <w:vAlign w:val="center"/>
          </w:tcPr>
          <w:p w14:paraId="2657D07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80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240</w:t>
            </w:r>
            <w:r>
              <w:rPr>
                <w:color w:val="000000" w:themeColor="text1"/>
                <w:sz w:val="21"/>
                <w:szCs w:val="21"/>
                <w14:textFill>
                  <w14:solidFill>
                    <w14:schemeClr w14:val="tx1"/>
                  </w14:solidFill>
                </w14:textFill>
              </w:rPr>
              <w:t>人</w:t>
            </w:r>
          </w:p>
        </w:tc>
        <w:tc>
          <w:tcPr>
            <w:tcW w:w="550" w:type="pct"/>
            <w:shd w:val="clear" w:color="auto" w:fill="auto"/>
            <w:vAlign w:val="center"/>
          </w:tcPr>
          <w:p w14:paraId="19DE629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73E4195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SW</w:t>
            </w:r>
          </w:p>
        </w:tc>
        <w:tc>
          <w:tcPr>
            <w:tcW w:w="420" w:type="pct"/>
            <w:shd w:val="clear" w:color="auto" w:fill="auto"/>
            <w:vAlign w:val="center"/>
          </w:tcPr>
          <w:p w14:paraId="57B3673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2378</w:t>
            </w:r>
          </w:p>
        </w:tc>
      </w:tr>
      <w:tr w14:paraId="1960543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6381A7C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0CA951D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-2296</w:t>
            </w:r>
          </w:p>
        </w:tc>
        <w:tc>
          <w:tcPr>
            <w:tcW w:w="434" w:type="pct"/>
            <w:shd w:val="clear" w:color="auto" w:fill="auto"/>
            <w:vAlign w:val="center"/>
          </w:tcPr>
          <w:p w14:paraId="54EAD7C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-897</w:t>
            </w:r>
          </w:p>
        </w:tc>
        <w:tc>
          <w:tcPr>
            <w:tcW w:w="989" w:type="pct"/>
            <w:shd w:val="clear" w:color="auto" w:fill="auto"/>
            <w:vAlign w:val="center"/>
          </w:tcPr>
          <w:p w14:paraId="63E1FB6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后王郢孜</w:t>
            </w:r>
          </w:p>
        </w:tc>
        <w:tc>
          <w:tcPr>
            <w:tcW w:w="1419" w:type="pct"/>
            <w:shd w:val="clear" w:color="auto" w:fill="auto"/>
            <w:vAlign w:val="center"/>
          </w:tcPr>
          <w:p w14:paraId="445ABB1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12</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36</w:t>
            </w:r>
            <w:r>
              <w:rPr>
                <w:color w:val="000000" w:themeColor="text1"/>
                <w:sz w:val="21"/>
                <w:szCs w:val="21"/>
                <w14:textFill>
                  <w14:solidFill>
                    <w14:schemeClr w14:val="tx1"/>
                  </w14:solidFill>
                </w14:textFill>
              </w:rPr>
              <w:t>人</w:t>
            </w:r>
          </w:p>
        </w:tc>
        <w:tc>
          <w:tcPr>
            <w:tcW w:w="550" w:type="pct"/>
            <w:shd w:val="clear" w:color="auto" w:fill="auto"/>
            <w:vAlign w:val="center"/>
          </w:tcPr>
          <w:p w14:paraId="28E7F77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0588EFD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SW</w:t>
            </w:r>
          </w:p>
        </w:tc>
        <w:tc>
          <w:tcPr>
            <w:tcW w:w="420" w:type="pct"/>
            <w:shd w:val="clear" w:color="auto" w:fill="auto"/>
            <w:vAlign w:val="center"/>
          </w:tcPr>
          <w:p w14:paraId="294D19C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2464</w:t>
            </w:r>
          </w:p>
        </w:tc>
      </w:tr>
      <w:tr w14:paraId="7F42161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2A22194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09C379C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447</w:t>
            </w:r>
          </w:p>
        </w:tc>
        <w:tc>
          <w:tcPr>
            <w:tcW w:w="434" w:type="pct"/>
            <w:shd w:val="clear" w:color="auto" w:fill="auto"/>
            <w:vAlign w:val="center"/>
          </w:tcPr>
          <w:p w14:paraId="2A50E5A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165</w:t>
            </w:r>
          </w:p>
        </w:tc>
        <w:tc>
          <w:tcPr>
            <w:tcW w:w="989" w:type="pct"/>
            <w:shd w:val="clear" w:color="auto" w:fill="auto"/>
            <w:vAlign w:val="center"/>
          </w:tcPr>
          <w:p w14:paraId="40C6AFD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刘团郢</w:t>
            </w:r>
          </w:p>
        </w:tc>
        <w:tc>
          <w:tcPr>
            <w:tcW w:w="1419" w:type="pct"/>
            <w:shd w:val="clear" w:color="auto" w:fill="auto"/>
            <w:vAlign w:val="center"/>
          </w:tcPr>
          <w:p w14:paraId="43D75E3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35</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105</w:t>
            </w:r>
            <w:r>
              <w:rPr>
                <w:color w:val="000000" w:themeColor="text1"/>
                <w:sz w:val="21"/>
                <w:szCs w:val="21"/>
                <w14:textFill>
                  <w14:solidFill>
                    <w14:schemeClr w14:val="tx1"/>
                  </w14:solidFill>
                </w14:textFill>
              </w:rPr>
              <w:t>人</w:t>
            </w:r>
          </w:p>
        </w:tc>
        <w:tc>
          <w:tcPr>
            <w:tcW w:w="550" w:type="pct"/>
            <w:shd w:val="clear" w:color="auto" w:fill="auto"/>
            <w:vAlign w:val="center"/>
          </w:tcPr>
          <w:p w14:paraId="1CC65A9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39D6F68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SW</w:t>
            </w:r>
          </w:p>
        </w:tc>
        <w:tc>
          <w:tcPr>
            <w:tcW w:w="420" w:type="pct"/>
            <w:shd w:val="clear" w:color="auto" w:fill="auto"/>
            <w:vAlign w:val="center"/>
          </w:tcPr>
          <w:p w14:paraId="2E3CDED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highlight w:val="yellow"/>
                <w14:textFill>
                  <w14:solidFill>
                    <w14:schemeClr w14:val="tx1"/>
                  </w14:solidFill>
                </w14:textFill>
              </w:rPr>
              <w:t>480</w:t>
            </w:r>
          </w:p>
        </w:tc>
      </w:tr>
      <w:tr w14:paraId="4931CC0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048D47C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294C721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1108</w:t>
            </w:r>
          </w:p>
        </w:tc>
        <w:tc>
          <w:tcPr>
            <w:tcW w:w="434" w:type="pct"/>
            <w:shd w:val="clear" w:color="auto" w:fill="auto"/>
            <w:vAlign w:val="center"/>
          </w:tcPr>
          <w:p w14:paraId="171F8C0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993</w:t>
            </w:r>
          </w:p>
        </w:tc>
        <w:tc>
          <w:tcPr>
            <w:tcW w:w="989" w:type="pct"/>
            <w:shd w:val="clear" w:color="auto" w:fill="auto"/>
            <w:vAlign w:val="center"/>
          </w:tcPr>
          <w:p w14:paraId="41CA687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莫庄</w:t>
            </w:r>
          </w:p>
        </w:tc>
        <w:tc>
          <w:tcPr>
            <w:tcW w:w="1419" w:type="pct"/>
            <w:shd w:val="clear" w:color="auto" w:fill="auto"/>
            <w:vAlign w:val="center"/>
          </w:tcPr>
          <w:p w14:paraId="30DA1BE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70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210</w:t>
            </w:r>
            <w:r>
              <w:rPr>
                <w:color w:val="000000" w:themeColor="text1"/>
                <w:sz w:val="21"/>
                <w:szCs w:val="21"/>
                <w14:textFill>
                  <w14:solidFill>
                    <w14:schemeClr w14:val="tx1"/>
                  </w14:solidFill>
                </w14:textFill>
              </w:rPr>
              <w:t>人</w:t>
            </w:r>
          </w:p>
        </w:tc>
        <w:tc>
          <w:tcPr>
            <w:tcW w:w="550" w:type="pct"/>
            <w:shd w:val="clear" w:color="auto" w:fill="auto"/>
            <w:vAlign w:val="center"/>
          </w:tcPr>
          <w:p w14:paraId="37AC8DF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33AB480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NW</w:t>
            </w:r>
          </w:p>
        </w:tc>
        <w:tc>
          <w:tcPr>
            <w:tcW w:w="420" w:type="pct"/>
            <w:shd w:val="clear" w:color="auto" w:fill="auto"/>
            <w:vAlign w:val="center"/>
          </w:tcPr>
          <w:p w14:paraId="58483BB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1447</w:t>
            </w:r>
          </w:p>
        </w:tc>
      </w:tr>
      <w:tr w14:paraId="73BECCC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4737DCF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6218A69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-1574</w:t>
            </w:r>
          </w:p>
        </w:tc>
        <w:tc>
          <w:tcPr>
            <w:tcW w:w="434" w:type="pct"/>
            <w:shd w:val="clear" w:color="auto" w:fill="auto"/>
            <w:vAlign w:val="center"/>
          </w:tcPr>
          <w:p w14:paraId="0CDAD63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1191</w:t>
            </w:r>
          </w:p>
        </w:tc>
        <w:tc>
          <w:tcPr>
            <w:tcW w:w="989" w:type="pct"/>
            <w:shd w:val="clear" w:color="auto" w:fill="auto"/>
            <w:vAlign w:val="center"/>
          </w:tcPr>
          <w:p w14:paraId="0BE367F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刘圩村</w:t>
            </w:r>
          </w:p>
        </w:tc>
        <w:tc>
          <w:tcPr>
            <w:tcW w:w="1419" w:type="pct"/>
            <w:shd w:val="clear" w:color="auto" w:fill="auto"/>
            <w:vAlign w:val="center"/>
          </w:tcPr>
          <w:p w14:paraId="0AA1810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80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240</w:t>
            </w:r>
            <w:r>
              <w:rPr>
                <w:color w:val="000000" w:themeColor="text1"/>
                <w:sz w:val="21"/>
                <w:szCs w:val="21"/>
                <w14:textFill>
                  <w14:solidFill>
                    <w14:schemeClr w14:val="tx1"/>
                  </w14:solidFill>
                </w14:textFill>
              </w:rPr>
              <w:t>人</w:t>
            </w:r>
          </w:p>
        </w:tc>
        <w:tc>
          <w:tcPr>
            <w:tcW w:w="550" w:type="pct"/>
            <w:shd w:val="clear" w:color="auto" w:fill="auto"/>
            <w:vAlign w:val="center"/>
          </w:tcPr>
          <w:p w14:paraId="695028C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619FB7C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NW</w:t>
            </w:r>
          </w:p>
        </w:tc>
        <w:tc>
          <w:tcPr>
            <w:tcW w:w="420" w:type="pct"/>
            <w:shd w:val="clear" w:color="auto" w:fill="auto"/>
            <w:vAlign w:val="center"/>
          </w:tcPr>
          <w:p w14:paraId="5B0B148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19</w:t>
            </w:r>
            <w:r>
              <w:rPr>
                <w:rFonts w:hint="eastAsia"/>
                <w:color w:val="000000" w:themeColor="text1"/>
                <w:sz w:val="21"/>
                <w:szCs w:val="21"/>
                <w14:textFill>
                  <w14:solidFill>
                    <w14:schemeClr w14:val="tx1"/>
                  </w14:solidFill>
                </w14:textFill>
              </w:rPr>
              <w:t>35</w:t>
            </w:r>
          </w:p>
        </w:tc>
      </w:tr>
      <w:tr w14:paraId="3E90AF0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0B3CAFE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5E2E1E6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1683</w:t>
            </w:r>
          </w:p>
        </w:tc>
        <w:tc>
          <w:tcPr>
            <w:tcW w:w="434" w:type="pct"/>
            <w:shd w:val="clear" w:color="auto" w:fill="auto"/>
            <w:vAlign w:val="center"/>
          </w:tcPr>
          <w:p w14:paraId="04C97F7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1324</w:t>
            </w:r>
          </w:p>
        </w:tc>
        <w:tc>
          <w:tcPr>
            <w:tcW w:w="989" w:type="pct"/>
            <w:shd w:val="clear" w:color="auto" w:fill="auto"/>
            <w:vAlign w:val="center"/>
          </w:tcPr>
          <w:p w14:paraId="44DDABA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刘圩小学</w:t>
            </w:r>
          </w:p>
        </w:tc>
        <w:tc>
          <w:tcPr>
            <w:tcW w:w="1419" w:type="pct"/>
            <w:shd w:val="clear" w:color="auto" w:fill="auto"/>
            <w:vAlign w:val="center"/>
          </w:tcPr>
          <w:p w14:paraId="69452F5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师生，约</w:t>
            </w:r>
            <w:r>
              <w:rPr>
                <w:rFonts w:hint="eastAsia"/>
                <w:color w:val="000000" w:themeColor="text1"/>
                <w:sz w:val="21"/>
                <w:szCs w:val="21"/>
                <w14:textFill>
                  <w14:solidFill>
                    <w14:schemeClr w14:val="tx1"/>
                  </w14:solidFill>
                </w14:textFill>
              </w:rPr>
              <w:t>150</w:t>
            </w:r>
            <w:r>
              <w:rPr>
                <w:color w:val="000000" w:themeColor="text1"/>
                <w:sz w:val="21"/>
                <w:szCs w:val="21"/>
                <w14:textFill>
                  <w14:solidFill>
                    <w14:schemeClr w14:val="tx1"/>
                  </w14:solidFill>
                </w14:textFill>
              </w:rPr>
              <w:t>人</w:t>
            </w:r>
          </w:p>
        </w:tc>
        <w:tc>
          <w:tcPr>
            <w:tcW w:w="550" w:type="pct"/>
            <w:shd w:val="clear" w:color="auto" w:fill="auto"/>
            <w:vAlign w:val="center"/>
          </w:tcPr>
          <w:p w14:paraId="23176B6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594FCC6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NW</w:t>
            </w:r>
          </w:p>
        </w:tc>
        <w:tc>
          <w:tcPr>
            <w:tcW w:w="420" w:type="pct"/>
            <w:shd w:val="clear" w:color="auto" w:fill="auto"/>
            <w:vAlign w:val="center"/>
          </w:tcPr>
          <w:p w14:paraId="79865AE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2153</w:t>
            </w:r>
          </w:p>
        </w:tc>
      </w:tr>
      <w:tr w14:paraId="5A11D22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2027F32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1A39A11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-1904</w:t>
            </w:r>
          </w:p>
        </w:tc>
        <w:tc>
          <w:tcPr>
            <w:tcW w:w="434" w:type="pct"/>
            <w:shd w:val="clear" w:color="auto" w:fill="auto"/>
            <w:vAlign w:val="center"/>
          </w:tcPr>
          <w:p w14:paraId="545B87A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344</w:t>
            </w:r>
          </w:p>
        </w:tc>
        <w:tc>
          <w:tcPr>
            <w:tcW w:w="989" w:type="pct"/>
            <w:shd w:val="clear" w:color="auto" w:fill="auto"/>
            <w:vAlign w:val="center"/>
          </w:tcPr>
          <w:p w14:paraId="73FDFF6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南圩</w:t>
            </w:r>
          </w:p>
        </w:tc>
        <w:tc>
          <w:tcPr>
            <w:tcW w:w="1419" w:type="pct"/>
            <w:shd w:val="clear" w:color="auto" w:fill="auto"/>
            <w:vAlign w:val="center"/>
          </w:tcPr>
          <w:p w14:paraId="1D7BA48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55</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165</w:t>
            </w:r>
            <w:r>
              <w:rPr>
                <w:color w:val="000000" w:themeColor="text1"/>
                <w:sz w:val="21"/>
                <w:szCs w:val="21"/>
                <w14:textFill>
                  <w14:solidFill>
                    <w14:schemeClr w14:val="tx1"/>
                  </w14:solidFill>
                </w14:textFill>
              </w:rPr>
              <w:t>人</w:t>
            </w:r>
          </w:p>
        </w:tc>
        <w:tc>
          <w:tcPr>
            <w:tcW w:w="550" w:type="pct"/>
            <w:shd w:val="clear" w:color="auto" w:fill="auto"/>
            <w:vAlign w:val="center"/>
          </w:tcPr>
          <w:p w14:paraId="527036E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23DB72F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NW</w:t>
            </w:r>
          </w:p>
        </w:tc>
        <w:tc>
          <w:tcPr>
            <w:tcW w:w="420" w:type="pct"/>
            <w:shd w:val="clear" w:color="auto" w:fill="auto"/>
            <w:vAlign w:val="center"/>
          </w:tcPr>
          <w:p w14:paraId="47D2DD7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334</w:t>
            </w:r>
          </w:p>
        </w:tc>
      </w:tr>
      <w:tr w14:paraId="4B6BCAE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255E934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6263B94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-1707</w:t>
            </w:r>
          </w:p>
        </w:tc>
        <w:tc>
          <w:tcPr>
            <w:tcW w:w="434" w:type="pct"/>
            <w:shd w:val="clear" w:color="auto" w:fill="auto"/>
            <w:vAlign w:val="center"/>
          </w:tcPr>
          <w:p w14:paraId="66B37CD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1842</w:t>
            </w:r>
          </w:p>
        </w:tc>
        <w:tc>
          <w:tcPr>
            <w:tcW w:w="989" w:type="pct"/>
            <w:shd w:val="clear" w:color="auto" w:fill="auto"/>
            <w:vAlign w:val="center"/>
          </w:tcPr>
          <w:p w14:paraId="3E851CA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夏集镇陈集村卫生室</w:t>
            </w:r>
          </w:p>
        </w:tc>
        <w:tc>
          <w:tcPr>
            <w:tcW w:w="1419" w:type="pct"/>
            <w:shd w:val="clear" w:color="auto" w:fill="auto"/>
            <w:vAlign w:val="center"/>
          </w:tcPr>
          <w:p w14:paraId="13930DB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5</w:t>
            </w:r>
            <w:r>
              <w:rPr>
                <w:color w:val="000000" w:themeColor="text1"/>
                <w:sz w:val="21"/>
                <w:szCs w:val="21"/>
                <w14:textFill>
                  <w14:solidFill>
                    <w14:schemeClr w14:val="tx1"/>
                  </w14:solidFill>
                </w14:textFill>
              </w:rPr>
              <w:t>0人</w:t>
            </w:r>
          </w:p>
        </w:tc>
        <w:tc>
          <w:tcPr>
            <w:tcW w:w="550" w:type="pct"/>
            <w:shd w:val="clear" w:color="auto" w:fill="auto"/>
            <w:vAlign w:val="center"/>
          </w:tcPr>
          <w:p w14:paraId="6F97BA1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0380FCF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NW</w:t>
            </w:r>
          </w:p>
        </w:tc>
        <w:tc>
          <w:tcPr>
            <w:tcW w:w="420" w:type="pct"/>
            <w:shd w:val="clear" w:color="auto" w:fill="auto"/>
            <w:vAlign w:val="center"/>
          </w:tcPr>
          <w:p w14:paraId="0A83F30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2496</w:t>
            </w:r>
          </w:p>
        </w:tc>
      </w:tr>
      <w:tr w14:paraId="20DB083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6BC1A5D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1FE13A2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-1518</w:t>
            </w:r>
          </w:p>
        </w:tc>
        <w:tc>
          <w:tcPr>
            <w:tcW w:w="434" w:type="pct"/>
            <w:shd w:val="clear" w:color="auto" w:fill="auto"/>
            <w:vAlign w:val="center"/>
          </w:tcPr>
          <w:p w14:paraId="47CE266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1894</w:t>
            </w:r>
          </w:p>
        </w:tc>
        <w:tc>
          <w:tcPr>
            <w:tcW w:w="989" w:type="pct"/>
            <w:shd w:val="clear" w:color="auto" w:fill="auto"/>
            <w:vAlign w:val="center"/>
          </w:tcPr>
          <w:p w14:paraId="0593383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陈集新村</w:t>
            </w:r>
          </w:p>
        </w:tc>
        <w:tc>
          <w:tcPr>
            <w:tcW w:w="1419" w:type="pct"/>
            <w:shd w:val="clear" w:color="auto" w:fill="auto"/>
            <w:vAlign w:val="center"/>
          </w:tcPr>
          <w:p w14:paraId="3241DA5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120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360</w:t>
            </w:r>
            <w:r>
              <w:rPr>
                <w:color w:val="000000" w:themeColor="text1"/>
                <w:sz w:val="21"/>
                <w:szCs w:val="21"/>
                <w14:textFill>
                  <w14:solidFill>
                    <w14:schemeClr w14:val="tx1"/>
                  </w14:solidFill>
                </w14:textFill>
              </w:rPr>
              <w:t>人</w:t>
            </w:r>
          </w:p>
        </w:tc>
        <w:tc>
          <w:tcPr>
            <w:tcW w:w="550" w:type="pct"/>
            <w:shd w:val="clear" w:color="auto" w:fill="auto"/>
            <w:vAlign w:val="center"/>
          </w:tcPr>
          <w:p w14:paraId="75AA081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5532FF1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NW</w:t>
            </w:r>
          </w:p>
        </w:tc>
        <w:tc>
          <w:tcPr>
            <w:tcW w:w="420" w:type="pct"/>
            <w:shd w:val="clear" w:color="auto" w:fill="auto"/>
            <w:vAlign w:val="center"/>
          </w:tcPr>
          <w:p w14:paraId="71528B4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2398</w:t>
            </w:r>
          </w:p>
        </w:tc>
      </w:tr>
      <w:tr w14:paraId="3B88C9E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4D7F779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536CF58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-420</w:t>
            </w:r>
          </w:p>
        </w:tc>
        <w:tc>
          <w:tcPr>
            <w:tcW w:w="434" w:type="pct"/>
            <w:shd w:val="clear" w:color="auto" w:fill="auto"/>
            <w:vAlign w:val="center"/>
          </w:tcPr>
          <w:p w14:paraId="4BA63F7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1420</w:t>
            </w:r>
          </w:p>
        </w:tc>
        <w:tc>
          <w:tcPr>
            <w:tcW w:w="989" w:type="pct"/>
            <w:shd w:val="clear" w:color="auto" w:fill="auto"/>
            <w:vAlign w:val="center"/>
          </w:tcPr>
          <w:p w14:paraId="65C5489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龚郢</w:t>
            </w:r>
          </w:p>
        </w:tc>
        <w:tc>
          <w:tcPr>
            <w:tcW w:w="1419" w:type="pct"/>
            <w:shd w:val="clear" w:color="auto" w:fill="auto"/>
            <w:vAlign w:val="center"/>
          </w:tcPr>
          <w:p w14:paraId="21E7404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100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300</w:t>
            </w:r>
            <w:r>
              <w:rPr>
                <w:color w:val="000000" w:themeColor="text1"/>
                <w:sz w:val="21"/>
                <w:szCs w:val="21"/>
                <w14:textFill>
                  <w14:solidFill>
                    <w14:schemeClr w14:val="tx1"/>
                  </w14:solidFill>
                </w14:textFill>
              </w:rPr>
              <w:t>人</w:t>
            </w:r>
          </w:p>
        </w:tc>
        <w:tc>
          <w:tcPr>
            <w:tcW w:w="550" w:type="pct"/>
            <w:shd w:val="clear" w:color="auto" w:fill="auto"/>
            <w:vAlign w:val="center"/>
          </w:tcPr>
          <w:p w14:paraId="1E19722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130E4CF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NW</w:t>
            </w:r>
          </w:p>
        </w:tc>
        <w:tc>
          <w:tcPr>
            <w:tcW w:w="420" w:type="pct"/>
            <w:shd w:val="clear" w:color="auto" w:fill="auto"/>
            <w:vAlign w:val="center"/>
          </w:tcPr>
          <w:p w14:paraId="1DF2A4E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1470</w:t>
            </w:r>
          </w:p>
        </w:tc>
      </w:tr>
      <w:tr w14:paraId="23C8DA9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4232907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50E0A1D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1297</w:t>
            </w:r>
          </w:p>
        </w:tc>
        <w:tc>
          <w:tcPr>
            <w:tcW w:w="434" w:type="pct"/>
            <w:shd w:val="clear" w:color="auto" w:fill="auto"/>
            <w:vAlign w:val="center"/>
          </w:tcPr>
          <w:p w14:paraId="768DCBC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2023</w:t>
            </w:r>
          </w:p>
        </w:tc>
        <w:tc>
          <w:tcPr>
            <w:tcW w:w="989" w:type="pct"/>
            <w:shd w:val="clear" w:color="auto" w:fill="auto"/>
            <w:vAlign w:val="center"/>
          </w:tcPr>
          <w:p w14:paraId="7C84565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陈集村</w:t>
            </w:r>
          </w:p>
        </w:tc>
        <w:tc>
          <w:tcPr>
            <w:tcW w:w="1419" w:type="pct"/>
            <w:shd w:val="clear" w:color="auto" w:fill="auto"/>
            <w:vAlign w:val="center"/>
          </w:tcPr>
          <w:p w14:paraId="2BE2991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00户，</w:t>
            </w:r>
            <w:r>
              <w:rPr>
                <w:rFonts w:hint="eastAsia"/>
                <w:color w:val="000000" w:themeColor="text1"/>
                <w:sz w:val="21"/>
                <w:szCs w:val="21"/>
                <w14:textFill>
                  <w14:solidFill>
                    <w14:schemeClr w14:val="tx1"/>
                  </w14:solidFill>
                </w14:textFill>
              </w:rPr>
              <w:t>6</w:t>
            </w:r>
            <w:r>
              <w:rPr>
                <w:color w:val="000000" w:themeColor="text1"/>
                <w:sz w:val="21"/>
                <w:szCs w:val="21"/>
                <w14:textFill>
                  <w14:solidFill>
                    <w14:schemeClr w14:val="tx1"/>
                  </w14:solidFill>
                </w14:textFill>
              </w:rPr>
              <w:t>00人</w:t>
            </w:r>
          </w:p>
        </w:tc>
        <w:tc>
          <w:tcPr>
            <w:tcW w:w="550" w:type="pct"/>
            <w:shd w:val="clear" w:color="auto" w:fill="auto"/>
            <w:vAlign w:val="center"/>
          </w:tcPr>
          <w:p w14:paraId="3D5764D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1E1ACFB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NW</w:t>
            </w:r>
          </w:p>
        </w:tc>
        <w:tc>
          <w:tcPr>
            <w:tcW w:w="420" w:type="pct"/>
            <w:shd w:val="clear" w:color="auto" w:fill="auto"/>
            <w:vAlign w:val="center"/>
          </w:tcPr>
          <w:p w14:paraId="759BC28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2147</w:t>
            </w:r>
          </w:p>
        </w:tc>
      </w:tr>
      <w:tr w14:paraId="115F91B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2549812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682E5E4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-90</w:t>
            </w:r>
          </w:p>
        </w:tc>
        <w:tc>
          <w:tcPr>
            <w:tcW w:w="434" w:type="pct"/>
            <w:shd w:val="clear" w:color="auto" w:fill="auto"/>
            <w:vAlign w:val="center"/>
          </w:tcPr>
          <w:p w14:paraId="4FABCBB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1915</w:t>
            </w:r>
          </w:p>
        </w:tc>
        <w:tc>
          <w:tcPr>
            <w:tcW w:w="989" w:type="pct"/>
            <w:shd w:val="clear" w:color="auto" w:fill="auto"/>
            <w:vAlign w:val="center"/>
          </w:tcPr>
          <w:p w14:paraId="0AF48CB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王后圩</w:t>
            </w:r>
          </w:p>
        </w:tc>
        <w:tc>
          <w:tcPr>
            <w:tcW w:w="1419" w:type="pct"/>
            <w:shd w:val="clear" w:color="auto" w:fill="auto"/>
            <w:vAlign w:val="center"/>
          </w:tcPr>
          <w:p w14:paraId="72314A0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130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390</w:t>
            </w:r>
            <w:r>
              <w:rPr>
                <w:color w:val="000000" w:themeColor="text1"/>
                <w:sz w:val="21"/>
                <w:szCs w:val="21"/>
                <w14:textFill>
                  <w14:solidFill>
                    <w14:schemeClr w14:val="tx1"/>
                  </w14:solidFill>
                </w14:textFill>
              </w:rPr>
              <w:t>人</w:t>
            </w:r>
          </w:p>
        </w:tc>
        <w:tc>
          <w:tcPr>
            <w:tcW w:w="550" w:type="pct"/>
            <w:shd w:val="clear" w:color="auto" w:fill="auto"/>
            <w:vAlign w:val="center"/>
          </w:tcPr>
          <w:p w14:paraId="6021CB76">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78B0349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w:t>
            </w:r>
            <w:r>
              <w:rPr>
                <w:rFonts w:hint="eastAsia"/>
                <w:color w:val="000000" w:themeColor="text1"/>
                <w:sz w:val="21"/>
                <w:szCs w:val="21"/>
                <w:lang w:val="en-US" w:eastAsia="zh-CN"/>
                <w14:textFill>
                  <w14:solidFill>
                    <w14:schemeClr w14:val="tx1"/>
                  </w14:solidFill>
                </w14:textFill>
              </w:rPr>
              <w:t>W</w:t>
            </w:r>
          </w:p>
        </w:tc>
        <w:tc>
          <w:tcPr>
            <w:tcW w:w="420" w:type="pct"/>
            <w:shd w:val="clear" w:color="auto" w:fill="auto"/>
            <w:vAlign w:val="center"/>
          </w:tcPr>
          <w:p w14:paraId="3B35DDC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1915</w:t>
            </w:r>
          </w:p>
        </w:tc>
      </w:tr>
      <w:tr w14:paraId="6A066BD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259D92B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5477293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-50</w:t>
            </w:r>
          </w:p>
        </w:tc>
        <w:tc>
          <w:tcPr>
            <w:tcW w:w="434" w:type="pct"/>
            <w:shd w:val="clear" w:color="auto" w:fill="auto"/>
            <w:vAlign w:val="center"/>
          </w:tcPr>
          <w:p w14:paraId="0BF067F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2196</w:t>
            </w:r>
          </w:p>
        </w:tc>
        <w:tc>
          <w:tcPr>
            <w:tcW w:w="989" w:type="pct"/>
            <w:shd w:val="clear" w:color="auto" w:fill="auto"/>
            <w:vAlign w:val="center"/>
          </w:tcPr>
          <w:p w14:paraId="244BC4F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毛集镇苏坂小学</w:t>
            </w:r>
          </w:p>
        </w:tc>
        <w:tc>
          <w:tcPr>
            <w:tcW w:w="1419" w:type="pct"/>
            <w:shd w:val="clear" w:color="auto" w:fill="auto"/>
            <w:vAlign w:val="center"/>
          </w:tcPr>
          <w:p w14:paraId="014FDC3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师生，约</w:t>
            </w:r>
            <w:r>
              <w:rPr>
                <w:rFonts w:hint="eastAsia"/>
                <w:color w:val="000000" w:themeColor="text1"/>
                <w:sz w:val="21"/>
                <w:szCs w:val="21"/>
                <w14:textFill>
                  <w14:solidFill>
                    <w14:schemeClr w14:val="tx1"/>
                  </w14:solidFill>
                </w14:textFill>
              </w:rPr>
              <w:t>130</w:t>
            </w:r>
            <w:r>
              <w:rPr>
                <w:color w:val="000000" w:themeColor="text1"/>
                <w:sz w:val="21"/>
                <w:szCs w:val="21"/>
                <w14:textFill>
                  <w14:solidFill>
                    <w14:schemeClr w14:val="tx1"/>
                  </w14:solidFill>
                </w14:textFill>
              </w:rPr>
              <w:t>人</w:t>
            </w:r>
          </w:p>
        </w:tc>
        <w:tc>
          <w:tcPr>
            <w:tcW w:w="550" w:type="pct"/>
            <w:shd w:val="clear" w:color="auto" w:fill="auto"/>
            <w:vAlign w:val="center"/>
          </w:tcPr>
          <w:p w14:paraId="0CC2C143">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100B327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w:t>
            </w:r>
            <w:r>
              <w:rPr>
                <w:rFonts w:hint="eastAsia"/>
                <w:color w:val="000000" w:themeColor="text1"/>
                <w:sz w:val="21"/>
                <w:szCs w:val="21"/>
                <w:lang w:val="en-US" w:eastAsia="zh-CN"/>
                <w14:textFill>
                  <w14:solidFill>
                    <w14:schemeClr w14:val="tx1"/>
                  </w14:solidFill>
                </w14:textFill>
              </w:rPr>
              <w:t>W</w:t>
            </w:r>
          </w:p>
        </w:tc>
        <w:tc>
          <w:tcPr>
            <w:tcW w:w="420" w:type="pct"/>
            <w:shd w:val="clear" w:color="auto" w:fill="auto"/>
            <w:vAlign w:val="center"/>
          </w:tcPr>
          <w:p w14:paraId="06E8B68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2196</w:t>
            </w:r>
          </w:p>
        </w:tc>
      </w:tr>
      <w:tr w14:paraId="384F067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739FC71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59EBC6E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135</w:t>
            </w:r>
          </w:p>
        </w:tc>
        <w:tc>
          <w:tcPr>
            <w:tcW w:w="434" w:type="pct"/>
            <w:shd w:val="clear" w:color="auto" w:fill="auto"/>
            <w:vAlign w:val="center"/>
          </w:tcPr>
          <w:p w14:paraId="718FF26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775</w:t>
            </w:r>
          </w:p>
        </w:tc>
        <w:tc>
          <w:tcPr>
            <w:tcW w:w="989" w:type="pct"/>
            <w:shd w:val="clear" w:color="auto" w:fill="auto"/>
            <w:vAlign w:val="center"/>
          </w:tcPr>
          <w:p w14:paraId="2AC16EF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马小郢</w:t>
            </w:r>
          </w:p>
        </w:tc>
        <w:tc>
          <w:tcPr>
            <w:tcW w:w="1419" w:type="pct"/>
            <w:shd w:val="clear" w:color="auto" w:fill="auto"/>
            <w:vAlign w:val="center"/>
          </w:tcPr>
          <w:p w14:paraId="160877F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80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24</w:t>
            </w:r>
            <w:r>
              <w:rPr>
                <w:color w:val="000000" w:themeColor="text1"/>
                <w:sz w:val="21"/>
                <w:szCs w:val="21"/>
                <w14:textFill>
                  <w14:solidFill>
                    <w14:schemeClr w14:val="tx1"/>
                  </w14:solidFill>
                </w14:textFill>
              </w:rPr>
              <w:t>0人</w:t>
            </w:r>
          </w:p>
        </w:tc>
        <w:tc>
          <w:tcPr>
            <w:tcW w:w="550" w:type="pct"/>
            <w:shd w:val="clear" w:color="auto" w:fill="auto"/>
            <w:vAlign w:val="center"/>
          </w:tcPr>
          <w:p w14:paraId="1E0996F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7E82C04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w:t>
            </w:r>
          </w:p>
        </w:tc>
        <w:tc>
          <w:tcPr>
            <w:tcW w:w="420" w:type="pct"/>
            <w:shd w:val="clear" w:color="auto" w:fill="auto"/>
            <w:vAlign w:val="center"/>
          </w:tcPr>
          <w:p w14:paraId="46AFE38D">
            <w:pPr>
              <w:spacing w:line="276" w:lineRule="auto"/>
              <w:jc w:val="center"/>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eastAsia"/>
                <w:color w:val="000000" w:themeColor="text1"/>
                <w:sz w:val="21"/>
                <w:szCs w:val="21"/>
                <w:highlight w:val="yellow"/>
                <w14:textFill>
                  <w14:solidFill>
                    <w14:schemeClr w14:val="tx1"/>
                  </w14:solidFill>
                </w14:textFill>
              </w:rPr>
              <w:t>784</w:t>
            </w:r>
          </w:p>
        </w:tc>
      </w:tr>
      <w:tr w14:paraId="6F8A6D1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6C780FB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4EA79AB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312</w:t>
            </w:r>
          </w:p>
        </w:tc>
        <w:tc>
          <w:tcPr>
            <w:tcW w:w="434" w:type="pct"/>
            <w:shd w:val="clear" w:color="auto" w:fill="auto"/>
            <w:vAlign w:val="center"/>
          </w:tcPr>
          <w:p w14:paraId="64B2D36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716</w:t>
            </w:r>
          </w:p>
        </w:tc>
        <w:tc>
          <w:tcPr>
            <w:tcW w:w="989" w:type="pct"/>
            <w:shd w:val="clear" w:color="auto" w:fill="auto"/>
            <w:vAlign w:val="center"/>
          </w:tcPr>
          <w:p w14:paraId="730A664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彭郢</w:t>
            </w:r>
          </w:p>
        </w:tc>
        <w:tc>
          <w:tcPr>
            <w:tcW w:w="1419" w:type="pct"/>
            <w:shd w:val="clear" w:color="auto" w:fill="auto"/>
            <w:vAlign w:val="center"/>
          </w:tcPr>
          <w:p w14:paraId="456F697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80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24</w:t>
            </w:r>
            <w:r>
              <w:rPr>
                <w:color w:val="000000" w:themeColor="text1"/>
                <w:sz w:val="21"/>
                <w:szCs w:val="21"/>
                <w14:textFill>
                  <w14:solidFill>
                    <w14:schemeClr w14:val="tx1"/>
                  </w14:solidFill>
                </w14:textFill>
              </w:rPr>
              <w:t>0人</w:t>
            </w:r>
          </w:p>
        </w:tc>
        <w:tc>
          <w:tcPr>
            <w:tcW w:w="550" w:type="pct"/>
            <w:shd w:val="clear" w:color="auto" w:fill="auto"/>
            <w:vAlign w:val="center"/>
          </w:tcPr>
          <w:p w14:paraId="14078F8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20F8B52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779B5345">
            <w:pPr>
              <w:spacing w:line="276" w:lineRule="auto"/>
              <w:jc w:val="center"/>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eastAsia"/>
                <w:color w:val="000000" w:themeColor="text1"/>
                <w:sz w:val="21"/>
                <w:szCs w:val="21"/>
                <w:highlight w:val="yellow"/>
                <w14:textFill>
                  <w14:solidFill>
                    <w14:schemeClr w14:val="tx1"/>
                  </w14:solidFill>
                </w14:textFill>
              </w:rPr>
              <w:t>787</w:t>
            </w:r>
          </w:p>
        </w:tc>
      </w:tr>
      <w:tr w14:paraId="5DE9E19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4F2E14F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56B5314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336</w:t>
            </w:r>
          </w:p>
        </w:tc>
        <w:tc>
          <w:tcPr>
            <w:tcW w:w="434" w:type="pct"/>
            <w:shd w:val="clear" w:color="auto" w:fill="auto"/>
            <w:vAlign w:val="center"/>
          </w:tcPr>
          <w:p w14:paraId="5C9096C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964</w:t>
            </w:r>
          </w:p>
        </w:tc>
        <w:tc>
          <w:tcPr>
            <w:tcW w:w="989" w:type="pct"/>
            <w:shd w:val="clear" w:color="auto" w:fill="auto"/>
            <w:vAlign w:val="center"/>
          </w:tcPr>
          <w:p w14:paraId="06A3EE5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嘉泰紫御府</w:t>
            </w:r>
          </w:p>
        </w:tc>
        <w:tc>
          <w:tcPr>
            <w:tcW w:w="1419" w:type="pct"/>
            <w:shd w:val="clear" w:color="auto" w:fill="auto"/>
            <w:vAlign w:val="center"/>
          </w:tcPr>
          <w:p w14:paraId="41A1897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240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720</w:t>
            </w:r>
            <w:r>
              <w:rPr>
                <w:color w:val="000000" w:themeColor="text1"/>
                <w:sz w:val="21"/>
                <w:szCs w:val="21"/>
                <w14:textFill>
                  <w14:solidFill>
                    <w14:schemeClr w14:val="tx1"/>
                  </w14:solidFill>
                </w14:textFill>
              </w:rPr>
              <w:t>人</w:t>
            </w:r>
          </w:p>
        </w:tc>
        <w:tc>
          <w:tcPr>
            <w:tcW w:w="550" w:type="pct"/>
            <w:shd w:val="clear" w:color="auto" w:fill="auto"/>
            <w:vAlign w:val="center"/>
          </w:tcPr>
          <w:p w14:paraId="31A6F63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3E4B8A1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41955F6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1040</w:t>
            </w:r>
          </w:p>
        </w:tc>
      </w:tr>
      <w:tr w14:paraId="0147F52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53E411B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3D4A310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635</w:t>
            </w:r>
          </w:p>
        </w:tc>
        <w:tc>
          <w:tcPr>
            <w:tcW w:w="434" w:type="pct"/>
            <w:shd w:val="clear" w:color="auto" w:fill="auto"/>
            <w:vAlign w:val="center"/>
          </w:tcPr>
          <w:p w14:paraId="52647D8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879</w:t>
            </w:r>
          </w:p>
        </w:tc>
        <w:tc>
          <w:tcPr>
            <w:tcW w:w="989" w:type="pct"/>
            <w:shd w:val="clear" w:color="auto" w:fill="auto"/>
            <w:vAlign w:val="center"/>
          </w:tcPr>
          <w:p w14:paraId="309F90A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启明幼儿园</w:t>
            </w:r>
          </w:p>
        </w:tc>
        <w:tc>
          <w:tcPr>
            <w:tcW w:w="1419" w:type="pct"/>
            <w:shd w:val="clear" w:color="auto" w:fill="auto"/>
            <w:vAlign w:val="center"/>
          </w:tcPr>
          <w:p w14:paraId="0E1BC16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师生，约</w:t>
            </w:r>
            <w:r>
              <w:rPr>
                <w:rFonts w:hint="eastAsia"/>
                <w:color w:val="000000" w:themeColor="text1"/>
                <w:sz w:val="21"/>
                <w:szCs w:val="21"/>
                <w14:textFill>
                  <w14:solidFill>
                    <w14:schemeClr w14:val="tx1"/>
                  </w14:solidFill>
                </w14:textFill>
              </w:rPr>
              <w:t>240</w:t>
            </w:r>
            <w:r>
              <w:rPr>
                <w:color w:val="000000" w:themeColor="text1"/>
                <w:sz w:val="21"/>
                <w:szCs w:val="21"/>
                <w14:textFill>
                  <w14:solidFill>
                    <w14:schemeClr w14:val="tx1"/>
                  </w14:solidFill>
                </w14:textFill>
              </w:rPr>
              <w:t>人</w:t>
            </w:r>
          </w:p>
        </w:tc>
        <w:tc>
          <w:tcPr>
            <w:tcW w:w="550" w:type="pct"/>
            <w:shd w:val="clear" w:color="auto" w:fill="auto"/>
            <w:vAlign w:val="center"/>
          </w:tcPr>
          <w:p w14:paraId="36F210D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643ADCA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3792158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1072</w:t>
            </w:r>
          </w:p>
        </w:tc>
      </w:tr>
      <w:tr w14:paraId="1E8972B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2E084B4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622BAFC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976</w:t>
            </w:r>
          </w:p>
        </w:tc>
        <w:tc>
          <w:tcPr>
            <w:tcW w:w="434" w:type="pct"/>
            <w:shd w:val="clear" w:color="auto" w:fill="auto"/>
            <w:vAlign w:val="center"/>
          </w:tcPr>
          <w:p w14:paraId="6315823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511</w:t>
            </w:r>
          </w:p>
        </w:tc>
        <w:tc>
          <w:tcPr>
            <w:tcW w:w="989" w:type="pct"/>
            <w:shd w:val="clear" w:color="auto" w:fill="auto"/>
            <w:vAlign w:val="center"/>
          </w:tcPr>
          <w:p w14:paraId="4D57A87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陆庄村</w:t>
            </w:r>
          </w:p>
        </w:tc>
        <w:tc>
          <w:tcPr>
            <w:tcW w:w="1419" w:type="pct"/>
            <w:shd w:val="clear" w:color="auto" w:fill="auto"/>
            <w:vAlign w:val="center"/>
          </w:tcPr>
          <w:p w14:paraId="5711E44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210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630</w:t>
            </w:r>
            <w:r>
              <w:rPr>
                <w:color w:val="000000" w:themeColor="text1"/>
                <w:sz w:val="21"/>
                <w:szCs w:val="21"/>
                <w14:textFill>
                  <w14:solidFill>
                    <w14:schemeClr w14:val="tx1"/>
                  </w14:solidFill>
                </w14:textFill>
              </w:rPr>
              <w:t>人</w:t>
            </w:r>
          </w:p>
        </w:tc>
        <w:tc>
          <w:tcPr>
            <w:tcW w:w="550" w:type="pct"/>
            <w:shd w:val="clear" w:color="auto" w:fill="auto"/>
            <w:vAlign w:val="center"/>
          </w:tcPr>
          <w:p w14:paraId="796B3C1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15D513D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562AE91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1119</w:t>
            </w:r>
          </w:p>
        </w:tc>
      </w:tr>
      <w:tr w14:paraId="503359B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1C6FD4A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6080E33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1213</w:t>
            </w:r>
          </w:p>
        </w:tc>
        <w:tc>
          <w:tcPr>
            <w:tcW w:w="434" w:type="pct"/>
            <w:shd w:val="clear" w:color="auto" w:fill="auto"/>
            <w:vAlign w:val="center"/>
          </w:tcPr>
          <w:p w14:paraId="770F298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628</w:t>
            </w:r>
          </w:p>
        </w:tc>
        <w:tc>
          <w:tcPr>
            <w:tcW w:w="989" w:type="pct"/>
            <w:shd w:val="clear" w:color="auto" w:fill="auto"/>
            <w:vAlign w:val="center"/>
          </w:tcPr>
          <w:p w14:paraId="0494912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毛集镇陆庄村卫生室</w:t>
            </w:r>
          </w:p>
        </w:tc>
        <w:tc>
          <w:tcPr>
            <w:tcW w:w="1419" w:type="pct"/>
            <w:shd w:val="clear" w:color="auto" w:fill="auto"/>
            <w:vAlign w:val="center"/>
          </w:tcPr>
          <w:p w14:paraId="0DB534C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师生，约</w:t>
            </w:r>
            <w:r>
              <w:rPr>
                <w:rFonts w:hint="eastAsia"/>
                <w:color w:val="000000" w:themeColor="text1"/>
                <w:sz w:val="21"/>
                <w:szCs w:val="21"/>
                <w14:textFill>
                  <w14:solidFill>
                    <w14:schemeClr w14:val="tx1"/>
                  </w14:solidFill>
                </w14:textFill>
              </w:rPr>
              <w:t>50</w:t>
            </w:r>
            <w:r>
              <w:rPr>
                <w:color w:val="000000" w:themeColor="text1"/>
                <w:sz w:val="21"/>
                <w:szCs w:val="21"/>
                <w14:textFill>
                  <w14:solidFill>
                    <w14:schemeClr w14:val="tx1"/>
                  </w14:solidFill>
                </w14:textFill>
              </w:rPr>
              <w:t>人</w:t>
            </w:r>
          </w:p>
        </w:tc>
        <w:tc>
          <w:tcPr>
            <w:tcW w:w="550" w:type="pct"/>
            <w:shd w:val="clear" w:color="auto" w:fill="auto"/>
            <w:vAlign w:val="center"/>
          </w:tcPr>
          <w:p w14:paraId="60A789A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106A4AD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2690E00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1340</w:t>
            </w:r>
          </w:p>
        </w:tc>
      </w:tr>
      <w:tr w14:paraId="5C38C5A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7EAC70E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115925A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632</w:t>
            </w:r>
          </w:p>
        </w:tc>
        <w:tc>
          <w:tcPr>
            <w:tcW w:w="434" w:type="pct"/>
            <w:shd w:val="clear" w:color="auto" w:fill="auto"/>
            <w:vAlign w:val="center"/>
          </w:tcPr>
          <w:p w14:paraId="0DCF82A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997</w:t>
            </w:r>
          </w:p>
        </w:tc>
        <w:tc>
          <w:tcPr>
            <w:tcW w:w="989" w:type="pct"/>
            <w:shd w:val="clear" w:color="auto" w:fill="auto"/>
            <w:vAlign w:val="center"/>
          </w:tcPr>
          <w:p w14:paraId="07087C2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花家湖回迁联排别墅区</w:t>
            </w:r>
          </w:p>
        </w:tc>
        <w:tc>
          <w:tcPr>
            <w:tcW w:w="1419" w:type="pct"/>
            <w:shd w:val="clear" w:color="auto" w:fill="auto"/>
            <w:vAlign w:val="center"/>
          </w:tcPr>
          <w:p w14:paraId="40932F8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约3</w:t>
            </w:r>
            <w:r>
              <w:rPr>
                <w:rFonts w:hint="eastAsia"/>
                <w:color w:val="000000" w:themeColor="text1"/>
                <w:sz w:val="21"/>
                <w:szCs w:val="21"/>
                <w14:textFill>
                  <w14:solidFill>
                    <w14:schemeClr w14:val="tx1"/>
                  </w14:solidFill>
                </w14:textFill>
              </w:rPr>
              <w:t>6</w:t>
            </w:r>
            <w:r>
              <w:rPr>
                <w:color w:val="000000" w:themeColor="text1"/>
                <w:sz w:val="21"/>
                <w:szCs w:val="21"/>
                <w14:textFill>
                  <w14:solidFill>
                    <w14:schemeClr w14:val="tx1"/>
                  </w14:solidFill>
                </w14:textFill>
              </w:rPr>
              <w:t>0户，</w:t>
            </w:r>
            <w:r>
              <w:rPr>
                <w:rFonts w:hint="eastAsia"/>
                <w:color w:val="000000" w:themeColor="text1"/>
                <w:sz w:val="21"/>
                <w:szCs w:val="21"/>
                <w14:textFill>
                  <w14:solidFill>
                    <w14:schemeClr w14:val="tx1"/>
                  </w14:solidFill>
                </w14:textFill>
              </w:rPr>
              <w:t>1080</w:t>
            </w:r>
            <w:r>
              <w:rPr>
                <w:color w:val="000000" w:themeColor="text1"/>
                <w:sz w:val="21"/>
                <w:szCs w:val="21"/>
                <w14:textFill>
                  <w14:solidFill>
                    <w14:schemeClr w14:val="tx1"/>
                  </w14:solidFill>
                </w14:textFill>
              </w:rPr>
              <w:t>人</w:t>
            </w:r>
          </w:p>
        </w:tc>
        <w:tc>
          <w:tcPr>
            <w:tcW w:w="550" w:type="pct"/>
            <w:shd w:val="clear" w:color="auto" w:fill="auto"/>
            <w:vAlign w:val="center"/>
          </w:tcPr>
          <w:p w14:paraId="7C8B7D2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38A94FD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50328F4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1203</w:t>
            </w:r>
          </w:p>
        </w:tc>
      </w:tr>
      <w:tr w14:paraId="1FCF0E9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4890688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32B2034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1636</w:t>
            </w:r>
          </w:p>
        </w:tc>
        <w:tc>
          <w:tcPr>
            <w:tcW w:w="434" w:type="pct"/>
            <w:shd w:val="clear" w:color="auto" w:fill="auto"/>
            <w:vAlign w:val="center"/>
          </w:tcPr>
          <w:p w14:paraId="0C365A4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330</w:t>
            </w:r>
          </w:p>
        </w:tc>
        <w:tc>
          <w:tcPr>
            <w:tcW w:w="989" w:type="pct"/>
            <w:shd w:val="clear" w:color="auto" w:fill="auto"/>
            <w:vAlign w:val="center"/>
          </w:tcPr>
          <w:p w14:paraId="215D0CC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大树王郢</w:t>
            </w:r>
          </w:p>
        </w:tc>
        <w:tc>
          <w:tcPr>
            <w:tcW w:w="1419" w:type="pct"/>
            <w:shd w:val="clear" w:color="auto" w:fill="auto"/>
            <w:vAlign w:val="center"/>
          </w:tcPr>
          <w:p w14:paraId="402E06C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100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300</w:t>
            </w:r>
            <w:r>
              <w:rPr>
                <w:color w:val="000000" w:themeColor="text1"/>
                <w:sz w:val="21"/>
                <w:szCs w:val="21"/>
                <w14:textFill>
                  <w14:solidFill>
                    <w14:schemeClr w14:val="tx1"/>
                  </w14:solidFill>
                </w14:textFill>
              </w:rPr>
              <w:t>人</w:t>
            </w:r>
          </w:p>
        </w:tc>
        <w:tc>
          <w:tcPr>
            <w:tcW w:w="550" w:type="pct"/>
            <w:shd w:val="clear" w:color="auto" w:fill="auto"/>
            <w:vAlign w:val="center"/>
          </w:tcPr>
          <w:p w14:paraId="2907568F">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5FA6926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7750DF0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1682</w:t>
            </w:r>
          </w:p>
        </w:tc>
      </w:tr>
      <w:tr w14:paraId="4C7EDCB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13751CA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2ECF5A8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1403</w:t>
            </w:r>
          </w:p>
        </w:tc>
        <w:tc>
          <w:tcPr>
            <w:tcW w:w="434" w:type="pct"/>
            <w:shd w:val="clear" w:color="auto" w:fill="auto"/>
            <w:vAlign w:val="center"/>
          </w:tcPr>
          <w:p w14:paraId="6256D44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869</w:t>
            </w:r>
          </w:p>
        </w:tc>
        <w:tc>
          <w:tcPr>
            <w:tcW w:w="989" w:type="pct"/>
            <w:shd w:val="clear" w:color="auto" w:fill="auto"/>
            <w:vAlign w:val="center"/>
          </w:tcPr>
          <w:p w14:paraId="27F990C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大詹郢</w:t>
            </w:r>
          </w:p>
        </w:tc>
        <w:tc>
          <w:tcPr>
            <w:tcW w:w="1419" w:type="pct"/>
            <w:shd w:val="clear" w:color="auto" w:fill="auto"/>
            <w:vAlign w:val="center"/>
          </w:tcPr>
          <w:p w14:paraId="0B167E4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20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60</w:t>
            </w:r>
            <w:r>
              <w:rPr>
                <w:color w:val="000000" w:themeColor="text1"/>
                <w:sz w:val="21"/>
                <w:szCs w:val="21"/>
                <w14:textFill>
                  <w14:solidFill>
                    <w14:schemeClr w14:val="tx1"/>
                  </w14:solidFill>
                </w14:textFill>
              </w:rPr>
              <w:t>人</w:t>
            </w:r>
          </w:p>
        </w:tc>
        <w:tc>
          <w:tcPr>
            <w:tcW w:w="550" w:type="pct"/>
            <w:shd w:val="clear" w:color="auto" w:fill="auto"/>
            <w:vAlign w:val="center"/>
          </w:tcPr>
          <w:p w14:paraId="2FAB73E8">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4BC46B3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790A8F5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1705</w:t>
            </w:r>
          </w:p>
        </w:tc>
      </w:tr>
      <w:tr w14:paraId="28818D5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66CBC5B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090B51C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1685</w:t>
            </w:r>
          </w:p>
        </w:tc>
        <w:tc>
          <w:tcPr>
            <w:tcW w:w="434" w:type="pct"/>
            <w:shd w:val="clear" w:color="auto" w:fill="auto"/>
            <w:vAlign w:val="center"/>
          </w:tcPr>
          <w:p w14:paraId="3AECEFF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831</w:t>
            </w:r>
          </w:p>
        </w:tc>
        <w:tc>
          <w:tcPr>
            <w:tcW w:w="989" w:type="pct"/>
            <w:shd w:val="clear" w:color="auto" w:fill="auto"/>
            <w:vAlign w:val="center"/>
          </w:tcPr>
          <w:p w14:paraId="78D3BE8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刘井</w:t>
            </w:r>
          </w:p>
        </w:tc>
        <w:tc>
          <w:tcPr>
            <w:tcW w:w="1419" w:type="pct"/>
            <w:shd w:val="clear" w:color="auto" w:fill="auto"/>
            <w:vAlign w:val="center"/>
          </w:tcPr>
          <w:p w14:paraId="3315D3B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20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60</w:t>
            </w:r>
            <w:r>
              <w:rPr>
                <w:color w:val="000000" w:themeColor="text1"/>
                <w:sz w:val="21"/>
                <w:szCs w:val="21"/>
                <w14:textFill>
                  <w14:solidFill>
                    <w14:schemeClr w14:val="tx1"/>
                  </w14:solidFill>
                </w14:textFill>
              </w:rPr>
              <w:t>人</w:t>
            </w:r>
          </w:p>
        </w:tc>
        <w:tc>
          <w:tcPr>
            <w:tcW w:w="550" w:type="pct"/>
            <w:shd w:val="clear" w:color="auto" w:fill="auto"/>
            <w:vAlign w:val="center"/>
          </w:tcPr>
          <w:p w14:paraId="67D01497">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1E1F3BD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5F13323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1898</w:t>
            </w:r>
          </w:p>
        </w:tc>
      </w:tr>
      <w:tr w14:paraId="60A82E5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14D12F0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242F462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1569</w:t>
            </w:r>
          </w:p>
        </w:tc>
        <w:tc>
          <w:tcPr>
            <w:tcW w:w="434" w:type="pct"/>
            <w:shd w:val="clear" w:color="auto" w:fill="auto"/>
            <w:vAlign w:val="center"/>
          </w:tcPr>
          <w:p w14:paraId="57CACCD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1355</w:t>
            </w:r>
          </w:p>
        </w:tc>
        <w:tc>
          <w:tcPr>
            <w:tcW w:w="989" w:type="pct"/>
            <w:shd w:val="clear" w:color="auto" w:fill="auto"/>
            <w:vAlign w:val="center"/>
          </w:tcPr>
          <w:p w14:paraId="6A94263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毛集镇实验区毛集镇河西社区卫生服务站</w:t>
            </w:r>
          </w:p>
        </w:tc>
        <w:tc>
          <w:tcPr>
            <w:tcW w:w="1419" w:type="pct"/>
            <w:shd w:val="clear" w:color="auto" w:fill="auto"/>
            <w:vAlign w:val="center"/>
          </w:tcPr>
          <w:p w14:paraId="18B26C1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师生，约</w:t>
            </w:r>
            <w:r>
              <w:rPr>
                <w:rFonts w:hint="eastAsia"/>
                <w:color w:val="000000" w:themeColor="text1"/>
                <w:sz w:val="21"/>
                <w:szCs w:val="21"/>
                <w14:textFill>
                  <w14:solidFill>
                    <w14:schemeClr w14:val="tx1"/>
                  </w14:solidFill>
                </w14:textFill>
              </w:rPr>
              <w:t>80</w:t>
            </w:r>
            <w:r>
              <w:rPr>
                <w:color w:val="000000" w:themeColor="text1"/>
                <w:sz w:val="21"/>
                <w:szCs w:val="21"/>
                <w14:textFill>
                  <w14:solidFill>
                    <w14:schemeClr w14:val="tx1"/>
                  </w14:solidFill>
                </w14:textFill>
              </w:rPr>
              <w:t>人</w:t>
            </w:r>
          </w:p>
        </w:tc>
        <w:tc>
          <w:tcPr>
            <w:tcW w:w="550" w:type="pct"/>
            <w:shd w:val="clear" w:color="auto" w:fill="auto"/>
            <w:vAlign w:val="center"/>
          </w:tcPr>
          <w:p w14:paraId="46C50718">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61006BE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1CA14FF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2063</w:t>
            </w:r>
          </w:p>
        </w:tc>
      </w:tr>
      <w:tr w14:paraId="229F121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13DB3EF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3789C43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2367</w:t>
            </w:r>
          </w:p>
        </w:tc>
        <w:tc>
          <w:tcPr>
            <w:tcW w:w="434" w:type="pct"/>
            <w:shd w:val="clear" w:color="auto" w:fill="auto"/>
            <w:vAlign w:val="center"/>
          </w:tcPr>
          <w:p w14:paraId="7C83897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623</w:t>
            </w:r>
          </w:p>
        </w:tc>
        <w:tc>
          <w:tcPr>
            <w:tcW w:w="989" w:type="pct"/>
            <w:shd w:val="clear" w:color="auto" w:fill="auto"/>
            <w:vAlign w:val="center"/>
          </w:tcPr>
          <w:p w14:paraId="20C1D44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史家前楼</w:t>
            </w:r>
          </w:p>
        </w:tc>
        <w:tc>
          <w:tcPr>
            <w:tcW w:w="1419" w:type="pct"/>
            <w:shd w:val="clear" w:color="auto" w:fill="auto"/>
            <w:vAlign w:val="center"/>
          </w:tcPr>
          <w:p w14:paraId="58146F3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15</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45</w:t>
            </w:r>
            <w:r>
              <w:rPr>
                <w:color w:val="000000" w:themeColor="text1"/>
                <w:sz w:val="21"/>
                <w:szCs w:val="21"/>
                <w14:textFill>
                  <w14:solidFill>
                    <w14:schemeClr w14:val="tx1"/>
                  </w14:solidFill>
                </w14:textFill>
              </w:rPr>
              <w:t>人</w:t>
            </w:r>
          </w:p>
        </w:tc>
        <w:tc>
          <w:tcPr>
            <w:tcW w:w="550" w:type="pct"/>
            <w:shd w:val="clear" w:color="auto" w:fill="auto"/>
            <w:vAlign w:val="center"/>
          </w:tcPr>
          <w:p w14:paraId="41BE6C54">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600D10E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1171F0B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2441</w:t>
            </w:r>
          </w:p>
        </w:tc>
      </w:tr>
      <w:tr w14:paraId="2C6EB6E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191702E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4F31A61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1741</w:t>
            </w:r>
          </w:p>
        </w:tc>
        <w:tc>
          <w:tcPr>
            <w:tcW w:w="434" w:type="pct"/>
            <w:shd w:val="clear" w:color="auto" w:fill="auto"/>
            <w:vAlign w:val="center"/>
          </w:tcPr>
          <w:p w14:paraId="36AAA57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1376</w:t>
            </w:r>
          </w:p>
        </w:tc>
        <w:tc>
          <w:tcPr>
            <w:tcW w:w="989" w:type="pct"/>
            <w:shd w:val="clear" w:color="auto" w:fill="auto"/>
            <w:vAlign w:val="center"/>
          </w:tcPr>
          <w:p w14:paraId="709E808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河东</w:t>
            </w:r>
            <w:r>
              <w:rPr>
                <w:rFonts w:hint="eastAsia"/>
                <w:color w:val="000000" w:themeColor="text1"/>
                <w:sz w:val="21"/>
                <w:szCs w:val="21"/>
                <w14:textFill>
                  <w14:solidFill>
                    <w14:schemeClr w14:val="tx1"/>
                  </w14:solidFill>
                </w14:textFill>
              </w:rPr>
              <w:t>新村东区</w:t>
            </w:r>
          </w:p>
        </w:tc>
        <w:tc>
          <w:tcPr>
            <w:tcW w:w="1419" w:type="pct"/>
            <w:shd w:val="clear" w:color="auto" w:fill="auto"/>
            <w:vAlign w:val="center"/>
          </w:tcPr>
          <w:p w14:paraId="6E9F0D5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320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960</w:t>
            </w:r>
            <w:r>
              <w:rPr>
                <w:color w:val="000000" w:themeColor="text1"/>
                <w:sz w:val="21"/>
                <w:szCs w:val="21"/>
                <w14:textFill>
                  <w14:solidFill>
                    <w14:schemeClr w14:val="tx1"/>
                  </w14:solidFill>
                </w14:textFill>
              </w:rPr>
              <w:t>人</w:t>
            </w:r>
          </w:p>
        </w:tc>
        <w:tc>
          <w:tcPr>
            <w:tcW w:w="550" w:type="pct"/>
            <w:shd w:val="clear" w:color="auto" w:fill="auto"/>
            <w:vAlign w:val="center"/>
          </w:tcPr>
          <w:p w14:paraId="418D94C7">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7C6BD00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2DBBC4D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2190</w:t>
            </w:r>
          </w:p>
        </w:tc>
      </w:tr>
      <w:tr w14:paraId="2D3D184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235DC57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318FDB4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1173</w:t>
            </w:r>
          </w:p>
        </w:tc>
        <w:tc>
          <w:tcPr>
            <w:tcW w:w="434" w:type="pct"/>
            <w:shd w:val="clear" w:color="auto" w:fill="auto"/>
            <w:vAlign w:val="center"/>
          </w:tcPr>
          <w:p w14:paraId="3C179F3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1469</w:t>
            </w:r>
          </w:p>
        </w:tc>
        <w:tc>
          <w:tcPr>
            <w:tcW w:w="989" w:type="pct"/>
            <w:shd w:val="clear" w:color="auto" w:fill="auto"/>
            <w:vAlign w:val="center"/>
          </w:tcPr>
          <w:p w14:paraId="23502E5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河东</w:t>
            </w:r>
            <w:r>
              <w:rPr>
                <w:rFonts w:hint="eastAsia"/>
                <w:color w:val="000000" w:themeColor="text1"/>
                <w:sz w:val="21"/>
                <w:szCs w:val="21"/>
                <w14:textFill>
                  <w14:solidFill>
                    <w14:schemeClr w14:val="tx1"/>
                  </w14:solidFill>
                </w14:textFill>
              </w:rPr>
              <w:t>新村中区</w:t>
            </w:r>
          </w:p>
        </w:tc>
        <w:tc>
          <w:tcPr>
            <w:tcW w:w="1419" w:type="pct"/>
            <w:shd w:val="clear" w:color="auto" w:fill="auto"/>
            <w:vAlign w:val="center"/>
          </w:tcPr>
          <w:p w14:paraId="6CFF2A1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120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360</w:t>
            </w:r>
            <w:r>
              <w:rPr>
                <w:color w:val="000000" w:themeColor="text1"/>
                <w:sz w:val="21"/>
                <w:szCs w:val="21"/>
                <w14:textFill>
                  <w14:solidFill>
                    <w14:schemeClr w14:val="tx1"/>
                  </w14:solidFill>
                </w14:textFill>
              </w:rPr>
              <w:t>人</w:t>
            </w:r>
          </w:p>
        </w:tc>
        <w:tc>
          <w:tcPr>
            <w:tcW w:w="550" w:type="pct"/>
            <w:shd w:val="clear" w:color="auto" w:fill="auto"/>
            <w:vAlign w:val="center"/>
          </w:tcPr>
          <w:p w14:paraId="2132E963">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7709678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702DD41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1842</w:t>
            </w:r>
          </w:p>
        </w:tc>
      </w:tr>
      <w:tr w14:paraId="437C463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7C9C303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56348B3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1146</w:t>
            </w:r>
          </w:p>
        </w:tc>
        <w:tc>
          <w:tcPr>
            <w:tcW w:w="434" w:type="pct"/>
            <w:shd w:val="clear" w:color="auto" w:fill="auto"/>
            <w:vAlign w:val="center"/>
          </w:tcPr>
          <w:p w14:paraId="049DB3B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1738</w:t>
            </w:r>
          </w:p>
        </w:tc>
        <w:tc>
          <w:tcPr>
            <w:tcW w:w="989" w:type="pct"/>
            <w:shd w:val="clear" w:color="auto" w:fill="auto"/>
            <w:vAlign w:val="center"/>
          </w:tcPr>
          <w:p w14:paraId="167A0CB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马新庄</w:t>
            </w:r>
          </w:p>
        </w:tc>
        <w:tc>
          <w:tcPr>
            <w:tcW w:w="1419" w:type="pct"/>
            <w:shd w:val="clear" w:color="auto" w:fill="auto"/>
            <w:vAlign w:val="center"/>
          </w:tcPr>
          <w:p w14:paraId="113ECAE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150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450</w:t>
            </w:r>
            <w:r>
              <w:rPr>
                <w:color w:val="000000" w:themeColor="text1"/>
                <w:sz w:val="21"/>
                <w:szCs w:val="21"/>
                <w14:textFill>
                  <w14:solidFill>
                    <w14:schemeClr w14:val="tx1"/>
                  </w14:solidFill>
                </w14:textFill>
              </w:rPr>
              <w:t>人</w:t>
            </w:r>
          </w:p>
        </w:tc>
        <w:tc>
          <w:tcPr>
            <w:tcW w:w="550" w:type="pct"/>
            <w:shd w:val="clear" w:color="auto" w:fill="auto"/>
            <w:vAlign w:val="center"/>
          </w:tcPr>
          <w:p w14:paraId="024AECF1">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6E69989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37EC5D2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2080</w:t>
            </w:r>
          </w:p>
        </w:tc>
      </w:tr>
      <w:tr w14:paraId="0F39B28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5BBD7FD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6C64F71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723</w:t>
            </w:r>
          </w:p>
        </w:tc>
        <w:tc>
          <w:tcPr>
            <w:tcW w:w="434" w:type="pct"/>
            <w:shd w:val="clear" w:color="auto" w:fill="auto"/>
            <w:vAlign w:val="center"/>
          </w:tcPr>
          <w:p w14:paraId="0ED9925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1657</w:t>
            </w:r>
          </w:p>
        </w:tc>
        <w:tc>
          <w:tcPr>
            <w:tcW w:w="989" w:type="pct"/>
            <w:shd w:val="clear" w:color="auto" w:fill="auto"/>
            <w:vAlign w:val="center"/>
          </w:tcPr>
          <w:p w14:paraId="5242C08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河西社区西区</w:t>
            </w:r>
          </w:p>
        </w:tc>
        <w:tc>
          <w:tcPr>
            <w:tcW w:w="1419" w:type="pct"/>
            <w:shd w:val="clear" w:color="auto" w:fill="auto"/>
            <w:vAlign w:val="center"/>
          </w:tcPr>
          <w:p w14:paraId="46E4021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300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900</w:t>
            </w:r>
            <w:r>
              <w:rPr>
                <w:color w:val="000000" w:themeColor="text1"/>
                <w:sz w:val="21"/>
                <w:szCs w:val="21"/>
                <w14:textFill>
                  <w14:solidFill>
                    <w14:schemeClr w14:val="tx1"/>
                  </w14:solidFill>
                </w14:textFill>
              </w:rPr>
              <w:t>人</w:t>
            </w:r>
          </w:p>
        </w:tc>
        <w:tc>
          <w:tcPr>
            <w:tcW w:w="550" w:type="pct"/>
            <w:shd w:val="clear" w:color="auto" w:fill="auto"/>
            <w:vAlign w:val="center"/>
          </w:tcPr>
          <w:p w14:paraId="5F9F610C">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1F31597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0557CCF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1786</w:t>
            </w:r>
          </w:p>
        </w:tc>
      </w:tr>
      <w:tr w14:paraId="4FBC649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24A2018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534CED4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469</w:t>
            </w:r>
          </w:p>
        </w:tc>
        <w:tc>
          <w:tcPr>
            <w:tcW w:w="434" w:type="pct"/>
            <w:shd w:val="clear" w:color="auto" w:fill="auto"/>
            <w:vAlign w:val="center"/>
          </w:tcPr>
          <w:p w14:paraId="0B12AF2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1830</w:t>
            </w:r>
          </w:p>
        </w:tc>
        <w:tc>
          <w:tcPr>
            <w:tcW w:w="989" w:type="pct"/>
            <w:shd w:val="clear" w:color="auto" w:fill="auto"/>
            <w:vAlign w:val="center"/>
          </w:tcPr>
          <w:p w14:paraId="39AB688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花家湖小区</w:t>
            </w:r>
          </w:p>
        </w:tc>
        <w:tc>
          <w:tcPr>
            <w:tcW w:w="1419" w:type="pct"/>
            <w:shd w:val="clear" w:color="auto" w:fill="auto"/>
            <w:vAlign w:val="center"/>
          </w:tcPr>
          <w:p w14:paraId="05D1ACA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420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1260</w:t>
            </w:r>
            <w:r>
              <w:rPr>
                <w:color w:val="000000" w:themeColor="text1"/>
                <w:sz w:val="21"/>
                <w:szCs w:val="21"/>
                <w14:textFill>
                  <w14:solidFill>
                    <w14:schemeClr w14:val="tx1"/>
                  </w14:solidFill>
                </w14:textFill>
              </w:rPr>
              <w:t>人</w:t>
            </w:r>
          </w:p>
        </w:tc>
        <w:tc>
          <w:tcPr>
            <w:tcW w:w="550" w:type="pct"/>
            <w:shd w:val="clear" w:color="auto" w:fill="auto"/>
            <w:vAlign w:val="center"/>
          </w:tcPr>
          <w:p w14:paraId="6CDA091F">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773DBD4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37A224B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2011</w:t>
            </w:r>
          </w:p>
        </w:tc>
      </w:tr>
      <w:tr w14:paraId="50533B8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4EE53A7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16194D2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675</w:t>
            </w:r>
          </w:p>
        </w:tc>
        <w:tc>
          <w:tcPr>
            <w:tcW w:w="434" w:type="pct"/>
            <w:shd w:val="clear" w:color="auto" w:fill="auto"/>
            <w:vAlign w:val="center"/>
          </w:tcPr>
          <w:p w14:paraId="21ACC28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2224</w:t>
            </w:r>
          </w:p>
        </w:tc>
        <w:tc>
          <w:tcPr>
            <w:tcW w:w="989" w:type="pct"/>
            <w:shd w:val="clear" w:color="auto" w:fill="auto"/>
            <w:vAlign w:val="center"/>
          </w:tcPr>
          <w:p w14:paraId="136265B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花家湖学校</w:t>
            </w:r>
          </w:p>
        </w:tc>
        <w:tc>
          <w:tcPr>
            <w:tcW w:w="1419" w:type="pct"/>
            <w:shd w:val="clear" w:color="auto" w:fill="auto"/>
            <w:vAlign w:val="center"/>
          </w:tcPr>
          <w:p w14:paraId="1675340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师生，约</w:t>
            </w:r>
            <w:r>
              <w:rPr>
                <w:rFonts w:hint="eastAsia"/>
                <w:color w:val="000000" w:themeColor="text1"/>
                <w:sz w:val="21"/>
                <w:szCs w:val="21"/>
                <w14:textFill>
                  <w14:solidFill>
                    <w14:schemeClr w14:val="tx1"/>
                  </w14:solidFill>
                </w14:textFill>
              </w:rPr>
              <w:t>320</w:t>
            </w:r>
            <w:r>
              <w:rPr>
                <w:color w:val="000000" w:themeColor="text1"/>
                <w:sz w:val="21"/>
                <w:szCs w:val="21"/>
                <w14:textFill>
                  <w14:solidFill>
                    <w14:schemeClr w14:val="tx1"/>
                  </w14:solidFill>
                </w14:textFill>
              </w:rPr>
              <w:t>人</w:t>
            </w:r>
          </w:p>
        </w:tc>
        <w:tc>
          <w:tcPr>
            <w:tcW w:w="550" w:type="pct"/>
            <w:shd w:val="clear" w:color="auto" w:fill="auto"/>
            <w:vAlign w:val="center"/>
          </w:tcPr>
          <w:p w14:paraId="780AD11C">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464CBC8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4A617D6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2319</w:t>
            </w:r>
          </w:p>
        </w:tc>
      </w:tr>
      <w:tr w14:paraId="39863F4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3A7A333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0DEF33C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662</w:t>
            </w:r>
          </w:p>
        </w:tc>
        <w:tc>
          <w:tcPr>
            <w:tcW w:w="434" w:type="pct"/>
            <w:shd w:val="clear" w:color="auto" w:fill="auto"/>
            <w:vAlign w:val="center"/>
          </w:tcPr>
          <w:p w14:paraId="47A4669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2297</w:t>
            </w:r>
          </w:p>
        </w:tc>
        <w:tc>
          <w:tcPr>
            <w:tcW w:w="989" w:type="pct"/>
            <w:shd w:val="clear" w:color="auto" w:fill="auto"/>
            <w:vAlign w:val="center"/>
          </w:tcPr>
          <w:p w14:paraId="7BACDB0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花家湖幼儿园</w:t>
            </w:r>
          </w:p>
        </w:tc>
        <w:tc>
          <w:tcPr>
            <w:tcW w:w="1419" w:type="pct"/>
            <w:shd w:val="clear" w:color="auto" w:fill="auto"/>
            <w:vAlign w:val="center"/>
          </w:tcPr>
          <w:p w14:paraId="276490C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师生，约</w:t>
            </w:r>
            <w:r>
              <w:rPr>
                <w:rFonts w:hint="eastAsia"/>
                <w:color w:val="000000" w:themeColor="text1"/>
                <w:sz w:val="21"/>
                <w:szCs w:val="21"/>
                <w14:textFill>
                  <w14:solidFill>
                    <w14:schemeClr w14:val="tx1"/>
                  </w14:solidFill>
                </w14:textFill>
              </w:rPr>
              <w:t>100</w:t>
            </w:r>
            <w:r>
              <w:rPr>
                <w:color w:val="000000" w:themeColor="text1"/>
                <w:sz w:val="21"/>
                <w:szCs w:val="21"/>
                <w14:textFill>
                  <w14:solidFill>
                    <w14:schemeClr w14:val="tx1"/>
                  </w14:solidFill>
                </w14:textFill>
              </w:rPr>
              <w:t>人</w:t>
            </w:r>
          </w:p>
        </w:tc>
        <w:tc>
          <w:tcPr>
            <w:tcW w:w="550" w:type="pct"/>
            <w:shd w:val="clear" w:color="auto" w:fill="auto"/>
            <w:vAlign w:val="center"/>
          </w:tcPr>
          <w:p w14:paraId="3733EAF6">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798247A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NE</w:t>
            </w:r>
          </w:p>
        </w:tc>
        <w:tc>
          <w:tcPr>
            <w:tcW w:w="420" w:type="pct"/>
            <w:shd w:val="clear" w:color="auto" w:fill="auto"/>
            <w:vAlign w:val="center"/>
          </w:tcPr>
          <w:p w14:paraId="672143B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2427</w:t>
            </w:r>
          </w:p>
        </w:tc>
      </w:tr>
      <w:tr w14:paraId="06DB3C7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23DFB4B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shd w:val="clear" w:color="auto" w:fill="auto"/>
            <w:vAlign w:val="center"/>
          </w:tcPr>
          <w:p w14:paraId="6FA7ECD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434" w:type="pct"/>
            <w:shd w:val="clear" w:color="auto" w:fill="auto"/>
            <w:vAlign w:val="center"/>
          </w:tcPr>
          <w:p w14:paraId="1F42258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2445</w:t>
            </w:r>
          </w:p>
        </w:tc>
        <w:tc>
          <w:tcPr>
            <w:tcW w:w="989" w:type="pct"/>
            <w:shd w:val="clear" w:color="auto" w:fill="auto"/>
            <w:vAlign w:val="center"/>
          </w:tcPr>
          <w:p w14:paraId="6B5B06A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魏庙新队</w:t>
            </w:r>
          </w:p>
        </w:tc>
        <w:tc>
          <w:tcPr>
            <w:tcW w:w="1419" w:type="pct"/>
            <w:shd w:val="clear" w:color="auto" w:fill="auto"/>
            <w:vAlign w:val="center"/>
          </w:tcPr>
          <w:p w14:paraId="272222D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居民，</w:t>
            </w:r>
            <w:r>
              <w:rPr>
                <w:color w:val="000000" w:themeColor="text1"/>
                <w:sz w:val="21"/>
                <w:szCs w:val="21"/>
                <w14:textFill>
                  <w14:solidFill>
                    <w14:schemeClr w14:val="tx1"/>
                  </w14:solidFill>
                </w14:textFill>
              </w:rPr>
              <w:t>约</w:t>
            </w:r>
            <w:r>
              <w:rPr>
                <w:rFonts w:hint="eastAsia"/>
                <w:color w:val="000000" w:themeColor="text1"/>
                <w:sz w:val="21"/>
                <w:szCs w:val="21"/>
                <w14:textFill>
                  <w14:solidFill>
                    <w14:schemeClr w14:val="tx1"/>
                  </w14:solidFill>
                </w14:textFill>
              </w:rPr>
              <w:t>10</w:t>
            </w:r>
            <w:r>
              <w:rPr>
                <w:color w:val="000000" w:themeColor="text1"/>
                <w:sz w:val="21"/>
                <w:szCs w:val="21"/>
                <w14:textFill>
                  <w14:solidFill>
                    <w14:schemeClr w14:val="tx1"/>
                  </w14:solidFill>
                </w14:textFill>
              </w:rPr>
              <w:t>户，</w:t>
            </w:r>
            <w:r>
              <w:rPr>
                <w:rFonts w:hint="eastAsia"/>
                <w:color w:val="000000" w:themeColor="text1"/>
                <w:sz w:val="21"/>
                <w:szCs w:val="21"/>
                <w14:textFill>
                  <w14:solidFill>
                    <w14:schemeClr w14:val="tx1"/>
                  </w14:solidFill>
                </w14:textFill>
              </w:rPr>
              <w:t>30</w:t>
            </w:r>
            <w:r>
              <w:rPr>
                <w:color w:val="000000" w:themeColor="text1"/>
                <w:sz w:val="21"/>
                <w:szCs w:val="21"/>
                <w14:textFill>
                  <w14:solidFill>
                    <w14:schemeClr w14:val="tx1"/>
                  </w14:solidFill>
                </w14:textFill>
              </w:rPr>
              <w:t>人</w:t>
            </w:r>
          </w:p>
        </w:tc>
        <w:tc>
          <w:tcPr>
            <w:tcW w:w="550" w:type="pct"/>
            <w:shd w:val="clear" w:color="auto" w:fill="auto"/>
            <w:vAlign w:val="center"/>
          </w:tcPr>
          <w:p w14:paraId="369FC9BA">
            <w:pPr>
              <w:jc w:val="center"/>
              <w:rPr>
                <w:rFonts w:hint="default" w:ascii="Times New Roman" w:hAnsi="Times New Roman" w:eastAsia="宋体" w:cs="Times New Roman"/>
                <w:color w:val="000000" w:themeColor="text1"/>
                <w:spacing w:val="-2"/>
                <w:lang w:val="en-US" w:eastAsia="zh-CN" w:bidi="ar-SA"/>
                <w14:textFill>
                  <w14:solidFill>
                    <w14:schemeClr w14:val="tx1"/>
                  </w14:solidFill>
                </w14:textFill>
              </w:rPr>
            </w:pPr>
            <w:r>
              <w:rPr>
                <w:color w:val="000000" w:themeColor="text1"/>
                <w:sz w:val="21"/>
                <w:szCs w:val="21"/>
                <w14:textFill>
                  <w14:solidFill>
                    <w14:schemeClr w14:val="tx1"/>
                  </w14:solidFill>
                </w14:textFill>
              </w:rPr>
              <w:t>二类</w:t>
            </w:r>
          </w:p>
        </w:tc>
        <w:tc>
          <w:tcPr>
            <w:tcW w:w="401" w:type="pct"/>
            <w:shd w:val="clear" w:color="auto" w:fill="auto"/>
            <w:vAlign w:val="center"/>
          </w:tcPr>
          <w:p w14:paraId="123C056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E</w:t>
            </w:r>
          </w:p>
        </w:tc>
        <w:tc>
          <w:tcPr>
            <w:tcW w:w="420" w:type="pct"/>
            <w:shd w:val="clear" w:color="auto" w:fill="auto"/>
            <w:vAlign w:val="center"/>
          </w:tcPr>
          <w:p w14:paraId="7905FAF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2445</w:t>
            </w:r>
          </w:p>
        </w:tc>
      </w:tr>
      <w:tr w14:paraId="29AD1BB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restart"/>
            <w:vAlign w:val="center"/>
          </w:tcPr>
          <w:p w14:paraId="2F3A6AE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地表水环境</w:t>
            </w:r>
          </w:p>
        </w:tc>
        <w:tc>
          <w:tcPr>
            <w:tcW w:w="423" w:type="pct"/>
            <w:vAlign w:val="center"/>
          </w:tcPr>
          <w:p w14:paraId="50FF8F8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-431</w:t>
            </w:r>
          </w:p>
        </w:tc>
        <w:tc>
          <w:tcPr>
            <w:tcW w:w="434" w:type="pct"/>
            <w:vAlign w:val="center"/>
          </w:tcPr>
          <w:p w14:paraId="5420E72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-2382</w:t>
            </w:r>
          </w:p>
        </w:tc>
        <w:tc>
          <w:tcPr>
            <w:tcW w:w="989" w:type="pct"/>
            <w:vAlign w:val="center"/>
          </w:tcPr>
          <w:p w14:paraId="329190B3">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highlight w:val="yellow"/>
                <w14:textFill>
                  <w14:solidFill>
                    <w14:schemeClr w14:val="tx1"/>
                  </w14:solidFill>
                </w14:textFill>
              </w:rPr>
              <w:t>淮河</w:t>
            </w:r>
          </w:p>
        </w:tc>
        <w:tc>
          <w:tcPr>
            <w:tcW w:w="1419" w:type="pct"/>
            <w:vAlign w:val="center"/>
          </w:tcPr>
          <w:p w14:paraId="53D97DD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中型</w:t>
            </w:r>
          </w:p>
        </w:tc>
        <w:tc>
          <w:tcPr>
            <w:tcW w:w="550" w:type="pct"/>
            <w:vAlign w:val="center"/>
          </w:tcPr>
          <w:p w14:paraId="3313251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GB3838-2002中</w:t>
            </w:r>
            <w:r>
              <w:rPr>
                <w:rFonts w:hint="default" w:ascii="Times New Roman" w:hAnsi="Times New Roman" w:cs="Times New Roman"/>
                <w:color w:val="000000" w:themeColor="text1"/>
                <w:sz w:val="21"/>
                <w:szCs w:val="21"/>
                <w14:textFill>
                  <w14:solidFill>
                    <w14:schemeClr w14:val="tx1"/>
                  </w14:solidFill>
                </w14:textFill>
              </w:rPr>
              <w:fldChar w:fldCharType="begin"/>
            </w:r>
            <w:r>
              <w:rPr>
                <w:rFonts w:hint="default" w:ascii="Times New Roman" w:hAnsi="Times New Roman" w:cs="Times New Roman"/>
                <w:color w:val="000000" w:themeColor="text1"/>
                <w:sz w:val="21"/>
                <w:szCs w:val="21"/>
                <w14:textFill>
                  <w14:solidFill>
                    <w14:schemeClr w14:val="tx1"/>
                  </w14:solidFill>
                </w14:textFill>
              </w:rPr>
              <w:instrText xml:space="preserve">= 2 \* ROMAN</w:instrText>
            </w:r>
            <w:r>
              <w:rPr>
                <w:rFonts w:hint="default" w:ascii="Times New Roman" w:hAnsi="Times New Roman" w:cs="Times New Roman"/>
                <w:color w:val="000000" w:themeColor="text1"/>
                <w:sz w:val="21"/>
                <w:szCs w:val="21"/>
                <w14:textFill>
                  <w14:solidFill>
                    <w14:schemeClr w14:val="tx1"/>
                  </w14:solidFill>
                </w14:textFill>
              </w:rPr>
              <w:fldChar w:fldCharType="separate"/>
            </w:r>
            <w:r>
              <w:rPr>
                <w:rFonts w:hint="default" w:ascii="Times New Roman" w:hAnsi="Times New Roman" w:cs="Times New Roman"/>
                <w:color w:val="000000" w:themeColor="text1"/>
                <w:sz w:val="21"/>
                <w:szCs w:val="21"/>
                <w14:textFill>
                  <w14:solidFill>
                    <w14:schemeClr w14:val="tx1"/>
                  </w14:solidFill>
                </w14:textFill>
              </w:rPr>
              <w:t>II</w:t>
            </w:r>
            <w:r>
              <w:rPr>
                <w:rFonts w:hint="default" w:ascii="Times New Roman" w:hAnsi="Times New Roman" w:cs="Times New Roman"/>
                <w:color w:val="000000" w:themeColor="text1"/>
                <w:sz w:val="21"/>
                <w:szCs w:val="21"/>
                <w14:textFill>
                  <w14:solidFill>
                    <w14:schemeClr w14:val="tx1"/>
                  </w14:solidFill>
                </w14:textFill>
              </w:rPr>
              <w:fldChar w:fldCharType="end"/>
            </w:r>
            <w:r>
              <w:rPr>
                <w:rFonts w:hint="default" w:ascii="Times New Roman" w:hAnsi="Times New Roman" w:cs="Times New Roman"/>
                <w:color w:val="000000" w:themeColor="text1"/>
                <w:sz w:val="21"/>
                <w:szCs w:val="21"/>
                <w14:textFill>
                  <w14:solidFill>
                    <w14:schemeClr w14:val="tx1"/>
                  </w14:solidFill>
                </w14:textFill>
              </w:rPr>
              <w:t>类</w:t>
            </w:r>
          </w:p>
        </w:tc>
        <w:tc>
          <w:tcPr>
            <w:tcW w:w="401" w:type="pct"/>
            <w:vAlign w:val="center"/>
          </w:tcPr>
          <w:p w14:paraId="45CC0B50">
            <w:pPr>
              <w:spacing w:line="276" w:lineRule="auto"/>
              <w:jc w:val="center"/>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yellow"/>
                <w14:textFill>
                  <w14:solidFill>
                    <w14:schemeClr w14:val="tx1"/>
                  </w14:solidFill>
                </w14:textFill>
              </w:rPr>
              <w:t>E</w:t>
            </w:r>
          </w:p>
        </w:tc>
        <w:tc>
          <w:tcPr>
            <w:tcW w:w="420" w:type="pct"/>
            <w:vAlign w:val="center"/>
          </w:tcPr>
          <w:p w14:paraId="3852AA8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highlight w:val="yellow"/>
                <w14:textFill>
                  <w14:solidFill>
                    <w14:schemeClr w14:val="tx1"/>
                  </w14:solidFill>
                </w14:textFill>
              </w:rPr>
              <w:t>10080</w:t>
            </w:r>
          </w:p>
        </w:tc>
      </w:tr>
      <w:tr w14:paraId="63E0515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Merge w:val="continue"/>
            <w:vAlign w:val="center"/>
          </w:tcPr>
          <w:p w14:paraId="2510285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3" w:type="pct"/>
            <w:vAlign w:val="center"/>
          </w:tcPr>
          <w:p w14:paraId="3B52560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2019</w:t>
            </w:r>
          </w:p>
        </w:tc>
        <w:tc>
          <w:tcPr>
            <w:tcW w:w="434" w:type="pct"/>
            <w:vAlign w:val="center"/>
          </w:tcPr>
          <w:p w14:paraId="008CC45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2798</w:t>
            </w:r>
          </w:p>
        </w:tc>
        <w:tc>
          <w:tcPr>
            <w:tcW w:w="989" w:type="pct"/>
            <w:vAlign w:val="center"/>
          </w:tcPr>
          <w:p w14:paraId="755E2E1A">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西淝河</w:t>
            </w:r>
          </w:p>
        </w:tc>
        <w:tc>
          <w:tcPr>
            <w:tcW w:w="1419" w:type="pct"/>
            <w:vAlign w:val="center"/>
          </w:tcPr>
          <w:p w14:paraId="771DD19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小型</w:t>
            </w:r>
          </w:p>
        </w:tc>
        <w:tc>
          <w:tcPr>
            <w:tcW w:w="550" w:type="pct"/>
            <w:vAlign w:val="center"/>
          </w:tcPr>
          <w:p w14:paraId="221F3DF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GB3838-2002中</w:t>
            </w:r>
            <w:r>
              <w:rPr>
                <w:rFonts w:hint="default" w:ascii="Times New Roman" w:hAnsi="Times New Roman" w:cs="Times New Roman"/>
                <w:color w:val="000000" w:themeColor="text1"/>
                <w:sz w:val="21"/>
                <w:szCs w:val="21"/>
                <w14:textFill>
                  <w14:solidFill>
                    <w14:schemeClr w14:val="tx1"/>
                  </w14:solidFill>
                </w14:textFill>
              </w:rPr>
              <w:fldChar w:fldCharType="begin"/>
            </w:r>
            <w:r>
              <w:rPr>
                <w:rFonts w:hint="default" w:ascii="Times New Roman" w:hAnsi="Times New Roman" w:cs="Times New Roman"/>
                <w:color w:val="000000" w:themeColor="text1"/>
                <w:sz w:val="21"/>
                <w:szCs w:val="21"/>
                <w14:textFill>
                  <w14:solidFill>
                    <w14:schemeClr w14:val="tx1"/>
                  </w14:solidFill>
                </w14:textFill>
              </w:rPr>
              <w:instrText xml:space="preserve">= 3 \* ROMAN</w:instrText>
            </w:r>
            <w:r>
              <w:rPr>
                <w:rFonts w:hint="default" w:ascii="Times New Roman" w:hAnsi="Times New Roman" w:cs="Times New Roman"/>
                <w:color w:val="000000" w:themeColor="text1"/>
                <w:sz w:val="21"/>
                <w:szCs w:val="21"/>
                <w14:textFill>
                  <w14:solidFill>
                    <w14:schemeClr w14:val="tx1"/>
                  </w14:solidFill>
                </w14:textFill>
              </w:rPr>
              <w:fldChar w:fldCharType="separate"/>
            </w:r>
            <w:r>
              <w:rPr>
                <w:rFonts w:hint="default" w:ascii="Times New Roman" w:hAnsi="Times New Roman" w:cs="Times New Roman"/>
                <w:color w:val="000000" w:themeColor="text1"/>
                <w:sz w:val="21"/>
                <w:szCs w:val="21"/>
                <w14:textFill>
                  <w14:solidFill>
                    <w14:schemeClr w14:val="tx1"/>
                  </w14:solidFill>
                </w14:textFill>
              </w:rPr>
              <w:t>III</w:t>
            </w:r>
            <w:r>
              <w:rPr>
                <w:rFonts w:hint="default" w:ascii="Times New Roman" w:hAnsi="Times New Roman" w:cs="Times New Roman"/>
                <w:color w:val="000000" w:themeColor="text1"/>
                <w:sz w:val="21"/>
                <w:szCs w:val="21"/>
                <w14:textFill>
                  <w14:solidFill>
                    <w14:schemeClr w14:val="tx1"/>
                  </w14:solidFill>
                </w14:textFill>
              </w:rPr>
              <w:fldChar w:fldCharType="end"/>
            </w:r>
            <w:r>
              <w:rPr>
                <w:rFonts w:hint="default" w:ascii="Times New Roman" w:hAnsi="Times New Roman" w:cs="Times New Roman"/>
                <w:color w:val="000000" w:themeColor="text1"/>
                <w:sz w:val="21"/>
                <w:szCs w:val="21"/>
                <w14:textFill>
                  <w14:solidFill>
                    <w14:schemeClr w14:val="tx1"/>
                  </w14:solidFill>
                </w14:textFill>
              </w:rPr>
              <w:t>类</w:t>
            </w:r>
          </w:p>
        </w:tc>
        <w:tc>
          <w:tcPr>
            <w:tcW w:w="401" w:type="pct"/>
            <w:vAlign w:val="center"/>
          </w:tcPr>
          <w:p w14:paraId="6FD30D8D">
            <w:pPr>
              <w:spacing w:line="276" w:lineRule="auto"/>
              <w:jc w:val="center"/>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yellow"/>
                <w14:textFill>
                  <w14:solidFill>
                    <w14:schemeClr w14:val="tx1"/>
                  </w14:solidFill>
                </w14:textFill>
              </w:rPr>
              <w:t>SE</w:t>
            </w:r>
          </w:p>
        </w:tc>
        <w:tc>
          <w:tcPr>
            <w:tcW w:w="420" w:type="pct"/>
            <w:vAlign w:val="center"/>
          </w:tcPr>
          <w:p w14:paraId="0037E19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3321</w:t>
            </w:r>
          </w:p>
        </w:tc>
      </w:tr>
      <w:tr w14:paraId="627E9CD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Align w:val="center"/>
          </w:tcPr>
          <w:p w14:paraId="657DBE5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地下水环境</w:t>
            </w:r>
          </w:p>
        </w:tc>
        <w:tc>
          <w:tcPr>
            <w:tcW w:w="423" w:type="pct"/>
            <w:vAlign w:val="center"/>
          </w:tcPr>
          <w:p w14:paraId="42F393E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434" w:type="pct"/>
            <w:vAlign w:val="center"/>
          </w:tcPr>
          <w:p w14:paraId="22DE95F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408" w:type="pct"/>
            <w:gridSpan w:val="2"/>
            <w:vAlign w:val="center"/>
          </w:tcPr>
          <w:p w14:paraId="575DF6D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项目区及周边区域地下水</w:t>
            </w:r>
          </w:p>
        </w:tc>
        <w:tc>
          <w:tcPr>
            <w:tcW w:w="550" w:type="pct"/>
            <w:vAlign w:val="center"/>
          </w:tcPr>
          <w:p w14:paraId="3B0CF96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GB/T14848-2017中</w:t>
            </w:r>
            <w:r>
              <w:rPr>
                <w:rFonts w:hint="default" w:ascii="Times New Roman" w:hAnsi="Times New Roman" w:cs="Times New Roman"/>
                <w:color w:val="000000" w:themeColor="text1"/>
                <w:sz w:val="21"/>
                <w:szCs w:val="21"/>
                <w14:textFill>
                  <w14:solidFill>
                    <w14:schemeClr w14:val="tx1"/>
                  </w14:solidFill>
                </w14:textFill>
              </w:rPr>
              <w:fldChar w:fldCharType="begin"/>
            </w:r>
            <w:r>
              <w:rPr>
                <w:rFonts w:hint="default" w:ascii="Times New Roman" w:hAnsi="Times New Roman" w:cs="Times New Roman"/>
                <w:color w:val="000000" w:themeColor="text1"/>
                <w:sz w:val="21"/>
                <w:szCs w:val="21"/>
                <w14:textFill>
                  <w14:solidFill>
                    <w14:schemeClr w14:val="tx1"/>
                  </w14:solidFill>
                </w14:textFill>
              </w:rPr>
              <w:instrText xml:space="preserve">= 3 \* ROMAN</w:instrText>
            </w:r>
            <w:r>
              <w:rPr>
                <w:rFonts w:hint="default" w:ascii="Times New Roman" w:hAnsi="Times New Roman" w:cs="Times New Roman"/>
                <w:color w:val="000000" w:themeColor="text1"/>
                <w:sz w:val="21"/>
                <w:szCs w:val="21"/>
                <w14:textFill>
                  <w14:solidFill>
                    <w14:schemeClr w14:val="tx1"/>
                  </w14:solidFill>
                </w14:textFill>
              </w:rPr>
              <w:fldChar w:fldCharType="separate"/>
            </w:r>
            <w:r>
              <w:rPr>
                <w:rFonts w:hint="default" w:ascii="Times New Roman" w:hAnsi="Times New Roman" w:cs="Times New Roman"/>
                <w:color w:val="000000" w:themeColor="text1"/>
                <w:sz w:val="21"/>
                <w:szCs w:val="21"/>
                <w14:textFill>
                  <w14:solidFill>
                    <w14:schemeClr w14:val="tx1"/>
                  </w14:solidFill>
                </w14:textFill>
              </w:rPr>
              <w:t>III</w:t>
            </w:r>
            <w:r>
              <w:rPr>
                <w:rFonts w:hint="default" w:ascii="Times New Roman" w:hAnsi="Times New Roman" w:cs="Times New Roman"/>
                <w:color w:val="000000" w:themeColor="text1"/>
                <w:sz w:val="21"/>
                <w:szCs w:val="21"/>
                <w14:textFill>
                  <w14:solidFill>
                    <w14:schemeClr w14:val="tx1"/>
                  </w14:solidFill>
                </w14:textFill>
              </w:rPr>
              <w:fldChar w:fldCharType="end"/>
            </w:r>
            <w:r>
              <w:rPr>
                <w:rFonts w:hint="default" w:ascii="Times New Roman" w:hAnsi="Times New Roman" w:cs="Times New Roman"/>
                <w:color w:val="000000" w:themeColor="text1"/>
                <w:sz w:val="21"/>
                <w:szCs w:val="21"/>
                <w14:textFill>
                  <w14:solidFill>
                    <w14:schemeClr w14:val="tx1"/>
                  </w14:solidFill>
                </w14:textFill>
              </w:rPr>
              <w:t>类</w:t>
            </w:r>
          </w:p>
        </w:tc>
        <w:tc>
          <w:tcPr>
            <w:tcW w:w="401" w:type="pct"/>
            <w:vAlign w:val="center"/>
          </w:tcPr>
          <w:p w14:paraId="0901C6D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420" w:type="pct"/>
            <w:vAlign w:val="center"/>
          </w:tcPr>
          <w:p w14:paraId="0CE5DF0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5A72F8A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Align w:val="center"/>
          </w:tcPr>
          <w:p w14:paraId="19B5ACB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土壤环境</w:t>
            </w:r>
          </w:p>
        </w:tc>
        <w:tc>
          <w:tcPr>
            <w:tcW w:w="423" w:type="pct"/>
            <w:vAlign w:val="center"/>
          </w:tcPr>
          <w:p w14:paraId="10FC611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434" w:type="pct"/>
            <w:vAlign w:val="center"/>
          </w:tcPr>
          <w:p w14:paraId="5E9EEE2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408" w:type="pct"/>
            <w:gridSpan w:val="2"/>
            <w:vAlign w:val="center"/>
          </w:tcPr>
          <w:p w14:paraId="7682EF02">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周边耕地</w:t>
            </w:r>
          </w:p>
        </w:tc>
        <w:tc>
          <w:tcPr>
            <w:tcW w:w="550" w:type="pct"/>
            <w:vAlign w:val="center"/>
          </w:tcPr>
          <w:p w14:paraId="0E4864C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GB15618-2018中风险筛选值</w:t>
            </w:r>
          </w:p>
        </w:tc>
        <w:tc>
          <w:tcPr>
            <w:tcW w:w="684" w:type="dxa"/>
            <w:vAlign w:val="center"/>
          </w:tcPr>
          <w:p w14:paraId="10219C3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716" w:type="dxa"/>
            <w:vAlign w:val="center"/>
          </w:tcPr>
          <w:p w14:paraId="5A4459F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3CD4556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361" w:type="pct"/>
            <w:vAlign w:val="center"/>
          </w:tcPr>
          <w:p w14:paraId="01AE69D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声环境</w:t>
            </w:r>
          </w:p>
        </w:tc>
        <w:tc>
          <w:tcPr>
            <w:tcW w:w="423" w:type="pct"/>
            <w:vAlign w:val="center"/>
          </w:tcPr>
          <w:p w14:paraId="49E6266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434" w:type="pct"/>
            <w:vAlign w:val="center"/>
          </w:tcPr>
          <w:p w14:paraId="0EF9B68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408" w:type="pct"/>
            <w:gridSpan w:val="2"/>
            <w:vAlign w:val="center"/>
          </w:tcPr>
          <w:p w14:paraId="576A4B6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项目厂界</w:t>
            </w:r>
          </w:p>
        </w:tc>
        <w:tc>
          <w:tcPr>
            <w:tcW w:w="550" w:type="pct"/>
            <w:vAlign w:val="center"/>
          </w:tcPr>
          <w:p w14:paraId="1F8C88DA">
            <w:pPr>
              <w:spacing w:line="276" w:lineRule="auto"/>
              <w:jc w:val="center"/>
              <w:rPr>
                <w:rFonts w:hint="default" w:ascii="Times New Roman" w:hAnsi="Times New Roman" w:cs="Times New Roman"/>
                <w:color w:val="000000" w:themeColor="text1"/>
                <w:spacing w:val="-10"/>
                <w:sz w:val="21"/>
                <w:szCs w:val="21"/>
                <w14:textFill>
                  <w14:solidFill>
                    <w14:schemeClr w14:val="tx1"/>
                  </w14:solidFill>
                </w14:textFill>
              </w:rPr>
            </w:pPr>
            <w:r>
              <w:rPr>
                <w:rFonts w:hint="default" w:ascii="Times New Roman" w:hAnsi="Times New Roman" w:cs="Times New Roman"/>
                <w:color w:val="000000" w:themeColor="text1"/>
                <w:spacing w:val="-10"/>
                <w:sz w:val="21"/>
                <w:szCs w:val="21"/>
                <w14:textFill>
                  <w14:solidFill>
                    <w14:schemeClr w14:val="tx1"/>
                  </w14:solidFill>
                </w14:textFill>
              </w:rPr>
              <w:t>GB3096-2008中3类标准</w:t>
            </w:r>
          </w:p>
        </w:tc>
        <w:tc>
          <w:tcPr>
            <w:tcW w:w="401" w:type="pct"/>
            <w:vAlign w:val="center"/>
          </w:tcPr>
          <w:p w14:paraId="6DD5190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420" w:type="pct"/>
            <w:vAlign w:val="center"/>
          </w:tcPr>
          <w:p w14:paraId="4FC6CF9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bl>
    <w:p w14:paraId="19CA815B">
      <w:pPr>
        <w:spacing w:line="276" w:lineRule="auto"/>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注：以厂界西南角为坐标原点，正东为X轴，正北为Y轴。</w:t>
      </w:r>
    </w:p>
    <w:p w14:paraId="777BE5A3">
      <w:pPr>
        <w:widowControl/>
        <w:ind w:left="-594" w:leftChars="-303"/>
        <w:jc w:val="left"/>
        <w:rPr>
          <w:rFonts w:hint="default" w:ascii="Times New Roman" w:hAnsi="Times New Roman" w:cs="Times New Roman"/>
          <w:b/>
          <w:color w:val="000000" w:themeColor="text1"/>
          <w:sz w:val="24"/>
          <w14:textFill>
            <w14:solidFill>
              <w14:schemeClr w14:val="tx1"/>
            </w14:solidFill>
          </w14:textFill>
        </w:rPr>
      </w:pPr>
    </w:p>
    <w:p w14:paraId="00CB9DCA">
      <w:pPr>
        <w:widowControl/>
        <w:ind w:left="-594" w:leftChars="-303"/>
        <w:jc w:val="left"/>
        <w:rPr>
          <w:rFonts w:hint="default" w:ascii="Times New Roman" w:hAnsi="Times New Roman" w:cs="Times New Roman"/>
          <w:b/>
          <w:color w:val="000000" w:themeColor="text1"/>
          <w:sz w:val="24"/>
          <w14:textFill>
            <w14:solidFill>
              <w14:schemeClr w14:val="tx1"/>
            </w14:solidFill>
          </w14:textFill>
        </w:rPr>
        <w:sectPr>
          <w:pgSz w:w="11907" w:h="16839"/>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4FF356A5">
      <w:pPr>
        <w:tabs>
          <w:tab w:val="center" w:pos="6979"/>
        </w:tabs>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810816" behindDoc="0" locked="0" layoutInCell="1" allowOverlap="1">
            <wp:simplePos x="0" y="0"/>
            <wp:positionH relativeFrom="column">
              <wp:posOffset>8073390</wp:posOffset>
            </wp:positionH>
            <wp:positionV relativeFrom="paragraph">
              <wp:posOffset>-42545</wp:posOffset>
            </wp:positionV>
            <wp:extent cx="734060" cy="782320"/>
            <wp:effectExtent l="19050" t="19050" r="27884" b="17946"/>
            <wp:wrapNone/>
            <wp:docPr id="9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0"/>
                    <pic:cNvPicPr>
                      <a:picLocks noChangeAspect="1" noChangeArrowheads="1"/>
                    </pic:cNvPicPr>
                  </pic:nvPicPr>
                  <pic:blipFill>
                    <a:blip r:embed="rId32" cstate="print"/>
                    <a:srcRect/>
                    <a:stretch>
                      <a:fillRect/>
                    </a:stretch>
                  </pic:blipFill>
                  <pic:spPr>
                    <a:xfrm>
                      <a:off x="0" y="0"/>
                      <a:ext cx="734116" cy="782154"/>
                    </a:xfrm>
                    <a:prstGeom prst="rect">
                      <a:avLst/>
                    </a:prstGeom>
                    <a:noFill/>
                    <a:ln w="19050">
                      <a:solidFill>
                        <a:schemeClr val="tx1"/>
                      </a:solidFill>
                      <a:miter lim="800000"/>
                      <a:headEnd/>
                      <a:tailEnd/>
                    </a:ln>
                  </pic:spPr>
                </pic:pic>
              </a:graphicData>
            </a:graphic>
          </wp:anchor>
        </w:drawing>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06720" behindDoc="0" locked="0" layoutInCell="1" allowOverlap="1">
                <wp:simplePos x="0" y="0"/>
                <wp:positionH relativeFrom="column">
                  <wp:posOffset>5499100</wp:posOffset>
                </wp:positionH>
                <wp:positionV relativeFrom="paragraph">
                  <wp:posOffset>2550795</wp:posOffset>
                </wp:positionV>
                <wp:extent cx="653415" cy="273685"/>
                <wp:effectExtent l="0" t="0" r="0" b="0"/>
                <wp:wrapNone/>
                <wp:docPr id="233" name="矩形 9551"/>
                <wp:cNvGraphicFramePr/>
                <a:graphic xmlns:a="http://schemas.openxmlformats.org/drawingml/2006/main">
                  <a:graphicData uri="http://schemas.microsoft.com/office/word/2010/wordprocessingShape">
                    <wps:wsp>
                      <wps:cNvSpPr/>
                      <wps:spPr>
                        <a:xfrm>
                          <a:off x="0" y="0"/>
                          <a:ext cx="653415" cy="273685"/>
                        </a:xfrm>
                        <a:prstGeom prst="rect">
                          <a:avLst/>
                        </a:prstGeom>
                        <a:noFill/>
                        <a:ln>
                          <a:noFill/>
                        </a:ln>
                      </wps:spPr>
                      <wps:txbx>
                        <w:txbxContent>
                          <w:p w14:paraId="391C59AC">
                            <w:pPr>
                              <w:rPr>
                                <w:rFonts w:eastAsia="黑体"/>
                                <w:color w:val="0066FF"/>
                                <w:sz w:val="15"/>
                              </w:rPr>
                            </w:pPr>
                            <w:r>
                              <w:rPr>
                                <w:rFonts w:eastAsia="黑体"/>
                                <w:color w:val="0066FF"/>
                                <w:sz w:val="15"/>
                              </w:rPr>
                              <w:t>2.5km</w:t>
                            </w:r>
                          </w:p>
                        </w:txbxContent>
                      </wps:txbx>
                      <wps:bodyPr upright="1"/>
                    </wps:wsp>
                  </a:graphicData>
                </a:graphic>
              </wp:anchor>
            </w:drawing>
          </mc:Choice>
          <mc:Fallback>
            <w:pict>
              <v:rect id="矩形 9551" o:spid="_x0000_s1026" o:spt="1" style="position:absolute;left:0pt;margin-left:433pt;margin-top:200.85pt;height:21.55pt;width:51.45pt;z-index:251806720;mso-width-relative:page;mso-height-relative:page;" filled="f" stroked="f" coordsize="21600,21600" o:gfxdata="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BN+s9r3AAAAAsB&#10;AAAPAAAAAAAAAAEAIAAAACIAAABkcnMvZG93bnJldi54bWxQSwECFAAUAAAACACHTuJAHZ9BVaUB&#10;AABFAwAADgAAAAAAAAABACAAAAArAQAAZHJzL2Uyb0RvYy54bWxQSwUGAAAAAAYABgBZAQAAQgUA&#10;AAAA&#10;">
                <v:fill on="f" focussize="0,0"/>
                <v:stroke on="f"/>
                <v:imagedata o:title=""/>
                <o:lock v:ext="edit" aspectratio="f"/>
                <v:textbox>
                  <w:txbxContent>
                    <w:p w14:paraId="391C59AC">
                      <w:pPr>
                        <w:rPr>
                          <w:rFonts w:eastAsia="黑体"/>
                          <w:color w:val="0066FF"/>
                          <w:sz w:val="15"/>
                        </w:rPr>
                      </w:pPr>
                      <w:r>
                        <w:rPr>
                          <w:rFonts w:eastAsia="黑体"/>
                          <w:color w:val="0066FF"/>
                          <w:sz w:val="15"/>
                        </w:rPr>
                        <w:t>2.5km</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02624" behindDoc="0" locked="0" layoutInCell="1" allowOverlap="1">
                <wp:simplePos x="0" y="0"/>
                <wp:positionH relativeFrom="column">
                  <wp:posOffset>3340735</wp:posOffset>
                </wp:positionH>
                <wp:positionV relativeFrom="paragraph">
                  <wp:posOffset>4095115</wp:posOffset>
                </wp:positionV>
                <wp:extent cx="599440" cy="273685"/>
                <wp:effectExtent l="0" t="0" r="0" b="0"/>
                <wp:wrapNone/>
                <wp:docPr id="229" name="矩形 9543"/>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6C674AA2">
                            <w:pPr>
                              <w:rPr>
                                <w:rFonts w:ascii="黑体" w:hAnsi="黑体" w:eastAsia="黑体"/>
                                <w:color w:val="FFFF00"/>
                                <w:sz w:val="15"/>
                              </w:rPr>
                            </w:pPr>
                            <w:r>
                              <w:rPr>
                                <w:rFonts w:hint="eastAsia" w:ascii="黑体" w:hAnsi="黑体" w:eastAsia="黑体"/>
                                <w:color w:val="FFFF00"/>
                                <w:sz w:val="15"/>
                              </w:rPr>
                              <w:t>公路队</w:t>
                            </w:r>
                          </w:p>
                        </w:txbxContent>
                      </wps:txbx>
                      <wps:bodyPr upright="1"/>
                    </wps:wsp>
                  </a:graphicData>
                </a:graphic>
              </wp:anchor>
            </w:drawing>
          </mc:Choice>
          <mc:Fallback>
            <w:pict>
              <v:rect id="矩形 9543" o:spid="_x0000_s1026" o:spt="1" style="position:absolute;left:0pt;margin-left:263.05pt;margin-top:322.45pt;height:21.55pt;width:47.2pt;z-index:251802624;mso-width-relative:page;mso-height-relative:page;" filled="f" stroked="f" coordsize="21600,21600" o:gfxdata="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CTkh+O2wAAAAsB&#10;AAAPAAAAAAAAAAEAIAAAACIAAABkcnMvZG93bnJldi54bWxQSwECFAAUAAAACACHTuJAXApM3qYB&#10;AABFAwAADgAAAAAAAAABACAAAAAqAQAAZHJzL2Uyb0RvYy54bWxQSwUGAAAAAAYABgBZAQAAQgUA&#10;AAAA&#10;">
                <v:fill on="f" focussize="0,0"/>
                <v:stroke on="f"/>
                <v:imagedata o:title=""/>
                <o:lock v:ext="edit" aspectratio="f"/>
                <v:textbox>
                  <w:txbxContent>
                    <w:p w14:paraId="6C674AA2">
                      <w:pPr>
                        <w:rPr>
                          <w:rFonts w:ascii="黑体" w:hAnsi="黑体" w:eastAsia="黑体"/>
                          <w:color w:val="FFFF00"/>
                          <w:sz w:val="15"/>
                        </w:rPr>
                      </w:pPr>
                      <w:r>
                        <w:rPr>
                          <w:rFonts w:hint="eastAsia" w:ascii="黑体" w:hAnsi="黑体" w:eastAsia="黑体"/>
                          <w:color w:val="FFFF00"/>
                          <w:sz w:val="15"/>
                        </w:rPr>
                        <w:t>公路队</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01600" behindDoc="0" locked="0" layoutInCell="1" allowOverlap="1">
                <wp:simplePos x="0" y="0"/>
                <wp:positionH relativeFrom="column">
                  <wp:posOffset>3564890</wp:posOffset>
                </wp:positionH>
                <wp:positionV relativeFrom="paragraph">
                  <wp:posOffset>4103370</wp:posOffset>
                </wp:positionV>
                <wp:extent cx="71755" cy="71755"/>
                <wp:effectExtent l="4445" t="4445" r="12700" b="12700"/>
                <wp:wrapNone/>
                <wp:docPr id="228" name="椭圆 9542"/>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42" o:spid="_x0000_s1026" o:spt="3" type="#_x0000_t3" style="position:absolute;left:0pt;margin-left:280.7pt;margin-top:323.1pt;height:5.65pt;width:5.65pt;z-index:251801600;mso-width-relative:page;mso-height-relative:page;" fillcolor="#FF0000" filled="t" stroked="t" coordsize="21600,21600" o:gfxdata="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EugxDXZAAAACwEAAA8AAAAAAAAAAQAgAAAAIgAAAGRycy9kb3ducmV2LnhtbFBL&#10;AQIUABQAAAAIAIdO4kA1LeYH9QEAABkEAAAOAAAAAAAAAAEAIAAAACgBAABkcnMvZTJvRG9jLnht&#10;bFBLBQYAAAAABgAGAFkBAACPBQ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00576" behindDoc="0" locked="0" layoutInCell="1" allowOverlap="1">
                <wp:simplePos x="0" y="0"/>
                <wp:positionH relativeFrom="column">
                  <wp:posOffset>4426585</wp:posOffset>
                </wp:positionH>
                <wp:positionV relativeFrom="paragraph">
                  <wp:posOffset>2392045</wp:posOffset>
                </wp:positionV>
                <wp:extent cx="111125" cy="129540"/>
                <wp:effectExtent l="5080" t="4445" r="10795" b="5715"/>
                <wp:wrapNone/>
                <wp:docPr id="227" name="自选图形 9541"/>
                <wp:cNvGraphicFramePr/>
                <a:graphic xmlns:a="http://schemas.openxmlformats.org/drawingml/2006/main">
                  <a:graphicData uri="http://schemas.microsoft.com/office/word/2010/wordprocessingShape">
                    <wps:wsp>
                      <wps:cNvCnPr/>
                      <wps:spPr>
                        <a:xfrm flipV="1">
                          <a:off x="0" y="0"/>
                          <a:ext cx="111125" cy="129540"/>
                        </a:xfrm>
                        <a:prstGeom prst="straightConnector1">
                          <a:avLst/>
                        </a:prstGeom>
                        <a:ln w="12700" cap="flat" cmpd="sng">
                          <a:solidFill>
                            <a:srgbClr val="FF0000"/>
                          </a:solidFill>
                          <a:prstDash val="dash"/>
                          <a:headEnd type="none" w="med" len="med"/>
                          <a:tailEnd type="none" w="med" len="med"/>
                        </a:ln>
                      </wps:spPr>
                      <wps:bodyPr/>
                    </wps:wsp>
                  </a:graphicData>
                </a:graphic>
              </wp:anchor>
            </w:drawing>
          </mc:Choice>
          <mc:Fallback>
            <w:pict>
              <v:shape id="自选图形 9541" o:spid="_x0000_s1026" o:spt="32" type="#_x0000_t32" style="position:absolute;left:0pt;flip:y;margin-left:348.55pt;margin-top:188.35pt;height:10.2pt;width:8.75pt;z-index:251800576;mso-width-relative:page;mso-height-relative:page;" filled="f" stroked="t" coordsize="21600,21600" o:gfxdata="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&#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0Q8S/ZAAAACwEAAA8AAAAAAAAAAQAgAAAAIgAAAGRy&#10;cy9kb3ducmV2LnhtbFBLAQIUABQAAAAIAIdO4kBzHZdQBAIAAPYDAAAOAAAAAAAAAAEAIAAAACgB&#10;AABkcnMvZTJvRG9jLnhtbFBLBQYAAAAABgAGAFkBAACeBQAAAAA=&#10;">
                <v:fill on="f" focussize="0,0"/>
                <v:stroke weight="1pt" color="#FF0000" joinstyle="round" dashstyle="dash"/>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99552" behindDoc="0" locked="0" layoutInCell="1" allowOverlap="1">
                <wp:simplePos x="0" y="0"/>
                <wp:positionH relativeFrom="column">
                  <wp:posOffset>4196715</wp:posOffset>
                </wp:positionH>
                <wp:positionV relativeFrom="paragraph">
                  <wp:posOffset>2221230</wp:posOffset>
                </wp:positionV>
                <wp:extent cx="770890" cy="273685"/>
                <wp:effectExtent l="0" t="0" r="0" b="0"/>
                <wp:wrapNone/>
                <wp:docPr id="226" name="矩形 9540"/>
                <wp:cNvGraphicFramePr/>
                <a:graphic xmlns:a="http://schemas.openxmlformats.org/drawingml/2006/main">
                  <a:graphicData uri="http://schemas.microsoft.com/office/word/2010/wordprocessingShape">
                    <wps:wsp>
                      <wps:cNvSpPr/>
                      <wps:spPr>
                        <a:xfrm>
                          <a:off x="0" y="0"/>
                          <a:ext cx="770890" cy="273685"/>
                        </a:xfrm>
                        <a:prstGeom prst="rect">
                          <a:avLst/>
                        </a:prstGeom>
                        <a:noFill/>
                        <a:ln>
                          <a:noFill/>
                        </a:ln>
                      </wps:spPr>
                      <wps:txbx>
                        <w:txbxContent>
                          <w:p w14:paraId="09DA329F">
                            <w:pPr>
                              <w:rPr>
                                <w:rFonts w:ascii="黑体" w:hAnsi="黑体" w:eastAsia="黑体"/>
                                <w:color w:val="FF0000"/>
                                <w:sz w:val="15"/>
                              </w:rPr>
                            </w:pPr>
                            <w:r>
                              <w:rPr>
                                <w:rFonts w:ascii="黑体" w:hAnsi="黑体" w:eastAsia="黑体"/>
                                <w:color w:val="FF0000"/>
                                <w:sz w:val="15"/>
                              </w:rPr>
                              <w:t>本项目位置</w:t>
                            </w:r>
                          </w:p>
                        </w:txbxContent>
                      </wps:txbx>
                      <wps:bodyPr upright="1"/>
                    </wps:wsp>
                  </a:graphicData>
                </a:graphic>
              </wp:anchor>
            </w:drawing>
          </mc:Choice>
          <mc:Fallback>
            <w:pict>
              <v:rect id="矩形 9540" o:spid="_x0000_s1026" o:spt="1" style="position:absolute;left:0pt;margin-left:330.45pt;margin-top:174.9pt;height:21.55pt;width:60.7pt;z-index:251799552;mso-width-relative:page;mso-height-relative:page;" filled="f" stroked="f" coordsize="21600,21600" o:gfxdata="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BRQgKY3AAAAAsB&#10;AAAPAAAAAAAAAAEAIAAAACIAAABkcnMvZG93bnJldi54bWxQSwECFAAUAAAACACHTuJATw7A5aUB&#10;AABFAwAADgAAAAAAAAABACAAAAArAQAAZHJzL2Uyb0RvYy54bWxQSwUGAAAAAAYABgBZAQAAQgUA&#10;AAAA&#10;">
                <v:fill on="f" focussize="0,0"/>
                <v:stroke on="f"/>
                <v:imagedata o:title=""/>
                <o:lock v:ext="edit" aspectratio="f"/>
                <v:textbox>
                  <w:txbxContent>
                    <w:p w14:paraId="09DA329F">
                      <w:pPr>
                        <w:rPr>
                          <w:rFonts w:ascii="黑体" w:hAnsi="黑体" w:eastAsia="黑体"/>
                          <w:color w:val="FF0000"/>
                          <w:sz w:val="15"/>
                        </w:rPr>
                      </w:pPr>
                      <w:r>
                        <w:rPr>
                          <w:rFonts w:ascii="黑体" w:hAnsi="黑体" w:eastAsia="黑体"/>
                          <w:color w:val="FF0000"/>
                          <w:sz w:val="15"/>
                        </w:rPr>
                        <w:t>本项目位置</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98528" behindDoc="0" locked="0" layoutInCell="1" allowOverlap="1">
                <wp:simplePos x="0" y="0"/>
                <wp:positionH relativeFrom="column">
                  <wp:posOffset>3174365</wp:posOffset>
                </wp:positionH>
                <wp:positionV relativeFrom="paragraph">
                  <wp:posOffset>607695</wp:posOffset>
                </wp:positionV>
                <wp:extent cx="599440" cy="273685"/>
                <wp:effectExtent l="0" t="0" r="0" b="0"/>
                <wp:wrapNone/>
                <wp:docPr id="225" name="矩形 9538"/>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2ED9DBF1">
                            <w:pPr>
                              <w:rPr>
                                <w:rFonts w:ascii="黑体" w:hAnsi="黑体" w:eastAsia="黑体"/>
                                <w:color w:val="FFFF00"/>
                                <w:sz w:val="15"/>
                              </w:rPr>
                            </w:pPr>
                            <w:r>
                              <w:rPr>
                                <w:rFonts w:ascii="黑体" w:hAnsi="黑体" w:eastAsia="黑体"/>
                                <w:color w:val="FFFF00"/>
                                <w:sz w:val="15"/>
                              </w:rPr>
                              <w:t>陈集村</w:t>
                            </w:r>
                          </w:p>
                        </w:txbxContent>
                      </wps:txbx>
                      <wps:bodyPr upright="1"/>
                    </wps:wsp>
                  </a:graphicData>
                </a:graphic>
              </wp:anchor>
            </w:drawing>
          </mc:Choice>
          <mc:Fallback>
            <w:pict>
              <v:rect id="矩形 9538" o:spid="_x0000_s1026" o:spt="1" style="position:absolute;left:0pt;margin-left:249.95pt;margin-top:47.85pt;height:21.55pt;width:47.2pt;z-index:251798528;mso-width-relative:page;mso-height-relative:page;" filled="f" stroked="f" coordsize="21600,21600" o:gfxdata="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kZ5e02wAAAAoB&#10;AAAPAAAAAAAAAAEAIAAAACIAAABkcnMvZG93bnJldi54bWxQSwECFAAUAAAACACHTuJARmmnA6YB&#10;AABFAwAADgAAAAAAAAABACAAAAAqAQAAZHJzL2Uyb0RvYy54bWxQSwUGAAAAAAYABgBZAQAAQgUA&#10;AAAA&#10;">
                <v:fill on="f" focussize="0,0"/>
                <v:stroke on="f"/>
                <v:imagedata o:title=""/>
                <o:lock v:ext="edit" aspectratio="f"/>
                <v:textbox>
                  <w:txbxContent>
                    <w:p w14:paraId="2ED9DBF1">
                      <w:pPr>
                        <w:rPr>
                          <w:rFonts w:ascii="黑体" w:hAnsi="黑体" w:eastAsia="黑体"/>
                          <w:color w:val="FFFF00"/>
                          <w:sz w:val="15"/>
                        </w:rPr>
                      </w:pPr>
                      <w:r>
                        <w:rPr>
                          <w:rFonts w:ascii="黑体" w:hAnsi="黑体" w:eastAsia="黑体"/>
                          <w:color w:val="FFFF00"/>
                          <w:sz w:val="15"/>
                        </w:rPr>
                        <w:t>陈集村</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97504" behindDoc="0" locked="0" layoutInCell="1" allowOverlap="1">
                <wp:simplePos x="0" y="0"/>
                <wp:positionH relativeFrom="column">
                  <wp:posOffset>3164840</wp:posOffset>
                </wp:positionH>
                <wp:positionV relativeFrom="paragraph">
                  <wp:posOffset>718820</wp:posOffset>
                </wp:positionV>
                <wp:extent cx="71755" cy="71755"/>
                <wp:effectExtent l="4445" t="4445" r="12700" b="12700"/>
                <wp:wrapNone/>
                <wp:docPr id="224" name="椭圆 9537"/>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37" o:spid="_x0000_s1026" o:spt="3" type="#_x0000_t3" style="position:absolute;left:0pt;margin-left:249.2pt;margin-top:56.6pt;height:5.65pt;width:5.65pt;z-index:251797504;mso-width-relative:page;mso-height-relative:page;" fillcolor="#FF0000" filled="t" stroked="t" coordsize="21600,21600" o:gfxdata="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tBecNtgAAAALAQAADwAAAAAAAAABACAAAAAiAAAAZHJzL2Rvd25yZXYueG1sUEsB&#10;AhQAFAAAAAgAh07iQEEFPTv1AQAAGQQAAA4AAAAAAAAAAQAgAAAAJw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96480" behindDoc="0" locked="0" layoutInCell="1" allowOverlap="1">
                <wp:simplePos x="0" y="0"/>
                <wp:positionH relativeFrom="column">
                  <wp:posOffset>3561080</wp:posOffset>
                </wp:positionH>
                <wp:positionV relativeFrom="paragraph">
                  <wp:posOffset>1278890</wp:posOffset>
                </wp:positionV>
                <wp:extent cx="599440" cy="273685"/>
                <wp:effectExtent l="0" t="0" r="0" b="0"/>
                <wp:wrapNone/>
                <wp:docPr id="223" name="矩形 9535"/>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5EEB984E">
                            <w:pPr>
                              <w:rPr>
                                <w:rFonts w:ascii="黑体" w:hAnsi="黑体" w:eastAsia="黑体"/>
                                <w:color w:val="FFFF00"/>
                                <w:sz w:val="15"/>
                              </w:rPr>
                            </w:pPr>
                            <w:r>
                              <w:rPr>
                                <w:rFonts w:ascii="黑体" w:hAnsi="黑体" w:eastAsia="黑体"/>
                                <w:color w:val="FFFF00"/>
                                <w:sz w:val="15"/>
                              </w:rPr>
                              <w:t>龚郢</w:t>
                            </w:r>
                          </w:p>
                        </w:txbxContent>
                      </wps:txbx>
                      <wps:bodyPr upright="1"/>
                    </wps:wsp>
                  </a:graphicData>
                </a:graphic>
              </wp:anchor>
            </w:drawing>
          </mc:Choice>
          <mc:Fallback>
            <w:pict>
              <v:rect id="矩形 9535" o:spid="_x0000_s1026" o:spt="1" style="position:absolute;left:0pt;margin-left:280.4pt;margin-top:100.7pt;height:21.55pt;width:47.2pt;z-index:251796480;mso-width-relative:page;mso-height-relative:page;" filled="f" stroked="f" coordsize="21600,21600" o:gfxdata="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Oh9lNdsAAAAL&#10;AQAADwAAAAAAAAABACAAAAAiAAAAZHJzL2Rvd25yZXYueG1sUEsBAhQAFAAAAAgAh07iQKxGhIin&#10;AQAARQMAAA4AAAAAAAAAAQAgAAAAKgEAAGRycy9lMm9Eb2MueG1sUEsFBgAAAAAGAAYAWQEAAEMF&#10;AAAAAA==&#10;">
                <v:fill on="f" focussize="0,0"/>
                <v:stroke on="f"/>
                <v:imagedata o:title=""/>
                <o:lock v:ext="edit" aspectratio="f"/>
                <v:textbox>
                  <w:txbxContent>
                    <w:p w14:paraId="5EEB984E">
                      <w:pPr>
                        <w:rPr>
                          <w:rFonts w:ascii="黑体" w:hAnsi="黑体" w:eastAsia="黑体"/>
                          <w:color w:val="FFFF00"/>
                          <w:sz w:val="15"/>
                        </w:rPr>
                      </w:pPr>
                      <w:r>
                        <w:rPr>
                          <w:rFonts w:ascii="黑体" w:hAnsi="黑体" w:eastAsia="黑体"/>
                          <w:color w:val="FFFF00"/>
                          <w:sz w:val="15"/>
                        </w:rPr>
                        <w:t>龚郢</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95456" behindDoc="0" locked="0" layoutInCell="1" allowOverlap="1">
                <wp:simplePos x="0" y="0"/>
                <wp:positionH relativeFrom="column">
                  <wp:posOffset>4000500</wp:posOffset>
                </wp:positionH>
                <wp:positionV relativeFrom="paragraph">
                  <wp:posOffset>876935</wp:posOffset>
                </wp:positionV>
                <wp:extent cx="599440" cy="273685"/>
                <wp:effectExtent l="0" t="0" r="0" b="0"/>
                <wp:wrapNone/>
                <wp:docPr id="222" name="矩形 9534"/>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557B9BE8">
                            <w:pPr>
                              <w:rPr>
                                <w:rFonts w:ascii="黑体" w:hAnsi="黑体" w:eastAsia="黑体"/>
                                <w:color w:val="FFFF00"/>
                                <w:sz w:val="15"/>
                              </w:rPr>
                            </w:pPr>
                            <w:r>
                              <w:rPr>
                                <w:rFonts w:ascii="黑体" w:hAnsi="黑体" w:eastAsia="黑体"/>
                                <w:color w:val="FFFF00"/>
                                <w:sz w:val="15"/>
                              </w:rPr>
                              <w:t>王后圩</w:t>
                            </w:r>
                          </w:p>
                        </w:txbxContent>
                      </wps:txbx>
                      <wps:bodyPr upright="1"/>
                    </wps:wsp>
                  </a:graphicData>
                </a:graphic>
              </wp:anchor>
            </w:drawing>
          </mc:Choice>
          <mc:Fallback>
            <w:pict>
              <v:rect id="矩形 9534" o:spid="_x0000_s1026" o:spt="1" style="position:absolute;left:0pt;margin-left:315pt;margin-top:69.05pt;height:21.55pt;width:47.2pt;z-index:251795456;mso-width-relative:page;mso-height-relative:page;" filled="f" stroked="f" coordsize="21600,21600" o:gfxdata="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AFYPBj2wAAAAsB&#10;AAAPAAAAAAAAAAEAIAAAACIAAABkcnMvZG93bnJldi54bWxQSwECFAAUAAAACACHTuJAEuFWvqYB&#10;AABFAwAADgAAAAAAAAABACAAAAAqAQAAZHJzL2Uyb0RvYy54bWxQSwUGAAAAAAYABgBZAQAAQgUA&#10;AAAA&#10;">
                <v:fill on="f" focussize="0,0"/>
                <v:stroke on="f"/>
                <v:imagedata o:title=""/>
                <o:lock v:ext="edit" aspectratio="f"/>
                <v:textbox>
                  <w:txbxContent>
                    <w:p w14:paraId="557B9BE8">
                      <w:pPr>
                        <w:rPr>
                          <w:rFonts w:ascii="黑体" w:hAnsi="黑体" w:eastAsia="黑体"/>
                          <w:color w:val="FFFF00"/>
                          <w:sz w:val="15"/>
                        </w:rPr>
                      </w:pPr>
                      <w:r>
                        <w:rPr>
                          <w:rFonts w:ascii="黑体" w:hAnsi="黑体" w:eastAsia="黑体"/>
                          <w:color w:val="FFFF00"/>
                          <w:sz w:val="15"/>
                        </w:rPr>
                        <w:t>王后圩</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94432" behindDoc="0" locked="0" layoutInCell="1" allowOverlap="1">
                <wp:simplePos x="0" y="0"/>
                <wp:positionH relativeFrom="column">
                  <wp:posOffset>3825240</wp:posOffset>
                </wp:positionH>
                <wp:positionV relativeFrom="paragraph">
                  <wp:posOffset>539750</wp:posOffset>
                </wp:positionV>
                <wp:extent cx="885825" cy="273685"/>
                <wp:effectExtent l="0" t="0" r="0" b="0"/>
                <wp:wrapNone/>
                <wp:docPr id="221" name="矩形 9533"/>
                <wp:cNvGraphicFramePr/>
                <a:graphic xmlns:a="http://schemas.openxmlformats.org/drawingml/2006/main">
                  <a:graphicData uri="http://schemas.microsoft.com/office/word/2010/wordprocessingShape">
                    <wps:wsp>
                      <wps:cNvSpPr/>
                      <wps:spPr>
                        <a:xfrm>
                          <a:off x="0" y="0"/>
                          <a:ext cx="885825" cy="273685"/>
                        </a:xfrm>
                        <a:prstGeom prst="rect">
                          <a:avLst/>
                        </a:prstGeom>
                        <a:noFill/>
                        <a:ln>
                          <a:noFill/>
                        </a:ln>
                      </wps:spPr>
                      <wps:txbx>
                        <w:txbxContent>
                          <w:p w14:paraId="0993AFCB">
                            <w:pPr>
                              <w:rPr>
                                <w:rFonts w:ascii="黑体" w:hAnsi="黑体" w:eastAsia="黑体"/>
                                <w:color w:val="FFFF00"/>
                                <w:sz w:val="15"/>
                              </w:rPr>
                            </w:pPr>
                            <w:r>
                              <w:rPr>
                                <w:rFonts w:ascii="黑体" w:hAnsi="黑体" w:eastAsia="黑体"/>
                                <w:color w:val="FFFF00"/>
                                <w:sz w:val="15"/>
                              </w:rPr>
                              <w:t>毛集镇苏坂小学</w:t>
                            </w:r>
                          </w:p>
                        </w:txbxContent>
                      </wps:txbx>
                      <wps:bodyPr upright="1"/>
                    </wps:wsp>
                  </a:graphicData>
                </a:graphic>
              </wp:anchor>
            </w:drawing>
          </mc:Choice>
          <mc:Fallback>
            <w:pict>
              <v:rect id="矩形 9533" o:spid="_x0000_s1026" o:spt="1" style="position:absolute;left:0pt;margin-left:301.2pt;margin-top:42.5pt;height:21.55pt;width:69.75pt;z-index:251794432;mso-width-relative:page;mso-height-relative:page;" filled="f" stroked="f" coordsize="21600,21600" o:gfxdata="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vTk9JtoAAAAKAQAA&#10;DwAAAAAAAAABACAAAAAiAAAAZHJzL2Rvd25yZXYueG1sUEsBAhQAFAAAAAgAh07iQHIyZ7ClAQAA&#10;RQMAAA4AAAAAAAAAAQAgAAAAKQEAAGRycy9lMm9Eb2MueG1sUEsFBgAAAAAGAAYAWQEAAEAFAAAA&#10;AA==&#10;">
                <v:fill on="f" focussize="0,0"/>
                <v:stroke on="f"/>
                <v:imagedata o:title=""/>
                <o:lock v:ext="edit" aspectratio="f"/>
                <v:textbox>
                  <w:txbxContent>
                    <w:p w14:paraId="0993AFCB">
                      <w:pPr>
                        <w:rPr>
                          <w:rFonts w:ascii="黑体" w:hAnsi="黑体" w:eastAsia="黑体"/>
                          <w:color w:val="FFFF00"/>
                          <w:sz w:val="15"/>
                        </w:rPr>
                      </w:pPr>
                      <w:r>
                        <w:rPr>
                          <w:rFonts w:ascii="黑体" w:hAnsi="黑体" w:eastAsia="黑体"/>
                          <w:color w:val="FFFF00"/>
                          <w:sz w:val="15"/>
                        </w:rPr>
                        <w:t>毛集镇苏坂小学</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93408" behindDoc="0" locked="0" layoutInCell="1" allowOverlap="1">
                <wp:simplePos x="0" y="0"/>
                <wp:positionH relativeFrom="column">
                  <wp:posOffset>4484370</wp:posOffset>
                </wp:positionH>
                <wp:positionV relativeFrom="paragraph">
                  <wp:posOffset>409575</wp:posOffset>
                </wp:positionV>
                <wp:extent cx="812165" cy="273685"/>
                <wp:effectExtent l="0" t="0" r="0" b="0"/>
                <wp:wrapNone/>
                <wp:docPr id="220" name="矩形 9532"/>
                <wp:cNvGraphicFramePr/>
                <a:graphic xmlns:a="http://schemas.openxmlformats.org/drawingml/2006/main">
                  <a:graphicData uri="http://schemas.microsoft.com/office/word/2010/wordprocessingShape">
                    <wps:wsp>
                      <wps:cNvSpPr/>
                      <wps:spPr>
                        <a:xfrm>
                          <a:off x="0" y="0"/>
                          <a:ext cx="812165" cy="273685"/>
                        </a:xfrm>
                        <a:prstGeom prst="rect">
                          <a:avLst/>
                        </a:prstGeom>
                        <a:noFill/>
                        <a:ln>
                          <a:noFill/>
                        </a:ln>
                      </wps:spPr>
                      <wps:txbx>
                        <w:txbxContent>
                          <w:p w14:paraId="526C6273">
                            <w:pPr>
                              <w:rPr>
                                <w:rFonts w:ascii="黑体" w:hAnsi="黑体" w:eastAsia="黑体"/>
                                <w:color w:val="FFFF00"/>
                                <w:sz w:val="15"/>
                              </w:rPr>
                            </w:pPr>
                            <w:r>
                              <w:rPr>
                                <w:rFonts w:ascii="黑体" w:hAnsi="黑体" w:eastAsia="黑体"/>
                                <w:color w:val="FFFF00"/>
                                <w:sz w:val="15"/>
                              </w:rPr>
                              <w:t>花家湖幼儿园</w:t>
                            </w:r>
                          </w:p>
                        </w:txbxContent>
                      </wps:txbx>
                      <wps:bodyPr upright="1"/>
                    </wps:wsp>
                  </a:graphicData>
                </a:graphic>
              </wp:anchor>
            </w:drawing>
          </mc:Choice>
          <mc:Fallback>
            <w:pict>
              <v:rect id="矩形 9532" o:spid="_x0000_s1026" o:spt="1" style="position:absolute;left:0pt;margin-left:353.1pt;margin-top:32.25pt;height:21.55pt;width:63.95pt;z-index:251793408;mso-width-relative:page;mso-height-relative:page;" filled="f" stroked="f" coordsize="21600,21600" o:gfxdata="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LVI80fbAAAACgEA&#10;AA8AAAAAAAAAAQAgAAAAIgAAAGRycy9kb3ducmV2LnhtbFBLAQIUABQAAAAIAIdO4kAIB9vPpQEA&#10;AEUDAAAOAAAAAAAAAAEAIAAAACoBAABkcnMvZTJvRG9jLnhtbFBLBQYAAAAABgAGAFkBAABBBQAA&#10;AAA=&#10;">
                <v:fill on="f" focussize="0,0"/>
                <v:stroke on="f"/>
                <v:imagedata o:title=""/>
                <o:lock v:ext="edit" aspectratio="f"/>
                <v:textbox>
                  <w:txbxContent>
                    <w:p w14:paraId="526C6273">
                      <w:pPr>
                        <w:rPr>
                          <w:rFonts w:ascii="黑体" w:hAnsi="黑体" w:eastAsia="黑体"/>
                          <w:color w:val="FFFF00"/>
                          <w:sz w:val="15"/>
                        </w:rPr>
                      </w:pPr>
                      <w:r>
                        <w:rPr>
                          <w:rFonts w:ascii="黑体" w:hAnsi="黑体" w:eastAsia="黑体"/>
                          <w:color w:val="FFFF00"/>
                          <w:sz w:val="15"/>
                        </w:rPr>
                        <w:t>花家湖幼儿园</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92384" behindDoc="0" locked="0" layoutInCell="1" allowOverlap="1">
                <wp:simplePos x="0" y="0"/>
                <wp:positionH relativeFrom="column">
                  <wp:posOffset>4888865</wp:posOffset>
                </wp:positionH>
                <wp:positionV relativeFrom="paragraph">
                  <wp:posOffset>526415</wp:posOffset>
                </wp:positionV>
                <wp:extent cx="655955" cy="273685"/>
                <wp:effectExtent l="0" t="0" r="0" b="0"/>
                <wp:wrapNone/>
                <wp:docPr id="219" name="矩形 9531"/>
                <wp:cNvGraphicFramePr/>
                <a:graphic xmlns:a="http://schemas.openxmlformats.org/drawingml/2006/main">
                  <a:graphicData uri="http://schemas.microsoft.com/office/word/2010/wordprocessingShape">
                    <wps:wsp>
                      <wps:cNvSpPr/>
                      <wps:spPr>
                        <a:xfrm>
                          <a:off x="0" y="0"/>
                          <a:ext cx="655955" cy="273685"/>
                        </a:xfrm>
                        <a:prstGeom prst="rect">
                          <a:avLst/>
                        </a:prstGeom>
                        <a:noFill/>
                        <a:ln>
                          <a:noFill/>
                        </a:ln>
                      </wps:spPr>
                      <wps:txbx>
                        <w:txbxContent>
                          <w:p w14:paraId="0604C70C">
                            <w:pPr>
                              <w:rPr>
                                <w:rFonts w:ascii="黑体" w:hAnsi="黑体" w:eastAsia="黑体"/>
                                <w:color w:val="FFFF00"/>
                                <w:sz w:val="15"/>
                              </w:rPr>
                            </w:pPr>
                            <w:r>
                              <w:rPr>
                                <w:rFonts w:ascii="黑体" w:hAnsi="黑体" w:eastAsia="黑体"/>
                                <w:color w:val="FFFF00"/>
                                <w:sz w:val="15"/>
                              </w:rPr>
                              <w:t>花家湖学校</w:t>
                            </w:r>
                          </w:p>
                        </w:txbxContent>
                      </wps:txbx>
                      <wps:bodyPr upright="1"/>
                    </wps:wsp>
                  </a:graphicData>
                </a:graphic>
              </wp:anchor>
            </w:drawing>
          </mc:Choice>
          <mc:Fallback>
            <w:pict>
              <v:rect id="矩形 9531" o:spid="_x0000_s1026" o:spt="1" style="position:absolute;left:0pt;margin-left:384.95pt;margin-top:41.45pt;height:21.55pt;width:51.65pt;z-index:251792384;mso-width-relative:page;mso-height-relative:page;" filled="f" stroked="f" coordsize="21600,21600" o:gfxdata="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Jtu53XbAAAACgEA&#10;AA8AAAAAAAAAAQAgAAAAIgAAAGRycy9kb3ducmV2LnhtbFBLAQIUABQAAAAIAIdO4kCCc5cwpQEA&#10;AEUDAAAOAAAAAAAAAAEAIAAAACoBAABkcnMvZTJvRG9jLnhtbFBLBQYAAAAABgAGAFkBAABBBQAA&#10;AAA=&#10;">
                <v:fill on="f" focussize="0,0"/>
                <v:stroke on="f"/>
                <v:imagedata o:title=""/>
                <o:lock v:ext="edit" aspectratio="f"/>
                <v:textbox>
                  <w:txbxContent>
                    <w:p w14:paraId="0604C70C">
                      <w:pPr>
                        <w:rPr>
                          <w:rFonts w:ascii="黑体" w:hAnsi="黑体" w:eastAsia="黑体"/>
                          <w:color w:val="FFFF00"/>
                          <w:sz w:val="15"/>
                        </w:rPr>
                      </w:pPr>
                      <w:r>
                        <w:rPr>
                          <w:rFonts w:ascii="黑体" w:hAnsi="黑体" w:eastAsia="黑体"/>
                          <w:color w:val="FFFF00"/>
                          <w:sz w:val="15"/>
                        </w:rPr>
                        <w:t>花家湖学校</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91360" behindDoc="0" locked="0" layoutInCell="1" allowOverlap="1">
                <wp:simplePos x="0" y="0"/>
                <wp:positionH relativeFrom="column">
                  <wp:posOffset>4412615</wp:posOffset>
                </wp:positionH>
                <wp:positionV relativeFrom="paragraph">
                  <wp:posOffset>728345</wp:posOffset>
                </wp:positionV>
                <wp:extent cx="727710" cy="273685"/>
                <wp:effectExtent l="0" t="0" r="0" b="0"/>
                <wp:wrapNone/>
                <wp:docPr id="218" name="矩形 9530"/>
                <wp:cNvGraphicFramePr/>
                <a:graphic xmlns:a="http://schemas.openxmlformats.org/drawingml/2006/main">
                  <a:graphicData uri="http://schemas.microsoft.com/office/word/2010/wordprocessingShape">
                    <wps:wsp>
                      <wps:cNvSpPr/>
                      <wps:spPr>
                        <a:xfrm>
                          <a:off x="0" y="0"/>
                          <a:ext cx="727710" cy="273685"/>
                        </a:xfrm>
                        <a:prstGeom prst="rect">
                          <a:avLst/>
                        </a:prstGeom>
                        <a:noFill/>
                        <a:ln>
                          <a:noFill/>
                        </a:ln>
                      </wps:spPr>
                      <wps:txbx>
                        <w:txbxContent>
                          <w:p w14:paraId="49639299">
                            <w:pPr>
                              <w:rPr>
                                <w:rFonts w:ascii="黑体" w:hAnsi="黑体" w:eastAsia="黑体"/>
                                <w:color w:val="FFFF00"/>
                                <w:sz w:val="15"/>
                              </w:rPr>
                            </w:pPr>
                            <w:r>
                              <w:rPr>
                                <w:rFonts w:ascii="黑体" w:hAnsi="黑体" w:eastAsia="黑体"/>
                                <w:color w:val="FFFF00"/>
                                <w:sz w:val="15"/>
                              </w:rPr>
                              <w:t>花家湖小区</w:t>
                            </w:r>
                            <w:r>
                              <w:rPr>
                                <w:rFonts w:hint="eastAsia" w:ascii="黑体" w:hAnsi="黑体" w:eastAsia="黑体"/>
                                <w:color w:val="FFFF00"/>
                                <w:sz w:val="15"/>
                              </w:rPr>
                              <w:t>村</w:t>
                            </w:r>
                          </w:p>
                        </w:txbxContent>
                      </wps:txbx>
                      <wps:bodyPr upright="1"/>
                    </wps:wsp>
                  </a:graphicData>
                </a:graphic>
              </wp:anchor>
            </w:drawing>
          </mc:Choice>
          <mc:Fallback>
            <w:pict>
              <v:rect id="矩形 9530" o:spid="_x0000_s1026" o:spt="1" style="position:absolute;left:0pt;margin-left:347.45pt;margin-top:57.35pt;height:21.55pt;width:57.3pt;z-index:251791360;mso-width-relative:page;mso-height-relative:page;" filled="f" stroked="f" coordsize="21600,21600" o:gfxdata="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AYRjBP3AAAAAsB&#10;AAAPAAAAAAAAAAEAIAAAACIAAABkcnMvZG93bnJldi54bWxQSwECFAAUAAAACACHTuJAujjH8aUB&#10;AABFAwAADgAAAAAAAAABACAAAAArAQAAZHJzL2Uyb0RvYy54bWxQSwUGAAAAAAYABgBZAQAAQgUA&#10;AAAA&#10;">
                <v:fill on="f" focussize="0,0"/>
                <v:stroke on="f"/>
                <v:imagedata o:title=""/>
                <o:lock v:ext="edit" aspectratio="f"/>
                <v:textbox>
                  <w:txbxContent>
                    <w:p w14:paraId="49639299">
                      <w:pPr>
                        <w:rPr>
                          <w:rFonts w:ascii="黑体" w:hAnsi="黑体" w:eastAsia="黑体"/>
                          <w:color w:val="FFFF00"/>
                          <w:sz w:val="15"/>
                        </w:rPr>
                      </w:pPr>
                      <w:r>
                        <w:rPr>
                          <w:rFonts w:ascii="黑体" w:hAnsi="黑体" w:eastAsia="黑体"/>
                          <w:color w:val="FFFF00"/>
                          <w:sz w:val="15"/>
                        </w:rPr>
                        <w:t>花家湖小区</w:t>
                      </w:r>
                      <w:r>
                        <w:rPr>
                          <w:rFonts w:hint="eastAsia" w:ascii="黑体" w:hAnsi="黑体" w:eastAsia="黑体"/>
                          <w:color w:val="FFFF00"/>
                          <w:sz w:val="15"/>
                        </w:rPr>
                        <w:t>村</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90336" behindDoc="0" locked="0" layoutInCell="1" allowOverlap="1">
                <wp:simplePos x="0" y="0"/>
                <wp:positionH relativeFrom="column">
                  <wp:posOffset>4729480</wp:posOffset>
                </wp:positionH>
                <wp:positionV relativeFrom="paragraph">
                  <wp:posOffset>853440</wp:posOffset>
                </wp:positionV>
                <wp:extent cx="770890" cy="273685"/>
                <wp:effectExtent l="0" t="0" r="0" b="0"/>
                <wp:wrapNone/>
                <wp:docPr id="217" name="矩形 9529"/>
                <wp:cNvGraphicFramePr/>
                <a:graphic xmlns:a="http://schemas.openxmlformats.org/drawingml/2006/main">
                  <a:graphicData uri="http://schemas.microsoft.com/office/word/2010/wordprocessingShape">
                    <wps:wsp>
                      <wps:cNvSpPr/>
                      <wps:spPr>
                        <a:xfrm>
                          <a:off x="0" y="0"/>
                          <a:ext cx="770890" cy="273685"/>
                        </a:xfrm>
                        <a:prstGeom prst="rect">
                          <a:avLst/>
                        </a:prstGeom>
                        <a:noFill/>
                        <a:ln>
                          <a:noFill/>
                        </a:ln>
                      </wps:spPr>
                      <wps:txbx>
                        <w:txbxContent>
                          <w:p w14:paraId="6EB4548E">
                            <w:pPr>
                              <w:rPr>
                                <w:rFonts w:ascii="黑体" w:hAnsi="黑体" w:eastAsia="黑体"/>
                                <w:color w:val="FFFF00"/>
                                <w:sz w:val="15"/>
                              </w:rPr>
                            </w:pPr>
                            <w:r>
                              <w:rPr>
                                <w:rFonts w:ascii="黑体" w:hAnsi="黑体" w:eastAsia="黑体"/>
                                <w:color w:val="FFFF00"/>
                                <w:sz w:val="15"/>
                              </w:rPr>
                              <w:t>河西社区西区</w:t>
                            </w:r>
                          </w:p>
                        </w:txbxContent>
                      </wps:txbx>
                      <wps:bodyPr upright="1"/>
                    </wps:wsp>
                  </a:graphicData>
                </a:graphic>
              </wp:anchor>
            </w:drawing>
          </mc:Choice>
          <mc:Fallback>
            <w:pict>
              <v:rect id="矩形 9529" o:spid="_x0000_s1026" o:spt="1" style="position:absolute;left:0pt;margin-left:372.4pt;margin-top:67.2pt;height:21.55pt;width:60.7pt;z-index:251790336;mso-width-relative:page;mso-height-relative:page;" filled="f" stroked="f" coordsize="21600,21600" o:gfxdata="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CZAUSH3AAAAAsB&#10;AAAPAAAAAAAAAAEAIAAAACIAAABkcnMvZG93bnJldi54bWxQSwECFAAUAAAACACHTuJAW5ZOW6UB&#10;AABFAwAADgAAAAAAAAABACAAAAArAQAAZHJzL2Uyb0RvYy54bWxQSwUGAAAAAAYABgBZAQAAQgUA&#10;AAAA&#10;">
                <v:fill on="f" focussize="0,0"/>
                <v:stroke on="f"/>
                <v:imagedata o:title=""/>
                <o:lock v:ext="edit" aspectratio="f"/>
                <v:textbox>
                  <w:txbxContent>
                    <w:p w14:paraId="6EB4548E">
                      <w:pPr>
                        <w:rPr>
                          <w:rFonts w:ascii="黑体" w:hAnsi="黑体" w:eastAsia="黑体"/>
                          <w:color w:val="FFFF00"/>
                          <w:sz w:val="15"/>
                        </w:rPr>
                      </w:pPr>
                      <w:r>
                        <w:rPr>
                          <w:rFonts w:ascii="黑体" w:hAnsi="黑体" w:eastAsia="黑体"/>
                          <w:color w:val="FFFF00"/>
                          <w:sz w:val="15"/>
                        </w:rPr>
                        <w:t>河西社区西区</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89312" behindDoc="0" locked="0" layoutInCell="1" allowOverlap="1">
                <wp:simplePos x="0" y="0"/>
                <wp:positionH relativeFrom="column">
                  <wp:posOffset>4617720</wp:posOffset>
                </wp:positionH>
                <wp:positionV relativeFrom="paragraph">
                  <wp:posOffset>1405255</wp:posOffset>
                </wp:positionV>
                <wp:extent cx="648335" cy="332105"/>
                <wp:effectExtent l="0" t="0" r="0" b="0"/>
                <wp:wrapNone/>
                <wp:docPr id="216" name="矩形 9528"/>
                <wp:cNvGraphicFramePr/>
                <a:graphic xmlns:a="http://schemas.openxmlformats.org/drawingml/2006/main">
                  <a:graphicData uri="http://schemas.microsoft.com/office/word/2010/wordprocessingShape">
                    <wps:wsp>
                      <wps:cNvSpPr/>
                      <wps:spPr>
                        <a:xfrm>
                          <a:off x="0" y="0"/>
                          <a:ext cx="648335" cy="332105"/>
                        </a:xfrm>
                        <a:prstGeom prst="rect">
                          <a:avLst/>
                        </a:prstGeom>
                        <a:noFill/>
                        <a:ln>
                          <a:noFill/>
                        </a:ln>
                      </wps:spPr>
                      <wps:txbx>
                        <w:txbxContent>
                          <w:p w14:paraId="0A5CDAA1">
                            <w:pPr>
                              <w:spacing w:line="0" w:lineRule="atLeast"/>
                              <w:jc w:val="center"/>
                              <w:rPr>
                                <w:rFonts w:ascii="黑体" w:hAnsi="黑体" w:eastAsia="黑体"/>
                                <w:color w:val="FFFF00"/>
                                <w:sz w:val="15"/>
                              </w:rPr>
                            </w:pPr>
                            <w:r>
                              <w:rPr>
                                <w:rFonts w:ascii="黑体" w:hAnsi="黑体" w:eastAsia="黑体"/>
                                <w:color w:val="FFFF00"/>
                                <w:sz w:val="15"/>
                              </w:rPr>
                              <w:t>花家湖回迁联排别墅区</w:t>
                            </w:r>
                          </w:p>
                        </w:txbxContent>
                      </wps:txbx>
                      <wps:bodyPr upright="1"/>
                    </wps:wsp>
                  </a:graphicData>
                </a:graphic>
              </wp:anchor>
            </w:drawing>
          </mc:Choice>
          <mc:Fallback>
            <w:pict>
              <v:rect id="矩形 9528" o:spid="_x0000_s1026" o:spt="1" style="position:absolute;left:0pt;margin-left:363.6pt;margin-top:110.65pt;height:26.15pt;width:51.05pt;z-index:251789312;mso-width-relative:page;mso-height-relative:page;" filled="f" stroked="f" coordsize="21600,21600" o:gfxdata="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AHPib42wAAAAsB&#10;AAAPAAAAAAAAAAEAIAAAACIAAABkcnMvZG93bnJldi54bWxQSwECFAAUAAAACACHTuJA2NF7t6YB&#10;AABFAwAADgAAAAAAAAABACAAAAAqAQAAZHJzL2Uyb0RvYy54bWxQSwUGAAAAAAYABgBZAQAAQgUA&#10;AAAA&#10;">
                <v:fill on="f" focussize="0,0"/>
                <v:stroke on="f"/>
                <v:imagedata o:title=""/>
                <o:lock v:ext="edit" aspectratio="f"/>
                <v:textbox>
                  <w:txbxContent>
                    <w:p w14:paraId="0A5CDAA1">
                      <w:pPr>
                        <w:spacing w:line="0" w:lineRule="atLeast"/>
                        <w:jc w:val="center"/>
                        <w:rPr>
                          <w:rFonts w:ascii="黑体" w:hAnsi="黑体" w:eastAsia="黑体"/>
                          <w:color w:val="FFFF00"/>
                          <w:sz w:val="15"/>
                        </w:rPr>
                      </w:pPr>
                      <w:r>
                        <w:rPr>
                          <w:rFonts w:ascii="黑体" w:hAnsi="黑体" w:eastAsia="黑体"/>
                          <w:color w:val="FFFF00"/>
                          <w:sz w:val="15"/>
                        </w:rPr>
                        <w:t>花家湖回迁联排别墅区</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87264" behindDoc="0" locked="0" layoutInCell="1" allowOverlap="1">
                <wp:simplePos x="0" y="0"/>
                <wp:positionH relativeFrom="column">
                  <wp:posOffset>4055110</wp:posOffset>
                </wp:positionH>
                <wp:positionV relativeFrom="paragraph">
                  <wp:posOffset>1525905</wp:posOffset>
                </wp:positionV>
                <wp:extent cx="755650" cy="273685"/>
                <wp:effectExtent l="0" t="0" r="0" b="0"/>
                <wp:wrapNone/>
                <wp:docPr id="214" name="矩形 9526"/>
                <wp:cNvGraphicFramePr/>
                <a:graphic xmlns:a="http://schemas.openxmlformats.org/drawingml/2006/main">
                  <a:graphicData uri="http://schemas.microsoft.com/office/word/2010/wordprocessingShape">
                    <wps:wsp>
                      <wps:cNvSpPr/>
                      <wps:spPr>
                        <a:xfrm>
                          <a:off x="0" y="0"/>
                          <a:ext cx="755650" cy="273685"/>
                        </a:xfrm>
                        <a:prstGeom prst="rect">
                          <a:avLst/>
                        </a:prstGeom>
                        <a:noFill/>
                        <a:ln>
                          <a:noFill/>
                        </a:ln>
                      </wps:spPr>
                      <wps:txbx>
                        <w:txbxContent>
                          <w:p w14:paraId="68237D25">
                            <w:pPr>
                              <w:rPr>
                                <w:rFonts w:ascii="黑体" w:hAnsi="黑体" w:eastAsia="黑体"/>
                                <w:color w:val="FFFF00"/>
                                <w:sz w:val="15"/>
                              </w:rPr>
                            </w:pPr>
                            <w:r>
                              <w:rPr>
                                <w:rFonts w:ascii="黑体" w:hAnsi="黑体" w:eastAsia="黑体"/>
                                <w:color w:val="FFFF00"/>
                                <w:sz w:val="15"/>
                              </w:rPr>
                              <w:t>嘉泰紫御府</w:t>
                            </w:r>
                          </w:p>
                        </w:txbxContent>
                      </wps:txbx>
                      <wps:bodyPr upright="1"/>
                    </wps:wsp>
                  </a:graphicData>
                </a:graphic>
              </wp:anchor>
            </w:drawing>
          </mc:Choice>
          <mc:Fallback>
            <w:pict>
              <v:rect id="矩形 9526" o:spid="_x0000_s1026" o:spt="1" style="position:absolute;left:0pt;margin-left:319.3pt;margin-top:120.15pt;height:21.55pt;width:59.5pt;z-index:251787264;mso-width-relative:page;mso-height-relative:page;" filled="f" stroked="f" coordsize="21600,21600" o:gfxdata="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ErWt03bAAAACwEA&#10;AA8AAAAAAAAAAQAgAAAAIgAAAGRycy9kb3ducmV2LnhtbFBLAQIUABQAAAAIAIdO4kAmYQjwpQEA&#10;AEUDAAAOAAAAAAAAAAEAIAAAACoBAABkcnMvZTJvRG9jLnhtbFBLBQYAAAAABgAGAFkBAABBBQAA&#10;AAA=&#10;">
                <v:fill on="f" focussize="0,0"/>
                <v:stroke on="f"/>
                <v:imagedata o:title=""/>
                <o:lock v:ext="edit" aspectratio="f"/>
                <v:textbox>
                  <w:txbxContent>
                    <w:p w14:paraId="68237D25">
                      <w:pPr>
                        <w:rPr>
                          <w:rFonts w:ascii="黑体" w:hAnsi="黑体" w:eastAsia="黑体"/>
                          <w:color w:val="FFFF00"/>
                          <w:sz w:val="15"/>
                        </w:rPr>
                      </w:pPr>
                      <w:r>
                        <w:rPr>
                          <w:rFonts w:ascii="黑体" w:hAnsi="黑体" w:eastAsia="黑体"/>
                          <w:color w:val="FFFF00"/>
                          <w:sz w:val="15"/>
                        </w:rPr>
                        <w:t>嘉泰紫御府</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86240" behindDoc="0" locked="0" layoutInCell="1" allowOverlap="1">
                <wp:simplePos x="0" y="0"/>
                <wp:positionH relativeFrom="column">
                  <wp:posOffset>4273550</wp:posOffset>
                </wp:positionH>
                <wp:positionV relativeFrom="paragraph">
                  <wp:posOffset>1826895</wp:posOffset>
                </wp:positionV>
                <wp:extent cx="599440" cy="273685"/>
                <wp:effectExtent l="0" t="0" r="0" b="0"/>
                <wp:wrapNone/>
                <wp:docPr id="213" name="矩形 9525"/>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31FD5876">
                            <w:pPr>
                              <w:rPr>
                                <w:rFonts w:ascii="黑体" w:hAnsi="黑体" w:eastAsia="黑体"/>
                                <w:color w:val="FFFF00"/>
                                <w:sz w:val="15"/>
                              </w:rPr>
                            </w:pPr>
                            <w:r>
                              <w:rPr>
                                <w:rFonts w:ascii="黑体" w:hAnsi="黑体" w:eastAsia="黑体"/>
                                <w:color w:val="FFFF00"/>
                                <w:sz w:val="15"/>
                              </w:rPr>
                              <w:t>彭郢</w:t>
                            </w:r>
                          </w:p>
                        </w:txbxContent>
                      </wps:txbx>
                      <wps:bodyPr upright="1"/>
                    </wps:wsp>
                  </a:graphicData>
                </a:graphic>
              </wp:anchor>
            </w:drawing>
          </mc:Choice>
          <mc:Fallback>
            <w:pict>
              <v:rect id="矩形 9525" o:spid="_x0000_s1026" o:spt="1" style="position:absolute;left:0pt;margin-left:336.5pt;margin-top:143.85pt;height:21.55pt;width:47.2pt;z-index:251786240;mso-width-relative:page;mso-height-relative:page;" filled="f" stroked="f" coordsize="21600,21600" o:gfxdata="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DPJ/ufcAAAA&#10;CwEAAA8AAAAAAAAAAQAgAAAAIgAAAGRycy9kb3ducmV2LnhtbFBLAQIUABQAAAAIAIdO4kBqBh8e&#10;pwEAAEUDAAAOAAAAAAAAAAEAIAAAACsBAABkcnMvZTJvRG9jLnhtbFBLBQYAAAAABgAGAFkBAABE&#10;BQAAAAA=&#10;">
                <v:fill on="f" focussize="0,0"/>
                <v:stroke on="f"/>
                <v:imagedata o:title=""/>
                <o:lock v:ext="edit" aspectratio="f"/>
                <v:textbox>
                  <w:txbxContent>
                    <w:p w14:paraId="31FD5876">
                      <w:pPr>
                        <w:rPr>
                          <w:rFonts w:ascii="黑体" w:hAnsi="黑体" w:eastAsia="黑体"/>
                          <w:color w:val="FFFF00"/>
                          <w:sz w:val="15"/>
                        </w:rPr>
                      </w:pPr>
                      <w:r>
                        <w:rPr>
                          <w:rFonts w:ascii="黑体" w:hAnsi="黑体" w:eastAsia="黑体"/>
                          <w:color w:val="FFFF00"/>
                          <w:sz w:val="15"/>
                        </w:rPr>
                        <w:t>彭郢</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85216" behindDoc="0" locked="0" layoutInCell="1" allowOverlap="1">
                <wp:simplePos x="0" y="0"/>
                <wp:positionH relativeFrom="column">
                  <wp:posOffset>3994785</wp:posOffset>
                </wp:positionH>
                <wp:positionV relativeFrom="paragraph">
                  <wp:posOffset>1651635</wp:posOffset>
                </wp:positionV>
                <wp:extent cx="599440" cy="273685"/>
                <wp:effectExtent l="0" t="0" r="0" b="0"/>
                <wp:wrapNone/>
                <wp:docPr id="212" name="矩形 9524"/>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17541570">
                            <w:pPr>
                              <w:rPr>
                                <w:rFonts w:ascii="黑体" w:hAnsi="黑体" w:eastAsia="黑体"/>
                                <w:color w:val="FFFF00"/>
                                <w:sz w:val="15"/>
                              </w:rPr>
                            </w:pPr>
                            <w:r>
                              <w:rPr>
                                <w:rFonts w:ascii="黑体" w:hAnsi="黑体" w:eastAsia="黑体"/>
                                <w:color w:val="FFFF00"/>
                                <w:sz w:val="15"/>
                              </w:rPr>
                              <w:t>马小郢</w:t>
                            </w:r>
                          </w:p>
                        </w:txbxContent>
                      </wps:txbx>
                      <wps:bodyPr upright="1"/>
                    </wps:wsp>
                  </a:graphicData>
                </a:graphic>
              </wp:anchor>
            </w:drawing>
          </mc:Choice>
          <mc:Fallback>
            <w:pict>
              <v:rect id="矩形 9524" o:spid="_x0000_s1026" o:spt="1" style="position:absolute;left:0pt;margin-left:314.55pt;margin-top:130.05pt;height:21.55pt;width:47.2pt;z-index:251785216;mso-width-relative:page;mso-height-relative:page;" filled="f" stroked="f" coordsize="21600,21600" o:gfxdata="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DWBltdwAAAAL&#10;AQAADwAAAAAAAAABACAAAAAiAAAAZHJzL2Rvd25yZXYueG1sUEsBAhQAFAAAAAgAh07iQNShzSim&#10;AQAARQMAAA4AAAAAAAAAAQAgAAAAKwEAAGRycy9lMm9Eb2MueG1sUEsFBgAAAAAGAAYAWQEAAEMF&#10;AAAAAA==&#10;">
                <v:fill on="f" focussize="0,0"/>
                <v:stroke on="f"/>
                <v:imagedata o:title=""/>
                <o:lock v:ext="edit" aspectratio="f"/>
                <v:textbox>
                  <w:txbxContent>
                    <w:p w14:paraId="17541570">
                      <w:pPr>
                        <w:rPr>
                          <w:rFonts w:ascii="黑体" w:hAnsi="黑体" w:eastAsia="黑体"/>
                          <w:color w:val="FFFF00"/>
                          <w:sz w:val="15"/>
                        </w:rPr>
                      </w:pPr>
                      <w:r>
                        <w:rPr>
                          <w:rFonts w:ascii="黑体" w:hAnsi="黑体" w:eastAsia="黑体"/>
                          <w:color w:val="FFFF00"/>
                          <w:sz w:val="15"/>
                        </w:rPr>
                        <w:t>马小郢</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84192" behindDoc="0" locked="0" layoutInCell="1" allowOverlap="1">
                <wp:simplePos x="0" y="0"/>
                <wp:positionH relativeFrom="column">
                  <wp:posOffset>5322570</wp:posOffset>
                </wp:positionH>
                <wp:positionV relativeFrom="paragraph">
                  <wp:posOffset>942975</wp:posOffset>
                </wp:positionV>
                <wp:extent cx="748030" cy="273685"/>
                <wp:effectExtent l="0" t="0" r="0" b="0"/>
                <wp:wrapNone/>
                <wp:docPr id="211" name="矩形 9523"/>
                <wp:cNvGraphicFramePr/>
                <a:graphic xmlns:a="http://schemas.openxmlformats.org/drawingml/2006/main">
                  <a:graphicData uri="http://schemas.microsoft.com/office/word/2010/wordprocessingShape">
                    <wps:wsp>
                      <wps:cNvSpPr/>
                      <wps:spPr>
                        <a:xfrm>
                          <a:off x="0" y="0"/>
                          <a:ext cx="748030" cy="273685"/>
                        </a:xfrm>
                        <a:prstGeom prst="rect">
                          <a:avLst/>
                        </a:prstGeom>
                        <a:noFill/>
                        <a:ln>
                          <a:noFill/>
                        </a:ln>
                      </wps:spPr>
                      <wps:txbx>
                        <w:txbxContent>
                          <w:p w14:paraId="3F93E9A2">
                            <w:pPr>
                              <w:rPr>
                                <w:rFonts w:ascii="黑体" w:hAnsi="黑体" w:eastAsia="黑体"/>
                                <w:color w:val="FFFF00"/>
                                <w:sz w:val="15"/>
                              </w:rPr>
                            </w:pPr>
                            <w:r>
                              <w:rPr>
                                <w:rFonts w:ascii="黑体" w:hAnsi="黑体" w:eastAsia="黑体"/>
                                <w:color w:val="FFFF00"/>
                                <w:sz w:val="15"/>
                              </w:rPr>
                              <w:t>马新庄</w:t>
                            </w:r>
                          </w:p>
                        </w:txbxContent>
                      </wps:txbx>
                      <wps:bodyPr upright="1"/>
                    </wps:wsp>
                  </a:graphicData>
                </a:graphic>
              </wp:anchor>
            </w:drawing>
          </mc:Choice>
          <mc:Fallback>
            <w:pict>
              <v:rect id="矩形 9523" o:spid="_x0000_s1026" o:spt="1" style="position:absolute;left:0pt;margin-left:419.1pt;margin-top:74.25pt;height:21.55pt;width:58.9pt;z-index:251784192;mso-width-relative:page;mso-height-relative:page;" filled="f" stroked="f" coordsize="21600,21600" o:gfxdata="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ItCZb2wAAAAsB&#10;AAAPAAAAAAAAAAEAIAAAACIAAABkcnMvZG93bnJldi54bWxQSwECFAAUAAAACACHTuJAolN5F6YB&#10;AABFAwAADgAAAAAAAAABACAAAAAqAQAAZHJzL2Uyb0RvYy54bWxQSwUGAAAAAAYABgBZAQAAQgUA&#10;AAAA&#10;">
                <v:fill on="f" focussize="0,0"/>
                <v:stroke on="f"/>
                <v:imagedata o:title=""/>
                <o:lock v:ext="edit" aspectratio="f"/>
                <v:textbox>
                  <w:txbxContent>
                    <w:p w14:paraId="3F93E9A2">
                      <w:pPr>
                        <w:rPr>
                          <w:rFonts w:ascii="黑体" w:hAnsi="黑体" w:eastAsia="黑体"/>
                          <w:color w:val="FFFF00"/>
                          <w:sz w:val="15"/>
                        </w:rPr>
                      </w:pPr>
                      <w:r>
                        <w:rPr>
                          <w:rFonts w:ascii="黑体" w:hAnsi="黑体" w:eastAsia="黑体"/>
                          <w:color w:val="FFFF00"/>
                          <w:sz w:val="15"/>
                        </w:rPr>
                        <w:t>马新庄</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83168" behindDoc="0" locked="0" layoutInCell="1" allowOverlap="1">
                <wp:simplePos x="0" y="0"/>
                <wp:positionH relativeFrom="column">
                  <wp:posOffset>5247640</wp:posOffset>
                </wp:positionH>
                <wp:positionV relativeFrom="paragraph">
                  <wp:posOffset>1144905</wp:posOffset>
                </wp:positionV>
                <wp:extent cx="748030" cy="273685"/>
                <wp:effectExtent l="0" t="0" r="0" b="0"/>
                <wp:wrapNone/>
                <wp:docPr id="210" name="矩形 9522"/>
                <wp:cNvGraphicFramePr/>
                <a:graphic xmlns:a="http://schemas.openxmlformats.org/drawingml/2006/main">
                  <a:graphicData uri="http://schemas.microsoft.com/office/word/2010/wordprocessingShape">
                    <wps:wsp>
                      <wps:cNvSpPr/>
                      <wps:spPr>
                        <a:xfrm>
                          <a:off x="0" y="0"/>
                          <a:ext cx="748030" cy="273685"/>
                        </a:xfrm>
                        <a:prstGeom prst="rect">
                          <a:avLst/>
                        </a:prstGeom>
                        <a:noFill/>
                        <a:ln>
                          <a:noFill/>
                        </a:ln>
                      </wps:spPr>
                      <wps:txbx>
                        <w:txbxContent>
                          <w:p w14:paraId="24739988">
                            <w:pPr>
                              <w:rPr>
                                <w:rFonts w:ascii="黑体" w:hAnsi="黑体" w:eastAsia="黑体"/>
                                <w:color w:val="FFFF00"/>
                                <w:sz w:val="15"/>
                              </w:rPr>
                            </w:pPr>
                            <w:r>
                              <w:rPr>
                                <w:rFonts w:hint="eastAsia" w:ascii="黑体" w:hAnsi="黑体" w:eastAsia="黑体"/>
                                <w:color w:val="FFFF00"/>
                                <w:sz w:val="15"/>
                                <w:lang w:val="en-US" w:eastAsia="zh-CN"/>
                              </w:rPr>
                              <w:t>河东</w:t>
                            </w:r>
                            <w:r>
                              <w:rPr>
                                <w:rFonts w:ascii="黑体" w:hAnsi="黑体" w:eastAsia="黑体"/>
                                <w:color w:val="FFFF00"/>
                                <w:sz w:val="15"/>
                              </w:rPr>
                              <w:t>新村中区</w:t>
                            </w:r>
                          </w:p>
                        </w:txbxContent>
                      </wps:txbx>
                      <wps:bodyPr upright="1"/>
                    </wps:wsp>
                  </a:graphicData>
                </a:graphic>
              </wp:anchor>
            </w:drawing>
          </mc:Choice>
          <mc:Fallback>
            <w:pict>
              <v:rect id="矩形 9522" o:spid="_x0000_s1026" o:spt="1" style="position:absolute;left:0pt;margin-left:413.2pt;margin-top:90.15pt;height:21.55pt;width:58.9pt;z-index:251783168;mso-width-relative:page;mso-height-relative:page;" filled="f" stroked="f" coordsize="21600,21600" o:gfxdata="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GBr2TfbAAAACwEA&#10;AA8AAAAAAAAAAQAgAAAAIgAAAGRycy9kb3ducmV2LnhtbFBLAQIUABQAAAAIAIdO4kAc9KshpQEA&#10;AEUDAAAOAAAAAAAAAAEAIAAAACoBAABkcnMvZTJvRG9jLnhtbFBLBQYAAAAABgAGAFkBAABBBQAA&#10;AAA=&#10;">
                <v:fill on="f" focussize="0,0"/>
                <v:stroke on="f"/>
                <v:imagedata o:title=""/>
                <o:lock v:ext="edit" aspectratio="f"/>
                <v:textbox>
                  <w:txbxContent>
                    <w:p w14:paraId="24739988">
                      <w:pPr>
                        <w:rPr>
                          <w:rFonts w:ascii="黑体" w:hAnsi="黑体" w:eastAsia="黑体"/>
                          <w:color w:val="FFFF00"/>
                          <w:sz w:val="15"/>
                        </w:rPr>
                      </w:pPr>
                      <w:r>
                        <w:rPr>
                          <w:rFonts w:hint="eastAsia" w:ascii="黑体" w:hAnsi="黑体" w:eastAsia="黑体"/>
                          <w:color w:val="FFFF00"/>
                          <w:sz w:val="15"/>
                          <w:lang w:val="en-US" w:eastAsia="zh-CN"/>
                        </w:rPr>
                        <w:t>河东</w:t>
                      </w:r>
                      <w:r>
                        <w:rPr>
                          <w:rFonts w:ascii="黑体" w:hAnsi="黑体" w:eastAsia="黑体"/>
                          <w:color w:val="FFFF00"/>
                          <w:sz w:val="15"/>
                        </w:rPr>
                        <w:t>新村中区</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82144" behindDoc="0" locked="0" layoutInCell="1" allowOverlap="1">
                <wp:simplePos x="0" y="0"/>
                <wp:positionH relativeFrom="column">
                  <wp:posOffset>5824855</wp:posOffset>
                </wp:positionH>
                <wp:positionV relativeFrom="paragraph">
                  <wp:posOffset>1279525</wp:posOffset>
                </wp:positionV>
                <wp:extent cx="748030" cy="273685"/>
                <wp:effectExtent l="0" t="0" r="0" b="0"/>
                <wp:wrapNone/>
                <wp:docPr id="209" name="矩形 9521"/>
                <wp:cNvGraphicFramePr/>
                <a:graphic xmlns:a="http://schemas.openxmlformats.org/drawingml/2006/main">
                  <a:graphicData uri="http://schemas.microsoft.com/office/word/2010/wordprocessingShape">
                    <wps:wsp>
                      <wps:cNvSpPr/>
                      <wps:spPr>
                        <a:xfrm>
                          <a:off x="0" y="0"/>
                          <a:ext cx="748030" cy="273685"/>
                        </a:xfrm>
                        <a:prstGeom prst="rect">
                          <a:avLst/>
                        </a:prstGeom>
                        <a:noFill/>
                        <a:ln>
                          <a:noFill/>
                        </a:ln>
                      </wps:spPr>
                      <wps:txbx>
                        <w:txbxContent>
                          <w:p w14:paraId="054F9F9E">
                            <w:pPr>
                              <w:rPr>
                                <w:rFonts w:ascii="黑体" w:hAnsi="黑体" w:eastAsia="黑体"/>
                                <w:color w:val="FFFF00"/>
                                <w:sz w:val="15"/>
                              </w:rPr>
                            </w:pPr>
                            <w:r>
                              <w:rPr>
                                <w:rFonts w:hint="eastAsia" w:ascii="黑体" w:hAnsi="黑体" w:eastAsia="黑体"/>
                                <w:color w:val="FFFF00"/>
                                <w:sz w:val="15"/>
                                <w:lang w:val="en-US" w:eastAsia="zh-CN"/>
                              </w:rPr>
                              <w:t>河东</w:t>
                            </w:r>
                            <w:r>
                              <w:rPr>
                                <w:rFonts w:ascii="黑体" w:hAnsi="黑体" w:eastAsia="黑体"/>
                                <w:color w:val="FFFF00"/>
                                <w:sz w:val="15"/>
                              </w:rPr>
                              <w:t>新村东区</w:t>
                            </w:r>
                          </w:p>
                        </w:txbxContent>
                      </wps:txbx>
                      <wps:bodyPr upright="1"/>
                    </wps:wsp>
                  </a:graphicData>
                </a:graphic>
              </wp:anchor>
            </w:drawing>
          </mc:Choice>
          <mc:Fallback>
            <w:pict>
              <v:rect id="矩形 9521" o:spid="_x0000_s1026" o:spt="1" style="position:absolute;left:0pt;margin-left:458.65pt;margin-top:100.75pt;height:21.55pt;width:58.9pt;z-index:251782144;mso-width-relative:page;mso-height-relative:page;" filled="f" stroked="f" coordsize="21600,21600" o:gfxdata="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B/lC7N3AAAAAwB&#10;AAAPAAAAAAAAAAEAIAAAACIAAABkcnMvZG93bnJldi54bWxQSwECFAAUAAAACACHTuJATECkfqUB&#10;AABFAwAADgAAAAAAAAABACAAAAArAQAAZHJzL2Uyb0RvYy54bWxQSwUGAAAAAAYABgBZAQAAQgUA&#10;AAAA&#10;">
                <v:fill on="f" focussize="0,0"/>
                <v:stroke on="f"/>
                <v:imagedata o:title=""/>
                <o:lock v:ext="edit" aspectratio="f"/>
                <v:textbox>
                  <w:txbxContent>
                    <w:p w14:paraId="054F9F9E">
                      <w:pPr>
                        <w:rPr>
                          <w:rFonts w:ascii="黑体" w:hAnsi="黑体" w:eastAsia="黑体"/>
                          <w:color w:val="FFFF00"/>
                          <w:sz w:val="15"/>
                        </w:rPr>
                      </w:pPr>
                      <w:r>
                        <w:rPr>
                          <w:rFonts w:hint="eastAsia" w:ascii="黑体" w:hAnsi="黑体" w:eastAsia="黑体"/>
                          <w:color w:val="FFFF00"/>
                          <w:sz w:val="15"/>
                          <w:lang w:val="en-US" w:eastAsia="zh-CN"/>
                        </w:rPr>
                        <w:t>河东</w:t>
                      </w:r>
                      <w:r>
                        <w:rPr>
                          <w:rFonts w:ascii="黑体" w:hAnsi="黑体" w:eastAsia="黑体"/>
                          <w:color w:val="FFFF00"/>
                          <w:sz w:val="15"/>
                        </w:rPr>
                        <w:t>新村东区</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81120" behindDoc="0" locked="0" layoutInCell="1" allowOverlap="1">
                <wp:simplePos x="0" y="0"/>
                <wp:positionH relativeFrom="column">
                  <wp:posOffset>5206365</wp:posOffset>
                </wp:positionH>
                <wp:positionV relativeFrom="paragraph">
                  <wp:posOffset>1480185</wp:posOffset>
                </wp:positionV>
                <wp:extent cx="1065530" cy="346710"/>
                <wp:effectExtent l="0" t="0" r="0" b="0"/>
                <wp:wrapNone/>
                <wp:docPr id="208" name="矩形 9520"/>
                <wp:cNvGraphicFramePr/>
                <a:graphic xmlns:a="http://schemas.openxmlformats.org/drawingml/2006/main">
                  <a:graphicData uri="http://schemas.microsoft.com/office/word/2010/wordprocessingShape">
                    <wps:wsp>
                      <wps:cNvSpPr/>
                      <wps:spPr>
                        <a:xfrm>
                          <a:off x="0" y="0"/>
                          <a:ext cx="1065530" cy="346710"/>
                        </a:xfrm>
                        <a:prstGeom prst="rect">
                          <a:avLst/>
                        </a:prstGeom>
                        <a:noFill/>
                        <a:ln>
                          <a:noFill/>
                        </a:ln>
                      </wps:spPr>
                      <wps:txbx>
                        <w:txbxContent>
                          <w:p w14:paraId="1427396D">
                            <w:pPr>
                              <w:spacing w:line="0" w:lineRule="atLeast"/>
                              <w:rPr>
                                <w:rFonts w:ascii="黑体" w:hAnsi="黑体" w:eastAsia="黑体"/>
                                <w:color w:val="FFFF00"/>
                                <w:sz w:val="15"/>
                              </w:rPr>
                            </w:pPr>
                            <w:r>
                              <w:rPr>
                                <w:rFonts w:ascii="黑体" w:hAnsi="黑体" w:eastAsia="黑体"/>
                                <w:color w:val="FFFF00"/>
                                <w:sz w:val="15"/>
                              </w:rPr>
                              <w:t>毛集镇实验区毛集镇河西社区卫生服务站</w:t>
                            </w:r>
                          </w:p>
                        </w:txbxContent>
                      </wps:txbx>
                      <wps:bodyPr upright="1"/>
                    </wps:wsp>
                  </a:graphicData>
                </a:graphic>
              </wp:anchor>
            </w:drawing>
          </mc:Choice>
          <mc:Fallback>
            <w:pict>
              <v:rect id="矩形 9520" o:spid="_x0000_s1026" o:spt="1" style="position:absolute;left:0pt;margin-left:409.95pt;margin-top:116.55pt;height:27.3pt;width:83.9pt;z-index:251781120;mso-width-relative:page;mso-height-relative:page;" filled="f" stroked="f" coordsize="21600,21600" o:gfxdata="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G9amGrbAAAACwEA&#10;AA8AAAAAAAAAAQAgAAAAIgAAAGRycy9kb3ducmV2LnhtbFBLAQIUABQAAAAIAIdO4kCPtq6jpQEA&#10;AEYDAAAOAAAAAAAAAAEAIAAAACoBAABkcnMvZTJvRG9jLnhtbFBLBQYAAAAABgAGAFkBAABBBQAA&#10;AAA=&#10;">
                <v:fill on="f" focussize="0,0"/>
                <v:stroke on="f"/>
                <v:imagedata o:title=""/>
                <o:lock v:ext="edit" aspectratio="f"/>
                <v:textbox>
                  <w:txbxContent>
                    <w:p w14:paraId="1427396D">
                      <w:pPr>
                        <w:spacing w:line="0" w:lineRule="atLeast"/>
                        <w:rPr>
                          <w:rFonts w:ascii="黑体" w:hAnsi="黑体" w:eastAsia="黑体"/>
                          <w:color w:val="FFFF00"/>
                          <w:sz w:val="15"/>
                        </w:rPr>
                      </w:pPr>
                      <w:r>
                        <w:rPr>
                          <w:rFonts w:ascii="黑体" w:hAnsi="黑体" w:eastAsia="黑体"/>
                          <w:color w:val="FFFF00"/>
                          <w:sz w:val="15"/>
                        </w:rPr>
                        <w:t>毛集镇实验区毛集镇河西社区卫生服务站</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80096" behindDoc="0" locked="0" layoutInCell="1" allowOverlap="1">
                <wp:simplePos x="0" y="0"/>
                <wp:positionH relativeFrom="column">
                  <wp:posOffset>5828665</wp:posOffset>
                </wp:positionH>
                <wp:positionV relativeFrom="paragraph">
                  <wp:posOffset>1400810</wp:posOffset>
                </wp:positionV>
                <wp:extent cx="71755" cy="71755"/>
                <wp:effectExtent l="4445" t="4445" r="12700" b="12700"/>
                <wp:wrapNone/>
                <wp:docPr id="207" name="椭圆 9519"/>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19" o:spid="_x0000_s1026" o:spt="3" type="#_x0000_t3" style="position:absolute;left:0pt;margin-left:458.95pt;margin-top:110.3pt;height:5.65pt;width:5.65pt;z-index:251780096;mso-width-relative:page;mso-height-relative:page;" fillcolor="#FF0000" filled="t" stroked="t" coordsize="21600,21600" o:gfxdata="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7/1TR2AAAAAsBAAAPAAAAAAAAAAEAIAAAACIAAABkcnMvZG93bnJldi54bWxQSwEC&#10;FAAUAAAACACHTuJAl6X1gPQBAAAZBAAADgAAAAAAAAABACAAAAAn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79072" behindDoc="0" locked="0" layoutInCell="1" allowOverlap="1">
                <wp:simplePos x="0" y="0"/>
                <wp:positionH relativeFrom="column">
                  <wp:posOffset>5652135</wp:posOffset>
                </wp:positionH>
                <wp:positionV relativeFrom="paragraph">
                  <wp:posOffset>1472565</wp:posOffset>
                </wp:positionV>
                <wp:extent cx="71755" cy="71755"/>
                <wp:effectExtent l="4445" t="4445" r="12700" b="12700"/>
                <wp:wrapNone/>
                <wp:docPr id="206" name="椭圆 9518"/>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18" o:spid="_x0000_s1026" o:spt="3" type="#_x0000_t3" style="position:absolute;left:0pt;margin-left:445.05pt;margin-top:115.95pt;height:5.65pt;width:5.65pt;z-index:251779072;mso-width-relative:page;mso-height-relative:page;" fillcolor="#FF0000" filled="t" stroked="t" coordsize="21600,21600" o:gfxdata="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HAqgU1wAAAAsBAAAPAAAAAAAAAAEAIAAAACIAAABkcnMvZG93bnJldi54bWxQSwEC&#10;FAAUAAAACACHTuJAPbVThPUBAAAZBAAADgAAAAAAAAABACAAAAAm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78048" behindDoc="0" locked="0" layoutInCell="1" allowOverlap="1">
                <wp:simplePos x="0" y="0"/>
                <wp:positionH relativeFrom="column">
                  <wp:posOffset>5255895</wp:posOffset>
                </wp:positionH>
                <wp:positionV relativeFrom="paragraph">
                  <wp:posOffset>1266190</wp:posOffset>
                </wp:positionV>
                <wp:extent cx="71755" cy="71755"/>
                <wp:effectExtent l="4445" t="4445" r="12700" b="12700"/>
                <wp:wrapNone/>
                <wp:docPr id="205" name="椭圆 9517"/>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17" o:spid="_x0000_s1026" o:spt="3" type="#_x0000_t3" style="position:absolute;left:0pt;margin-left:413.85pt;margin-top:99.7pt;height:5.65pt;width:5.65pt;z-index:251778048;mso-width-relative:page;mso-height-relative:page;" fillcolor="#FF0000" filled="t" stroked="t" coordsize="21600,21600" o:gfxdata="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AYwKv2AAAAAsBAAAPAAAAAAAAAAEAIAAAACIAAABkcnMvZG93bnJldi54bWxQSwEC&#10;FAAUAAAACACHTuJAIBOfkfQBAAAZBAAADgAAAAAAAAABACAAAAAn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77024" behindDoc="0" locked="0" layoutInCell="1" allowOverlap="1">
                <wp:simplePos x="0" y="0"/>
                <wp:positionH relativeFrom="column">
                  <wp:posOffset>5345430</wp:posOffset>
                </wp:positionH>
                <wp:positionV relativeFrom="paragraph">
                  <wp:posOffset>1091565</wp:posOffset>
                </wp:positionV>
                <wp:extent cx="71755" cy="71755"/>
                <wp:effectExtent l="4445" t="4445" r="12700" b="12700"/>
                <wp:wrapNone/>
                <wp:docPr id="204" name="椭圆 9516"/>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16" o:spid="_x0000_s1026" o:spt="3" type="#_x0000_t3" style="position:absolute;left:0pt;margin-left:420.9pt;margin-top:85.95pt;height:5.65pt;width:5.65pt;z-index:251777024;mso-width-relative:page;mso-height-relative:page;" fillcolor="#FF0000" filled="t" stroked="t" coordsize="21600,21600" o:gfxdata="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nnnNcNgAAAALAQAADwAAAAAAAAABACAAAAAiAAAAZHJzL2Rvd25yZXYueG1sUEsB&#10;AhQAFAAAAAgAh07iQIoDOZX1AQAAGQQAAA4AAAAAAAAAAQAgAAAAJw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76000" behindDoc="0" locked="0" layoutInCell="1" allowOverlap="1">
                <wp:simplePos x="0" y="0"/>
                <wp:positionH relativeFrom="column">
                  <wp:posOffset>4435475</wp:posOffset>
                </wp:positionH>
                <wp:positionV relativeFrom="paragraph">
                  <wp:posOffset>1764030</wp:posOffset>
                </wp:positionV>
                <wp:extent cx="71755" cy="71755"/>
                <wp:effectExtent l="4445" t="4445" r="12700" b="12700"/>
                <wp:wrapNone/>
                <wp:docPr id="203" name="椭圆 9515"/>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15" o:spid="_x0000_s1026" o:spt="3" type="#_x0000_t3" style="position:absolute;left:0pt;margin-left:349.25pt;margin-top:138.9pt;height:5.65pt;width:5.65pt;z-index:251776000;mso-width-relative:page;mso-height-relative:page;" fillcolor="#FF0000" filled="t" stroked="t" coordsize="21600,21600" o:gfxdata="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KEf2NNgAAAALAQAADwAAAAAAAAABACAAAAAiAAAAZHJzL2Rvd25yZXYueG1sUEsB&#10;AhQAFAAAAAgAh07iQEIAhjT1AQAAGQQAAA4AAAAAAAAAAQAgAAAAJw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74976" behindDoc="0" locked="0" layoutInCell="1" allowOverlap="1">
                <wp:simplePos x="0" y="0"/>
                <wp:positionH relativeFrom="column">
                  <wp:posOffset>4639310</wp:posOffset>
                </wp:positionH>
                <wp:positionV relativeFrom="paragraph">
                  <wp:posOffset>1713865</wp:posOffset>
                </wp:positionV>
                <wp:extent cx="71755" cy="71755"/>
                <wp:effectExtent l="4445" t="4445" r="12700" b="12700"/>
                <wp:wrapNone/>
                <wp:docPr id="202" name="椭圆 9514"/>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14" o:spid="_x0000_s1026" o:spt="3" type="#_x0000_t3" style="position:absolute;left:0pt;margin-left:365.3pt;margin-top:134.95pt;height:5.65pt;width:5.65pt;z-index:251774976;mso-width-relative:page;mso-height-relative:page;" fillcolor="#FF0000" filled="t" stroked="t" coordsize="21600,21600" o:gfxdata="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VyjsCdgAAAALAQAADwAAAAAAAAABACAAAAAiAAAAZHJzL2Rvd25yZXYueG1sUEsB&#10;AhQAFAAAAAgAh07iQOgQIDD1AQAAGQQAAA4AAAAAAAAAAQAgAAAAJw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73952" behindDoc="0" locked="0" layoutInCell="1" allowOverlap="1">
                <wp:simplePos x="0" y="0"/>
                <wp:positionH relativeFrom="column">
                  <wp:posOffset>4846320</wp:posOffset>
                </wp:positionH>
                <wp:positionV relativeFrom="paragraph">
                  <wp:posOffset>1701165</wp:posOffset>
                </wp:positionV>
                <wp:extent cx="71755" cy="71755"/>
                <wp:effectExtent l="4445" t="4445" r="12700" b="12700"/>
                <wp:wrapNone/>
                <wp:docPr id="201" name="椭圆 9513"/>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13" o:spid="_x0000_s1026" o:spt="3" type="#_x0000_t3" style="position:absolute;left:0pt;margin-left:381.6pt;margin-top:133.95pt;height:5.65pt;width:5.65pt;z-index:251773952;mso-width-relative:page;mso-height-relative:page;" fillcolor="#FF0000" filled="t" stroked="t" coordsize="21600,21600" o:gfxdata="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OwjidvZAAAACwEAAA8AAAAAAAAAAQAgAAAAIgAAAGRycy9kb3ducmV2LnhtbFBL&#10;AQIUABQAAAAIAIdO4kCIUQeD9QEAABkEAAAOAAAAAAAAAAEAIAAAACgBAABkcnMvZTJvRG9jLnht&#10;bFBLBQYAAAAABgAGAFkBAACPBQ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72928" behindDoc="0" locked="0" layoutInCell="1" allowOverlap="1">
                <wp:simplePos x="0" y="0"/>
                <wp:positionH relativeFrom="column">
                  <wp:posOffset>4909820</wp:posOffset>
                </wp:positionH>
                <wp:positionV relativeFrom="paragraph">
                  <wp:posOffset>656590</wp:posOffset>
                </wp:positionV>
                <wp:extent cx="71755" cy="71755"/>
                <wp:effectExtent l="4445" t="4445" r="12700" b="12700"/>
                <wp:wrapNone/>
                <wp:docPr id="200" name="椭圆 9512"/>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12" o:spid="_x0000_s1026" o:spt="3" type="#_x0000_t3" style="position:absolute;left:0pt;margin-left:386.6pt;margin-top:51.7pt;height:5.65pt;width:5.65pt;z-index:251772928;mso-width-relative:page;mso-height-relative:page;" fillcolor="#FF0000" filled="t" stroked="t" coordsize="21600,21600" o:gfxdata="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yxbwT2AAAAAsBAAAPAAAAAAAAAAEAIAAAACIAAABkcnMvZG93bnJldi54bWxQSwEC&#10;FAAUAAAACACHTuJAIkGhh/QBAAAZBAAADgAAAAAAAAABACAAAAAn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71904" behindDoc="0" locked="0" layoutInCell="1" allowOverlap="1">
                <wp:simplePos x="0" y="0"/>
                <wp:positionH relativeFrom="column">
                  <wp:posOffset>4782185</wp:posOffset>
                </wp:positionH>
                <wp:positionV relativeFrom="paragraph">
                  <wp:posOffset>611505</wp:posOffset>
                </wp:positionV>
                <wp:extent cx="71755" cy="71755"/>
                <wp:effectExtent l="4445" t="4445" r="12700" b="12700"/>
                <wp:wrapNone/>
                <wp:docPr id="199" name="椭圆 9511"/>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11" o:spid="_x0000_s1026" o:spt="3" type="#_x0000_t3" style="position:absolute;left:0pt;margin-left:376.55pt;margin-top:48.15pt;height:5.65pt;width:5.65pt;z-index:251771904;mso-width-relative:page;mso-height-relative:page;" fillcolor="#FF0000" filled="t" stroked="t" coordsize="21600,21600" o:gfxdata="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5SRrF2AAAAAoBAAAPAAAAAAAAAAEAIAAAACIAAABkcnMvZG93bnJldi54bWxQSwEC&#10;FAAUAAAACACHTuJAHxPQgvQBAAAZBAAADgAAAAAAAAABACAAAAAn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70880" behindDoc="0" locked="0" layoutInCell="1" allowOverlap="1">
                <wp:simplePos x="0" y="0"/>
                <wp:positionH relativeFrom="column">
                  <wp:posOffset>3712210</wp:posOffset>
                </wp:positionH>
                <wp:positionV relativeFrom="paragraph">
                  <wp:posOffset>1302385</wp:posOffset>
                </wp:positionV>
                <wp:extent cx="71755" cy="71755"/>
                <wp:effectExtent l="4445" t="4445" r="12700" b="12700"/>
                <wp:wrapNone/>
                <wp:docPr id="198" name="椭圆 9510"/>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10" o:spid="_x0000_s1026" o:spt="3" type="#_x0000_t3" style="position:absolute;left:0pt;margin-left:292.3pt;margin-top:102.55pt;height:5.65pt;width:5.65pt;z-index:251770880;mso-width-relative:page;mso-height-relative:page;" fillcolor="#FF0000" filled="t" stroked="t" coordsize="21600,21600" o:gfxdata="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Z+IPfYAAAACwEAAA8AAAAAAAAAAQAgAAAAIgAAAGRycy9kb3ducmV2LnhtbFBLAQIU&#10;ABQAAAAIAIdO4kC1A3aG8wEAABkEAAAOAAAAAAAAAAEAIAAAACcBAABkcnMvZTJvRG9jLnhtbFBL&#10;BQYAAAAABgAGAFkBAACMBQ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69856" behindDoc="0" locked="0" layoutInCell="1" allowOverlap="1">
                <wp:simplePos x="0" y="0"/>
                <wp:positionH relativeFrom="column">
                  <wp:posOffset>4594225</wp:posOffset>
                </wp:positionH>
                <wp:positionV relativeFrom="paragraph">
                  <wp:posOffset>1943100</wp:posOffset>
                </wp:positionV>
                <wp:extent cx="71755" cy="71755"/>
                <wp:effectExtent l="4445" t="4445" r="12700" b="12700"/>
                <wp:wrapNone/>
                <wp:docPr id="197" name="椭圆 9509"/>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09" o:spid="_x0000_s1026" o:spt="3" type="#_x0000_t3" style="position:absolute;left:0pt;margin-left:361.75pt;margin-top:153pt;height:5.65pt;width:5.65pt;z-index:251769856;mso-width-relative:page;mso-height-relative:page;" fillcolor="#FF0000" filled="t" stroked="t" coordsize="21600,21600" o:gfxdata="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Ped9f2AAAAAsBAAAPAAAAAAAAAAEAIAAAACIAAABkcnMvZG93bnJldi54bWxQSwEC&#10;FAAUAAAACACHTuJAHqM5w/QBAAAZBAAADgAAAAAAAAABACAAAAAn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68832" behindDoc="0" locked="0" layoutInCell="1" allowOverlap="1">
                <wp:simplePos x="0" y="0"/>
                <wp:positionH relativeFrom="column">
                  <wp:posOffset>4765675</wp:posOffset>
                </wp:positionH>
                <wp:positionV relativeFrom="paragraph">
                  <wp:posOffset>1844675</wp:posOffset>
                </wp:positionV>
                <wp:extent cx="71755" cy="71755"/>
                <wp:effectExtent l="4445" t="4445" r="12700" b="12700"/>
                <wp:wrapNone/>
                <wp:docPr id="196" name="椭圆 9508"/>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08" o:spid="_x0000_s1026" o:spt="3" type="#_x0000_t3" style="position:absolute;left:0pt;margin-left:375.25pt;margin-top:145.25pt;height:5.65pt;width:5.65pt;z-index:251768832;mso-width-relative:page;mso-height-relative:page;" fillcolor="#FF0000" filled="t" stroked="t" coordsize="21600,21600" o:gfxdata="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U8oJHXAAAACwEAAA8AAAAAAAAAAQAgAAAAIgAAAGRycy9kb3ducmV2LnhtbFBLAQIU&#10;ABQAAAAIAIdO4kC0s5/H9AEAABkEAAAOAAAAAAAAAAEAIAAAACYBAABkcnMvZTJvRG9jLnhtbFBL&#10;BQYAAAAABgAGAFkBAACMBQ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67808" behindDoc="0" locked="0" layoutInCell="1" allowOverlap="1">
                <wp:simplePos x="0" y="0"/>
                <wp:positionH relativeFrom="column">
                  <wp:posOffset>4960620</wp:posOffset>
                </wp:positionH>
                <wp:positionV relativeFrom="paragraph">
                  <wp:posOffset>1073150</wp:posOffset>
                </wp:positionV>
                <wp:extent cx="71755" cy="71755"/>
                <wp:effectExtent l="4445" t="4445" r="12700" b="12700"/>
                <wp:wrapNone/>
                <wp:docPr id="195" name="椭圆 9507"/>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07" o:spid="_x0000_s1026" o:spt="3" type="#_x0000_t3" style="position:absolute;left:0pt;margin-left:390.6pt;margin-top:84.5pt;height:5.65pt;width:5.65pt;z-index:251767808;mso-width-relative:page;mso-height-relative:page;" fillcolor="#FF0000" filled="t" stroked="t" coordsize="21600,21600" o:gfxdata="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QEHJLYAAAACwEAAA8AAAAAAAAAAQAgAAAAIgAAAGRycy9kb3ducmV2LnhtbFBLAQIU&#10;ABQAAAAIAIdO4kCpFVPS8wEAABkEAAAOAAAAAAAAAAEAIAAAACcBAABkcnMvZTJvRG9jLnhtbFBL&#10;BQYAAAAABgAGAFkBAACMBQ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66784" behindDoc="0" locked="0" layoutInCell="1" allowOverlap="1">
                <wp:simplePos x="0" y="0"/>
                <wp:positionH relativeFrom="column">
                  <wp:posOffset>4729480</wp:posOffset>
                </wp:positionH>
                <wp:positionV relativeFrom="paragraph">
                  <wp:posOffset>728345</wp:posOffset>
                </wp:positionV>
                <wp:extent cx="71755" cy="71755"/>
                <wp:effectExtent l="4445" t="4445" r="12700" b="12700"/>
                <wp:wrapNone/>
                <wp:docPr id="194" name="椭圆 9506"/>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06" o:spid="_x0000_s1026" o:spt="3" type="#_x0000_t3" style="position:absolute;left:0pt;margin-left:372.4pt;margin-top:57.35pt;height:5.65pt;width:5.65pt;z-index:251766784;mso-width-relative:page;mso-height-relative:page;" fillcolor="#FF0000" filled="t" stroked="t" coordsize="21600,21600" o:gfxdata="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xKBe69gAAAALAQAADwAAAAAAAAABACAAAAAiAAAAZHJzL2Rvd25yZXYueG1sUEsB&#10;AhQAFAAAAAgAh07iQAMF9db1AQAAGQQAAA4AAAAAAAAAAQAgAAAAJw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65760" behindDoc="0" locked="0" layoutInCell="1" allowOverlap="1">
                <wp:simplePos x="0" y="0"/>
                <wp:positionH relativeFrom="column">
                  <wp:posOffset>4312285</wp:posOffset>
                </wp:positionH>
                <wp:positionV relativeFrom="paragraph">
                  <wp:posOffset>741680</wp:posOffset>
                </wp:positionV>
                <wp:extent cx="71755" cy="71755"/>
                <wp:effectExtent l="4445" t="4445" r="12700" b="12700"/>
                <wp:wrapNone/>
                <wp:docPr id="193" name="椭圆 9505"/>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05" o:spid="_x0000_s1026" o:spt="3" type="#_x0000_t3" style="position:absolute;left:0pt;margin-left:339.55pt;margin-top:58.4pt;height:5.65pt;width:5.65pt;z-index:251765760;mso-width-relative:page;mso-height-relative:page;" fillcolor="#FF0000" filled="t" stroked="t" coordsize="21600,21600" o:gfxdata="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714pI1wAAAAsBAAAPAAAAAAAAAAEAIAAAACIAAABkcnMvZG93bnJldi54bWxQSwEC&#10;FAAUAAAACACHTuJAywZKd/UBAAAZBAAADgAAAAAAAAABACAAAAAm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64736" behindDoc="0" locked="0" layoutInCell="1" allowOverlap="1">
                <wp:simplePos x="0" y="0"/>
                <wp:positionH relativeFrom="column">
                  <wp:posOffset>4213860</wp:posOffset>
                </wp:positionH>
                <wp:positionV relativeFrom="paragraph">
                  <wp:posOffset>885825</wp:posOffset>
                </wp:positionV>
                <wp:extent cx="71755" cy="71755"/>
                <wp:effectExtent l="4445" t="4445" r="12700" b="12700"/>
                <wp:wrapNone/>
                <wp:docPr id="192" name="椭圆 9504"/>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504" o:spid="_x0000_s1026" o:spt="3" type="#_x0000_t3" style="position:absolute;left:0pt;margin-left:331.8pt;margin-top:69.75pt;height:5.65pt;width:5.65pt;z-index:251764736;mso-width-relative:page;mso-height-relative:page;" fillcolor="#FF0000" filled="t" stroked="t" coordsize="21600,21600" o:gfxdata="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fWCg22AAAAAsBAAAPAAAAAAAAAAEAIAAAACIAAABkcnMvZG93bnJldi54bWxQSwEC&#10;FAAUAAAACACHTuJAYRbsc/QBAAAZBAAADgAAAAAAAAABACAAAAAn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63712" behindDoc="0" locked="0" layoutInCell="1" allowOverlap="1">
                <wp:simplePos x="0" y="0"/>
                <wp:positionH relativeFrom="column">
                  <wp:posOffset>5978525</wp:posOffset>
                </wp:positionH>
                <wp:positionV relativeFrom="paragraph">
                  <wp:posOffset>2085340</wp:posOffset>
                </wp:positionV>
                <wp:extent cx="653415" cy="273685"/>
                <wp:effectExtent l="0" t="0" r="0" b="0"/>
                <wp:wrapNone/>
                <wp:docPr id="191" name="矩形 9502"/>
                <wp:cNvGraphicFramePr/>
                <a:graphic xmlns:a="http://schemas.openxmlformats.org/drawingml/2006/main">
                  <a:graphicData uri="http://schemas.microsoft.com/office/word/2010/wordprocessingShape">
                    <wps:wsp>
                      <wps:cNvSpPr/>
                      <wps:spPr>
                        <a:xfrm>
                          <a:off x="0" y="0"/>
                          <a:ext cx="653415" cy="273685"/>
                        </a:xfrm>
                        <a:prstGeom prst="rect">
                          <a:avLst/>
                        </a:prstGeom>
                        <a:noFill/>
                        <a:ln>
                          <a:noFill/>
                        </a:ln>
                      </wps:spPr>
                      <wps:txbx>
                        <w:txbxContent>
                          <w:p w14:paraId="02E4773A">
                            <w:pPr>
                              <w:rPr>
                                <w:rFonts w:ascii="黑体" w:hAnsi="黑体" w:eastAsia="黑体"/>
                                <w:color w:val="FFFF00"/>
                                <w:sz w:val="15"/>
                              </w:rPr>
                            </w:pPr>
                            <w:r>
                              <w:rPr>
                                <w:rFonts w:ascii="黑体" w:hAnsi="黑体" w:eastAsia="黑体"/>
                                <w:color w:val="FFFF00"/>
                                <w:sz w:val="15"/>
                              </w:rPr>
                              <w:t>史家前楼</w:t>
                            </w:r>
                          </w:p>
                        </w:txbxContent>
                      </wps:txbx>
                      <wps:bodyPr upright="1"/>
                    </wps:wsp>
                  </a:graphicData>
                </a:graphic>
              </wp:anchor>
            </w:drawing>
          </mc:Choice>
          <mc:Fallback>
            <w:pict>
              <v:rect id="矩形 9502" o:spid="_x0000_s1026" o:spt="1" style="position:absolute;left:0pt;margin-left:470.75pt;margin-top:164.2pt;height:21.55pt;width:51.45pt;z-index:251763712;mso-width-relative:page;mso-height-relative:page;" filled="f" stroked="f" coordsize="21600,21600" o:gfxdata="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eoDesdwAAAAM&#10;AQAADwAAAAAAAAABACAAAAAiAAAAZHJzL2Rvd25yZXYueG1sUEsBAhQAFAAAAAgAh07iQAeQum+m&#10;AQAARQMAAA4AAAAAAAAAAQAgAAAAKwEAAGRycy9lMm9Eb2MueG1sUEsFBgAAAAAGAAYAWQEAAEMF&#10;AAAAAA==&#10;">
                <v:fill on="f" focussize="0,0"/>
                <v:stroke on="f"/>
                <v:imagedata o:title=""/>
                <o:lock v:ext="edit" aspectratio="f"/>
                <v:textbox>
                  <w:txbxContent>
                    <w:p w14:paraId="02E4773A">
                      <w:pPr>
                        <w:rPr>
                          <w:rFonts w:ascii="黑体" w:hAnsi="黑体" w:eastAsia="黑体"/>
                          <w:color w:val="FFFF00"/>
                          <w:sz w:val="15"/>
                        </w:rPr>
                      </w:pPr>
                      <w:r>
                        <w:rPr>
                          <w:rFonts w:ascii="黑体" w:hAnsi="黑体" w:eastAsia="黑体"/>
                          <w:color w:val="FFFF00"/>
                          <w:sz w:val="15"/>
                        </w:rPr>
                        <w:t>史家前楼</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62688" behindDoc="0" locked="0" layoutInCell="1" allowOverlap="1">
                <wp:simplePos x="0" y="0"/>
                <wp:positionH relativeFrom="column">
                  <wp:posOffset>5593080</wp:posOffset>
                </wp:positionH>
                <wp:positionV relativeFrom="paragraph">
                  <wp:posOffset>1713865</wp:posOffset>
                </wp:positionV>
                <wp:extent cx="599440" cy="273685"/>
                <wp:effectExtent l="0" t="0" r="0" b="0"/>
                <wp:wrapNone/>
                <wp:docPr id="190" name="矩形 9501"/>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24C17C60">
                            <w:pPr>
                              <w:rPr>
                                <w:rFonts w:ascii="黑体" w:hAnsi="黑体" w:eastAsia="黑体"/>
                                <w:color w:val="FFFF00"/>
                                <w:sz w:val="15"/>
                              </w:rPr>
                            </w:pPr>
                            <w:r>
                              <w:rPr>
                                <w:rFonts w:ascii="黑体" w:hAnsi="黑体" w:eastAsia="黑体"/>
                                <w:color w:val="FFFF00"/>
                                <w:sz w:val="15"/>
                              </w:rPr>
                              <w:t>刘</w:t>
                            </w:r>
                            <w:r>
                              <w:rPr>
                                <w:rFonts w:hint="eastAsia" w:ascii="黑体" w:hAnsi="黑体" w:eastAsia="黑体"/>
                                <w:color w:val="FFFF00"/>
                                <w:sz w:val="15"/>
                              </w:rPr>
                              <w:t>井</w:t>
                            </w:r>
                          </w:p>
                        </w:txbxContent>
                      </wps:txbx>
                      <wps:bodyPr upright="1"/>
                    </wps:wsp>
                  </a:graphicData>
                </a:graphic>
              </wp:anchor>
            </w:drawing>
          </mc:Choice>
          <mc:Fallback>
            <w:pict>
              <v:rect id="矩形 9501" o:spid="_x0000_s1026" o:spt="1" style="position:absolute;left:0pt;margin-left:440.4pt;margin-top:134.95pt;height:21.55pt;width:47.2pt;z-index:251762688;mso-width-relative:page;mso-height-relative:page;" filled="f" stroked="f" coordsize="21600,21600" o:gfxdata="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E0a3GvcAAAACwEA&#10;AA8AAAAAAAAAAQAgAAAAIgAAAGRycy9kb3ducmV2LnhtbFBLAQIUABQAAAAIAIdO4kAztMinpAEA&#10;AEUDAAAOAAAAAAAAAAEAIAAAACsBAABkcnMvZTJvRG9jLnhtbFBLBQYAAAAABgAGAFkBAABBBQAA&#10;AAA=&#10;">
                <v:fill on="f" focussize="0,0"/>
                <v:stroke on="f"/>
                <v:imagedata o:title=""/>
                <o:lock v:ext="edit" aspectratio="f"/>
                <v:textbox>
                  <w:txbxContent>
                    <w:p w14:paraId="24C17C60">
                      <w:pPr>
                        <w:rPr>
                          <w:rFonts w:ascii="黑体" w:hAnsi="黑体" w:eastAsia="黑体"/>
                          <w:color w:val="FFFF00"/>
                          <w:sz w:val="15"/>
                        </w:rPr>
                      </w:pPr>
                      <w:r>
                        <w:rPr>
                          <w:rFonts w:ascii="黑体" w:hAnsi="黑体" w:eastAsia="黑体"/>
                          <w:color w:val="FFFF00"/>
                          <w:sz w:val="15"/>
                        </w:rPr>
                        <w:t>刘</w:t>
                      </w:r>
                      <w:r>
                        <w:rPr>
                          <w:rFonts w:hint="eastAsia" w:ascii="黑体" w:hAnsi="黑体" w:eastAsia="黑体"/>
                          <w:color w:val="FFFF00"/>
                          <w:sz w:val="15"/>
                        </w:rPr>
                        <w:t>井</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61664" behindDoc="0" locked="0" layoutInCell="1" allowOverlap="1">
                <wp:simplePos x="0" y="0"/>
                <wp:positionH relativeFrom="column">
                  <wp:posOffset>5327650</wp:posOffset>
                </wp:positionH>
                <wp:positionV relativeFrom="paragraph">
                  <wp:posOffset>1855470</wp:posOffset>
                </wp:positionV>
                <wp:extent cx="599440" cy="273685"/>
                <wp:effectExtent l="0" t="0" r="0" b="0"/>
                <wp:wrapNone/>
                <wp:docPr id="189" name="矩形 9500"/>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10170D8A">
                            <w:pPr>
                              <w:rPr>
                                <w:rFonts w:ascii="黑体" w:hAnsi="黑体" w:eastAsia="黑体"/>
                                <w:color w:val="FFFF00"/>
                                <w:sz w:val="15"/>
                              </w:rPr>
                            </w:pPr>
                            <w:r>
                              <w:rPr>
                                <w:rFonts w:ascii="黑体" w:hAnsi="黑体" w:eastAsia="黑体"/>
                                <w:color w:val="FFFF00"/>
                                <w:sz w:val="15"/>
                              </w:rPr>
                              <w:t>大詹郢</w:t>
                            </w:r>
                          </w:p>
                        </w:txbxContent>
                      </wps:txbx>
                      <wps:bodyPr upright="1"/>
                    </wps:wsp>
                  </a:graphicData>
                </a:graphic>
              </wp:anchor>
            </w:drawing>
          </mc:Choice>
          <mc:Fallback>
            <w:pict>
              <v:rect id="矩形 9500" o:spid="_x0000_s1026" o:spt="1" style="position:absolute;left:0pt;margin-left:419.5pt;margin-top:146.1pt;height:21.55pt;width:47.2pt;z-index:251761664;mso-width-relative:page;mso-height-relative:page;" filled="f" stroked="f" coordsize="21600,21600" o:gfxdata="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RgLk23AAAAAsB&#10;AAAPAAAAAAAAAAEAIAAAACIAAABkcnMvZG93bnJldi54bWxQSwECFAAUAAAACACHTuJA66BYMaUB&#10;AABFAwAADgAAAAAAAAABACAAAAArAQAAZHJzL2Uyb0RvYy54bWxQSwUGAAAAAAYABgBZAQAAQgUA&#10;AAAA&#10;">
                <v:fill on="f" focussize="0,0"/>
                <v:stroke on="f"/>
                <v:imagedata o:title=""/>
                <o:lock v:ext="edit" aspectratio="f"/>
                <v:textbox>
                  <w:txbxContent>
                    <w:p w14:paraId="10170D8A">
                      <w:pPr>
                        <w:rPr>
                          <w:rFonts w:ascii="黑体" w:hAnsi="黑体" w:eastAsia="黑体"/>
                          <w:color w:val="FFFF00"/>
                          <w:sz w:val="15"/>
                        </w:rPr>
                      </w:pPr>
                      <w:r>
                        <w:rPr>
                          <w:rFonts w:ascii="黑体" w:hAnsi="黑体" w:eastAsia="黑体"/>
                          <w:color w:val="FFFF00"/>
                          <w:sz w:val="15"/>
                        </w:rPr>
                        <w:t>大詹郢</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59616" behindDoc="0" locked="0" layoutInCell="1" allowOverlap="1">
                <wp:simplePos x="0" y="0"/>
                <wp:positionH relativeFrom="column">
                  <wp:posOffset>4828540</wp:posOffset>
                </wp:positionH>
                <wp:positionV relativeFrom="paragraph">
                  <wp:posOffset>2118360</wp:posOffset>
                </wp:positionV>
                <wp:extent cx="1030605" cy="273685"/>
                <wp:effectExtent l="0" t="0" r="0" b="0"/>
                <wp:wrapNone/>
                <wp:docPr id="187" name="矩形 9498"/>
                <wp:cNvGraphicFramePr/>
                <a:graphic xmlns:a="http://schemas.openxmlformats.org/drawingml/2006/main">
                  <a:graphicData uri="http://schemas.microsoft.com/office/word/2010/wordprocessingShape">
                    <wps:wsp>
                      <wps:cNvSpPr/>
                      <wps:spPr>
                        <a:xfrm>
                          <a:off x="0" y="0"/>
                          <a:ext cx="1030605" cy="273685"/>
                        </a:xfrm>
                        <a:prstGeom prst="rect">
                          <a:avLst/>
                        </a:prstGeom>
                        <a:noFill/>
                        <a:ln>
                          <a:noFill/>
                        </a:ln>
                      </wps:spPr>
                      <wps:txbx>
                        <w:txbxContent>
                          <w:p w14:paraId="3B148F88">
                            <w:pPr>
                              <w:rPr>
                                <w:rFonts w:ascii="黑体" w:hAnsi="黑体" w:eastAsia="黑体"/>
                                <w:color w:val="FFFF00"/>
                                <w:sz w:val="15"/>
                              </w:rPr>
                            </w:pPr>
                            <w:r>
                              <w:rPr>
                                <w:rFonts w:ascii="黑体" w:hAnsi="黑体" w:eastAsia="黑体"/>
                                <w:color w:val="FFFF00"/>
                                <w:sz w:val="15"/>
                              </w:rPr>
                              <w:t>毛集镇陆庄村卫生室</w:t>
                            </w:r>
                          </w:p>
                        </w:txbxContent>
                      </wps:txbx>
                      <wps:bodyPr upright="1"/>
                    </wps:wsp>
                  </a:graphicData>
                </a:graphic>
              </wp:anchor>
            </w:drawing>
          </mc:Choice>
          <mc:Fallback>
            <w:pict>
              <v:rect id="矩形 9498" o:spid="_x0000_s1026" o:spt="1" style="position:absolute;left:0pt;margin-left:380.2pt;margin-top:166.8pt;height:21.55pt;width:81.15pt;z-index:251759616;mso-width-relative:page;mso-height-relative:page;" filled="f" stroked="f" coordsize="21600,21600" o:gfxdata="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AUeRN9sAAAAL&#10;AQAADwAAAAAAAAABACAAAAAiAAAAZHJzL2Rvd25yZXYueG1sUEsBAhQAFAAAAAgAh07iQDDxb4un&#10;AQAARgMAAA4AAAAAAAAAAQAgAAAAKgEAAGRycy9lMm9Eb2MueG1sUEsFBgAAAAAGAAYAWQEAAEMF&#10;AAAAAA==&#10;">
                <v:fill on="f" focussize="0,0"/>
                <v:stroke on="f"/>
                <v:imagedata o:title=""/>
                <o:lock v:ext="edit" aspectratio="f"/>
                <v:textbox>
                  <w:txbxContent>
                    <w:p w14:paraId="3B148F88">
                      <w:pPr>
                        <w:rPr>
                          <w:rFonts w:ascii="黑体" w:hAnsi="黑体" w:eastAsia="黑体"/>
                          <w:color w:val="FFFF00"/>
                          <w:sz w:val="15"/>
                        </w:rPr>
                      </w:pPr>
                      <w:r>
                        <w:rPr>
                          <w:rFonts w:ascii="黑体" w:hAnsi="黑体" w:eastAsia="黑体"/>
                          <w:color w:val="FFFF00"/>
                          <w:sz w:val="15"/>
                        </w:rPr>
                        <w:t>毛集镇陆庄村卫生室</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58592" behindDoc="0" locked="0" layoutInCell="1" allowOverlap="1">
                <wp:simplePos x="0" y="0"/>
                <wp:positionH relativeFrom="column">
                  <wp:posOffset>5471160</wp:posOffset>
                </wp:positionH>
                <wp:positionV relativeFrom="paragraph">
                  <wp:posOffset>2342515</wp:posOffset>
                </wp:positionV>
                <wp:extent cx="653415" cy="273685"/>
                <wp:effectExtent l="0" t="0" r="0" b="0"/>
                <wp:wrapNone/>
                <wp:docPr id="186" name="矩形 9497"/>
                <wp:cNvGraphicFramePr/>
                <a:graphic xmlns:a="http://schemas.openxmlformats.org/drawingml/2006/main">
                  <a:graphicData uri="http://schemas.microsoft.com/office/word/2010/wordprocessingShape">
                    <wps:wsp>
                      <wps:cNvSpPr/>
                      <wps:spPr>
                        <a:xfrm>
                          <a:off x="0" y="0"/>
                          <a:ext cx="653415" cy="273685"/>
                        </a:xfrm>
                        <a:prstGeom prst="rect">
                          <a:avLst/>
                        </a:prstGeom>
                        <a:noFill/>
                        <a:ln>
                          <a:noFill/>
                        </a:ln>
                      </wps:spPr>
                      <wps:txbx>
                        <w:txbxContent>
                          <w:p w14:paraId="6DF2210E">
                            <w:pPr>
                              <w:rPr>
                                <w:rFonts w:ascii="黑体" w:hAnsi="黑体" w:eastAsia="黑体"/>
                                <w:color w:val="FFFF00"/>
                                <w:sz w:val="15"/>
                              </w:rPr>
                            </w:pPr>
                            <w:r>
                              <w:rPr>
                                <w:rFonts w:ascii="黑体" w:hAnsi="黑体" w:eastAsia="黑体"/>
                                <w:color w:val="FFFF00"/>
                                <w:sz w:val="15"/>
                              </w:rPr>
                              <w:t>大树王郢</w:t>
                            </w:r>
                          </w:p>
                        </w:txbxContent>
                      </wps:txbx>
                      <wps:bodyPr upright="1"/>
                    </wps:wsp>
                  </a:graphicData>
                </a:graphic>
              </wp:anchor>
            </w:drawing>
          </mc:Choice>
          <mc:Fallback>
            <w:pict>
              <v:rect id="矩形 9497" o:spid="_x0000_s1026" o:spt="1" style="position:absolute;left:0pt;margin-left:430.8pt;margin-top:184.45pt;height:21.55pt;width:51.45pt;z-index:251758592;mso-width-relative:page;mso-height-relative:page;" filled="f" stroked="f" coordsize="21600,21600" o:gfxdata="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rDeJU9wAAAAL&#10;AQAADwAAAAAAAAABACAAAAAiAAAAZHJzL2Rvd25yZXYueG1sUEsBAhQAFAAAAAgAh07iQMloeSCm&#10;AQAARQMAAA4AAAAAAAAAAQAgAAAAKwEAAGRycy9lMm9Eb2MueG1sUEsFBgAAAAAGAAYAWQEAAEMF&#10;AAAAAA==&#10;">
                <v:fill on="f" focussize="0,0"/>
                <v:stroke on="f"/>
                <v:imagedata o:title=""/>
                <o:lock v:ext="edit" aspectratio="f"/>
                <v:textbox>
                  <w:txbxContent>
                    <w:p w14:paraId="6DF2210E">
                      <w:pPr>
                        <w:rPr>
                          <w:rFonts w:ascii="黑体" w:hAnsi="黑体" w:eastAsia="黑体"/>
                          <w:color w:val="FFFF00"/>
                          <w:sz w:val="15"/>
                        </w:rPr>
                      </w:pPr>
                      <w:r>
                        <w:rPr>
                          <w:rFonts w:ascii="黑体" w:hAnsi="黑体" w:eastAsia="黑体"/>
                          <w:color w:val="FFFF00"/>
                          <w:sz w:val="15"/>
                        </w:rPr>
                        <w:t>大树王郢</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57568" behindDoc="0" locked="0" layoutInCell="1" allowOverlap="1">
                <wp:simplePos x="0" y="0"/>
                <wp:positionH relativeFrom="column">
                  <wp:posOffset>6106160</wp:posOffset>
                </wp:positionH>
                <wp:positionV relativeFrom="paragraph">
                  <wp:posOffset>2625090</wp:posOffset>
                </wp:positionV>
                <wp:extent cx="653415" cy="273685"/>
                <wp:effectExtent l="0" t="0" r="0" b="0"/>
                <wp:wrapNone/>
                <wp:docPr id="185" name="矩形 9496"/>
                <wp:cNvGraphicFramePr/>
                <a:graphic xmlns:a="http://schemas.openxmlformats.org/drawingml/2006/main">
                  <a:graphicData uri="http://schemas.microsoft.com/office/word/2010/wordprocessingShape">
                    <wps:wsp>
                      <wps:cNvSpPr/>
                      <wps:spPr>
                        <a:xfrm>
                          <a:off x="0" y="0"/>
                          <a:ext cx="653415" cy="273685"/>
                        </a:xfrm>
                        <a:prstGeom prst="rect">
                          <a:avLst/>
                        </a:prstGeom>
                        <a:noFill/>
                        <a:ln>
                          <a:noFill/>
                        </a:ln>
                      </wps:spPr>
                      <wps:txbx>
                        <w:txbxContent>
                          <w:p w14:paraId="0E2EB005">
                            <w:pPr>
                              <w:rPr>
                                <w:rFonts w:ascii="黑体" w:hAnsi="黑体" w:eastAsia="黑体"/>
                                <w:color w:val="FFFF00"/>
                                <w:sz w:val="15"/>
                              </w:rPr>
                            </w:pPr>
                            <w:r>
                              <w:rPr>
                                <w:rFonts w:ascii="黑体" w:hAnsi="黑体" w:eastAsia="黑体"/>
                                <w:color w:val="FFFF00"/>
                                <w:sz w:val="15"/>
                              </w:rPr>
                              <w:t>魏庙新队</w:t>
                            </w:r>
                          </w:p>
                        </w:txbxContent>
                      </wps:txbx>
                      <wps:bodyPr upright="1"/>
                    </wps:wsp>
                  </a:graphicData>
                </a:graphic>
              </wp:anchor>
            </w:drawing>
          </mc:Choice>
          <mc:Fallback>
            <w:pict>
              <v:rect id="矩形 9496" o:spid="_x0000_s1026" o:spt="1" style="position:absolute;left:0pt;margin-left:480.8pt;margin-top:206.7pt;height:21.55pt;width:51.45pt;z-index:251757568;mso-width-relative:page;mso-height-relative:page;" filled="f" stroked="f" coordsize="21600,21600" o:gfxdata="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BNZbDD3AAAAAwB&#10;AAAPAAAAAAAAAAEAIAAAACIAAABkcnMvZG93bnJldi54bWxQSwECFAAUAAAACACHTuJAgyCRsqUB&#10;AABFAwAADgAAAAAAAAABACAAAAArAQAAZHJzL2Uyb0RvYy54bWxQSwUGAAAAAAYABgBZAQAAQgUA&#10;AAAA&#10;">
                <v:fill on="f" focussize="0,0"/>
                <v:stroke on="f"/>
                <v:imagedata o:title=""/>
                <o:lock v:ext="edit" aspectratio="f"/>
                <v:textbox>
                  <w:txbxContent>
                    <w:p w14:paraId="0E2EB005">
                      <w:pPr>
                        <w:rPr>
                          <w:rFonts w:ascii="黑体" w:hAnsi="黑体" w:eastAsia="黑体"/>
                          <w:color w:val="FFFF00"/>
                          <w:sz w:val="15"/>
                        </w:rPr>
                      </w:pPr>
                      <w:r>
                        <w:rPr>
                          <w:rFonts w:ascii="黑体" w:hAnsi="黑体" w:eastAsia="黑体"/>
                          <w:color w:val="FFFF00"/>
                          <w:sz w:val="15"/>
                        </w:rPr>
                        <w:t>魏庙新队</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56544" behindDoc="0" locked="0" layoutInCell="1" allowOverlap="1">
                <wp:simplePos x="0" y="0"/>
                <wp:positionH relativeFrom="column">
                  <wp:posOffset>3878580</wp:posOffset>
                </wp:positionH>
                <wp:positionV relativeFrom="paragraph">
                  <wp:posOffset>3761105</wp:posOffset>
                </wp:positionV>
                <wp:extent cx="599440" cy="273685"/>
                <wp:effectExtent l="0" t="0" r="0" b="0"/>
                <wp:wrapNone/>
                <wp:docPr id="184" name="矩形 9495"/>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74A7FCAF">
                            <w:pPr>
                              <w:rPr>
                                <w:rFonts w:ascii="黑体" w:hAnsi="黑体" w:eastAsia="黑体"/>
                                <w:color w:val="FFFF00"/>
                                <w:sz w:val="15"/>
                              </w:rPr>
                            </w:pPr>
                            <w:r>
                              <w:rPr>
                                <w:rFonts w:ascii="黑体" w:hAnsi="黑体" w:eastAsia="黑体"/>
                                <w:color w:val="FFFF00"/>
                                <w:sz w:val="15"/>
                              </w:rPr>
                              <w:t>田王</w:t>
                            </w:r>
                          </w:p>
                        </w:txbxContent>
                      </wps:txbx>
                      <wps:bodyPr upright="1"/>
                    </wps:wsp>
                  </a:graphicData>
                </a:graphic>
              </wp:anchor>
            </w:drawing>
          </mc:Choice>
          <mc:Fallback>
            <w:pict>
              <v:rect id="矩形 9495" o:spid="_x0000_s1026" o:spt="1" style="position:absolute;left:0pt;margin-left:305.4pt;margin-top:296.15pt;height:21.55pt;width:47.2pt;z-index:251756544;mso-width-relative:page;mso-height-relative:page;" filled="f" stroked="f" coordsize="21600,21600" o:gfxdata="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KAGbX9wAAAAL&#10;AQAADwAAAAAAAAABACAAAAAiAAAAZHJzL2Rvd25yZXYueG1sUEsBAhQAFAAAAAgAh07iQLcE43qm&#10;AQAARQMAAA4AAAAAAAAAAQAgAAAAKwEAAGRycy9lMm9Eb2MueG1sUEsFBgAAAAAGAAYAWQEAAEMF&#10;AAAAAA==&#10;">
                <v:fill on="f" focussize="0,0"/>
                <v:stroke on="f"/>
                <v:imagedata o:title=""/>
                <o:lock v:ext="edit" aspectratio="f"/>
                <v:textbox>
                  <w:txbxContent>
                    <w:p w14:paraId="74A7FCAF">
                      <w:pPr>
                        <w:rPr>
                          <w:rFonts w:ascii="黑体" w:hAnsi="黑体" w:eastAsia="黑体"/>
                          <w:color w:val="FFFF00"/>
                          <w:sz w:val="15"/>
                        </w:rPr>
                      </w:pPr>
                      <w:r>
                        <w:rPr>
                          <w:rFonts w:ascii="黑体" w:hAnsi="黑体" w:eastAsia="黑体"/>
                          <w:color w:val="FFFF00"/>
                          <w:sz w:val="15"/>
                        </w:rPr>
                        <w:t>田王</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54496" behindDoc="0" locked="0" layoutInCell="1" allowOverlap="1">
                <wp:simplePos x="0" y="0"/>
                <wp:positionH relativeFrom="column">
                  <wp:posOffset>2635250</wp:posOffset>
                </wp:positionH>
                <wp:positionV relativeFrom="paragraph">
                  <wp:posOffset>2810510</wp:posOffset>
                </wp:positionV>
                <wp:extent cx="599440" cy="273685"/>
                <wp:effectExtent l="0" t="0" r="0" b="0"/>
                <wp:wrapNone/>
                <wp:docPr id="182" name="矩形 9493"/>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2D9F214C">
                            <w:pPr>
                              <w:rPr>
                                <w:rFonts w:ascii="黑体" w:hAnsi="黑体" w:eastAsia="黑体"/>
                                <w:color w:val="FFFF00"/>
                                <w:sz w:val="15"/>
                              </w:rPr>
                            </w:pPr>
                            <w:r>
                              <w:rPr>
                                <w:rFonts w:ascii="黑体" w:hAnsi="黑体" w:eastAsia="黑体"/>
                                <w:color w:val="FFFF00"/>
                                <w:sz w:val="15"/>
                              </w:rPr>
                              <w:t>后拐孜</w:t>
                            </w:r>
                          </w:p>
                        </w:txbxContent>
                      </wps:txbx>
                      <wps:bodyPr upright="1"/>
                    </wps:wsp>
                  </a:graphicData>
                </a:graphic>
              </wp:anchor>
            </w:drawing>
          </mc:Choice>
          <mc:Fallback>
            <w:pict>
              <v:rect id="矩形 9493" o:spid="_x0000_s1026" o:spt="1" style="position:absolute;left:0pt;margin-left:207.5pt;margin-top:221.3pt;height:21.55pt;width:47.2pt;z-index:251754496;mso-width-relative:page;mso-height-relative:page;" filled="f" stroked="f" coordsize="21600,21600" o:gfxdata="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5rLTANwAAAAL&#10;AQAADwAAAAAAAAABACAAAAAiAAAAZHJzL2Rvd25yZXYueG1sUEsBAhQAFAAAAAgAh07iQDPVDMym&#10;AQAARQMAAA4AAAAAAAAAAQAgAAAAKwEAAGRycy9lMm9Eb2MueG1sUEsFBgAAAAAGAAYAWQEAAEMF&#10;AAAAAA==&#10;">
                <v:fill on="f" focussize="0,0"/>
                <v:stroke on="f"/>
                <v:imagedata o:title=""/>
                <o:lock v:ext="edit" aspectratio="f"/>
                <v:textbox>
                  <w:txbxContent>
                    <w:p w14:paraId="2D9F214C">
                      <w:pPr>
                        <w:rPr>
                          <w:rFonts w:ascii="黑体" w:hAnsi="黑体" w:eastAsia="黑体"/>
                          <w:color w:val="FFFF00"/>
                          <w:sz w:val="15"/>
                        </w:rPr>
                      </w:pPr>
                      <w:r>
                        <w:rPr>
                          <w:rFonts w:ascii="黑体" w:hAnsi="黑体" w:eastAsia="黑体"/>
                          <w:color w:val="FFFF00"/>
                          <w:sz w:val="15"/>
                        </w:rPr>
                        <w:t>后拐孜</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53472" behindDoc="0" locked="0" layoutInCell="1" allowOverlap="1">
                <wp:simplePos x="0" y="0"/>
                <wp:positionH relativeFrom="column">
                  <wp:posOffset>2787650</wp:posOffset>
                </wp:positionH>
                <wp:positionV relativeFrom="paragraph">
                  <wp:posOffset>3235960</wp:posOffset>
                </wp:positionV>
                <wp:extent cx="599440" cy="273685"/>
                <wp:effectExtent l="0" t="0" r="0" b="0"/>
                <wp:wrapNone/>
                <wp:docPr id="181" name="矩形 9492"/>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5E967EF4">
                            <w:pPr>
                              <w:rPr>
                                <w:rFonts w:ascii="黑体" w:hAnsi="黑体" w:eastAsia="黑体"/>
                                <w:color w:val="FFFF00"/>
                                <w:sz w:val="15"/>
                              </w:rPr>
                            </w:pPr>
                            <w:r>
                              <w:rPr>
                                <w:rFonts w:ascii="黑体" w:hAnsi="黑体" w:eastAsia="黑体"/>
                                <w:color w:val="FFFF00"/>
                                <w:sz w:val="15"/>
                              </w:rPr>
                              <w:t>西刘楼村</w:t>
                            </w:r>
                          </w:p>
                        </w:txbxContent>
                      </wps:txbx>
                      <wps:bodyPr upright="1"/>
                    </wps:wsp>
                  </a:graphicData>
                </a:graphic>
              </wp:anchor>
            </w:drawing>
          </mc:Choice>
          <mc:Fallback>
            <w:pict>
              <v:rect id="矩形 9492" o:spid="_x0000_s1026" o:spt="1" style="position:absolute;left:0pt;margin-left:219.5pt;margin-top:254.8pt;height:21.55pt;width:47.2pt;z-index:251753472;mso-width-relative:page;mso-height-relative:page;" filled="f" stroked="f" coordsize="21600,21600" o:gfxdata="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IBJWD7dAAAA&#10;CwEAAA8AAAAAAAAAAQAgAAAAIgAAAGRycy9kb3ducmV2LnhtbFBLAQIUABQAAAAIAIdO4kB5neRe&#10;pgEAAEUDAAAOAAAAAAAAAAEAIAAAACwBAABkcnMvZTJvRG9jLnhtbFBLBQYAAAAABgAGAFkBAABE&#10;BQAAAAA=&#10;">
                <v:fill on="f" focussize="0,0"/>
                <v:stroke on="f"/>
                <v:imagedata o:title=""/>
                <o:lock v:ext="edit" aspectratio="f"/>
                <v:textbox>
                  <w:txbxContent>
                    <w:p w14:paraId="5E967EF4">
                      <w:pPr>
                        <w:rPr>
                          <w:rFonts w:ascii="黑体" w:hAnsi="黑体" w:eastAsia="黑体"/>
                          <w:color w:val="FFFF00"/>
                          <w:sz w:val="15"/>
                        </w:rPr>
                      </w:pPr>
                      <w:r>
                        <w:rPr>
                          <w:rFonts w:ascii="黑体" w:hAnsi="黑体" w:eastAsia="黑体"/>
                          <w:color w:val="FFFF00"/>
                          <w:sz w:val="15"/>
                        </w:rPr>
                        <w:t>西刘楼村</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52448" behindDoc="0" locked="0" layoutInCell="1" allowOverlap="1">
                <wp:simplePos x="0" y="0"/>
                <wp:positionH relativeFrom="column">
                  <wp:posOffset>2422525</wp:posOffset>
                </wp:positionH>
                <wp:positionV relativeFrom="paragraph">
                  <wp:posOffset>3331845</wp:posOffset>
                </wp:positionV>
                <wp:extent cx="599440" cy="273685"/>
                <wp:effectExtent l="0" t="0" r="0" b="0"/>
                <wp:wrapNone/>
                <wp:docPr id="180" name="矩形 9491"/>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4089766F">
                            <w:pPr>
                              <w:rPr>
                                <w:rFonts w:ascii="黑体" w:hAnsi="黑体" w:eastAsia="黑体"/>
                                <w:color w:val="FFFF00"/>
                                <w:sz w:val="15"/>
                              </w:rPr>
                            </w:pPr>
                            <w:r>
                              <w:rPr>
                                <w:rFonts w:ascii="黑体" w:hAnsi="黑体" w:eastAsia="黑体"/>
                                <w:color w:val="FFFF00"/>
                                <w:sz w:val="15"/>
                              </w:rPr>
                              <w:t>刘楼小学</w:t>
                            </w:r>
                          </w:p>
                        </w:txbxContent>
                      </wps:txbx>
                      <wps:bodyPr upright="1"/>
                    </wps:wsp>
                  </a:graphicData>
                </a:graphic>
              </wp:anchor>
            </w:drawing>
          </mc:Choice>
          <mc:Fallback>
            <w:pict>
              <v:rect id="矩形 9491" o:spid="_x0000_s1026" o:spt="1" style="position:absolute;left:0pt;margin-left:190.75pt;margin-top:262.35pt;height:21.55pt;width:47.2pt;z-index:251752448;mso-width-relative:page;mso-height-relative:page;" filled="f" stroked="f" coordsize="21600,21600" o:gfxdata="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CMS0vncAAAACwEA&#10;AA8AAAAAAAAAAQAgAAAAIgAAAGRycy9kb3ducmV2LnhtbFBLAQIUABQAAAAIAIdO4kBPmqmhpAEA&#10;AEUDAAAOAAAAAAAAAAEAIAAAACsBAABkcnMvZTJvRG9jLnhtbFBLBQYAAAAABgAGAFkBAABBBQAA&#10;AAA=&#10;">
                <v:fill on="f" focussize="0,0"/>
                <v:stroke on="f"/>
                <v:imagedata o:title=""/>
                <o:lock v:ext="edit" aspectratio="f"/>
                <v:textbox>
                  <w:txbxContent>
                    <w:p w14:paraId="4089766F">
                      <w:pPr>
                        <w:rPr>
                          <w:rFonts w:ascii="黑体" w:hAnsi="黑体" w:eastAsia="黑体"/>
                          <w:color w:val="FFFF00"/>
                          <w:sz w:val="15"/>
                        </w:rPr>
                      </w:pPr>
                      <w:r>
                        <w:rPr>
                          <w:rFonts w:ascii="黑体" w:hAnsi="黑体" w:eastAsia="黑体"/>
                          <w:color w:val="FFFF00"/>
                          <w:sz w:val="15"/>
                        </w:rPr>
                        <w:t>刘楼小学</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51424" behindDoc="0" locked="0" layoutInCell="1" allowOverlap="1">
                <wp:simplePos x="0" y="0"/>
                <wp:positionH relativeFrom="column">
                  <wp:posOffset>2609850</wp:posOffset>
                </wp:positionH>
                <wp:positionV relativeFrom="paragraph">
                  <wp:posOffset>750570</wp:posOffset>
                </wp:positionV>
                <wp:extent cx="599440" cy="273685"/>
                <wp:effectExtent l="0" t="0" r="0" b="0"/>
                <wp:wrapNone/>
                <wp:docPr id="179" name="矩形 9490"/>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1727F255">
                            <w:pPr>
                              <w:rPr>
                                <w:rFonts w:ascii="黑体" w:hAnsi="黑体" w:eastAsia="黑体"/>
                                <w:color w:val="FFFF00"/>
                                <w:sz w:val="15"/>
                              </w:rPr>
                            </w:pPr>
                            <w:r>
                              <w:rPr>
                                <w:rFonts w:ascii="黑体" w:hAnsi="黑体" w:eastAsia="黑体"/>
                                <w:color w:val="FFFF00"/>
                                <w:sz w:val="15"/>
                              </w:rPr>
                              <w:t>陈集新村</w:t>
                            </w:r>
                          </w:p>
                        </w:txbxContent>
                      </wps:txbx>
                      <wps:bodyPr upright="1"/>
                    </wps:wsp>
                  </a:graphicData>
                </a:graphic>
              </wp:anchor>
            </w:drawing>
          </mc:Choice>
          <mc:Fallback>
            <w:pict>
              <v:rect id="矩形 9490" o:spid="_x0000_s1026" o:spt="1" style="position:absolute;left:0pt;margin-left:205.5pt;margin-top:59.1pt;height:21.55pt;width:47.2pt;z-index:251751424;mso-width-relative:page;mso-height-relative:page;" filled="f" stroked="f" coordsize="21600,21600" o:gfxdata="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zgHxx2wAAAAsB&#10;AAAPAAAAAAAAAAEAIAAAACIAAABkcnMvZG93bnJldi54bWxQSwECFAAUAAAACACHTuJAg6SXpqYB&#10;AABFAwAADgAAAAAAAAABACAAAAAqAQAAZHJzL2Uyb0RvYy54bWxQSwUGAAAAAAYABgBZAQAAQgUA&#10;AAAA&#10;">
                <v:fill on="f" focussize="0,0"/>
                <v:stroke on="f"/>
                <v:imagedata o:title=""/>
                <o:lock v:ext="edit" aspectratio="f"/>
                <v:textbox>
                  <w:txbxContent>
                    <w:p w14:paraId="1727F255">
                      <w:pPr>
                        <w:rPr>
                          <w:rFonts w:ascii="黑体" w:hAnsi="黑体" w:eastAsia="黑体"/>
                          <w:color w:val="FFFF00"/>
                          <w:sz w:val="15"/>
                        </w:rPr>
                      </w:pPr>
                      <w:r>
                        <w:rPr>
                          <w:rFonts w:ascii="黑体" w:hAnsi="黑体" w:eastAsia="黑体"/>
                          <w:color w:val="FFFF00"/>
                          <w:sz w:val="15"/>
                        </w:rPr>
                        <w:t>陈集新村</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50400" behindDoc="0" locked="0" layoutInCell="1" allowOverlap="1">
                <wp:simplePos x="0" y="0"/>
                <wp:positionH relativeFrom="column">
                  <wp:posOffset>2395220</wp:posOffset>
                </wp:positionH>
                <wp:positionV relativeFrom="paragraph">
                  <wp:posOffset>1028700</wp:posOffset>
                </wp:positionV>
                <wp:extent cx="1030605" cy="273685"/>
                <wp:effectExtent l="0" t="0" r="0" b="0"/>
                <wp:wrapNone/>
                <wp:docPr id="178" name="矩形 9489"/>
                <wp:cNvGraphicFramePr/>
                <a:graphic xmlns:a="http://schemas.openxmlformats.org/drawingml/2006/main">
                  <a:graphicData uri="http://schemas.microsoft.com/office/word/2010/wordprocessingShape">
                    <wps:wsp>
                      <wps:cNvSpPr/>
                      <wps:spPr>
                        <a:xfrm>
                          <a:off x="0" y="0"/>
                          <a:ext cx="1030605" cy="273685"/>
                        </a:xfrm>
                        <a:prstGeom prst="rect">
                          <a:avLst/>
                        </a:prstGeom>
                        <a:noFill/>
                        <a:ln>
                          <a:noFill/>
                        </a:ln>
                      </wps:spPr>
                      <wps:txbx>
                        <w:txbxContent>
                          <w:p w14:paraId="0A9A883B">
                            <w:pPr>
                              <w:rPr>
                                <w:rFonts w:ascii="黑体" w:hAnsi="黑体" w:eastAsia="黑体"/>
                                <w:color w:val="FFFF00"/>
                                <w:sz w:val="15"/>
                              </w:rPr>
                            </w:pPr>
                            <w:r>
                              <w:rPr>
                                <w:rFonts w:ascii="黑体" w:hAnsi="黑体" w:eastAsia="黑体"/>
                                <w:color w:val="FFFF00"/>
                                <w:sz w:val="15"/>
                              </w:rPr>
                              <w:t>夏集镇陈集村卫生室</w:t>
                            </w:r>
                          </w:p>
                        </w:txbxContent>
                      </wps:txbx>
                      <wps:bodyPr upright="1"/>
                    </wps:wsp>
                  </a:graphicData>
                </a:graphic>
              </wp:anchor>
            </w:drawing>
          </mc:Choice>
          <mc:Fallback>
            <w:pict>
              <v:rect id="矩形 9489" o:spid="_x0000_s1026" o:spt="1" style="position:absolute;left:0pt;margin-left:188.6pt;margin-top:81pt;height:21.55pt;width:81.15pt;z-index:251750400;mso-width-relative:page;mso-height-relative:page;" filled="f" stroked="f" coordsize="21600,21600" o:gfxdata="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NMAomPbAAAA&#10;CwEAAA8AAAAAAAAAAQAgAAAAIgAAAGRycy9kb3ducmV2LnhtbFBLAQIUABQAAAAIAIdO4kDwbpEe&#10;qAEAAEYDAAAOAAAAAAAAAAEAIAAAACoBAABkcnMvZTJvRG9jLnhtbFBLBQYAAAAABgAGAFkBAABE&#10;BQAAAAA=&#10;">
                <v:fill on="f" focussize="0,0"/>
                <v:stroke on="f"/>
                <v:imagedata o:title=""/>
                <o:lock v:ext="edit" aspectratio="f"/>
                <v:textbox>
                  <w:txbxContent>
                    <w:p w14:paraId="0A9A883B">
                      <w:pPr>
                        <w:rPr>
                          <w:rFonts w:ascii="黑体" w:hAnsi="黑体" w:eastAsia="黑体"/>
                          <w:color w:val="FFFF00"/>
                          <w:sz w:val="15"/>
                        </w:rPr>
                      </w:pPr>
                      <w:r>
                        <w:rPr>
                          <w:rFonts w:ascii="黑体" w:hAnsi="黑体" w:eastAsia="黑体"/>
                          <w:color w:val="FFFF00"/>
                          <w:sz w:val="15"/>
                        </w:rPr>
                        <w:t>夏集镇陈集村卫生室</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49376" behindDoc="0" locked="0" layoutInCell="1" allowOverlap="1">
                <wp:simplePos x="0" y="0"/>
                <wp:positionH relativeFrom="column">
                  <wp:posOffset>2332990</wp:posOffset>
                </wp:positionH>
                <wp:positionV relativeFrom="paragraph">
                  <wp:posOffset>1163320</wp:posOffset>
                </wp:positionV>
                <wp:extent cx="599440" cy="273685"/>
                <wp:effectExtent l="0" t="0" r="0" b="0"/>
                <wp:wrapNone/>
                <wp:docPr id="177" name="矩形 9488"/>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37C9267C">
                            <w:pPr>
                              <w:rPr>
                                <w:rFonts w:ascii="黑体" w:hAnsi="黑体" w:eastAsia="黑体"/>
                                <w:color w:val="FFFF00"/>
                                <w:sz w:val="15"/>
                              </w:rPr>
                            </w:pPr>
                            <w:r>
                              <w:rPr>
                                <w:rFonts w:ascii="黑体" w:hAnsi="黑体" w:eastAsia="黑体"/>
                                <w:color w:val="FFFF00"/>
                                <w:sz w:val="15"/>
                              </w:rPr>
                              <w:t>南</w:t>
                            </w:r>
                            <w:r>
                              <w:rPr>
                                <w:rFonts w:hint="eastAsia" w:ascii="黑体" w:hAnsi="黑体" w:eastAsia="黑体"/>
                                <w:color w:val="FFFF00"/>
                                <w:sz w:val="15"/>
                              </w:rPr>
                              <w:t>圩</w:t>
                            </w:r>
                          </w:p>
                        </w:txbxContent>
                      </wps:txbx>
                      <wps:bodyPr upright="1"/>
                    </wps:wsp>
                  </a:graphicData>
                </a:graphic>
              </wp:anchor>
            </w:drawing>
          </mc:Choice>
          <mc:Fallback>
            <w:pict>
              <v:rect id="矩形 9488" o:spid="_x0000_s1026" o:spt="1" style="position:absolute;left:0pt;margin-left:183.7pt;margin-top:91.6pt;height:21.55pt;width:47.2pt;z-index:251749376;mso-width-relative:page;mso-height-relative:page;" filled="f" stroked="f" coordsize="21600,21600" o:gfxdata="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AZ557v2wAAAAsB&#10;AAAPAAAAAAAAAAEAIAAAACIAAABkcnMvZG93bnJldi54bWxQSwECFAAUAAAACACHTuJANuOYjaYB&#10;AABFAwAADgAAAAAAAAABACAAAAAqAQAAZHJzL2Uyb0RvYy54bWxQSwUGAAAAAAYABgBZAQAAQgUA&#10;AAAA&#10;">
                <v:fill on="f" focussize="0,0"/>
                <v:stroke on="f"/>
                <v:imagedata o:title=""/>
                <o:lock v:ext="edit" aspectratio="f"/>
                <v:textbox>
                  <w:txbxContent>
                    <w:p w14:paraId="37C9267C">
                      <w:pPr>
                        <w:rPr>
                          <w:rFonts w:ascii="黑体" w:hAnsi="黑体" w:eastAsia="黑体"/>
                          <w:color w:val="FFFF00"/>
                          <w:sz w:val="15"/>
                        </w:rPr>
                      </w:pPr>
                      <w:r>
                        <w:rPr>
                          <w:rFonts w:ascii="黑体" w:hAnsi="黑体" w:eastAsia="黑体"/>
                          <w:color w:val="FFFF00"/>
                          <w:sz w:val="15"/>
                        </w:rPr>
                        <w:t>南</w:t>
                      </w:r>
                      <w:r>
                        <w:rPr>
                          <w:rFonts w:hint="eastAsia" w:ascii="黑体" w:hAnsi="黑体" w:eastAsia="黑体"/>
                          <w:color w:val="FFFF00"/>
                          <w:sz w:val="15"/>
                        </w:rPr>
                        <w:t>圩</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48352" behindDoc="0" locked="0" layoutInCell="1" allowOverlap="1">
                <wp:simplePos x="0" y="0"/>
                <wp:positionH relativeFrom="column">
                  <wp:posOffset>2752090</wp:posOffset>
                </wp:positionH>
                <wp:positionV relativeFrom="paragraph">
                  <wp:posOffset>1279525</wp:posOffset>
                </wp:positionV>
                <wp:extent cx="599440" cy="273685"/>
                <wp:effectExtent l="0" t="0" r="0" b="0"/>
                <wp:wrapNone/>
                <wp:docPr id="176" name="矩形 9487"/>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12ADB7B6">
                            <w:pPr>
                              <w:rPr>
                                <w:rFonts w:ascii="黑体" w:hAnsi="黑体" w:eastAsia="黑体"/>
                                <w:color w:val="FFFF00"/>
                                <w:sz w:val="15"/>
                              </w:rPr>
                            </w:pPr>
                            <w:r>
                              <w:rPr>
                                <w:rFonts w:ascii="黑体" w:hAnsi="黑体" w:eastAsia="黑体"/>
                                <w:color w:val="FFFF00"/>
                                <w:sz w:val="15"/>
                              </w:rPr>
                              <w:t>刘</w:t>
                            </w:r>
                            <w:r>
                              <w:rPr>
                                <w:rFonts w:hint="eastAsia" w:ascii="黑体" w:hAnsi="黑体" w:eastAsia="黑体"/>
                                <w:color w:val="FFFF00"/>
                                <w:sz w:val="15"/>
                              </w:rPr>
                              <w:t>圩小学</w:t>
                            </w:r>
                          </w:p>
                        </w:txbxContent>
                      </wps:txbx>
                      <wps:bodyPr upright="1"/>
                    </wps:wsp>
                  </a:graphicData>
                </a:graphic>
              </wp:anchor>
            </w:drawing>
          </mc:Choice>
          <mc:Fallback>
            <w:pict>
              <v:rect id="矩形 9487" o:spid="_x0000_s1026" o:spt="1" style="position:absolute;left:0pt;margin-left:216.7pt;margin-top:100.75pt;height:21.55pt;width:47.2pt;z-index:251748352;mso-width-relative:page;mso-height-relative:page;" filled="f" stroked="f" coordsize="21600,21600" o:gfxdata="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Wmte69wAAAAL&#10;AQAADwAAAAAAAAABACAAAAAiAAAAZHJzL2Rvd25yZXYueG1sUEsBAhQAFAAAAAgAh07iQPMtB6qm&#10;AQAARQMAAA4AAAAAAAAAAQAgAAAAKwEAAGRycy9lMm9Eb2MueG1sUEsFBgAAAAAGAAYAWQEAAEMF&#10;AAAAAA==&#10;">
                <v:fill on="f" focussize="0,0"/>
                <v:stroke on="f"/>
                <v:imagedata o:title=""/>
                <o:lock v:ext="edit" aspectratio="f"/>
                <v:textbox>
                  <w:txbxContent>
                    <w:p w14:paraId="12ADB7B6">
                      <w:pPr>
                        <w:rPr>
                          <w:rFonts w:ascii="黑体" w:hAnsi="黑体" w:eastAsia="黑体"/>
                          <w:color w:val="FFFF00"/>
                          <w:sz w:val="15"/>
                        </w:rPr>
                      </w:pPr>
                      <w:r>
                        <w:rPr>
                          <w:rFonts w:ascii="黑体" w:hAnsi="黑体" w:eastAsia="黑体"/>
                          <w:color w:val="FFFF00"/>
                          <w:sz w:val="15"/>
                        </w:rPr>
                        <w:t>刘</w:t>
                      </w:r>
                      <w:r>
                        <w:rPr>
                          <w:rFonts w:hint="eastAsia" w:ascii="黑体" w:hAnsi="黑体" w:eastAsia="黑体"/>
                          <w:color w:val="FFFF00"/>
                          <w:sz w:val="15"/>
                        </w:rPr>
                        <w:t>圩小学</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47328" behindDoc="0" locked="0" layoutInCell="1" allowOverlap="1">
                <wp:simplePos x="0" y="0"/>
                <wp:positionH relativeFrom="column">
                  <wp:posOffset>2654300</wp:posOffset>
                </wp:positionH>
                <wp:positionV relativeFrom="paragraph">
                  <wp:posOffset>1553210</wp:posOffset>
                </wp:positionV>
                <wp:extent cx="599440" cy="273685"/>
                <wp:effectExtent l="0" t="0" r="0" b="0"/>
                <wp:wrapNone/>
                <wp:docPr id="175" name="矩形 9486"/>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7D7EC70C">
                            <w:pPr>
                              <w:rPr>
                                <w:rFonts w:ascii="黑体" w:hAnsi="黑体" w:eastAsia="黑体"/>
                                <w:color w:val="FFFF00"/>
                                <w:sz w:val="15"/>
                              </w:rPr>
                            </w:pPr>
                            <w:r>
                              <w:rPr>
                                <w:rFonts w:ascii="黑体" w:hAnsi="黑体" w:eastAsia="黑体"/>
                                <w:color w:val="FFFF00"/>
                                <w:sz w:val="15"/>
                              </w:rPr>
                              <w:t>刘</w:t>
                            </w:r>
                            <w:r>
                              <w:rPr>
                                <w:rFonts w:hint="eastAsia" w:ascii="黑体" w:hAnsi="黑体" w:eastAsia="黑体"/>
                                <w:color w:val="FFFF00"/>
                                <w:sz w:val="15"/>
                              </w:rPr>
                              <w:t>圩村</w:t>
                            </w:r>
                          </w:p>
                        </w:txbxContent>
                      </wps:txbx>
                      <wps:bodyPr upright="1"/>
                    </wps:wsp>
                  </a:graphicData>
                </a:graphic>
              </wp:anchor>
            </w:drawing>
          </mc:Choice>
          <mc:Fallback>
            <w:pict>
              <v:rect id="矩形 9486" o:spid="_x0000_s1026" o:spt="1" style="position:absolute;left:0pt;margin-left:209pt;margin-top:122.3pt;height:21.55pt;width:47.2pt;z-index:251747328;mso-width-relative:page;mso-height-relative:page;" filled="f" stroked="f" coordsize="21600,21600" o:gfxdata="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6MU3q9wAAAAL&#10;AQAADwAAAAAAAAABACAAAAAiAAAAZHJzL2Rvd25yZXYueG1sUEsBAhQAFAAAAAgAh07iQLll7zim&#10;AQAARQMAAA4AAAAAAAAAAQAgAAAAKwEAAGRycy9lMm9Eb2MueG1sUEsFBgAAAAAGAAYAWQEAAEMF&#10;AAAAAA==&#10;">
                <v:fill on="f" focussize="0,0"/>
                <v:stroke on="f"/>
                <v:imagedata o:title=""/>
                <o:lock v:ext="edit" aspectratio="f"/>
                <v:textbox>
                  <w:txbxContent>
                    <w:p w14:paraId="7D7EC70C">
                      <w:pPr>
                        <w:rPr>
                          <w:rFonts w:ascii="黑体" w:hAnsi="黑体" w:eastAsia="黑体"/>
                          <w:color w:val="FFFF00"/>
                          <w:sz w:val="15"/>
                        </w:rPr>
                      </w:pPr>
                      <w:r>
                        <w:rPr>
                          <w:rFonts w:ascii="黑体" w:hAnsi="黑体" w:eastAsia="黑体"/>
                          <w:color w:val="FFFF00"/>
                          <w:sz w:val="15"/>
                        </w:rPr>
                        <w:t>刘</w:t>
                      </w:r>
                      <w:r>
                        <w:rPr>
                          <w:rFonts w:hint="eastAsia" w:ascii="黑体" w:hAnsi="黑体" w:eastAsia="黑体"/>
                          <w:color w:val="FFFF00"/>
                          <w:sz w:val="15"/>
                        </w:rPr>
                        <w:t>圩村</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46304" behindDoc="0" locked="0" layoutInCell="1" allowOverlap="1">
                <wp:simplePos x="0" y="0"/>
                <wp:positionH relativeFrom="column">
                  <wp:posOffset>2866390</wp:posOffset>
                </wp:positionH>
                <wp:positionV relativeFrom="paragraph">
                  <wp:posOffset>1561465</wp:posOffset>
                </wp:positionV>
                <wp:extent cx="71755" cy="71755"/>
                <wp:effectExtent l="4445" t="4445" r="12700" b="12700"/>
                <wp:wrapNone/>
                <wp:docPr id="174" name="椭圆 9485"/>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85" o:spid="_x0000_s1026" o:spt="3" type="#_x0000_t3" style="position:absolute;left:0pt;margin-left:225.7pt;margin-top:122.95pt;height:5.65pt;width:5.65pt;z-index:251746304;mso-width-relative:page;mso-height-relative:page;" fillcolor="#FF0000" filled="t" stroked="t" coordsize="21600,21600" o:gfxdata="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Ah4+MPZAAAACwEAAA8AAAAAAAAAAQAgAAAAIgAAAGRycy9kb3ducmV2LnhtbFBL&#10;AQIUABQAAAAIAIdO4kBtu9489QEAABkEAAAOAAAAAAAAAAEAIAAAACgBAABkcnMvZTJvRG9jLnht&#10;bFBLBQYAAAAABgAGAFkBAACPBQ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45280" behindDoc="0" locked="0" layoutInCell="1" allowOverlap="1">
                <wp:simplePos x="0" y="0"/>
                <wp:positionH relativeFrom="column">
                  <wp:posOffset>2759075</wp:posOffset>
                </wp:positionH>
                <wp:positionV relativeFrom="paragraph">
                  <wp:posOffset>1418590</wp:posOffset>
                </wp:positionV>
                <wp:extent cx="71755" cy="71755"/>
                <wp:effectExtent l="4445" t="4445" r="12700" b="12700"/>
                <wp:wrapNone/>
                <wp:docPr id="173" name="椭圆 9484"/>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84" o:spid="_x0000_s1026" o:spt="3" type="#_x0000_t3" style="position:absolute;left:0pt;margin-left:217.25pt;margin-top:111.7pt;height:5.65pt;width:5.65pt;z-index:251745280;mso-width-relative:page;mso-height-relative:page;" fillcolor="#FF0000" filled="t" stroked="t" coordsize="21600,21600" o:gfxdata="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5Gv0F9gAAAALAQAADwAAAAAAAAABACAAAAAiAAAAZHJzL2Rvd25yZXYueG1sUEsB&#10;AhQAFAAAAAgAh07iQOoAB8L1AQAAGQQAAA4AAAAAAAAAAQAgAAAAJw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44256" behindDoc="0" locked="0" layoutInCell="1" allowOverlap="1">
                <wp:simplePos x="0" y="0"/>
                <wp:positionH relativeFrom="column">
                  <wp:posOffset>2938145</wp:posOffset>
                </wp:positionH>
                <wp:positionV relativeFrom="paragraph">
                  <wp:posOffset>3065145</wp:posOffset>
                </wp:positionV>
                <wp:extent cx="71755" cy="71755"/>
                <wp:effectExtent l="4445" t="4445" r="12700" b="12700"/>
                <wp:wrapNone/>
                <wp:docPr id="172" name="椭圆 9483"/>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83" o:spid="_x0000_s1026" o:spt="3" type="#_x0000_t3" style="position:absolute;left:0pt;margin-left:231.35pt;margin-top:241.35pt;height:5.65pt;width:5.65pt;z-index:251744256;mso-width-relative:page;mso-height-relative:page;" fillcolor="#FF0000" filled="t" stroked="t" coordsize="21600,21600" o:gfxdata="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C4Q31rWAAAACwEAAA8AAAAAAAAAAQAgAAAAIgAAAGRycy9kb3ducmV2LnhtbFBLAQIU&#10;ABQAAAAIAIdO4kCR2Aon9QEAABkEAAAOAAAAAAAAAAEAIAAAACUBAABkcnMvZTJvRG9jLnhtbFBL&#10;BQYAAAAABgAGAFkBAACMBQ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42208" behindDoc="0" locked="0" layoutInCell="1" allowOverlap="1">
                <wp:simplePos x="0" y="0"/>
                <wp:positionH relativeFrom="column">
                  <wp:posOffset>6323330</wp:posOffset>
                </wp:positionH>
                <wp:positionV relativeFrom="paragraph">
                  <wp:posOffset>2625725</wp:posOffset>
                </wp:positionV>
                <wp:extent cx="71755" cy="71755"/>
                <wp:effectExtent l="4445" t="4445" r="12700" b="12700"/>
                <wp:wrapNone/>
                <wp:docPr id="170" name="椭圆 9481"/>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81" o:spid="_x0000_s1026" o:spt="3" type="#_x0000_t3" style="position:absolute;left:0pt;margin-left:497.9pt;margin-top:206.75pt;height:5.65pt;width:5.65pt;z-index:251742208;mso-width-relative:page;mso-height-relative:page;" fillcolor="#FF0000" filled="t" stroked="t" coordsize="21600,21600" o:gfxdata="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k51+I9kAAAAMAQAADwAAAAAAAAABACAAAAAiAAAAZHJzL2Rvd25yZXYueG1sUEsB&#10;AhQAFAAAAAgAh07iQMX5Ri70AQAAGQQAAA4AAAAAAAAAAQAgAAAAKA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41184" behindDoc="0" locked="0" layoutInCell="1" allowOverlap="1">
                <wp:simplePos x="0" y="0"/>
                <wp:positionH relativeFrom="column">
                  <wp:posOffset>5313045</wp:posOffset>
                </wp:positionH>
                <wp:positionV relativeFrom="paragraph">
                  <wp:posOffset>2127250</wp:posOffset>
                </wp:positionV>
                <wp:extent cx="71755" cy="71755"/>
                <wp:effectExtent l="4445" t="4445" r="12700" b="12700"/>
                <wp:wrapNone/>
                <wp:docPr id="169" name="椭圆 9480"/>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80" o:spid="_x0000_s1026" o:spt="3" type="#_x0000_t3" style="position:absolute;left:0pt;margin-left:418.35pt;margin-top:167.5pt;height:5.65pt;width:5.65pt;z-index:251741184;mso-width-relative:page;mso-height-relative:page;" fillcolor="#FF0000" filled="t" stroked="t" coordsize="21600,21600" o:gfxdata="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DtBxZ2AAAAAsBAAAPAAAAAAAAAAEAIAAAACIAAABkcnMvZG93bnJldi54bWxQSwEC&#10;FAAUAAAACACHTuJA2PmaAfQBAAAZBAAADgAAAAAAAAABACAAAAAn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40160" behindDoc="0" locked="0" layoutInCell="1" allowOverlap="1">
                <wp:simplePos x="0" y="0"/>
                <wp:positionH relativeFrom="column">
                  <wp:posOffset>5557520</wp:posOffset>
                </wp:positionH>
                <wp:positionV relativeFrom="paragraph">
                  <wp:posOffset>1880235</wp:posOffset>
                </wp:positionV>
                <wp:extent cx="71755" cy="71755"/>
                <wp:effectExtent l="4445" t="4445" r="12700" b="12700"/>
                <wp:wrapNone/>
                <wp:docPr id="168" name="椭圆 9479"/>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79" o:spid="_x0000_s1026" o:spt="3" type="#_x0000_t3" style="position:absolute;left:0pt;margin-left:437.6pt;margin-top:148.05pt;height:5.65pt;width:5.65pt;z-index:251740160;mso-width-relative:page;mso-height-relative:page;" fillcolor="#FF0000" filled="t" stroked="t" coordsize="21600,21600" o:gfxdata="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4RbRZdkAAAALAQAADwAAAAAAAAABACAAAAAiAAAAZHJzL2Rvd25yZXYueG1sUEsB&#10;AhQAFAAAAAgAh07iQJ8/VuL0AQAAGQQAAA4AAAAAAAAAAQAgAAAAKA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39136" behindDoc="0" locked="0" layoutInCell="1" allowOverlap="1">
                <wp:simplePos x="0" y="0"/>
                <wp:positionH relativeFrom="column">
                  <wp:posOffset>2529205</wp:posOffset>
                </wp:positionH>
                <wp:positionV relativeFrom="paragraph">
                  <wp:posOffset>1373505</wp:posOffset>
                </wp:positionV>
                <wp:extent cx="71755" cy="71755"/>
                <wp:effectExtent l="4445" t="4445" r="12700" b="12700"/>
                <wp:wrapNone/>
                <wp:docPr id="167" name="椭圆 9478"/>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78" o:spid="_x0000_s1026" o:spt="3" type="#_x0000_t3" style="position:absolute;left:0pt;margin-left:199.15pt;margin-top:108.15pt;height:5.65pt;width:5.65pt;z-index:251739136;mso-width-relative:page;mso-height-relative:page;" fillcolor="#FF0000" filled="t" stroked="t" coordsize="21600,21600" o:gfxdata="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JsZaztgAAAALAQAADwAAAAAAAAABACAAAAAiAAAAZHJzL2Rvd25yZXYueG1sUEsB&#10;AhQAFAAAAAgAh07iQDXmVJ/1AQAAGQQAAA4AAAAAAAAAAQAgAAAAJw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38112" behindDoc="0" locked="0" layoutInCell="1" allowOverlap="1">
                <wp:simplePos x="0" y="0"/>
                <wp:positionH relativeFrom="column">
                  <wp:posOffset>2678430</wp:posOffset>
                </wp:positionH>
                <wp:positionV relativeFrom="paragraph">
                  <wp:posOffset>3347720</wp:posOffset>
                </wp:positionV>
                <wp:extent cx="71755" cy="71755"/>
                <wp:effectExtent l="4445" t="4445" r="12700" b="12700"/>
                <wp:wrapNone/>
                <wp:docPr id="166" name="椭圆 9477"/>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77" o:spid="_x0000_s1026" o:spt="3" type="#_x0000_t3" style="position:absolute;left:0pt;margin-left:210.9pt;margin-top:263.6pt;height:5.65pt;width:5.65pt;z-index:251738112;mso-width-relative:page;mso-height-relative:page;" fillcolor="#FF0000" filled="t" stroked="t" coordsize="21600,21600" o:gfxdata="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N6d1NHZAAAACwEAAA8AAAAAAAAAAQAgAAAAIgAAAGRycy9kb3ducmV2LnhtbFBL&#10;AQIUABQAAAAIAIdO4kAz2bLc9QEAABkEAAAOAAAAAAAAAAEAIAAAACgBAABkcnMvZTJvRG9jLnht&#10;bFBLBQYAAAAABgAGAFkBAACPBQ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37088" behindDoc="0" locked="0" layoutInCell="1" allowOverlap="1">
                <wp:simplePos x="0" y="0"/>
                <wp:positionH relativeFrom="column">
                  <wp:posOffset>2922270</wp:posOffset>
                </wp:positionH>
                <wp:positionV relativeFrom="paragraph">
                  <wp:posOffset>3235960</wp:posOffset>
                </wp:positionV>
                <wp:extent cx="71755" cy="71755"/>
                <wp:effectExtent l="4445" t="4445" r="12700" b="12700"/>
                <wp:wrapNone/>
                <wp:docPr id="165" name="椭圆 9476"/>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76" o:spid="_x0000_s1026" o:spt="3" type="#_x0000_t3" style="position:absolute;left:0pt;margin-left:230.1pt;margin-top:254.8pt;height:5.65pt;width:5.65pt;z-index:251737088;mso-width-relative:page;mso-height-relative:page;" fillcolor="#FF0000" filled="t" stroked="t" coordsize="21600,21600" o:gfxdata="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FfY09dkAAAALAQAADwAAAAAAAAABACAAAAAiAAAAZHJzL2Rvd25yZXYueG1sUEsB&#10;AhQAFAAAAAgAh07iQIJQPo70AQAAGQQAAA4AAAAAAAAAAQAgAAAAKA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36064" behindDoc="0" locked="0" layoutInCell="1" allowOverlap="1">
                <wp:simplePos x="0" y="0"/>
                <wp:positionH relativeFrom="column">
                  <wp:posOffset>4059555</wp:posOffset>
                </wp:positionH>
                <wp:positionV relativeFrom="paragraph">
                  <wp:posOffset>3981450</wp:posOffset>
                </wp:positionV>
                <wp:extent cx="71755" cy="71755"/>
                <wp:effectExtent l="4445" t="4445" r="12700" b="12700"/>
                <wp:wrapNone/>
                <wp:docPr id="164" name="椭圆 9475"/>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75" o:spid="_x0000_s1026" o:spt="3" type="#_x0000_t3" style="position:absolute;left:0pt;margin-left:319.65pt;margin-top:313.5pt;height:5.65pt;width:5.65pt;z-index:251736064;mso-width-relative:page;mso-height-relative:page;" fillcolor="#FF0000" filled="t" stroked="t" coordsize="21600,21600" o:gfxdata="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aT9/fdgAAAALAQAADwAAAAAAAAABACAAAAAiAAAAZHJzL2Rvd25yZXYueG1sUEsB&#10;AhQAFAAAAAgAh07iQGf4/tX1AQAAGQQAAA4AAAAAAAAAAQAgAAAAJw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34016" behindDoc="0" locked="0" layoutInCell="1" allowOverlap="1">
                <wp:simplePos x="0" y="0"/>
                <wp:positionH relativeFrom="column">
                  <wp:posOffset>6224905</wp:posOffset>
                </wp:positionH>
                <wp:positionV relativeFrom="paragraph">
                  <wp:posOffset>2073275</wp:posOffset>
                </wp:positionV>
                <wp:extent cx="71755" cy="71755"/>
                <wp:effectExtent l="4445" t="4445" r="12700" b="12700"/>
                <wp:wrapNone/>
                <wp:docPr id="162" name="椭圆 9473"/>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73" o:spid="_x0000_s1026" o:spt="3" type="#_x0000_t3" style="position:absolute;left:0pt;margin-left:490.15pt;margin-top:163.25pt;height:5.65pt;width:5.65pt;z-index:251734016;mso-width-relative:page;mso-height-relative:page;" fillcolor="#FF0000" filled="t" stroked="t" coordsize="21600,21600" o:gfxdata="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t8+FbZAAAACwEAAA8AAAAAAAAAAQAgAAAAIgAAAGRycy9kb3ducmV2LnhtbFBL&#10;AQIUABQAAAAIAIdO4kCbmyrO9QEAABkEAAAOAAAAAAAAAAEAIAAAACgBAABkcnMvZTJvRG9jLnht&#10;bFBLBQYAAAAABgAGAFkBAACPBQ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32992" behindDoc="0" locked="0" layoutInCell="1" allowOverlap="1">
                <wp:simplePos x="0" y="0"/>
                <wp:positionH relativeFrom="column">
                  <wp:posOffset>2830830</wp:posOffset>
                </wp:positionH>
                <wp:positionV relativeFrom="paragraph">
                  <wp:posOffset>1047115</wp:posOffset>
                </wp:positionV>
                <wp:extent cx="71755" cy="71755"/>
                <wp:effectExtent l="4445" t="4445" r="12700" b="12700"/>
                <wp:wrapNone/>
                <wp:docPr id="161" name="椭圆 9472"/>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72" o:spid="_x0000_s1026" o:spt="3" type="#_x0000_t3" style="position:absolute;left:0pt;margin-left:222.9pt;margin-top:82.45pt;height:5.65pt;width:5.65pt;z-index:251732992;mso-width-relative:page;mso-height-relative:page;" fillcolor="#FF0000" filled="t" stroked="t" coordsize="21600,21600" o:gfxdata="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9lqsG9gAAAALAQAADwAAAAAAAAABACAAAAAiAAAAZHJzL2Rvd25yZXYueG1sUEsB&#10;AhQAFAAAAAgAh07iQCoSppz1AQAAGQQAAA4AAAAAAAAAAQAgAAAAJw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31968" behindDoc="0" locked="0" layoutInCell="1" allowOverlap="1">
                <wp:simplePos x="0" y="0"/>
                <wp:positionH relativeFrom="column">
                  <wp:posOffset>2856865</wp:posOffset>
                </wp:positionH>
                <wp:positionV relativeFrom="paragraph">
                  <wp:posOffset>942975</wp:posOffset>
                </wp:positionV>
                <wp:extent cx="71755" cy="71755"/>
                <wp:effectExtent l="4445" t="4445" r="12700" b="12700"/>
                <wp:wrapNone/>
                <wp:docPr id="160" name="椭圆 9471"/>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71" o:spid="_x0000_s1026" o:spt="3" type="#_x0000_t3" style="position:absolute;left:0pt;margin-left:224.95pt;margin-top:74.25pt;height:5.65pt;width:5.65pt;z-index:251731968;mso-width-relative:page;mso-height-relative:page;" fillcolor="#FF0000" filled="t" stroked="t" coordsize="21600,21600" o:gfxdata="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azrwW2AAAAAsBAAAPAAAAAAAAAAEAIAAAACIAAABkcnMvZG93bnJldi54bWxQSwEC&#10;FAAUAAAACACHTuJAz7pmx/QBAAAZBAAADgAAAAAAAAABACAAAAAn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30944" behindDoc="0" locked="0" layoutInCell="1" allowOverlap="1">
                <wp:simplePos x="0" y="0"/>
                <wp:positionH relativeFrom="column">
                  <wp:posOffset>5708650</wp:posOffset>
                </wp:positionH>
                <wp:positionV relativeFrom="paragraph">
                  <wp:posOffset>2359025</wp:posOffset>
                </wp:positionV>
                <wp:extent cx="71755" cy="71755"/>
                <wp:effectExtent l="4445" t="4445" r="12700" b="12700"/>
                <wp:wrapNone/>
                <wp:docPr id="159" name="椭圆 9470"/>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70" o:spid="_x0000_s1026" o:spt="3" type="#_x0000_t3" style="position:absolute;left:0pt;margin-left:449.5pt;margin-top:185.75pt;height:5.65pt;width:5.65pt;z-index:251730944;mso-width-relative:page;mso-height-relative:page;" fillcolor="#FF0000" filled="t" stroked="t" coordsize="21600,21600" o:gfxdata="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4BOlg2AAAAAsBAAAPAAAAAAAAAAEAIAAAACIAAABkcnMvZG93bnJldi54bWxQSwEC&#10;FAAUAAAACACHTuJAp1mJYvQBAAAZBAAADgAAAAAAAAABACAAAAAn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29920" behindDoc="0" locked="0" layoutInCell="1" allowOverlap="1">
                <wp:simplePos x="0" y="0"/>
                <wp:positionH relativeFrom="column">
                  <wp:posOffset>5742940</wp:posOffset>
                </wp:positionH>
                <wp:positionV relativeFrom="paragraph">
                  <wp:posOffset>1915795</wp:posOffset>
                </wp:positionV>
                <wp:extent cx="71755" cy="71755"/>
                <wp:effectExtent l="4445" t="4445" r="12700" b="12700"/>
                <wp:wrapNone/>
                <wp:docPr id="158" name="椭圆 9469"/>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69" o:spid="_x0000_s1026" o:spt="3" type="#_x0000_t3" style="position:absolute;left:0pt;margin-left:452.2pt;margin-top:150.85pt;height:5.65pt;width:5.65pt;z-index:251729920;mso-width-relative:page;mso-height-relative:page;" fillcolor="#FF0000" filled="t" stroked="t" coordsize="21600,21600" o:gfxdata="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pHYCbXAAAACwEAAA8AAAAAAAAAAQAgAAAAIgAAAGRycy9kb3ducmV2LnhtbFBLAQIU&#10;ABQAAAAIAIdO4kAMMGJe9AEAABkEAAAOAAAAAAAAAAEAIAAAACYBAABkcnMvZTJvRG9jLnhtbFBL&#10;BQYAAAAABgAGAFkBAACMBQ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28896" behindDoc="0" locked="0" layoutInCell="1" allowOverlap="1">
                <wp:simplePos x="0" y="0"/>
                <wp:positionH relativeFrom="column">
                  <wp:posOffset>3130550</wp:posOffset>
                </wp:positionH>
                <wp:positionV relativeFrom="paragraph">
                  <wp:posOffset>1490345</wp:posOffset>
                </wp:positionV>
                <wp:extent cx="599440" cy="273685"/>
                <wp:effectExtent l="0" t="0" r="0" b="0"/>
                <wp:wrapNone/>
                <wp:docPr id="157" name="矩形 9467"/>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31E13FF0">
                            <w:pPr>
                              <w:rPr>
                                <w:rFonts w:ascii="黑体" w:hAnsi="黑体" w:eastAsia="黑体"/>
                                <w:color w:val="FFFF00"/>
                                <w:sz w:val="15"/>
                              </w:rPr>
                            </w:pPr>
                            <w:r>
                              <w:rPr>
                                <w:rFonts w:ascii="黑体" w:hAnsi="黑体" w:eastAsia="黑体"/>
                                <w:color w:val="FFFF00"/>
                                <w:sz w:val="15"/>
                              </w:rPr>
                              <w:t>莫庄</w:t>
                            </w:r>
                          </w:p>
                        </w:txbxContent>
                      </wps:txbx>
                      <wps:bodyPr upright="1"/>
                    </wps:wsp>
                  </a:graphicData>
                </a:graphic>
              </wp:anchor>
            </w:drawing>
          </mc:Choice>
          <mc:Fallback>
            <w:pict>
              <v:rect id="矩形 9467" o:spid="_x0000_s1026" o:spt="1" style="position:absolute;left:0pt;margin-left:246.5pt;margin-top:117.35pt;height:21.55pt;width:47.2pt;z-index:251728896;mso-width-relative:page;mso-height-relative:page;" filled="f" stroked="f" coordsize="21600,21600" o:gfxdata="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UZOjVtwAAAAL&#10;AQAADwAAAAAAAAABACAAAAAiAAAAZHJzL2Rvd25yZXYueG1sUEsBAhQAFAAAAAgAh07iQD6zqIWm&#10;AQAARQMAAA4AAAAAAAAAAQAgAAAAKwEAAGRycy9lMm9Eb2MueG1sUEsFBgAAAAAGAAYAWQEAAEMF&#10;AAAAAA==&#10;">
                <v:fill on="f" focussize="0,0"/>
                <v:stroke on="f"/>
                <v:imagedata o:title=""/>
                <o:lock v:ext="edit" aspectratio="f"/>
                <v:textbox>
                  <w:txbxContent>
                    <w:p w14:paraId="31E13FF0">
                      <w:pPr>
                        <w:rPr>
                          <w:rFonts w:ascii="黑体" w:hAnsi="黑体" w:eastAsia="黑体"/>
                          <w:color w:val="FFFF00"/>
                          <w:sz w:val="15"/>
                        </w:rPr>
                      </w:pPr>
                      <w:r>
                        <w:rPr>
                          <w:rFonts w:ascii="黑体" w:hAnsi="黑体" w:eastAsia="黑体"/>
                          <w:color w:val="FFFF00"/>
                          <w:sz w:val="15"/>
                        </w:rPr>
                        <w:t>莫庄</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27872" behindDoc="0" locked="0" layoutInCell="1" allowOverlap="1">
                <wp:simplePos x="0" y="0"/>
                <wp:positionH relativeFrom="column">
                  <wp:posOffset>7125335</wp:posOffset>
                </wp:positionH>
                <wp:positionV relativeFrom="paragraph">
                  <wp:posOffset>38735</wp:posOffset>
                </wp:positionV>
                <wp:extent cx="1664970" cy="1725295"/>
                <wp:effectExtent l="3175" t="12065" r="8255" b="15240"/>
                <wp:wrapNone/>
                <wp:docPr id="156" name="任意多边形 9466"/>
                <wp:cNvGraphicFramePr/>
                <a:graphic xmlns:a="http://schemas.openxmlformats.org/drawingml/2006/main">
                  <a:graphicData uri="http://schemas.microsoft.com/office/word/2010/wordprocessingShape">
                    <wps:wsp>
                      <wps:cNvSpPr/>
                      <wps:spPr>
                        <a:xfrm>
                          <a:off x="0" y="0"/>
                          <a:ext cx="1664970" cy="1725295"/>
                        </a:xfrm>
                        <a:custGeom>
                          <a:avLst/>
                          <a:gdLst/>
                          <a:ahLst/>
                          <a:cxnLst/>
                          <a:pathLst>
                            <a:path w="2622" h="2717">
                              <a:moveTo>
                                <a:pt x="0" y="0"/>
                              </a:moveTo>
                              <a:cubicBezTo>
                                <a:pt x="89" y="23"/>
                                <a:pt x="179" y="84"/>
                                <a:pt x="245" y="150"/>
                              </a:cubicBezTo>
                              <a:cubicBezTo>
                                <a:pt x="274" y="241"/>
                                <a:pt x="233" y="141"/>
                                <a:pt x="299" y="217"/>
                              </a:cubicBezTo>
                              <a:cubicBezTo>
                                <a:pt x="321" y="242"/>
                                <a:pt x="335" y="272"/>
                                <a:pt x="353" y="299"/>
                              </a:cubicBezTo>
                              <a:cubicBezTo>
                                <a:pt x="423" y="403"/>
                                <a:pt x="456" y="526"/>
                                <a:pt x="584" y="571"/>
                              </a:cubicBezTo>
                              <a:cubicBezTo>
                                <a:pt x="622" y="627"/>
                                <a:pt x="672" y="637"/>
                                <a:pt x="734" y="679"/>
                              </a:cubicBezTo>
                              <a:cubicBezTo>
                                <a:pt x="777" y="708"/>
                                <a:pt x="807" y="732"/>
                                <a:pt x="856" y="747"/>
                              </a:cubicBezTo>
                              <a:cubicBezTo>
                                <a:pt x="870" y="756"/>
                                <a:pt x="882" y="767"/>
                                <a:pt x="897" y="774"/>
                              </a:cubicBezTo>
                              <a:cubicBezTo>
                                <a:pt x="910" y="780"/>
                                <a:pt x="925" y="781"/>
                                <a:pt x="937" y="788"/>
                              </a:cubicBezTo>
                              <a:cubicBezTo>
                                <a:pt x="948" y="795"/>
                                <a:pt x="955" y="807"/>
                                <a:pt x="965" y="815"/>
                              </a:cubicBezTo>
                              <a:cubicBezTo>
                                <a:pt x="1027" y="866"/>
                                <a:pt x="1098" y="908"/>
                                <a:pt x="1155" y="965"/>
                              </a:cubicBezTo>
                              <a:cubicBezTo>
                                <a:pt x="1193" y="1003"/>
                                <a:pt x="1174" y="1002"/>
                                <a:pt x="1196" y="1046"/>
                              </a:cubicBezTo>
                              <a:cubicBezTo>
                                <a:pt x="1230" y="1114"/>
                                <a:pt x="1305" y="1210"/>
                                <a:pt x="1359" y="1264"/>
                              </a:cubicBezTo>
                              <a:cubicBezTo>
                                <a:pt x="1363" y="1277"/>
                                <a:pt x="1366" y="1291"/>
                                <a:pt x="1372" y="1304"/>
                              </a:cubicBezTo>
                              <a:cubicBezTo>
                                <a:pt x="1379" y="1319"/>
                                <a:pt x="1394" y="1329"/>
                                <a:pt x="1399" y="1345"/>
                              </a:cubicBezTo>
                              <a:cubicBezTo>
                                <a:pt x="1408" y="1371"/>
                                <a:pt x="1404" y="1401"/>
                                <a:pt x="1413" y="1427"/>
                              </a:cubicBezTo>
                              <a:cubicBezTo>
                                <a:pt x="1425" y="1462"/>
                                <a:pt x="1453" y="1489"/>
                                <a:pt x="1467" y="1522"/>
                              </a:cubicBezTo>
                              <a:cubicBezTo>
                                <a:pt x="1510" y="1622"/>
                                <a:pt x="1513" y="1711"/>
                                <a:pt x="1576" y="1807"/>
                              </a:cubicBezTo>
                              <a:cubicBezTo>
                                <a:pt x="1596" y="1902"/>
                                <a:pt x="1630" y="1984"/>
                                <a:pt x="1685" y="2065"/>
                              </a:cubicBezTo>
                              <a:cubicBezTo>
                                <a:pt x="1699" y="2109"/>
                                <a:pt x="1716" y="2161"/>
                                <a:pt x="1739" y="2201"/>
                              </a:cubicBezTo>
                              <a:cubicBezTo>
                                <a:pt x="1755" y="2229"/>
                                <a:pt x="1775" y="2255"/>
                                <a:pt x="1793" y="2282"/>
                              </a:cubicBezTo>
                              <a:cubicBezTo>
                                <a:pt x="1802" y="2296"/>
                                <a:pt x="1821" y="2323"/>
                                <a:pt x="1821" y="2323"/>
                              </a:cubicBezTo>
                              <a:cubicBezTo>
                                <a:pt x="1832" y="2357"/>
                                <a:pt x="1839" y="2387"/>
                                <a:pt x="1861" y="2418"/>
                              </a:cubicBezTo>
                              <a:cubicBezTo>
                                <a:pt x="1897" y="2468"/>
                                <a:pt x="1946" y="2471"/>
                                <a:pt x="1997" y="2500"/>
                              </a:cubicBezTo>
                              <a:cubicBezTo>
                                <a:pt x="2090" y="2553"/>
                                <a:pt x="2164" y="2569"/>
                                <a:pt x="2269" y="2581"/>
                              </a:cubicBezTo>
                              <a:cubicBezTo>
                                <a:pt x="2330" y="2601"/>
                                <a:pt x="2385" y="2629"/>
                                <a:pt x="2445" y="2649"/>
                              </a:cubicBezTo>
                              <a:cubicBezTo>
                                <a:pt x="2492" y="2680"/>
                                <a:pt x="2528" y="2689"/>
                                <a:pt x="2581" y="2704"/>
                              </a:cubicBezTo>
                              <a:cubicBezTo>
                                <a:pt x="2595" y="2708"/>
                                <a:pt x="2622" y="2717"/>
                                <a:pt x="2622" y="2717"/>
                              </a:cubicBezTo>
                            </a:path>
                          </a:pathLst>
                        </a:custGeom>
                        <a:noFill/>
                        <a:ln w="25400" cap="flat" cmpd="sng">
                          <a:solidFill>
                            <a:srgbClr val="0070C0"/>
                          </a:solidFill>
                          <a:prstDash val="solid"/>
                          <a:headEnd type="none" w="med" len="med"/>
                          <a:tailEnd type="none" w="med" len="med"/>
                        </a:ln>
                      </wps:spPr>
                      <wps:bodyPr upright="1"/>
                    </wps:wsp>
                  </a:graphicData>
                </a:graphic>
              </wp:anchor>
            </w:drawing>
          </mc:Choice>
          <mc:Fallback>
            <w:pict>
              <v:shape id="任意多边形 9466" o:spid="_x0000_s1026" o:spt="100" style="position:absolute;left:0pt;margin-left:561.05pt;margin-top:3.05pt;height:135.85pt;width:131.1pt;z-index:251727872;mso-width-relative:page;mso-height-relative:page;" filled="f" stroked="t" coordsize="2622,2717" o:gfxdata="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" path="m0,0c89,23,179,84,245,150c274,241,233,141,299,217c321,242,335,272,353,299c423,403,456,526,584,571c622,627,672,637,734,679c777,708,807,732,856,747c870,756,882,767,897,774c910,780,925,781,937,788c948,795,955,807,965,815c1027,866,1098,908,1155,965c1193,1003,1174,1002,1196,1046c1230,1114,1305,1210,1359,1264c1363,1277,1366,1291,1372,1304c1379,1319,1394,1329,1399,1345c1408,1371,1404,1401,1413,1427c1425,1462,1453,1489,1467,1522c1510,1622,1513,1711,1576,1807c1596,1902,1630,1984,1685,2065c1699,2109,1716,2161,1739,2201c1755,2229,1775,2255,1793,2282c1802,2296,1821,2323,1821,2323c1832,2357,1839,2387,1861,2418c1897,2468,1946,2471,1997,2500c2090,2553,2164,2569,2269,2581c2330,2601,2385,2629,2445,2649c2492,2680,2528,2689,2581,2704c2595,2708,2622,2717,2622,2717e">
                <v:fill on="f" focussize="0,0"/>
                <v:stroke weight="2pt" color="#0070C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26848" behindDoc="0" locked="0" layoutInCell="1" allowOverlap="1">
                <wp:simplePos x="0" y="0"/>
                <wp:positionH relativeFrom="column">
                  <wp:posOffset>2063750</wp:posOffset>
                </wp:positionH>
                <wp:positionV relativeFrom="paragraph">
                  <wp:posOffset>3065145</wp:posOffset>
                </wp:positionV>
                <wp:extent cx="599440" cy="273685"/>
                <wp:effectExtent l="0" t="0" r="0" b="0"/>
                <wp:wrapNone/>
                <wp:docPr id="155" name="矩形 9465"/>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0C79B14C">
                            <w:pPr>
                              <w:rPr>
                                <w:rFonts w:ascii="黑体" w:hAnsi="黑体" w:eastAsia="黑体"/>
                                <w:color w:val="FFFF00"/>
                                <w:sz w:val="15"/>
                              </w:rPr>
                            </w:pPr>
                            <w:r>
                              <w:rPr>
                                <w:rFonts w:ascii="黑体" w:hAnsi="黑体" w:eastAsia="黑体"/>
                                <w:color w:val="FFFF00"/>
                                <w:sz w:val="15"/>
                              </w:rPr>
                              <w:t>后王郢孜</w:t>
                            </w:r>
                          </w:p>
                        </w:txbxContent>
                      </wps:txbx>
                      <wps:bodyPr upright="1"/>
                    </wps:wsp>
                  </a:graphicData>
                </a:graphic>
              </wp:anchor>
            </w:drawing>
          </mc:Choice>
          <mc:Fallback>
            <w:pict>
              <v:rect id="矩形 9465" o:spid="_x0000_s1026" o:spt="1" style="position:absolute;left:0pt;margin-left:162.5pt;margin-top:241.35pt;height:21.55pt;width:47.2pt;z-index:251726848;mso-width-relative:page;mso-height-relative:page;" filled="f" stroked="f" coordsize="21600,21600" o:gfxdata="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U3xOD3AAAAAsB&#10;AAAPAAAAAAAAAAEAIAAAACIAAABkcnMvZG93bnJldi54bWxQSwECFAAUAAAACACHTuJAQvwN6KUB&#10;AABFAwAADgAAAAAAAAABACAAAAArAQAAZHJzL2Uyb0RvYy54bWxQSwUGAAAAAAYABgBZAQAAQgUA&#10;AAAA&#10;">
                <v:fill on="f" focussize="0,0"/>
                <v:stroke on="f"/>
                <v:imagedata o:title=""/>
                <o:lock v:ext="edit" aspectratio="f"/>
                <v:textbox>
                  <w:txbxContent>
                    <w:p w14:paraId="0C79B14C">
                      <w:pPr>
                        <w:rPr>
                          <w:rFonts w:ascii="黑体" w:hAnsi="黑体" w:eastAsia="黑体"/>
                          <w:color w:val="FFFF00"/>
                          <w:sz w:val="15"/>
                        </w:rPr>
                      </w:pPr>
                      <w:r>
                        <w:rPr>
                          <w:rFonts w:ascii="黑体" w:hAnsi="黑体" w:eastAsia="黑体"/>
                          <w:color w:val="FFFF00"/>
                          <w:sz w:val="15"/>
                        </w:rPr>
                        <w:t>后王郢孜</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25824" behindDoc="0" locked="0" layoutInCell="1" allowOverlap="1">
                <wp:simplePos x="0" y="0"/>
                <wp:positionH relativeFrom="column">
                  <wp:posOffset>2367915</wp:posOffset>
                </wp:positionH>
                <wp:positionV relativeFrom="paragraph">
                  <wp:posOffset>3637280</wp:posOffset>
                </wp:positionV>
                <wp:extent cx="599440" cy="273685"/>
                <wp:effectExtent l="0" t="0" r="0" b="0"/>
                <wp:wrapNone/>
                <wp:docPr id="154" name="矩形 9464"/>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27EABF15">
                            <w:r>
                              <w:rPr>
                                <w:rFonts w:ascii="黑体" w:hAnsi="黑体" w:eastAsia="黑体"/>
                                <w:color w:val="FFFF00"/>
                                <w:sz w:val="15"/>
                              </w:rPr>
                              <w:t>前王郢孜</w:t>
                            </w:r>
                          </w:p>
                        </w:txbxContent>
                      </wps:txbx>
                      <wps:bodyPr upright="1"/>
                    </wps:wsp>
                  </a:graphicData>
                </a:graphic>
              </wp:anchor>
            </w:drawing>
          </mc:Choice>
          <mc:Fallback>
            <w:pict>
              <v:rect id="矩形 9464" o:spid="_x0000_s1026" o:spt="1" style="position:absolute;left:0pt;margin-left:186.45pt;margin-top:286.4pt;height:21.55pt;width:47.2pt;z-index:251725824;mso-width-relative:page;mso-height-relative:page;" filled="f" stroked="f" coordsize="21600,21600" o:gfxdata="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BTKMvN3AAAAAsB&#10;AAAPAAAAAAAAAAEAIAAAACIAAABkcnMvZG93bnJldi54bWxQSwECFAAUAAAACACHTuJA/Fvf3qUB&#10;AABFAwAADgAAAAAAAAABACAAAAArAQAAZHJzL2Uyb0RvYy54bWxQSwUGAAAAAAYABgBZAQAAQgUA&#10;AAAA&#10;">
                <v:fill on="f" focussize="0,0"/>
                <v:stroke on="f"/>
                <v:imagedata o:title=""/>
                <o:lock v:ext="edit" aspectratio="f"/>
                <v:textbox>
                  <w:txbxContent>
                    <w:p w14:paraId="27EABF15">
                      <w:r>
                        <w:rPr>
                          <w:rFonts w:ascii="黑体" w:hAnsi="黑体" w:eastAsia="黑体"/>
                          <w:color w:val="FFFF00"/>
                          <w:sz w:val="15"/>
                        </w:rPr>
                        <w:t>前王郢孜</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24800" behindDoc="0" locked="0" layoutInCell="1" allowOverlap="1">
                <wp:simplePos x="0" y="0"/>
                <wp:positionH relativeFrom="column">
                  <wp:posOffset>2520315</wp:posOffset>
                </wp:positionH>
                <wp:positionV relativeFrom="paragraph">
                  <wp:posOffset>3841115</wp:posOffset>
                </wp:positionV>
                <wp:extent cx="71755" cy="71755"/>
                <wp:effectExtent l="4445" t="4445" r="12700" b="12700"/>
                <wp:wrapNone/>
                <wp:docPr id="153" name="椭圆 9458"/>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58" o:spid="_x0000_s1026" o:spt="3" type="#_x0000_t3" style="position:absolute;left:0pt;margin-left:198.45pt;margin-top:302.45pt;height:5.65pt;width:5.65pt;z-index:251724800;mso-width-relative:page;mso-height-relative:page;" fillcolor="#FF0000" filled="t" stroked="t" coordsize="21600,21600" o:gfxdata="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KcRW+1wAAAAsBAAAPAAAAAAAAAAEAIAAAACIAAABkcnMvZG93bnJldi54bWxQSwEC&#10;FAAUAAAACACHTuJAVX+v9/UBAAAZBAAADgAAAAAAAAABACAAAAAm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23776" behindDoc="0" locked="0" layoutInCell="1" allowOverlap="1">
                <wp:simplePos x="0" y="0"/>
                <wp:positionH relativeFrom="column">
                  <wp:posOffset>2261235</wp:posOffset>
                </wp:positionH>
                <wp:positionV relativeFrom="paragraph">
                  <wp:posOffset>3265805</wp:posOffset>
                </wp:positionV>
                <wp:extent cx="71755" cy="71755"/>
                <wp:effectExtent l="4445" t="4445" r="12700" b="12700"/>
                <wp:wrapNone/>
                <wp:docPr id="152" name="椭圆 9457"/>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57" o:spid="_x0000_s1026" o:spt="3" type="#_x0000_t3" style="position:absolute;left:0pt;margin-left:178.05pt;margin-top:257.15pt;height:5.65pt;width:5.65pt;z-index:251723776;mso-width-relative:page;mso-height-relative:page;" fillcolor="#FF0000" filled="t" stroked="t" coordsize="21600,21600" o:gfxdata="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fDHUqNkAAAALAQAADwAAAAAAAAABACAAAAAiAAAAZHJzL2Rvd25yZXYueG1sUEsB&#10;AhQAFAAAAAgAh07iQFNASbT0AQAAGQQAAA4AAAAAAAAAAQAgAAAAKA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22752" behindDoc="0" locked="0" layoutInCell="1" allowOverlap="1">
                <wp:simplePos x="0" y="0"/>
                <wp:positionH relativeFrom="column">
                  <wp:posOffset>3279775</wp:posOffset>
                </wp:positionH>
                <wp:positionV relativeFrom="paragraph">
                  <wp:posOffset>1692275</wp:posOffset>
                </wp:positionV>
                <wp:extent cx="71755" cy="71755"/>
                <wp:effectExtent l="4445" t="4445" r="12700" b="12700"/>
                <wp:wrapNone/>
                <wp:docPr id="151" name="椭圆 9456"/>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56" o:spid="_x0000_s1026" o:spt="3" type="#_x0000_t3" style="position:absolute;left:0pt;margin-left:258.25pt;margin-top:133.25pt;height:5.65pt;width:5.65pt;z-index:251722752;mso-width-relative:page;mso-height-relative:page;" fillcolor="#FF0000" filled="t" stroked="t" coordsize="21600,21600" o:gfxdata="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Ae8U51wAAAAsBAAAPAAAAAAAAAAEAIAAAACIAAABkcnMvZG93bnJldi54bWxQSwEC&#10;FAAUAAAACACHTuJA4snF5vUBAAAZBAAADgAAAAAAAAABACAAAAAm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21728" behindDoc="0" locked="0" layoutInCell="1" allowOverlap="1">
                <wp:simplePos x="0" y="0"/>
                <wp:positionH relativeFrom="column">
                  <wp:posOffset>5815965</wp:posOffset>
                </wp:positionH>
                <wp:positionV relativeFrom="paragraph">
                  <wp:posOffset>3338830</wp:posOffset>
                </wp:positionV>
                <wp:extent cx="534670" cy="273685"/>
                <wp:effectExtent l="0" t="0" r="0" b="0"/>
                <wp:wrapNone/>
                <wp:docPr id="150" name="矩形 9453"/>
                <wp:cNvGraphicFramePr/>
                <a:graphic xmlns:a="http://schemas.openxmlformats.org/drawingml/2006/main">
                  <a:graphicData uri="http://schemas.microsoft.com/office/word/2010/wordprocessingShape">
                    <wps:wsp>
                      <wps:cNvSpPr/>
                      <wps:spPr>
                        <a:xfrm>
                          <a:off x="0" y="0"/>
                          <a:ext cx="534670" cy="273685"/>
                        </a:xfrm>
                        <a:prstGeom prst="rect">
                          <a:avLst/>
                        </a:prstGeom>
                        <a:noFill/>
                        <a:ln>
                          <a:noFill/>
                        </a:ln>
                      </wps:spPr>
                      <wps:txbx>
                        <w:txbxContent>
                          <w:p w14:paraId="22A602CD">
                            <w:pPr>
                              <w:rPr>
                                <w:rFonts w:ascii="黑体" w:hAnsi="黑体" w:eastAsia="黑体"/>
                                <w:color w:val="FFFF00"/>
                                <w:sz w:val="15"/>
                              </w:rPr>
                            </w:pPr>
                            <w:r>
                              <w:rPr>
                                <w:rFonts w:ascii="黑体" w:hAnsi="黑体" w:eastAsia="黑体"/>
                                <w:color w:val="FFFF00"/>
                                <w:sz w:val="15"/>
                              </w:rPr>
                              <w:t>梁家楼</w:t>
                            </w:r>
                          </w:p>
                        </w:txbxContent>
                      </wps:txbx>
                      <wps:bodyPr upright="1"/>
                    </wps:wsp>
                  </a:graphicData>
                </a:graphic>
              </wp:anchor>
            </w:drawing>
          </mc:Choice>
          <mc:Fallback>
            <w:pict>
              <v:rect id="矩形 9453" o:spid="_x0000_s1026" o:spt="1" style="position:absolute;left:0pt;margin-left:457.95pt;margin-top:262.9pt;height:21.55pt;width:42.1pt;z-index:251721728;mso-width-relative:page;mso-height-relative:page;" filled="f" stroked="f" coordsize="21600,21600" o:gfxdata="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4w/oCNsAAAAMAQAA&#10;DwAAAAAAAAABACAAAAAiAAAAZHJzL2Rvd25yZXYueG1sUEsBAhQAFAAAAAgAh07iQNXfjYCkAQAA&#10;RQMAAA4AAAAAAAAAAQAgAAAAKgEAAGRycy9lMm9Eb2MueG1sUEsFBgAAAAAGAAYAWQEAAEAFAAAA&#10;AA==&#10;">
                <v:fill on="f" focussize="0,0"/>
                <v:stroke on="f"/>
                <v:imagedata o:title=""/>
                <o:lock v:ext="edit" aspectratio="f"/>
                <v:textbox>
                  <w:txbxContent>
                    <w:p w14:paraId="22A602CD">
                      <w:pPr>
                        <w:rPr>
                          <w:rFonts w:ascii="黑体" w:hAnsi="黑体" w:eastAsia="黑体"/>
                          <w:color w:val="FFFF00"/>
                          <w:sz w:val="15"/>
                        </w:rPr>
                      </w:pPr>
                      <w:r>
                        <w:rPr>
                          <w:rFonts w:ascii="黑体" w:hAnsi="黑体" w:eastAsia="黑体"/>
                          <w:color w:val="FFFF00"/>
                          <w:sz w:val="15"/>
                        </w:rPr>
                        <w:t>梁家楼</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20704" behindDoc="0" locked="0" layoutInCell="1" allowOverlap="1">
                <wp:simplePos x="0" y="0"/>
                <wp:positionH relativeFrom="column">
                  <wp:posOffset>5978525</wp:posOffset>
                </wp:positionH>
                <wp:positionV relativeFrom="paragraph">
                  <wp:posOffset>3716655</wp:posOffset>
                </wp:positionV>
                <wp:extent cx="534670" cy="273685"/>
                <wp:effectExtent l="0" t="0" r="0" b="0"/>
                <wp:wrapNone/>
                <wp:docPr id="149" name="矩形 9452"/>
                <wp:cNvGraphicFramePr/>
                <a:graphic xmlns:a="http://schemas.openxmlformats.org/drawingml/2006/main">
                  <a:graphicData uri="http://schemas.microsoft.com/office/word/2010/wordprocessingShape">
                    <wps:wsp>
                      <wps:cNvSpPr/>
                      <wps:spPr>
                        <a:xfrm>
                          <a:off x="0" y="0"/>
                          <a:ext cx="534670" cy="273685"/>
                        </a:xfrm>
                        <a:prstGeom prst="rect">
                          <a:avLst/>
                        </a:prstGeom>
                        <a:noFill/>
                        <a:ln>
                          <a:noFill/>
                        </a:ln>
                      </wps:spPr>
                      <wps:txbx>
                        <w:txbxContent>
                          <w:p w14:paraId="738AD1E1">
                            <w:pPr>
                              <w:rPr>
                                <w:rFonts w:ascii="黑体" w:hAnsi="黑体" w:eastAsia="黑体"/>
                                <w:color w:val="FFFF00"/>
                                <w:sz w:val="15"/>
                              </w:rPr>
                            </w:pPr>
                            <w:r>
                              <w:rPr>
                                <w:rFonts w:ascii="黑体" w:hAnsi="黑体" w:eastAsia="黑体"/>
                                <w:color w:val="FFFF00"/>
                                <w:sz w:val="15"/>
                              </w:rPr>
                              <w:t>庄户</w:t>
                            </w:r>
                          </w:p>
                        </w:txbxContent>
                      </wps:txbx>
                      <wps:bodyPr upright="1"/>
                    </wps:wsp>
                  </a:graphicData>
                </a:graphic>
              </wp:anchor>
            </w:drawing>
          </mc:Choice>
          <mc:Fallback>
            <w:pict>
              <v:rect id="矩形 9452" o:spid="_x0000_s1026" o:spt="1" style="position:absolute;left:0pt;margin-left:470.75pt;margin-top:292.65pt;height:21.55pt;width:42.1pt;z-index:251720704;mso-width-relative:page;mso-height-relative:page;" filled="f" stroked="f" coordsize="21600,21600" o:gfxdata="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N5Kh/LdAAAA&#10;DAEAAA8AAAAAAAAAAQAgAAAAIgAAAGRycy9kb3ducmV2LnhtbFBLAQIUABQAAAAIAIdO4kANyx0W&#10;pgEAAEUDAAAOAAAAAAAAAAEAIAAAACwBAABkcnMvZTJvRG9jLnhtbFBLBQYAAAAABgAGAFkBAABE&#10;BQAAAAA=&#10;">
                <v:fill on="f" focussize="0,0"/>
                <v:stroke on="f"/>
                <v:imagedata o:title=""/>
                <o:lock v:ext="edit" aspectratio="f"/>
                <v:textbox>
                  <w:txbxContent>
                    <w:p w14:paraId="738AD1E1">
                      <w:pPr>
                        <w:rPr>
                          <w:rFonts w:ascii="黑体" w:hAnsi="黑体" w:eastAsia="黑体"/>
                          <w:color w:val="FFFF00"/>
                          <w:sz w:val="15"/>
                        </w:rPr>
                      </w:pPr>
                      <w:r>
                        <w:rPr>
                          <w:rFonts w:ascii="黑体" w:hAnsi="黑体" w:eastAsia="黑体"/>
                          <w:color w:val="FFFF00"/>
                          <w:sz w:val="15"/>
                        </w:rPr>
                        <w:t>庄户</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19680" behindDoc="0" locked="0" layoutInCell="1" allowOverlap="1">
                <wp:simplePos x="0" y="0"/>
                <wp:positionH relativeFrom="column">
                  <wp:posOffset>5491480</wp:posOffset>
                </wp:positionH>
                <wp:positionV relativeFrom="paragraph">
                  <wp:posOffset>3639185</wp:posOffset>
                </wp:positionV>
                <wp:extent cx="534670" cy="273685"/>
                <wp:effectExtent l="0" t="0" r="0" b="0"/>
                <wp:wrapNone/>
                <wp:docPr id="148" name="矩形 9451"/>
                <wp:cNvGraphicFramePr/>
                <a:graphic xmlns:a="http://schemas.openxmlformats.org/drawingml/2006/main">
                  <a:graphicData uri="http://schemas.microsoft.com/office/word/2010/wordprocessingShape">
                    <wps:wsp>
                      <wps:cNvSpPr/>
                      <wps:spPr>
                        <a:xfrm>
                          <a:off x="0" y="0"/>
                          <a:ext cx="534670" cy="273685"/>
                        </a:xfrm>
                        <a:prstGeom prst="rect">
                          <a:avLst/>
                        </a:prstGeom>
                        <a:noFill/>
                        <a:ln>
                          <a:noFill/>
                        </a:ln>
                      </wps:spPr>
                      <wps:txbx>
                        <w:txbxContent>
                          <w:p w14:paraId="10449427">
                            <w:pPr>
                              <w:rPr>
                                <w:rFonts w:ascii="黑体" w:hAnsi="黑体" w:eastAsia="黑体"/>
                                <w:color w:val="FFFF00"/>
                                <w:sz w:val="15"/>
                              </w:rPr>
                            </w:pPr>
                            <w:r>
                              <w:rPr>
                                <w:rFonts w:ascii="黑体" w:hAnsi="黑体" w:eastAsia="黑体"/>
                                <w:color w:val="FFFF00"/>
                                <w:sz w:val="15"/>
                              </w:rPr>
                              <w:t>梁庵村</w:t>
                            </w:r>
                          </w:p>
                        </w:txbxContent>
                      </wps:txbx>
                      <wps:bodyPr upright="1"/>
                    </wps:wsp>
                  </a:graphicData>
                </a:graphic>
              </wp:anchor>
            </w:drawing>
          </mc:Choice>
          <mc:Fallback>
            <w:pict>
              <v:rect id="矩形 9451" o:spid="_x0000_s1026" o:spt="1" style="position:absolute;left:0pt;margin-left:432.4pt;margin-top:286.55pt;height:21.55pt;width:42.1pt;z-index:251719680;mso-width-relative:page;mso-height-relative:page;" filled="f" stroked="f" coordsize="21600,21600" o:gfxdata="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AdMM8b3AAAAAsB&#10;AAAPAAAAAAAAAAEAIAAAACIAAABkcnMvZG93bnJldi54bWxQSwECFAAUAAAACACHTuJAO8xQ6aUB&#10;AABFAwAADgAAAAAAAAABACAAAAArAQAAZHJzL2Uyb0RvYy54bWxQSwUGAAAAAAYABgBZAQAAQgUA&#10;AAAA&#10;">
                <v:fill on="f" focussize="0,0"/>
                <v:stroke on="f"/>
                <v:imagedata o:title=""/>
                <o:lock v:ext="edit" aspectratio="f"/>
                <v:textbox>
                  <w:txbxContent>
                    <w:p w14:paraId="10449427">
                      <w:pPr>
                        <w:rPr>
                          <w:rFonts w:ascii="黑体" w:hAnsi="黑体" w:eastAsia="黑体"/>
                          <w:color w:val="FFFF00"/>
                          <w:sz w:val="15"/>
                        </w:rPr>
                      </w:pPr>
                      <w:r>
                        <w:rPr>
                          <w:rFonts w:ascii="黑体" w:hAnsi="黑体" w:eastAsia="黑体"/>
                          <w:color w:val="FFFF00"/>
                          <w:sz w:val="15"/>
                        </w:rPr>
                        <w:t>梁庵村</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18656" behindDoc="0" locked="0" layoutInCell="1" allowOverlap="1">
                <wp:simplePos x="0" y="0"/>
                <wp:positionH relativeFrom="column">
                  <wp:posOffset>5744210</wp:posOffset>
                </wp:positionH>
                <wp:positionV relativeFrom="paragraph">
                  <wp:posOffset>3847465</wp:posOffset>
                </wp:positionV>
                <wp:extent cx="71755" cy="71755"/>
                <wp:effectExtent l="4445" t="4445" r="12700" b="12700"/>
                <wp:wrapNone/>
                <wp:docPr id="147" name="椭圆 9450"/>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50" o:spid="_x0000_s1026" o:spt="3" type="#_x0000_t3" style="position:absolute;left:0pt;margin-left:452.3pt;margin-top:302.95pt;height:5.65pt;width:5.65pt;z-index:251718656;mso-width-relative:page;mso-height-relative:page;" fillcolor="#FF0000" filled="t" stroked="t" coordsize="21600,21600" o:gfxdata="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9zIezXAAAACwEAAA8AAAAAAAAAAQAgAAAAIgAAAGRycy9kb3ducmV2LnhtbFBLAQIU&#10;ABQAAAAIAIdO4kCE2LBV9AEAABkEAAAOAAAAAAAAAAEAIAAAACYBAABkcnMvZTJvRG9jLnhtbFBL&#10;BQYAAAAABgAGAFkBAACMBQ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17632" behindDoc="0" locked="0" layoutInCell="1" allowOverlap="1">
                <wp:simplePos x="0" y="0"/>
                <wp:positionH relativeFrom="column">
                  <wp:posOffset>5998845</wp:posOffset>
                </wp:positionH>
                <wp:positionV relativeFrom="paragraph">
                  <wp:posOffset>3832225</wp:posOffset>
                </wp:positionV>
                <wp:extent cx="71755" cy="71755"/>
                <wp:effectExtent l="4445" t="4445" r="12700" b="12700"/>
                <wp:wrapNone/>
                <wp:docPr id="146" name="椭圆 9449"/>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49" o:spid="_x0000_s1026" o:spt="3" type="#_x0000_t3" style="position:absolute;left:0pt;margin-left:472.35pt;margin-top:301.75pt;height:5.65pt;width:5.65pt;z-index:251717632;mso-width-relative:page;mso-height-relative:page;" fillcolor="#FF0000" filled="t" stroked="t" coordsize="21600,21600" o:gfxdata="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5AQnxtgAAAALAQAADwAAAAAAAAABACAAAAAiAAAAZHJzL2Rvd25yZXYueG1sUEsB&#10;AhQAFAAAAAgAh07iQC+xW2n1AQAAGQQAAA4AAAAAAAAAAQAgAAAAJw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16608" behindDoc="0" locked="0" layoutInCell="1" allowOverlap="1">
                <wp:simplePos x="0" y="0"/>
                <wp:positionH relativeFrom="column">
                  <wp:posOffset>5998845</wp:posOffset>
                </wp:positionH>
                <wp:positionV relativeFrom="paragraph">
                  <wp:posOffset>3548380</wp:posOffset>
                </wp:positionV>
                <wp:extent cx="71755" cy="71755"/>
                <wp:effectExtent l="4445" t="4445" r="12700" b="12700"/>
                <wp:wrapNone/>
                <wp:docPr id="145" name="椭圆 9448"/>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48" o:spid="_x0000_s1026" o:spt="3" type="#_x0000_t3" style="position:absolute;left:0pt;margin-left:472.35pt;margin-top:279.4pt;height:5.65pt;width:5.65pt;z-index:251716608;mso-width-relative:page;mso-height-relative:page;" fillcolor="#FF0000" filled="t" stroked="t" coordsize="21600,21600" o:gfxdata="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DV8g1NgAAAALAQAADwAAAAAAAAABACAAAAAiAAAAZHJzL2Rvd25yZXYueG1sUEsB&#10;AhQAFAAAAAgAh07iQJ441zv1AQAAGQQAAA4AAAAAAAAAAQAgAAAAJw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4970780</wp:posOffset>
                </wp:positionH>
                <wp:positionV relativeFrom="paragraph">
                  <wp:posOffset>3829685</wp:posOffset>
                </wp:positionV>
                <wp:extent cx="854075" cy="273685"/>
                <wp:effectExtent l="0" t="0" r="0" b="0"/>
                <wp:wrapNone/>
                <wp:docPr id="144" name="矩形 9444"/>
                <wp:cNvGraphicFramePr/>
                <a:graphic xmlns:a="http://schemas.openxmlformats.org/drawingml/2006/main">
                  <a:graphicData uri="http://schemas.microsoft.com/office/word/2010/wordprocessingShape">
                    <wps:wsp>
                      <wps:cNvSpPr/>
                      <wps:spPr>
                        <a:xfrm>
                          <a:off x="0" y="0"/>
                          <a:ext cx="854075" cy="273685"/>
                        </a:xfrm>
                        <a:prstGeom prst="rect">
                          <a:avLst/>
                        </a:prstGeom>
                        <a:noFill/>
                        <a:ln>
                          <a:noFill/>
                        </a:ln>
                      </wps:spPr>
                      <wps:txbx>
                        <w:txbxContent>
                          <w:p w14:paraId="4FEC9B19">
                            <w:pPr>
                              <w:rPr>
                                <w:rFonts w:ascii="黑体" w:hAnsi="黑体" w:eastAsia="黑体"/>
                                <w:color w:val="FFFF00"/>
                                <w:sz w:val="15"/>
                              </w:rPr>
                            </w:pPr>
                            <w:r>
                              <w:rPr>
                                <w:rFonts w:ascii="黑体" w:hAnsi="黑体" w:eastAsia="黑体"/>
                                <w:color w:val="FFFF00"/>
                                <w:sz w:val="15"/>
                              </w:rPr>
                              <w:t>凤台县人民法院</w:t>
                            </w:r>
                          </w:p>
                        </w:txbxContent>
                      </wps:txbx>
                      <wps:bodyPr upright="1"/>
                    </wps:wsp>
                  </a:graphicData>
                </a:graphic>
              </wp:anchor>
            </w:drawing>
          </mc:Choice>
          <mc:Fallback>
            <w:pict>
              <v:rect id="矩形 9444" o:spid="_x0000_s1026" o:spt="1" style="position:absolute;left:0pt;margin-left:391.4pt;margin-top:301.55pt;height:21.55pt;width:67.25pt;z-index:251715584;mso-width-relative:page;mso-height-relative:page;" filled="f" stroked="f" coordsize="21600,21600" o:gfxdata="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CdWu0twAAAAL&#10;AQAADwAAAAAAAAABACAAAAAiAAAAZHJzL2Rvd25yZXYueG1sUEsBAhQAFAAAAAgAh07iQLPSshSm&#10;AQAARQMAAA4AAAAAAAAAAQAgAAAAKwEAAGRycy9lMm9Eb2MueG1sUEsFBgAAAAAGAAYAWQEAAEMF&#10;AAAAAA==&#10;">
                <v:fill on="f" focussize="0,0"/>
                <v:stroke on="f"/>
                <v:imagedata o:title=""/>
                <o:lock v:ext="edit" aspectratio="f"/>
                <v:textbox>
                  <w:txbxContent>
                    <w:p w14:paraId="4FEC9B19">
                      <w:pPr>
                        <w:rPr>
                          <w:rFonts w:ascii="黑体" w:hAnsi="黑体" w:eastAsia="黑体"/>
                          <w:color w:val="FFFF00"/>
                          <w:sz w:val="15"/>
                        </w:rPr>
                      </w:pPr>
                      <w:r>
                        <w:rPr>
                          <w:rFonts w:ascii="黑体" w:hAnsi="黑体" w:eastAsia="黑体"/>
                          <w:color w:val="FFFF00"/>
                          <w:sz w:val="15"/>
                        </w:rPr>
                        <w:t>凤台县人民法院</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5399405</wp:posOffset>
                </wp:positionH>
                <wp:positionV relativeFrom="paragraph">
                  <wp:posOffset>3301365</wp:posOffset>
                </wp:positionV>
                <wp:extent cx="534670" cy="273685"/>
                <wp:effectExtent l="0" t="0" r="0" b="0"/>
                <wp:wrapNone/>
                <wp:docPr id="143" name="矩形 9443"/>
                <wp:cNvGraphicFramePr/>
                <a:graphic xmlns:a="http://schemas.openxmlformats.org/drawingml/2006/main">
                  <a:graphicData uri="http://schemas.microsoft.com/office/word/2010/wordprocessingShape">
                    <wps:wsp>
                      <wps:cNvSpPr/>
                      <wps:spPr>
                        <a:xfrm>
                          <a:off x="0" y="0"/>
                          <a:ext cx="534670" cy="273685"/>
                        </a:xfrm>
                        <a:prstGeom prst="rect">
                          <a:avLst/>
                        </a:prstGeom>
                        <a:noFill/>
                        <a:ln>
                          <a:noFill/>
                        </a:ln>
                      </wps:spPr>
                      <wps:txbx>
                        <w:txbxContent>
                          <w:p w14:paraId="189A9765">
                            <w:pPr>
                              <w:rPr>
                                <w:rFonts w:ascii="黑体" w:hAnsi="黑体" w:eastAsia="黑体"/>
                                <w:color w:val="FFFF00"/>
                                <w:sz w:val="15"/>
                              </w:rPr>
                            </w:pPr>
                            <w:r>
                              <w:rPr>
                                <w:rFonts w:ascii="黑体" w:hAnsi="黑体" w:eastAsia="黑体"/>
                                <w:color w:val="FFFF00"/>
                                <w:sz w:val="15"/>
                              </w:rPr>
                              <w:t>贾郢孜</w:t>
                            </w:r>
                          </w:p>
                        </w:txbxContent>
                      </wps:txbx>
                      <wps:bodyPr upright="1"/>
                    </wps:wsp>
                  </a:graphicData>
                </a:graphic>
              </wp:anchor>
            </w:drawing>
          </mc:Choice>
          <mc:Fallback>
            <w:pict>
              <v:rect id="矩形 9443" o:spid="_x0000_s1026" o:spt="1" style="position:absolute;left:0pt;margin-left:425.15pt;margin-top:259.95pt;height:21.55pt;width:42.1pt;z-index:251714560;mso-width-relative:page;mso-height-relative:page;" filled="f" stroked="f" coordsize="21600,21600" o:gfxdata="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CnkyBvcAAAACwEA&#10;AA8AAAAAAAAAAQAgAAAAIgAAAGRycy9kb3ducmV2LnhtbFBLAQIUABQAAAAIAIdO4kD3C0VapAEA&#10;AEUDAAAOAAAAAAAAAAEAIAAAACsBAABkcnMvZTJvRG9jLnhtbFBLBQYAAAAABgAGAFkBAABBBQAA&#10;AAA=&#10;">
                <v:fill on="f" focussize="0,0"/>
                <v:stroke on="f"/>
                <v:imagedata o:title=""/>
                <o:lock v:ext="edit" aspectratio="f"/>
                <v:textbox>
                  <w:txbxContent>
                    <w:p w14:paraId="189A9765">
                      <w:pPr>
                        <w:rPr>
                          <w:rFonts w:ascii="黑体" w:hAnsi="黑体" w:eastAsia="黑体"/>
                          <w:color w:val="FFFF00"/>
                          <w:sz w:val="15"/>
                        </w:rPr>
                      </w:pPr>
                      <w:r>
                        <w:rPr>
                          <w:rFonts w:ascii="黑体" w:hAnsi="黑体" w:eastAsia="黑体"/>
                          <w:color w:val="FFFF00"/>
                          <w:sz w:val="15"/>
                        </w:rPr>
                        <w:t>贾郢孜</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5130165</wp:posOffset>
                </wp:positionH>
                <wp:positionV relativeFrom="paragraph">
                  <wp:posOffset>3292475</wp:posOffset>
                </wp:positionV>
                <wp:extent cx="534670" cy="273685"/>
                <wp:effectExtent l="0" t="0" r="0" b="0"/>
                <wp:wrapNone/>
                <wp:docPr id="142" name="矩形 9442"/>
                <wp:cNvGraphicFramePr/>
                <a:graphic xmlns:a="http://schemas.openxmlformats.org/drawingml/2006/main">
                  <a:graphicData uri="http://schemas.microsoft.com/office/word/2010/wordprocessingShape">
                    <wps:wsp>
                      <wps:cNvSpPr/>
                      <wps:spPr>
                        <a:xfrm>
                          <a:off x="0" y="0"/>
                          <a:ext cx="534670" cy="273685"/>
                        </a:xfrm>
                        <a:prstGeom prst="rect">
                          <a:avLst/>
                        </a:prstGeom>
                        <a:noFill/>
                        <a:ln>
                          <a:noFill/>
                        </a:ln>
                      </wps:spPr>
                      <wps:txbx>
                        <w:txbxContent>
                          <w:p w14:paraId="32A301DF">
                            <w:pPr>
                              <w:rPr>
                                <w:rFonts w:ascii="黑体" w:hAnsi="黑体" w:eastAsia="黑体"/>
                                <w:color w:val="FFFF00"/>
                                <w:sz w:val="15"/>
                              </w:rPr>
                            </w:pPr>
                            <w:r>
                              <w:rPr>
                                <w:rFonts w:ascii="黑体" w:hAnsi="黑体" w:eastAsia="黑体"/>
                                <w:color w:val="FFFF00"/>
                                <w:sz w:val="15"/>
                              </w:rPr>
                              <w:t>和院</w:t>
                            </w:r>
                          </w:p>
                        </w:txbxContent>
                      </wps:txbx>
                      <wps:bodyPr upright="1"/>
                    </wps:wsp>
                  </a:graphicData>
                </a:graphic>
              </wp:anchor>
            </w:drawing>
          </mc:Choice>
          <mc:Fallback>
            <w:pict>
              <v:rect id="矩形 9442" o:spid="_x0000_s1026" o:spt="1" style="position:absolute;left:0pt;margin-left:403.95pt;margin-top:259.25pt;height:21.55pt;width:42.1pt;z-index:251713536;mso-width-relative:page;mso-height-relative:page;" filled="f" stroked="f" coordsize="21600,21600" o:gfxdata="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BSBRQT3AAAAAsB&#10;AAAPAAAAAAAAAAEAIAAAACIAAABkcnMvZG93bnJldi54bWxQSwECFAAUAAAACACHTuJASayXbKUB&#10;AABFAwAADgAAAAAAAAABACAAAAArAQAAZHJzL2Uyb0RvYy54bWxQSwUGAAAAAAYABgBZAQAAQgUA&#10;AAAA&#10;">
                <v:fill on="f" focussize="0,0"/>
                <v:stroke on="f"/>
                <v:imagedata o:title=""/>
                <o:lock v:ext="edit" aspectratio="f"/>
                <v:textbox>
                  <w:txbxContent>
                    <w:p w14:paraId="32A301DF">
                      <w:pPr>
                        <w:rPr>
                          <w:rFonts w:ascii="黑体" w:hAnsi="黑体" w:eastAsia="黑体"/>
                          <w:color w:val="FFFF00"/>
                          <w:sz w:val="15"/>
                        </w:rPr>
                      </w:pPr>
                      <w:r>
                        <w:rPr>
                          <w:rFonts w:ascii="黑体" w:hAnsi="黑体" w:eastAsia="黑体"/>
                          <w:color w:val="FFFF00"/>
                          <w:sz w:val="15"/>
                        </w:rPr>
                        <w:t>和院</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4810760</wp:posOffset>
                </wp:positionH>
                <wp:positionV relativeFrom="paragraph">
                  <wp:posOffset>2961005</wp:posOffset>
                </wp:positionV>
                <wp:extent cx="534670" cy="273685"/>
                <wp:effectExtent l="0" t="0" r="0" b="0"/>
                <wp:wrapNone/>
                <wp:docPr id="141" name="矩形 9441"/>
                <wp:cNvGraphicFramePr/>
                <a:graphic xmlns:a="http://schemas.openxmlformats.org/drawingml/2006/main">
                  <a:graphicData uri="http://schemas.microsoft.com/office/word/2010/wordprocessingShape">
                    <wps:wsp>
                      <wps:cNvSpPr/>
                      <wps:spPr>
                        <a:xfrm>
                          <a:off x="0" y="0"/>
                          <a:ext cx="534670" cy="273685"/>
                        </a:xfrm>
                        <a:prstGeom prst="rect">
                          <a:avLst/>
                        </a:prstGeom>
                        <a:noFill/>
                        <a:ln>
                          <a:noFill/>
                        </a:ln>
                      </wps:spPr>
                      <wps:txbx>
                        <w:txbxContent>
                          <w:p w14:paraId="78ADEB69">
                            <w:pPr>
                              <w:rPr>
                                <w:rFonts w:ascii="黑体" w:hAnsi="黑体" w:eastAsia="黑体"/>
                                <w:color w:val="FFFF00"/>
                                <w:sz w:val="15"/>
                              </w:rPr>
                            </w:pPr>
                            <w:r>
                              <w:rPr>
                                <w:rFonts w:ascii="黑体" w:hAnsi="黑体" w:eastAsia="黑体"/>
                                <w:color w:val="FFFF00"/>
                                <w:sz w:val="15"/>
                              </w:rPr>
                              <w:t>刘郢</w:t>
                            </w:r>
                          </w:p>
                        </w:txbxContent>
                      </wps:txbx>
                      <wps:bodyPr upright="1"/>
                    </wps:wsp>
                  </a:graphicData>
                </a:graphic>
              </wp:anchor>
            </w:drawing>
          </mc:Choice>
          <mc:Fallback>
            <w:pict>
              <v:rect id="矩形 9441" o:spid="_x0000_s1026" o:spt="1" style="position:absolute;left:0pt;margin-left:378.8pt;margin-top:233.15pt;height:21.55pt;width:42.1pt;z-index:251712512;mso-width-relative:page;mso-height-relative:page;" filled="f" stroked="f" coordsize="21600,21600" o:gfxdata="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BNGmDJ3AAAAAsB&#10;AAAPAAAAAAAAAAEAIAAAACIAAABkcnMvZG93bnJldi54bWxQSwECFAAUAAAACACHTuJAi0TgN6UB&#10;AABFAwAADgAAAAAAAAABACAAAAArAQAAZHJzL2Uyb0RvYy54bWxQSwUGAAAAAAYABgBZAQAAQgUA&#10;AAAA&#10;">
                <v:fill on="f" focussize="0,0"/>
                <v:stroke on="f"/>
                <v:imagedata o:title=""/>
                <o:lock v:ext="edit" aspectratio="f"/>
                <v:textbox>
                  <w:txbxContent>
                    <w:p w14:paraId="78ADEB69">
                      <w:pPr>
                        <w:rPr>
                          <w:rFonts w:ascii="黑体" w:hAnsi="黑体" w:eastAsia="黑体"/>
                          <w:color w:val="FFFF00"/>
                          <w:sz w:val="15"/>
                        </w:rPr>
                      </w:pPr>
                      <w:r>
                        <w:rPr>
                          <w:rFonts w:ascii="黑体" w:hAnsi="黑体" w:eastAsia="黑体"/>
                          <w:color w:val="FFFF00"/>
                          <w:sz w:val="15"/>
                        </w:rPr>
                        <w:t>刘郢</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3462655</wp:posOffset>
                </wp:positionH>
                <wp:positionV relativeFrom="paragraph">
                  <wp:posOffset>3356610</wp:posOffset>
                </wp:positionV>
                <wp:extent cx="1030605" cy="273685"/>
                <wp:effectExtent l="0" t="0" r="0" b="0"/>
                <wp:wrapNone/>
                <wp:docPr id="140" name="矩形 9440"/>
                <wp:cNvGraphicFramePr/>
                <a:graphic xmlns:a="http://schemas.openxmlformats.org/drawingml/2006/main">
                  <a:graphicData uri="http://schemas.microsoft.com/office/word/2010/wordprocessingShape">
                    <wps:wsp>
                      <wps:cNvSpPr/>
                      <wps:spPr>
                        <a:xfrm>
                          <a:off x="0" y="0"/>
                          <a:ext cx="1030605" cy="273685"/>
                        </a:xfrm>
                        <a:prstGeom prst="rect">
                          <a:avLst/>
                        </a:prstGeom>
                        <a:noFill/>
                        <a:ln>
                          <a:noFill/>
                        </a:ln>
                      </wps:spPr>
                      <wps:txbx>
                        <w:txbxContent>
                          <w:p w14:paraId="1AAC5281">
                            <w:pPr>
                              <w:rPr>
                                <w:rFonts w:ascii="黑体" w:hAnsi="黑体" w:eastAsia="黑体"/>
                                <w:color w:val="FFFF00"/>
                                <w:sz w:val="15"/>
                              </w:rPr>
                            </w:pPr>
                            <w:r>
                              <w:rPr>
                                <w:rFonts w:ascii="黑体" w:hAnsi="黑体" w:eastAsia="黑体"/>
                                <w:color w:val="FFFF00"/>
                                <w:sz w:val="15"/>
                              </w:rPr>
                              <w:t>毛集镇康庙村卫生室</w:t>
                            </w:r>
                          </w:p>
                        </w:txbxContent>
                      </wps:txbx>
                      <wps:bodyPr upright="1"/>
                    </wps:wsp>
                  </a:graphicData>
                </a:graphic>
              </wp:anchor>
            </w:drawing>
          </mc:Choice>
          <mc:Fallback>
            <w:pict>
              <v:rect id="矩形 9440" o:spid="_x0000_s1026" o:spt="1" style="position:absolute;left:0pt;margin-left:272.65pt;margin-top:264.3pt;height:21.55pt;width:81.15pt;z-index:251711488;mso-width-relative:page;mso-height-relative:page;" filled="f" stroked="f" coordsize="21600,21600" o:gfxdata="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Ab+mxU2wAAAAsB&#10;AAAPAAAAAAAAAAEAIAAAACIAAABkcnMvZG93bnJldi54bWxQSwECFAAUAAAACACHTuJA75MxbqYB&#10;AABGAwAADgAAAAAAAAABACAAAAAqAQAAZHJzL2Uyb0RvYy54bWxQSwUGAAAAAAYABgBZAQAAQgUA&#10;AAAA&#10;">
                <v:fill on="f" focussize="0,0"/>
                <v:stroke on="f"/>
                <v:imagedata o:title=""/>
                <o:lock v:ext="edit" aspectratio="f"/>
                <v:textbox>
                  <w:txbxContent>
                    <w:p w14:paraId="1AAC5281">
                      <w:pPr>
                        <w:rPr>
                          <w:rFonts w:ascii="黑体" w:hAnsi="黑体" w:eastAsia="黑体"/>
                          <w:color w:val="FFFF00"/>
                          <w:sz w:val="15"/>
                        </w:rPr>
                      </w:pPr>
                      <w:r>
                        <w:rPr>
                          <w:rFonts w:ascii="黑体" w:hAnsi="黑体" w:eastAsia="黑体"/>
                          <w:color w:val="FFFF00"/>
                          <w:sz w:val="15"/>
                        </w:rPr>
                        <w:t>毛集镇康庙村卫生室</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4375150</wp:posOffset>
                </wp:positionH>
                <wp:positionV relativeFrom="paragraph">
                  <wp:posOffset>3229610</wp:posOffset>
                </wp:positionV>
                <wp:extent cx="534670" cy="273685"/>
                <wp:effectExtent l="0" t="0" r="0" b="0"/>
                <wp:wrapNone/>
                <wp:docPr id="139" name="矩形 9439"/>
                <wp:cNvGraphicFramePr/>
                <a:graphic xmlns:a="http://schemas.openxmlformats.org/drawingml/2006/main">
                  <a:graphicData uri="http://schemas.microsoft.com/office/word/2010/wordprocessingShape">
                    <wps:wsp>
                      <wps:cNvSpPr/>
                      <wps:spPr>
                        <a:xfrm>
                          <a:off x="0" y="0"/>
                          <a:ext cx="534670" cy="273685"/>
                        </a:xfrm>
                        <a:prstGeom prst="rect">
                          <a:avLst/>
                        </a:prstGeom>
                        <a:noFill/>
                        <a:ln>
                          <a:noFill/>
                        </a:ln>
                      </wps:spPr>
                      <wps:txbx>
                        <w:txbxContent>
                          <w:p w14:paraId="4F398AAA">
                            <w:pPr>
                              <w:rPr>
                                <w:rFonts w:ascii="黑体" w:hAnsi="黑体" w:eastAsia="黑体"/>
                                <w:color w:val="FFFF00"/>
                                <w:sz w:val="15"/>
                              </w:rPr>
                            </w:pPr>
                            <w:r>
                              <w:rPr>
                                <w:rFonts w:ascii="黑体" w:hAnsi="黑体" w:eastAsia="黑体"/>
                                <w:color w:val="FFFF00"/>
                                <w:sz w:val="15"/>
                              </w:rPr>
                              <w:t>花庄孜</w:t>
                            </w:r>
                          </w:p>
                        </w:txbxContent>
                      </wps:txbx>
                      <wps:bodyPr upright="1"/>
                    </wps:wsp>
                  </a:graphicData>
                </a:graphic>
              </wp:anchor>
            </w:drawing>
          </mc:Choice>
          <mc:Fallback>
            <w:pict>
              <v:rect id="矩形 9439" o:spid="_x0000_s1026" o:spt="1" style="position:absolute;left:0pt;margin-left:344.5pt;margin-top:254.3pt;height:21.55pt;width:42.1pt;z-index:251710464;mso-width-relative:page;mso-height-relative:page;" filled="f" stroked="f" coordsize="21600,21600" o:gfxdata="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xqdkQN0AAAAL&#10;AQAADwAAAAAAAAABACAAAAAiAAAAZHJzL2Rvd25yZXYueG1sUEsBAhQAFAAAAAgAh07iQP6biJyl&#10;AQAARQMAAA4AAAAAAAAAAQAgAAAALAEAAGRycy9lMm9Eb2MueG1sUEsFBgAAAAAGAAYAWQEAAEMF&#10;AAAAAA==&#10;">
                <v:fill on="f" focussize="0,0"/>
                <v:stroke on="f"/>
                <v:imagedata o:title=""/>
                <o:lock v:ext="edit" aspectratio="f"/>
                <v:textbox>
                  <w:txbxContent>
                    <w:p w14:paraId="4F398AAA">
                      <w:pPr>
                        <w:rPr>
                          <w:rFonts w:ascii="黑体" w:hAnsi="黑体" w:eastAsia="黑体"/>
                          <w:color w:val="FFFF00"/>
                          <w:sz w:val="15"/>
                        </w:rPr>
                      </w:pPr>
                      <w:r>
                        <w:rPr>
                          <w:rFonts w:ascii="黑体" w:hAnsi="黑体" w:eastAsia="黑体"/>
                          <w:color w:val="FFFF00"/>
                          <w:sz w:val="15"/>
                        </w:rPr>
                        <w:t>花庄孜</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4326255</wp:posOffset>
                </wp:positionH>
                <wp:positionV relativeFrom="paragraph">
                  <wp:posOffset>2978150</wp:posOffset>
                </wp:positionV>
                <wp:extent cx="534670" cy="273685"/>
                <wp:effectExtent l="0" t="0" r="0" b="0"/>
                <wp:wrapNone/>
                <wp:docPr id="138" name="矩形 9438"/>
                <wp:cNvGraphicFramePr/>
                <a:graphic xmlns:a="http://schemas.openxmlformats.org/drawingml/2006/main">
                  <a:graphicData uri="http://schemas.microsoft.com/office/word/2010/wordprocessingShape">
                    <wps:wsp>
                      <wps:cNvSpPr/>
                      <wps:spPr>
                        <a:xfrm>
                          <a:off x="0" y="0"/>
                          <a:ext cx="534670" cy="273685"/>
                        </a:xfrm>
                        <a:prstGeom prst="rect">
                          <a:avLst/>
                        </a:prstGeom>
                        <a:noFill/>
                        <a:ln>
                          <a:noFill/>
                        </a:ln>
                      </wps:spPr>
                      <wps:txbx>
                        <w:txbxContent>
                          <w:p w14:paraId="674C06A7">
                            <w:pPr>
                              <w:rPr>
                                <w:rFonts w:ascii="黑体" w:hAnsi="黑体" w:eastAsia="黑体"/>
                                <w:color w:val="FFFF00"/>
                                <w:sz w:val="15"/>
                              </w:rPr>
                            </w:pPr>
                            <w:r>
                              <w:rPr>
                                <w:rFonts w:ascii="黑体" w:hAnsi="黑体" w:eastAsia="黑体"/>
                                <w:color w:val="FFFF00"/>
                                <w:sz w:val="15"/>
                              </w:rPr>
                              <w:t>康家庙</w:t>
                            </w:r>
                          </w:p>
                        </w:txbxContent>
                      </wps:txbx>
                      <wps:bodyPr upright="1"/>
                    </wps:wsp>
                  </a:graphicData>
                </a:graphic>
              </wp:anchor>
            </w:drawing>
          </mc:Choice>
          <mc:Fallback>
            <w:pict>
              <v:rect id="矩形 9438" o:spid="_x0000_s1026" o:spt="1" style="position:absolute;left:0pt;margin-left:340.65pt;margin-top:234.5pt;height:21.55pt;width:42.1pt;z-index:251709440;mso-width-relative:page;mso-height-relative:page;" filled="f" stroked="f" coordsize="21600,21600" o:gfxdata="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q/DZXtwAAAAL&#10;AQAADwAAAAAAAAABACAAAAAiAAAAZHJzL2Rvd25yZXYueG1sUEsBAhQAFAAAAAgAh07iQEA8Wqqm&#10;AQAARQMAAA4AAAAAAAAAAQAgAAAAKwEAAGRycy9lMm9Eb2MueG1sUEsFBgAAAAAGAAYAWQEAAEMF&#10;AAAAAA==&#10;">
                <v:fill on="f" focussize="0,0"/>
                <v:stroke on="f"/>
                <v:imagedata o:title=""/>
                <o:lock v:ext="edit" aspectratio="f"/>
                <v:textbox>
                  <w:txbxContent>
                    <w:p w14:paraId="674C06A7">
                      <w:pPr>
                        <w:rPr>
                          <w:rFonts w:ascii="黑体" w:hAnsi="黑体" w:eastAsia="黑体"/>
                          <w:color w:val="FFFF00"/>
                          <w:sz w:val="15"/>
                        </w:rPr>
                      </w:pPr>
                      <w:r>
                        <w:rPr>
                          <w:rFonts w:ascii="黑体" w:hAnsi="黑体" w:eastAsia="黑体"/>
                          <w:color w:val="FFFF00"/>
                          <w:sz w:val="15"/>
                        </w:rPr>
                        <w:t>康家庙</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3853815</wp:posOffset>
                </wp:positionH>
                <wp:positionV relativeFrom="paragraph">
                  <wp:posOffset>3194050</wp:posOffset>
                </wp:positionV>
                <wp:extent cx="653415" cy="273685"/>
                <wp:effectExtent l="0" t="0" r="0" b="0"/>
                <wp:wrapNone/>
                <wp:docPr id="137" name="矩形 9437"/>
                <wp:cNvGraphicFramePr/>
                <a:graphic xmlns:a="http://schemas.openxmlformats.org/drawingml/2006/main">
                  <a:graphicData uri="http://schemas.microsoft.com/office/word/2010/wordprocessingShape">
                    <wps:wsp>
                      <wps:cNvSpPr/>
                      <wps:spPr>
                        <a:xfrm>
                          <a:off x="0" y="0"/>
                          <a:ext cx="653415" cy="273685"/>
                        </a:xfrm>
                        <a:prstGeom prst="rect">
                          <a:avLst/>
                        </a:prstGeom>
                        <a:noFill/>
                        <a:ln>
                          <a:noFill/>
                        </a:ln>
                      </wps:spPr>
                      <wps:txbx>
                        <w:txbxContent>
                          <w:p w14:paraId="3BC61C68">
                            <w:pPr>
                              <w:rPr>
                                <w:rFonts w:ascii="黑体" w:hAnsi="黑体" w:eastAsia="黑体"/>
                                <w:color w:val="FFFF00"/>
                                <w:sz w:val="15"/>
                              </w:rPr>
                            </w:pPr>
                            <w:r>
                              <w:rPr>
                                <w:rFonts w:ascii="黑体" w:hAnsi="黑体" w:eastAsia="黑体"/>
                                <w:color w:val="FFFF00"/>
                                <w:sz w:val="15"/>
                              </w:rPr>
                              <w:t>康庙社区</w:t>
                            </w:r>
                          </w:p>
                        </w:txbxContent>
                      </wps:txbx>
                      <wps:bodyPr upright="1"/>
                    </wps:wsp>
                  </a:graphicData>
                </a:graphic>
              </wp:anchor>
            </w:drawing>
          </mc:Choice>
          <mc:Fallback>
            <w:pict>
              <v:rect id="矩形 9437" o:spid="_x0000_s1026" o:spt="1" style="position:absolute;left:0pt;margin-left:303.45pt;margin-top:251.5pt;height:21.55pt;width:51.45pt;z-index:251708416;mso-width-relative:page;mso-height-relative:page;" filled="f" stroked="f" coordsize="21600,21600" o:gfxdata="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BGL9QfbAAAACwEA&#10;AA8AAAAAAAAAAQAgAAAAIgAAAGRycy9kb3ducmV2LnhtbFBLAQIUABQAAAAIAIdO4kA/5ovKpQEA&#10;AEUDAAAOAAAAAAAAAAEAIAAAACoBAABkcnMvZTJvRG9jLnhtbFBLBQYAAAAABgAGAFkBAABBBQAA&#10;AAA=&#10;">
                <v:fill on="f" focussize="0,0"/>
                <v:stroke on="f"/>
                <v:imagedata o:title=""/>
                <o:lock v:ext="edit" aspectratio="f"/>
                <v:textbox>
                  <w:txbxContent>
                    <w:p w14:paraId="3BC61C68">
                      <w:pPr>
                        <w:rPr>
                          <w:rFonts w:ascii="黑体" w:hAnsi="黑体" w:eastAsia="黑体"/>
                          <w:color w:val="FFFF00"/>
                          <w:sz w:val="15"/>
                        </w:rPr>
                      </w:pPr>
                      <w:r>
                        <w:rPr>
                          <w:rFonts w:ascii="黑体" w:hAnsi="黑体" w:eastAsia="黑体"/>
                          <w:color w:val="FFFF00"/>
                          <w:sz w:val="15"/>
                        </w:rPr>
                        <w:t>康庙社区</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4048125</wp:posOffset>
                </wp:positionH>
                <wp:positionV relativeFrom="paragraph">
                  <wp:posOffset>2810510</wp:posOffset>
                </wp:positionV>
                <wp:extent cx="653415" cy="273685"/>
                <wp:effectExtent l="0" t="0" r="0" b="0"/>
                <wp:wrapNone/>
                <wp:docPr id="136" name="矩形 9436"/>
                <wp:cNvGraphicFramePr/>
                <a:graphic xmlns:a="http://schemas.openxmlformats.org/drawingml/2006/main">
                  <a:graphicData uri="http://schemas.microsoft.com/office/word/2010/wordprocessingShape">
                    <wps:wsp>
                      <wps:cNvSpPr/>
                      <wps:spPr>
                        <a:xfrm>
                          <a:off x="0" y="0"/>
                          <a:ext cx="653415" cy="273685"/>
                        </a:xfrm>
                        <a:prstGeom prst="rect">
                          <a:avLst/>
                        </a:prstGeom>
                        <a:noFill/>
                        <a:ln>
                          <a:noFill/>
                        </a:ln>
                      </wps:spPr>
                      <wps:txbx>
                        <w:txbxContent>
                          <w:p w14:paraId="16400A31">
                            <w:pPr>
                              <w:rPr>
                                <w:rFonts w:ascii="黑体" w:hAnsi="黑体" w:eastAsia="黑体"/>
                                <w:color w:val="FFFF00"/>
                                <w:sz w:val="15"/>
                              </w:rPr>
                            </w:pPr>
                            <w:r>
                              <w:rPr>
                                <w:rFonts w:ascii="黑体" w:hAnsi="黑体" w:eastAsia="黑体"/>
                                <w:color w:val="FFFF00"/>
                                <w:sz w:val="15"/>
                              </w:rPr>
                              <w:t>康庙小学</w:t>
                            </w:r>
                          </w:p>
                        </w:txbxContent>
                      </wps:txbx>
                      <wps:bodyPr upright="1"/>
                    </wps:wsp>
                  </a:graphicData>
                </a:graphic>
              </wp:anchor>
            </w:drawing>
          </mc:Choice>
          <mc:Fallback>
            <w:pict>
              <v:rect id="矩形 9436" o:spid="_x0000_s1026" o:spt="1" style="position:absolute;left:0pt;margin-left:318.75pt;margin-top:221.3pt;height:21.55pt;width:51.45pt;z-index:251707392;mso-width-relative:page;mso-height-relative:page;" filled="f" stroked="f" coordsize="21600,21600" o:gfxdata="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Bpl4oW3AAAAAsB&#10;AAAPAAAAAAAAAAEAIAAAACIAAABkcnMvZG93bnJldi54bWxQSwECFAAUAAAACACHTuJAgUFZ/KUB&#10;AABFAwAADgAAAAAAAAABACAAAAArAQAAZHJzL2Uyb0RvYy54bWxQSwUGAAAAAAYABgBZAQAAQgUA&#10;AAAA&#10;">
                <v:fill on="f" focussize="0,0"/>
                <v:stroke on="f"/>
                <v:imagedata o:title=""/>
                <o:lock v:ext="edit" aspectratio="f"/>
                <v:textbox>
                  <w:txbxContent>
                    <w:p w14:paraId="16400A31">
                      <w:pPr>
                        <w:rPr>
                          <w:rFonts w:ascii="黑体" w:hAnsi="黑体" w:eastAsia="黑体"/>
                          <w:color w:val="FFFF00"/>
                          <w:sz w:val="15"/>
                        </w:rPr>
                      </w:pPr>
                      <w:r>
                        <w:rPr>
                          <w:rFonts w:ascii="黑体" w:hAnsi="黑体" w:eastAsia="黑体"/>
                          <w:color w:val="FFFF00"/>
                          <w:sz w:val="15"/>
                        </w:rPr>
                        <w:t>康庙小学</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3361055</wp:posOffset>
                </wp:positionH>
                <wp:positionV relativeFrom="paragraph">
                  <wp:posOffset>2536825</wp:posOffset>
                </wp:positionV>
                <wp:extent cx="534670" cy="273685"/>
                <wp:effectExtent l="0" t="0" r="0" b="0"/>
                <wp:wrapNone/>
                <wp:docPr id="135" name="矩形 9435"/>
                <wp:cNvGraphicFramePr/>
                <a:graphic xmlns:a="http://schemas.openxmlformats.org/drawingml/2006/main">
                  <a:graphicData uri="http://schemas.microsoft.com/office/word/2010/wordprocessingShape">
                    <wps:wsp>
                      <wps:cNvSpPr/>
                      <wps:spPr>
                        <a:xfrm>
                          <a:off x="0" y="0"/>
                          <a:ext cx="534670" cy="273685"/>
                        </a:xfrm>
                        <a:prstGeom prst="rect">
                          <a:avLst/>
                        </a:prstGeom>
                        <a:noFill/>
                        <a:ln>
                          <a:noFill/>
                        </a:ln>
                      </wps:spPr>
                      <wps:txbx>
                        <w:txbxContent>
                          <w:p w14:paraId="17AA74A7">
                            <w:pPr>
                              <w:rPr>
                                <w:rFonts w:ascii="黑体" w:hAnsi="黑体" w:eastAsia="黑体"/>
                                <w:color w:val="FFFF00"/>
                                <w:sz w:val="15"/>
                              </w:rPr>
                            </w:pPr>
                            <w:r>
                              <w:rPr>
                                <w:rFonts w:ascii="黑体" w:hAnsi="黑体" w:eastAsia="黑体"/>
                                <w:color w:val="FFFF00"/>
                                <w:sz w:val="15"/>
                              </w:rPr>
                              <w:t>刘团郢</w:t>
                            </w:r>
                          </w:p>
                        </w:txbxContent>
                      </wps:txbx>
                      <wps:bodyPr upright="1"/>
                    </wps:wsp>
                  </a:graphicData>
                </a:graphic>
              </wp:anchor>
            </w:drawing>
          </mc:Choice>
          <mc:Fallback>
            <w:pict>
              <v:rect id="矩形 9435" o:spid="_x0000_s1026" o:spt="1" style="position:absolute;left:0pt;margin-left:264.65pt;margin-top:199.75pt;height:21.55pt;width:42.1pt;z-index:251706368;mso-width-relative:page;mso-height-relative:page;" filled="f" stroked="f" coordsize="21600,21600" o:gfxdata="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QQe1h3AAAAAsB&#10;AAAPAAAAAAAAAAEAIAAAACIAAABkcnMvZG93bnJldi54bWxQSwECFAAUAAAACACHTuJAtz4mKqUB&#10;AABFAwAADgAAAAAAAAABACAAAAArAQAAZHJzL2Uyb0RvYy54bWxQSwUGAAAAAAYABgBZAQAAQgUA&#10;AAAA&#10;">
                <v:fill on="f" focussize="0,0"/>
                <v:stroke on="f"/>
                <v:imagedata o:title=""/>
                <o:lock v:ext="edit" aspectratio="f"/>
                <v:textbox>
                  <w:txbxContent>
                    <w:p w14:paraId="17AA74A7">
                      <w:pPr>
                        <w:rPr>
                          <w:rFonts w:ascii="黑体" w:hAnsi="黑体" w:eastAsia="黑体"/>
                          <w:color w:val="FFFF00"/>
                          <w:sz w:val="15"/>
                        </w:rPr>
                      </w:pPr>
                      <w:r>
                        <w:rPr>
                          <w:rFonts w:ascii="黑体" w:hAnsi="黑体" w:eastAsia="黑体"/>
                          <w:color w:val="FFFF00"/>
                          <w:sz w:val="15"/>
                        </w:rPr>
                        <w:t>刘团郢</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5535930</wp:posOffset>
                </wp:positionH>
                <wp:positionV relativeFrom="paragraph">
                  <wp:posOffset>3494405</wp:posOffset>
                </wp:positionV>
                <wp:extent cx="71755" cy="71755"/>
                <wp:effectExtent l="4445" t="4445" r="12700" b="12700"/>
                <wp:wrapNone/>
                <wp:docPr id="134" name="椭圆 9434"/>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34" o:spid="_x0000_s1026" o:spt="3" type="#_x0000_t3" style="position:absolute;left:0pt;margin-left:435.9pt;margin-top:275.15pt;height:5.65pt;width:5.65pt;z-index:251705344;mso-width-relative:page;mso-height-relative:page;" fillcolor="#FF0000" filled="t" stroked="t" coordsize="21600,21600" o:gfxdata="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Y/VuqdgAAAALAQAADwAAAAAAAAABACAAAAAiAAAAZHJzL2Rvd25yZXYueG1sUEsB&#10;AhQAFAAAAAgAh07iQGLmS2f1AQAAGQQAAA4AAAAAAAAAAQAgAAAAJw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5372735</wp:posOffset>
                </wp:positionH>
                <wp:positionV relativeFrom="paragraph">
                  <wp:posOffset>4050030</wp:posOffset>
                </wp:positionV>
                <wp:extent cx="71755" cy="71755"/>
                <wp:effectExtent l="4445" t="4445" r="12700" b="12700"/>
                <wp:wrapNone/>
                <wp:docPr id="133" name="椭圆 9433"/>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33" o:spid="_x0000_s1026" o:spt="3" type="#_x0000_t3" style="position:absolute;left:0pt;margin-left:423.05pt;margin-top:318.9pt;height:5.65pt;width:5.65pt;z-index:251704320;mso-width-relative:page;mso-height-relative:page;" fillcolor="#FF0000" filled="t" stroked="t" coordsize="21600,21600" o:gfxdata="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rLZhdNgAAAALAQAADwAAAAAAAAABACAAAAAiAAAAZHJzL2Rvd25yZXYueG1sUEsB&#10;AhQAFAAAAAgAh07iQDSVOXj1AQAAGQQAAA4AAAAAAAAAAQAgAAAAJw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4410710</wp:posOffset>
                </wp:positionH>
                <wp:positionV relativeFrom="paragraph">
                  <wp:posOffset>3476625</wp:posOffset>
                </wp:positionV>
                <wp:extent cx="71755" cy="71755"/>
                <wp:effectExtent l="4445" t="4445" r="12700" b="12700"/>
                <wp:wrapNone/>
                <wp:docPr id="132" name="椭圆 9432"/>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32" o:spid="_x0000_s1026" o:spt="3" type="#_x0000_t3" style="position:absolute;left:0pt;margin-left:347.3pt;margin-top:273.75pt;height:5.65pt;width:5.65pt;z-index:251703296;mso-width-relative:page;mso-height-relative:page;" fillcolor="#FF0000" filled="t" stroked="t" coordsize="21600,21600" o:gfxdata="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dtibotkAAAALAQAADwAAAAAAAAABACAAAAAiAAAAZHJzL2Rvd25yZXYueG1sUEsB&#10;AhQAFAAAAAgAh07iQJ6Fn3z0AQAAGQQAAA4AAAAAAAAAAQAgAAAAKA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4888865</wp:posOffset>
                </wp:positionH>
                <wp:positionV relativeFrom="paragraph">
                  <wp:posOffset>3167380</wp:posOffset>
                </wp:positionV>
                <wp:extent cx="71755" cy="71755"/>
                <wp:effectExtent l="4445" t="4445" r="12700" b="12700"/>
                <wp:wrapNone/>
                <wp:docPr id="131" name="椭圆 9431"/>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31" o:spid="_x0000_s1026" o:spt="3" type="#_x0000_t3" style="position:absolute;left:0pt;margin-left:384.95pt;margin-top:249.4pt;height:5.65pt;width:5.65pt;z-index:251702272;mso-width-relative:page;mso-height-relative:page;" fillcolor="#FF0000" filled="t" stroked="t" coordsize="21600,21600" o:gfxdata="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HozoW2QAAAAsBAAAPAAAAAAAAAAEAIAAAACIAAABkcnMvZG93bnJldi54bWxQSwEC&#10;FAAUAAAACACHTuJAYLR1cfMBAAAZBAAADgAAAAAAAAABACAAAAAo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4214495</wp:posOffset>
                </wp:positionH>
                <wp:positionV relativeFrom="paragraph">
                  <wp:posOffset>3037840</wp:posOffset>
                </wp:positionV>
                <wp:extent cx="71755" cy="71755"/>
                <wp:effectExtent l="4445" t="4445" r="12700" b="12700"/>
                <wp:wrapNone/>
                <wp:docPr id="130" name="椭圆 9430"/>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30" o:spid="_x0000_s1026" o:spt="3" type="#_x0000_t3" style="position:absolute;left:0pt;margin-left:331.85pt;margin-top:239.2pt;height:5.65pt;width:5.65pt;z-index:251701248;mso-width-relative:page;mso-height-relative:page;" fillcolor="#FF0000" filled="t" stroked="t" coordsize="21600,21600" o:gfxdata="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Qeb+3YAAAACwEAAA8AAAAAAAAAAQAgAAAAIgAAAGRycy9kb3ducmV2LnhtbFBLAQIU&#10;ABQAAAAIAIdO4kDKpNN18wEAABkEAAAOAAAAAAAAAAEAIAAAACcBAABkcnMvZTJvRG9jLnhtbFBL&#10;BQYAAAAABgAGAFkBAACMBQ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5327650</wp:posOffset>
                </wp:positionH>
                <wp:positionV relativeFrom="paragraph">
                  <wp:posOffset>3494405</wp:posOffset>
                </wp:positionV>
                <wp:extent cx="71755" cy="71755"/>
                <wp:effectExtent l="4445" t="4445" r="12700" b="12700"/>
                <wp:wrapNone/>
                <wp:docPr id="129" name="椭圆 9429"/>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29" o:spid="_x0000_s1026" o:spt="3" type="#_x0000_t3" style="position:absolute;left:0pt;margin-left:419.5pt;margin-top:275.15pt;height:5.65pt;width:5.65pt;z-index:251700224;mso-width-relative:page;mso-height-relative:page;" fillcolor="#FF0000" filled="t" stroked="t" coordsize="21600,21600" o:gfxdata="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cIdu52AAAAAsBAAAPAAAAAAAAAAEAIAAAACIAAABkcnMvZG93bnJldi54bWxQSwEC&#10;FAAUAAAACACHTuJA1t1CYvQBAAAZBAAADgAAAAAAAAABACAAAAAn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4412615</wp:posOffset>
                </wp:positionH>
                <wp:positionV relativeFrom="paragraph">
                  <wp:posOffset>3387725</wp:posOffset>
                </wp:positionV>
                <wp:extent cx="71755" cy="71755"/>
                <wp:effectExtent l="4445" t="4445" r="12700" b="12700"/>
                <wp:wrapNone/>
                <wp:docPr id="128" name="椭圆 9428"/>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28" o:spid="_x0000_s1026" o:spt="3" type="#_x0000_t3" style="position:absolute;left:0pt;margin-left:347.45pt;margin-top:266.75pt;height:5.65pt;width:5.65pt;z-index:251699200;mso-width-relative:page;mso-height-relative:page;" fillcolor="#FF0000" filled="t" stroked="t" coordsize="21600,21600" o:gfxdata="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Vz/TwdkAAAALAQAADwAAAAAAAAABACAAAAAiAAAAZHJzL2Rvd25yZXYueG1sUEsB&#10;AhQAFAAAAAgAh07iQHzN5Gb0AQAAGQQAAA4AAAAAAAAAAQAgAAAAKA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4303395</wp:posOffset>
                </wp:positionH>
                <wp:positionV relativeFrom="paragraph">
                  <wp:posOffset>3083560</wp:posOffset>
                </wp:positionV>
                <wp:extent cx="71755" cy="71755"/>
                <wp:effectExtent l="4445" t="4445" r="12700" b="12700"/>
                <wp:wrapNone/>
                <wp:docPr id="127" name="椭圆 9427"/>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27" o:spid="_x0000_s1026" o:spt="3" type="#_x0000_t3" style="position:absolute;left:0pt;margin-left:338.85pt;margin-top:242.8pt;height:5.65pt;width:5.65pt;z-index:251698176;mso-width-relative:page;mso-height-relative:page;" fillcolor="#FF0000" filled="t" stroked="t" coordsize="21600,21600" o:gfxdata="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udSD3XAAAACwEAAA8AAAAAAAAAAQAgAAAAIgAAAGRycy9kb3ducmV2LnhtbFBLAQIU&#10;ABQAAAAIAIdO4kB6O6Zc9AEAABkEAAAOAAAAAAAAAAEAIAAAACYBAABkcnMvZTJvRG9jLnhtbFBL&#10;BQYAAAAABgAGAFkBAACMBQ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3783965</wp:posOffset>
                </wp:positionH>
                <wp:positionV relativeFrom="paragraph">
                  <wp:posOffset>2641600</wp:posOffset>
                </wp:positionV>
                <wp:extent cx="71755" cy="71755"/>
                <wp:effectExtent l="4445" t="4445" r="12700" b="12700"/>
                <wp:wrapNone/>
                <wp:docPr id="125" name="椭圆 9426"/>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26" o:spid="_x0000_s1026" o:spt="3" type="#_x0000_t3" style="position:absolute;left:0pt;margin-left:297.95pt;margin-top:208pt;height:5.65pt;width:5.65pt;z-index:251697152;mso-width-relative:page;mso-height-relative:page;" fillcolor="#FF0000" filled="t" stroked="t" coordsize="21600,21600" o:gfxdata="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TwFVYdkAAAALAQAADwAAAAAAAAABACAAAAAiAAAAZHJzL2Rvd25yZXYueG1sUEsB&#10;AhQAFAAAAAgAh07iQGZ9h8j0AQAAGQQAAA4AAAAAAAAAAQAgAAAAKAEAAGRycy9lMm9Eb2MueG1s&#10;UEsFBgAAAAAGAAYAWQEAAI4FA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4124960</wp:posOffset>
                </wp:positionH>
                <wp:positionV relativeFrom="paragraph">
                  <wp:posOffset>3229610</wp:posOffset>
                </wp:positionV>
                <wp:extent cx="71755" cy="71755"/>
                <wp:effectExtent l="4445" t="4445" r="12700" b="12700"/>
                <wp:wrapNone/>
                <wp:docPr id="124" name="椭圆 9425"/>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25" o:spid="_x0000_s1026" o:spt="3" type="#_x0000_t3" style="position:absolute;left:0pt;margin-left:324.8pt;margin-top:254.3pt;height:5.65pt;width:5.65pt;z-index:251696128;mso-width-relative:page;mso-height-relative:page;" fillcolor="#FF0000" filled="t" stroked="t" coordsize="21600,21600" o:gfxdata="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vJmi81wAAAAsBAAAPAAAAAAAAAAEAIAAAACIAAABkcnMvZG93bnJldi54bWxQSwEC&#10;FAAUAAAACACHTuJAg9VHk/UBAAAZBAAADgAAAAAAAAABACAAAAAm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7644765</wp:posOffset>
                </wp:positionH>
                <wp:positionV relativeFrom="paragraph">
                  <wp:posOffset>4566920</wp:posOffset>
                </wp:positionV>
                <wp:extent cx="1231900" cy="284480"/>
                <wp:effectExtent l="0" t="0" r="0" b="0"/>
                <wp:wrapNone/>
                <wp:docPr id="122" name="矩形 9422"/>
                <wp:cNvGraphicFramePr/>
                <a:graphic xmlns:a="http://schemas.openxmlformats.org/drawingml/2006/main">
                  <a:graphicData uri="http://schemas.microsoft.com/office/word/2010/wordprocessingShape">
                    <wps:wsp>
                      <wps:cNvSpPr/>
                      <wps:spPr>
                        <a:xfrm>
                          <a:off x="0" y="0"/>
                          <a:ext cx="1231900" cy="284480"/>
                        </a:xfrm>
                        <a:prstGeom prst="rect">
                          <a:avLst/>
                        </a:prstGeom>
                        <a:noFill/>
                        <a:ln>
                          <a:noFill/>
                        </a:ln>
                      </wps:spPr>
                      <wps:txbx>
                        <w:txbxContent>
                          <w:p w14:paraId="557BD15C">
                            <w:pPr>
                              <w:jc w:val="center"/>
                              <w:rPr>
                                <w:rFonts w:eastAsia="黑体"/>
                                <w:sz w:val="21"/>
                              </w:rPr>
                            </w:pPr>
                            <w:r>
                              <w:rPr>
                                <w:rFonts w:eastAsia="黑体"/>
                                <w:sz w:val="21"/>
                              </w:rPr>
                              <w:t>大气</w:t>
                            </w:r>
                            <w:r>
                              <w:rPr>
                                <w:rFonts w:hint="eastAsia" w:eastAsia="黑体"/>
                                <w:sz w:val="21"/>
                                <w:lang w:val="en-US" w:eastAsia="zh-CN"/>
                              </w:rPr>
                              <w:t>环境</w:t>
                            </w:r>
                            <w:r>
                              <w:rPr>
                                <w:rFonts w:eastAsia="黑体"/>
                                <w:sz w:val="21"/>
                              </w:rPr>
                              <w:t>评价范围</w:t>
                            </w:r>
                          </w:p>
                        </w:txbxContent>
                      </wps:txbx>
                      <wps:bodyPr upright="1"/>
                    </wps:wsp>
                  </a:graphicData>
                </a:graphic>
              </wp:anchor>
            </w:drawing>
          </mc:Choice>
          <mc:Fallback>
            <w:pict>
              <v:rect id="矩形 9422" o:spid="_x0000_s1026" o:spt="1" style="position:absolute;left:0pt;margin-left:601.95pt;margin-top:359.6pt;height:22.4pt;width:97pt;z-index:251695104;mso-width-relative:page;mso-height-relative:page;" filled="f" stroked="f" coordsize="21600,21600" o:gfxdata="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BZ4Bru3AAAAA0B&#10;AAAPAAAAAAAAAAEAIAAAACIAAABkcnMvZG93bnJldi54bWxQSwECFAAUAAAACACHTuJA9ydqt6UB&#10;AABGAwAADgAAAAAAAAABACAAAAArAQAAZHJzL2Uyb0RvYy54bWxQSwUGAAAAAAYABgBZAQAAQgUA&#10;AAAA&#10;">
                <v:fill on="f" focussize="0,0"/>
                <v:stroke on="f"/>
                <v:imagedata o:title=""/>
                <o:lock v:ext="edit" aspectratio="f"/>
                <v:textbox>
                  <w:txbxContent>
                    <w:p w14:paraId="557BD15C">
                      <w:pPr>
                        <w:jc w:val="center"/>
                        <w:rPr>
                          <w:rFonts w:eastAsia="黑体"/>
                          <w:sz w:val="21"/>
                        </w:rPr>
                      </w:pPr>
                      <w:r>
                        <w:rPr>
                          <w:rFonts w:eastAsia="黑体"/>
                          <w:sz w:val="21"/>
                        </w:rPr>
                        <w:t>大气</w:t>
                      </w:r>
                      <w:r>
                        <w:rPr>
                          <w:rFonts w:hint="eastAsia" w:eastAsia="黑体"/>
                          <w:sz w:val="21"/>
                          <w:lang w:val="en-US" w:eastAsia="zh-CN"/>
                        </w:rPr>
                        <w:t>环境</w:t>
                      </w:r>
                      <w:r>
                        <w:rPr>
                          <w:rFonts w:eastAsia="黑体"/>
                          <w:sz w:val="21"/>
                        </w:rPr>
                        <w:t>评价范围</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7487285</wp:posOffset>
                </wp:positionH>
                <wp:positionV relativeFrom="paragraph">
                  <wp:posOffset>4634230</wp:posOffset>
                </wp:positionV>
                <wp:extent cx="198755" cy="163830"/>
                <wp:effectExtent l="7620" t="7620" r="9525" b="19050"/>
                <wp:wrapNone/>
                <wp:docPr id="121" name="矩形 9421"/>
                <wp:cNvGraphicFramePr/>
                <a:graphic xmlns:a="http://schemas.openxmlformats.org/drawingml/2006/main">
                  <a:graphicData uri="http://schemas.microsoft.com/office/word/2010/wordprocessingShape">
                    <wps:wsp>
                      <wps:cNvSpPr/>
                      <wps:spPr>
                        <a:xfrm>
                          <a:off x="0" y="0"/>
                          <a:ext cx="198755" cy="163830"/>
                        </a:xfrm>
                        <a:prstGeom prst="rect">
                          <a:avLst/>
                        </a:prstGeom>
                        <a:noFill/>
                        <a:ln w="15875" cap="flat" cmpd="sng">
                          <a:solidFill>
                            <a:srgbClr val="0070C0"/>
                          </a:solidFill>
                          <a:prstDash val="solid"/>
                          <a:miter/>
                          <a:headEnd type="none" w="med" len="med"/>
                          <a:tailEnd type="none" w="med" len="med"/>
                        </a:ln>
                      </wps:spPr>
                      <wps:bodyPr upright="1"/>
                    </wps:wsp>
                  </a:graphicData>
                </a:graphic>
              </wp:anchor>
            </w:drawing>
          </mc:Choice>
          <mc:Fallback>
            <w:pict>
              <v:rect id="矩形 9421" o:spid="_x0000_s1026" o:spt="1" style="position:absolute;left:0pt;margin-left:589.55pt;margin-top:364.9pt;height:12.9pt;width:15.65pt;z-index:251694080;mso-width-relative:page;mso-height-relative:page;" filled="f" stroked="t" coordsize="21600,21600" o:gfxdata="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0bRyK9kAAAANAQAADwAAAAAAAAABACAAAAAiAAAAZHJzL2Rvd25yZXYu&#10;eG1sUEsBAhQAFAAAAAgAh07iQEvDzTX6AQAA+gMAAA4AAAAAAAAAAQAgAAAAKAEAAGRycy9lMm9E&#10;b2MueG1sUEsFBgAAAAAGAAYAWQEAAJQFAAAAAA==&#10;">
                <v:fill on="f" focussize="0,0"/>
                <v:stroke weight="1.25pt" color="#0070C0" joinstyle="miter"/>
                <v:imagedata o:title=""/>
                <o:lock v:ext="edit" aspectratio="f"/>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7214235</wp:posOffset>
                </wp:positionH>
                <wp:positionV relativeFrom="paragraph">
                  <wp:posOffset>4162425</wp:posOffset>
                </wp:positionV>
                <wp:extent cx="1604645" cy="1083310"/>
                <wp:effectExtent l="4445" t="4445" r="16510" b="17145"/>
                <wp:wrapNone/>
                <wp:docPr id="120" name="矩形 9420"/>
                <wp:cNvGraphicFramePr/>
                <a:graphic xmlns:a="http://schemas.openxmlformats.org/drawingml/2006/main">
                  <a:graphicData uri="http://schemas.microsoft.com/office/word/2010/wordprocessingShape">
                    <wps:wsp>
                      <wps:cNvSpPr/>
                      <wps:spPr>
                        <a:xfrm>
                          <a:off x="0" y="0"/>
                          <a:ext cx="1604645" cy="1083310"/>
                        </a:xfrm>
                        <a:prstGeom prst="rect">
                          <a:avLst/>
                        </a:prstGeom>
                        <a:solidFill>
                          <a:srgbClr val="FFFFFF">
                            <a:alpha val="50000"/>
                          </a:srgbClr>
                        </a:solidFill>
                        <a:ln w="9525" cap="flat" cmpd="sng">
                          <a:solidFill>
                            <a:srgbClr val="000000"/>
                          </a:solidFill>
                          <a:prstDash val="solid"/>
                          <a:miter/>
                          <a:headEnd type="none" w="med" len="med"/>
                          <a:tailEnd type="none" w="med" len="med"/>
                        </a:ln>
                      </wps:spPr>
                      <wps:txbx>
                        <w:txbxContent>
                          <w:p w14:paraId="3659C8B3">
                            <w:pPr>
                              <w:jc w:val="center"/>
                              <w:rPr>
                                <w:rFonts w:ascii="黑体" w:hAnsi="黑体" w:eastAsia="黑体"/>
                                <w:sz w:val="21"/>
                              </w:rPr>
                            </w:pPr>
                            <w:r>
                              <w:rPr>
                                <w:rFonts w:ascii="黑体" w:hAnsi="黑体" w:eastAsia="黑体"/>
                                <w:sz w:val="21"/>
                              </w:rPr>
                              <w:t>图例</w:t>
                            </w:r>
                          </w:p>
                        </w:txbxContent>
                      </wps:txbx>
                      <wps:bodyPr upright="1"/>
                    </wps:wsp>
                  </a:graphicData>
                </a:graphic>
              </wp:anchor>
            </w:drawing>
          </mc:Choice>
          <mc:Fallback>
            <w:pict>
              <v:rect id="矩形 9420" o:spid="_x0000_s1026" o:spt="1" style="position:absolute;left:0pt;margin-left:568.05pt;margin-top:327.75pt;height:85.3pt;width:126.35pt;z-index:251693056;mso-width-relative:page;mso-height-relative:page;" fillcolor="#FFFFFF" filled="t" stroked="t" coordsize="21600,21600" o:gfxdata="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BSh0frYAAAADQEAAA8AAAAA&#10;AAAAAQAgAAAAIgAAAGRycy9kb3ducmV2LnhtbFBLAQIUABQAAAAIAIdO4kB1qRIJFAIAAFAEAAAO&#10;AAAAAAAAAAEAIAAAACcBAABkcnMvZTJvRG9jLnhtbFBLBQYAAAAABgAGAFkBAACtBQAAAAA=&#10;">
                <v:fill on="t" opacity="32768f" focussize="0,0"/>
                <v:stroke color="#000000" joinstyle="miter"/>
                <v:imagedata o:title=""/>
                <o:lock v:ext="edit" aspectratio="f"/>
                <v:textbox>
                  <w:txbxContent>
                    <w:p w14:paraId="3659C8B3">
                      <w:pPr>
                        <w:jc w:val="center"/>
                        <w:rPr>
                          <w:rFonts w:ascii="黑体" w:hAnsi="黑体" w:eastAsia="黑体"/>
                          <w:sz w:val="21"/>
                        </w:rPr>
                      </w:pPr>
                      <w:r>
                        <w:rPr>
                          <w:rFonts w:ascii="黑体" w:hAnsi="黑体" w:eastAsia="黑体"/>
                          <w:sz w:val="21"/>
                        </w:rPr>
                        <w:t>图例</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87936" behindDoc="1" locked="0" layoutInCell="1" allowOverlap="1">
            <wp:simplePos x="0" y="0"/>
            <wp:positionH relativeFrom="column">
              <wp:posOffset>-32385</wp:posOffset>
            </wp:positionH>
            <wp:positionV relativeFrom="paragraph">
              <wp:posOffset>-73025</wp:posOffset>
            </wp:positionV>
            <wp:extent cx="8865870" cy="5330825"/>
            <wp:effectExtent l="19050" t="0" r="0" b="0"/>
            <wp:wrapNone/>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noChangeArrowheads="1"/>
                    </pic:cNvPicPr>
                  </pic:nvPicPr>
                  <pic:blipFill>
                    <a:blip r:embed="rId33" cstate="print"/>
                    <a:srcRect/>
                    <a:stretch>
                      <a:fillRect/>
                    </a:stretch>
                  </pic:blipFill>
                  <pic:spPr>
                    <a:xfrm>
                      <a:off x="0" y="0"/>
                      <a:ext cx="8862557" cy="5327374"/>
                    </a:xfrm>
                    <a:prstGeom prst="rect">
                      <a:avLst/>
                    </a:prstGeom>
                    <a:noFill/>
                    <a:ln w="9525">
                      <a:noFill/>
                      <a:miter lim="800000"/>
                      <a:headEnd/>
                      <a:tailEnd/>
                    </a:ln>
                  </pic:spPr>
                </pic:pic>
              </a:graphicData>
            </a:graphic>
          </wp:anchor>
        </w:drawing>
      </w:r>
    </w:p>
    <w:p w14:paraId="1C27EE05">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p>
    <w:p w14:paraId="60FFE6AF">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p>
    <w:p w14:paraId="0BF7EB7A">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03648" behindDoc="0" locked="0" layoutInCell="1" allowOverlap="1">
                <wp:simplePos x="0" y="0"/>
                <wp:positionH relativeFrom="column">
                  <wp:posOffset>2269490</wp:posOffset>
                </wp:positionH>
                <wp:positionV relativeFrom="paragraph">
                  <wp:posOffset>38735</wp:posOffset>
                </wp:positionV>
                <wp:extent cx="4121785" cy="3673475"/>
                <wp:effectExtent l="12700" t="12700" r="18415" b="22225"/>
                <wp:wrapNone/>
                <wp:docPr id="230" name="矩形 9546"/>
                <wp:cNvGraphicFramePr/>
                <a:graphic xmlns:a="http://schemas.openxmlformats.org/drawingml/2006/main">
                  <a:graphicData uri="http://schemas.microsoft.com/office/word/2010/wordprocessingShape">
                    <wps:wsp>
                      <wps:cNvSpPr/>
                      <wps:spPr>
                        <a:xfrm>
                          <a:off x="0" y="0"/>
                          <a:ext cx="4121785" cy="3673475"/>
                        </a:xfrm>
                        <a:prstGeom prst="rect">
                          <a:avLst/>
                        </a:prstGeom>
                        <a:noFill/>
                        <a:ln w="25400" cap="flat" cmpd="sng">
                          <a:solidFill>
                            <a:srgbClr val="0070C0"/>
                          </a:solidFill>
                          <a:prstDash val="solid"/>
                          <a:miter/>
                          <a:headEnd type="none" w="med" len="med"/>
                          <a:tailEnd type="none" w="med" len="med"/>
                        </a:ln>
                      </wps:spPr>
                      <wps:bodyPr upright="1"/>
                    </wps:wsp>
                  </a:graphicData>
                </a:graphic>
              </wp:anchor>
            </w:drawing>
          </mc:Choice>
          <mc:Fallback>
            <w:pict>
              <v:rect id="矩形 9546" o:spid="_x0000_s1026" o:spt="1" style="position:absolute;left:0pt;margin-left:178.7pt;margin-top:3.05pt;height:289.25pt;width:324.55pt;z-index:251803648;mso-width-relative:page;mso-height-relative:page;" filled="f" stroked="t" coordsize="21600,21600" o:gfxdata="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2HxbLYAAAACgEAAA8AAAAAAAAAAQAgAAAAIgAAAGRycy9kb3du&#10;cmV2LnhtbFBLAQIUABQAAAAIAIdO4kBlGvow/wEAAPwDAAAOAAAAAAAAAAEAIAAAACcBAABkcnMv&#10;ZTJvRG9jLnhtbFBLBQYAAAAABgAGAFkBAACYBQAAAAA=&#10;">
                <v:fill on="f" focussize="0,0"/>
                <v:stroke weight="2pt" color="#0070C0" joinstyle="miter"/>
                <v:imagedata o:title=""/>
                <o:lock v:ext="edit" aspectratio="f"/>
              </v:rect>
            </w:pict>
          </mc:Fallback>
        </mc:AlternateContent>
      </w:r>
    </w:p>
    <w:p w14:paraId="412B3233">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8263255</wp:posOffset>
                </wp:positionH>
                <wp:positionV relativeFrom="paragraph">
                  <wp:posOffset>108585</wp:posOffset>
                </wp:positionV>
                <wp:extent cx="410210" cy="0"/>
                <wp:effectExtent l="0" t="9525" r="8890" b="15875"/>
                <wp:wrapNone/>
                <wp:docPr id="116" name="自选图形 9416"/>
                <wp:cNvGraphicFramePr/>
                <a:graphic xmlns:a="http://schemas.openxmlformats.org/drawingml/2006/main">
                  <a:graphicData uri="http://schemas.microsoft.com/office/word/2010/wordprocessingShape">
                    <wps:wsp>
                      <wps:cNvCnPr/>
                      <wps:spPr>
                        <a:xfrm>
                          <a:off x="0" y="0"/>
                          <a:ext cx="410210" cy="0"/>
                        </a:xfrm>
                        <a:prstGeom prst="straightConnector1">
                          <a:avLst/>
                        </a:prstGeom>
                        <a:ln w="19050" cap="flat" cmpd="sng">
                          <a:solidFill>
                            <a:srgbClr val="FFFF00"/>
                          </a:solidFill>
                          <a:prstDash val="solid"/>
                          <a:headEnd type="none" w="med" len="med"/>
                          <a:tailEnd type="none" w="med" len="med"/>
                        </a:ln>
                      </wps:spPr>
                      <wps:bodyPr/>
                    </wps:wsp>
                  </a:graphicData>
                </a:graphic>
              </wp:anchor>
            </w:drawing>
          </mc:Choice>
          <mc:Fallback>
            <w:pict>
              <v:shape id="自选图形 9416" o:spid="_x0000_s1026" o:spt="32" type="#_x0000_t32" style="position:absolute;left:0pt;margin-left:650.65pt;margin-top:8.55pt;height:0pt;width:32.3pt;z-index:251688960;mso-width-relative:page;mso-height-relative:page;" filled="f" stroked="t" coordsize="21600,21600" o:gfxdata="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kxmq22gAAAAsBAAAPAAAAAAAAAAEAIAAAACIAAABkcnMvZG93bnJldi54&#10;bWxQSwECFAAUAAAACACHTuJATNBAGfgBAADoAwAADgAAAAAAAAABACAAAAApAQAAZHJzL2Uyb0Rv&#10;Yy54bWxQSwUGAAAAAAYABgBZAQAAkwUAAAAA&#10;">
                <v:fill on="f" focussize="0,0"/>
                <v:stroke weight="1.5pt" color="#FFFF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8100695</wp:posOffset>
                </wp:positionH>
                <wp:positionV relativeFrom="paragraph">
                  <wp:posOffset>108585</wp:posOffset>
                </wp:positionV>
                <wp:extent cx="726440" cy="284480"/>
                <wp:effectExtent l="0" t="0" r="0" b="0"/>
                <wp:wrapNone/>
                <wp:docPr id="119" name="矩形 9419"/>
                <wp:cNvGraphicFramePr/>
                <a:graphic xmlns:a="http://schemas.openxmlformats.org/drawingml/2006/main">
                  <a:graphicData uri="http://schemas.microsoft.com/office/word/2010/wordprocessingShape">
                    <wps:wsp>
                      <wps:cNvSpPr/>
                      <wps:spPr>
                        <a:xfrm>
                          <a:off x="0" y="0"/>
                          <a:ext cx="726440" cy="284480"/>
                        </a:xfrm>
                        <a:prstGeom prst="rect">
                          <a:avLst/>
                        </a:prstGeom>
                        <a:noFill/>
                        <a:ln>
                          <a:noFill/>
                        </a:ln>
                      </wps:spPr>
                      <wps:txbx>
                        <w:txbxContent>
                          <w:p w14:paraId="2835FDD5">
                            <w:pPr>
                              <w:jc w:val="center"/>
                              <w:rPr>
                                <w:rFonts w:eastAsia="黑体"/>
                                <w:color w:val="FFFF00"/>
                                <w:sz w:val="24"/>
                              </w:rPr>
                            </w:pPr>
                            <w:r>
                              <w:rPr>
                                <w:rFonts w:eastAsia="黑体"/>
                                <w:color w:val="FFFF00"/>
                                <w:sz w:val="24"/>
                              </w:rPr>
                              <w:t>1</w:t>
                            </w:r>
                            <w:r>
                              <w:rPr>
                                <w:rFonts w:hAnsi="黑体" w:eastAsia="黑体"/>
                                <w:color w:val="FFFF00"/>
                                <w:sz w:val="24"/>
                              </w:rPr>
                              <w:t>：</w:t>
                            </w:r>
                            <w:r>
                              <w:rPr>
                                <w:rFonts w:eastAsia="黑体"/>
                                <w:color w:val="FFFF00"/>
                                <w:sz w:val="24"/>
                              </w:rPr>
                              <w:t>500</w:t>
                            </w:r>
                          </w:p>
                        </w:txbxContent>
                      </wps:txbx>
                      <wps:bodyPr upright="1"/>
                    </wps:wsp>
                  </a:graphicData>
                </a:graphic>
              </wp:anchor>
            </w:drawing>
          </mc:Choice>
          <mc:Fallback>
            <w:pict>
              <v:rect id="矩形 9419" o:spid="_x0000_s1026" o:spt="1" style="position:absolute;left:0pt;margin-left:637.85pt;margin-top:8.55pt;height:22.4pt;width:57.2pt;z-index:251692032;mso-width-relative:page;mso-height-relative:page;" filled="f" stroked="f" coordsize="21600,21600" o:gfxdata="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NL4YqtsAAAALAQAA&#10;DwAAAAAAAAABACAAAAAiAAAAZHJzL2Rvd25yZXYueG1sUEsBAhQAFAAAAAgAh07iQFkW4PekAQAA&#10;RQMAAA4AAAAAAAAAAQAgAAAAKgEAAGRycy9lMm9Eb2MueG1sUEsFBgAAAAAGAAYAWQEAAEAFAAAA&#10;AA==&#10;">
                <v:fill on="f" focussize="0,0"/>
                <v:stroke on="f"/>
                <v:imagedata o:title=""/>
                <o:lock v:ext="edit" aspectratio="f"/>
                <v:textbox>
                  <w:txbxContent>
                    <w:p w14:paraId="2835FDD5">
                      <w:pPr>
                        <w:jc w:val="center"/>
                        <w:rPr>
                          <w:rFonts w:eastAsia="黑体"/>
                          <w:color w:val="FFFF00"/>
                          <w:sz w:val="24"/>
                        </w:rPr>
                      </w:pPr>
                      <w:r>
                        <w:rPr>
                          <w:rFonts w:eastAsia="黑体"/>
                          <w:color w:val="FFFF00"/>
                          <w:sz w:val="24"/>
                        </w:rPr>
                        <w:t>1</w:t>
                      </w:r>
                      <w:r>
                        <w:rPr>
                          <w:rFonts w:hAnsi="黑体" w:eastAsia="黑体"/>
                          <w:color w:val="FFFF00"/>
                          <w:sz w:val="24"/>
                        </w:rPr>
                        <w:t>：</w:t>
                      </w:r>
                      <w:r>
                        <w:rPr>
                          <w:rFonts w:eastAsia="黑体"/>
                          <w:color w:val="FFFF00"/>
                          <w:sz w:val="24"/>
                        </w:rPr>
                        <w:t>500</w:t>
                      </w:r>
                    </w:p>
                  </w:txbxContent>
                </v:textbox>
              </v:rect>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8272145</wp:posOffset>
                </wp:positionH>
                <wp:positionV relativeFrom="paragraph">
                  <wp:posOffset>-2540</wp:posOffset>
                </wp:positionV>
                <wp:extent cx="0" cy="107950"/>
                <wp:effectExtent l="9525" t="0" r="15875" b="6350"/>
                <wp:wrapNone/>
                <wp:docPr id="118" name="自选图形 9418"/>
                <wp:cNvGraphicFramePr/>
                <a:graphic xmlns:a="http://schemas.openxmlformats.org/drawingml/2006/main">
                  <a:graphicData uri="http://schemas.microsoft.com/office/word/2010/wordprocessingShape">
                    <wps:wsp>
                      <wps:cNvCnPr/>
                      <wps:spPr>
                        <a:xfrm flipV="1">
                          <a:off x="0" y="0"/>
                          <a:ext cx="0" cy="107950"/>
                        </a:xfrm>
                        <a:prstGeom prst="straightConnector1">
                          <a:avLst/>
                        </a:prstGeom>
                        <a:ln w="19050" cap="flat" cmpd="sng">
                          <a:solidFill>
                            <a:srgbClr val="FFFF00"/>
                          </a:solidFill>
                          <a:prstDash val="solid"/>
                          <a:headEnd type="none" w="med" len="med"/>
                          <a:tailEnd type="none" w="med" len="med"/>
                        </a:ln>
                      </wps:spPr>
                      <wps:bodyPr/>
                    </wps:wsp>
                  </a:graphicData>
                </a:graphic>
              </wp:anchor>
            </w:drawing>
          </mc:Choice>
          <mc:Fallback>
            <w:pict>
              <v:shape id="自选图形 9418" o:spid="_x0000_s1026" o:spt="32" type="#_x0000_t32" style="position:absolute;left:0pt;flip:y;margin-left:651.35pt;margin-top:-0.2pt;height:8.5pt;width:0pt;z-index:251691008;mso-width-relative:page;mso-height-relative:page;" filled="f" stroked="t" coordsize="21600,21600" o:gfxdata="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Ar3MrdcAAAAKAQAADwAAAAAAAAABACAAAAAiAAAAZHJzL2Rvd25yZXYu&#10;eG1sUEsBAhQAFAAAAAgAh07iQPfoij78AQAA8gMAAA4AAAAAAAAAAQAgAAAAJgEAAGRycy9lMm9E&#10;b2MueG1sUEsFBgAAAAAGAAYAWQEAAJQFAAAAAA==&#10;">
                <v:fill on="f" focussize="0,0"/>
                <v:stroke weight="1.5pt" color="#FFFF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8673465</wp:posOffset>
                </wp:positionH>
                <wp:positionV relativeFrom="paragraph">
                  <wp:posOffset>6350</wp:posOffset>
                </wp:positionV>
                <wp:extent cx="0" cy="107950"/>
                <wp:effectExtent l="9525" t="0" r="15875" b="6350"/>
                <wp:wrapNone/>
                <wp:docPr id="117" name="自选图形 9417"/>
                <wp:cNvGraphicFramePr/>
                <a:graphic xmlns:a="http://schemas.openxmlformats.org/drawingml/2006/main">
                  <a:graphicData uri="http://schemas.microsoft.com/office/word/2010/wordprocessingShape">
                    <wps:wsp>
                      <wps:cNvCnPr/>
                      <wps:spPr>
                        <a:xfrm flipV="1">
                          <a:off x="0" y="0"/>
                          <a:ext cx="0" cy="107950"/>
                        </a:xfrm>
                        <a:prstGeom prst="straightConnector1">
                          <a:avLst/>
                        </a:prstGeom>
                        <a:ln w="19050" cap="flat" cmpd="sng">
                          <a:solidFill>
                            <a:srgbClr val="FFFF00"/>
                          </a:solidFill>
                          <a:prstDash val="solid"/>
                          <a:headEnd type="none" w="med" len="med"/>
                          <a:tailEnd type="none" w="med" len="med"/>
                        </a:ln>
                      </wps:spPr>
                      <wps:bodyPr/>
                    </wps:wsp>
                  </a:graphicData>
                </a:graphic>
              </wp:anchor>
            </w:drawing>
          </mc:Choice>
          <mc:Fallback>
            <w:pict>
              <v:shape id="自选图形 9417" o:spid="_x0000_s1026" o:spt="32" type="#_x0000_t32" style="position:absolute;left:0pt;flip:y;margin-left:682.95pt;margin-top:0.5pt;height:8.5pt;width:0pt;z-index:251689984;mso-width-relative:page;mso-height-relative:page;" filled="f" stroked="t" coordsize="21600,21600" o:gfxdata="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rilvhNQAAAAKAQAADwAAAAAAAAABACAAAAAiAAAAZHJzL2Rvd25yZXYueG1s&#10;UEsBAhQAFAAAAAgAh07iQCE/FC78AQAA8gMAAA4AAAAAAAAAAQAgAAAAIwEAAGRycy9lMm9Eb2Mu&#10;eG1sUEsFBgAAAAAGAAYAWQEAAJEFAAAAAA==&#10;">
                <v:fill on="f" focussize="0,0"/>
                <v:stroke weight="1.5pt" color="#FFFF00" joinstyle="round"/>
                <v:imagedata o:title=""/>
                <o:lock v:ext="edit" aspectratio="f"/>
              </v:shape>
            </w:pict>
          </mc:Fallback>
        </mc:AlternateContent>
      </w:r>
    </w:p>
    <w:p w14:paraId="175C044D">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p>
    <w:p w14:paraId="04BC2474">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p>
    <w:p w14:paraId="78914FBD">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p>
    <w:p w14:paraId="1258CDC8">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88288" behindDoc="0" locked="0" layoutInCell="1" allowOverlap="1">
                <wp:simplePos x="0" y="0"/>
                <wp:positionH relativeFrom="column">
                  <wp:posOffset>4790440</wp:posOffset>
                </wp:positionH>
                <wp:positionV relativeFrom="paragraph">
                  <wp:posOffset>152400</wp:posOffset>
                </wp:positionV>
                <wp:extent cx="754380" cy="273685"/>
                <wp:effectExtent l="0" t="0" r="0" b="0"/>
                <wp:wrapNone/>
                <wp:docPr id="215" name="矩形 9527"/>
                <wp:cNvGraphicFramePr/>
                <a:graphic xmlns:a="http://schemas.openxmlformats.org/drawingml/2006/main">
                  <a:graphicData uri="http://schemas.microsoft.com/office/word/2010/wordprocessingShape">
                    <wps:wsp>
                      <wps:cNvSpPr/>
                      <wps:spPr>
                        <a:xfrm>
                          <a:off x="0" y="0"/>
                          <a:ext cx="754380" cy="273685"/>
                        </a:xfrm>
                        <a:prstGeom prst="rect">
                          <a:avLst/>
                        </a:prstGeom>
                        <a:noFill/>
                        <a:ln>
                          <a:noFill/>
                        </a:ln>
                      </wps:spPr>
                      <wps:txbx>
                        <w:txbxContent>
                          <w:p w14:paraId="74E258F7">
                            <w:pPr>
                              <w:rPr>
                                <w:rFonts w:ascii="黑体" w:hAnsi="黑体" w:eastAsia="黑体"/>
                                <w:color w:val="FFFF00"/>
                                <w:sz w:val="15"/>
                              </w:rPr>
                            </w:pPr>
                            <w:r>
                              <w:rPr>
                                <w:rFonts w:ascii="黑体" w:hAnsi="黑体" w:eastAsia="黑体"/>
                                <w:color w:val="FFFF00"/>
                                <w:sz w:val="15"/>
                              </w:rPr>
                              <w:t>启明幼儿园</w:t>
                            </w:r>
                          </w:p>
                        </w:txbxContent>
                      </wps:txbx>
                      <wps:bodyPr upright="1"/>
                    </wps:wsp>
                  </a:graphicData>
                </a:graphic>
              </wp:anchor>
            </w:drawing>
          </mc:Choice>
          <mc:Fallback>
            <w:pict>
              <v:rect id="矩形 9527" o:spid="_x0000_s1026" o:spt="1" style="position:absolute;left:0pt;margin-left:377.2pt;margin-top:12pt;height:21.55pt;width:59.4pt;z-index:251788288;mso-width-relative:page;mso-height-relative:page;" filled="f" stroked="f" coordsize="21600,21600" o:gfxdata="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BnUWGf2wAAAAkB&#10;AAAPAAAAAAAAAAEAIAAAACIAAABkcnMvZG93bnJldi54bWxQSwECFAAUAAAACACHTuJA9r/UZaYB&#10;AABFAwAADgAAAAAAAAABACAAAAAqAQAAZHJzL2Uyb0RvYy54bWxQSwUGAAAAAAYABgBZAQAAQgUA&#10;AAAA&#10;">
                <v:fill on="f" focussize="0,0"/>
                <v:stroke on="f"/>
                <v:imagedata o:title=""/>
                <o:lock v:ext="edit" aspectratio="f"/>
                <v:textbox>
                  <w:txbxContent>
                    <w:p w14:paraId="74E258F7">
                      <w:pPr>
                        <w:rPr>
                          <w:rFonts w:ascii="黑体" w:hAnsi="黑体" w:eastAsia="黑体"/>
                          <w:color w:val="FFFF00"/>
                          <w:sz w:val="15"/>
                        </w:rPr>
                      </w:pPr>
                      <w:r>
                        <w:rPr>
                          <w:rFonts w:ascii="黑体" w:hAnsi="黑体" w:eastAsia="黑体"/>
                          <w:color w:val="FFFF00"/>
                          <w:sz w:val="15"/>
                        </w:rPr>
                        <w:t>启明幼儿园</w:t>
                      </w:r>
                    </w:p>
                  </w:txbxContent>
                </v:textbox>
              </v:rect>
            </w:pict>
          </mc:Fallback>
        </mc:AlternateContent>
      </w:r>
    </w:p>
    <w:p w14:paraId="357F080B">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p>
    <w:p w14:paraId="74DABF25">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35040" behindDoc="0" locked="0" layoutInCell="1" allowOverlap="1">
                <wp:simplePos x="0" y="0"/>
                <wp:positionH relativeFrom="column">
                  <wp:posOffset>4981575</wp:posOffset>
                </wp:positionH>
                <wp:positionV relativeFrom="paragraph">
                  <wp:posOffset>163830</wp:posOffset>
                </wp:positionV>
                <wp:extent cx="71755" cy="71755"/>
                <wp:effectExtent l="4445" t="4445" r="12700" b="12700"/>
                <wp:wrapNone/>
                <wp:docPr id="163" name="椭圆 9474"/>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74" o:spid="_x0000_s1026" o:spt="3" type="#_x0000_t3" style="position:absolute;left:0pt;margin-left:392.25pt;margin-top:12.9pt;height:5.65pt;width:5.65pt;z-index:251735040;mso-width-relative:page;mso-height-relative:page;" fillcolor="#FF0000" filled="t" stroked="t" coordsize="21600,21600" o:gfxdata="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x9hPz1wAAAAkBAAAPAAAAAAAAAAEAIAAAACIAAABkcnMvZG93bnJldi54bWxQSwEC&#10;FAAUAAAACACHTuJA4EMnK/UBAAAZBAAADgAAAAAAAAABACAAAAAmAQAAZHJzL2Uyb0RvYy54bWxQ&#10;SwUGAAAAAAYABgBZAQAAjQUAAAAA&#10;">
                <v:fill on="t" focussize="0,0"/>
                <v:stroke color="#FF0000" joinstyle="round"/>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60640" behindDoc="0" locked="0" layoutInCell="1" allowOverlap="1">
                <wp:simplePos x="0" y="0"/>
                <wp:positionH relativeFrom="column">
                  <wp:posOffset>4639310</wp:posOffset>
                </wp:positionH>
                <wp:positionV relativeFrom="paragraph">
                  <wp:posOffset>6350</wp:posOffset>
                </wp:positionV>
                <wp:extent cx="599440" cy="273685"/>
                <wp:effectExtent l="0" t="0" r="0" b="0"/>
                <wp:wrapNone/>
                <wp:docPr id="188" name="矩形 9499"/>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0F3F9A7A">
                            <w:pPr>
                              <w:rPr>
                                <w:rFonts w:ascii="黑体" w:hAnsi="黑体" w:eastAsia="黑体"/>
                                <w:color w:val="FFFF00"/>
                                <w:sz w:val="15"/>
                              </w:rPr>
                            </w:pPr>
                            <w:r>
                              <w:rPr>
                                <w:rFonts w:ascii="黑体" w:hAnsi="黑体" w:eastAsia="黑体"/>
                                <w:color w:val="FFFF00"/>
                                <w:sz w:val="15"/>
                              </w:rPr>
                              <w:t>陆庄村</w:t>
                            </w:r>
                          </w:p>
                        </w:txbxContent>
                      </wps:txbx>
                      <wps:bodyPr upright="1"/>
                    </wps:wsp>
                  </a:graphicData>
                </a:graphic>
              </wp:anchor>
            </w:drawing>
          </mc:Choice>
          <mc:Fallback>
            <w:pict>
              <v:rect id="矩形 9499" o:spid="_x0000_s1026" o:spt="1" style="position:absolute;left:0pt;margin-left:365.3pt;margin-top:0.5pt;height:21.55pt;width:47.2pt;z-index:251760640;mso-width-relative:page;mso-height-relative:page;" filled="f" stroked="f" coordsize="21600,21600" o:gfxdata="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C5HiZrZAAAACAEA&#10;AA8AAAAAAAAAAQAgAAAAIgAAAGRycy9kb3ducmV2LnhtbFBLAQIUABQAAAAIAIdO4kD+oU3MpwEA&#10;AEUDAAAOAAAAAAAAAAEAIAAAACgBAABkcnMvZTJvRG9jLnhtbFBLBQYAAAAABgAGAFkBAABBBQAA&#10;AAA=&#10;">
                <v:fill on="f" focussize="0,0"/>
                <v:stroke on="f"/>
                <v:imagedata o:title=""/>
                <o:lock v:ext="edit" aspectratio="f"/>
                <v:textbox>
                  <w:txbxContent>
                    <w:p w14:paraId="0F3F9A7A">
                      <w:pPr>
                        <w:rPr>
                          <w:rFonts w:ascii="黑体" w:hAnsi="黑体" w:eastAsia="黑体"/>
                          <w:color w:val="FFFF00"/>
                          <w:sz w:val="15"/>
                        </w:rPr>
                      </w:pPr>
                      <w:r>
                        <w:rPr>
                          <w:rFonts w:ascii="黑体" w:hAnsi="黑体" w:eastAsia="黑体"/>
                          <w:color w:val="FFFF00"/>
                          <w:sz w:val="15"/>
                        </w:rPr>
                        <w:t>陆庄村</w:t>
                      </w:r>
                    </w:p>
                  </w:txbxContent>
                </v:textbox>
              </v:rect>
            </w:pict>
          </mc:Fallback>
        </mc:AlternateContent>
      </w:r>
    </w:p>
    <w:p w14:paraId="20E9E327">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p>
    <w:p w14:paraId="012B8D49">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0"/>
          <w14:textFill>
            <w14:solidFill>
              <w14:schemeClr w14:val="tx1"/>
            </w14:solidFill>
          </w14:textFill>
        </w:rPr>
        <mc:AlternateContent>
          <mc:Choice Requires="wps">
            <w:drawing>
              <wp:anchor distT="0" distB="0" distL="114300" distR="114300" simplePos="0" relativeHeight="251819008" behindDoc="0" locked="0" layoutInCell="1" allowOverlap="1">
                <wp:simplePos x="0" y="0"/>
                <wp:positionH relativeFrom="column">
                  <wp:posOffset>4333875</wp:posOffset>
                </wp:positionH>
                <wp:positionV relativeFrom="paragraph">
                  <wp:posOffset>182245</wp:posOffset>
                </wp:positionV>
                <wp:extent cx="115570" cy="90170"/>
                <wp:effectExtent l="15240" t="18415" r="21590" b="18415"/>
                <wp:wrapNone/>
                <wp:docPr id="240" name="矩形 13734"/>
                <wp:cNvGraphicFramePr/>
                <a:graphic xmlns:a="http://schemas.openxmlformats.org/drawingml/2006/main">
                  <a:graphicData uri="http://schemas.microsoft.com/office/word/2010/wordprocessingShape">
                    <wps:wsp>
                      <wps:cNvSpPr/>
                      <wps:spPr>
                        <a:xfrm rot="840000">
                          <a:off x="0" y="0"/>
                          <a:ext cx="115570" cy="90170"/>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矩形 13734" o:spid="_x0000_s1026" o:spt="1" style="position:absolute;left:0pt;margin-left:341.25pt;margin-top:14.35pt;height:7.1pt;width:9.1pt;rotation:917504f;z-index:251819008;mso-width-relative:page;mso-height-relative:page;" filled="f" stroked="t" coordsize="21600,21600" o:gfxdata="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CN4XbNcAAAAJAQAADwAAAAAAAAABACAAAAAiAAAAZHJzL2Rv&#10;d25yZXYueG1sUEsBAhQAFAAAAAgAh07iQKFsFQoCAgAABgQAAA4AAAAAAAAAAQAgAAAAJgEAAGRy&#10;cy9lMm9Eb2MueG1sUEsFBgAAAAAGAAYAWQEAAJoFAAAAAA==&#10;">
                <v:fill on="f" focussize="0,0"/>
                <v:stroke color="#FF0000" joinstyle="miter"/>
                <v:imagedata o:title=""/>
                <o:lock v:ext="edit" aspectratio="f"/>
              </v:rect>
            </w:pict>
          </mc:Fallback>
        </mc:AlternateContent>
      </w:r>
    </w:p>
    <w:p w14:paraId="6A719350">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r>
        <w:rPr>
          <w:color w:val="000000" w:themeColor="text1"/>
          <w:sz w:val="20"/>
          <w14:textFill>
            <w14:solidFill>
              <w14:schemeClr w14:val="tx1"/>
            </w14:solidFill>
          </w14:textFill>
        </w:rPr>
        <mc:AlternateContent>
          <mc:Choice Requires="wps">
            <w:drawing>
              <wp:anchor distT="0" distB="0" distL="114300" distR="114300" simplePos="0" relativeHeight="251821056" behindDoc="0" locked="0" layoutInCell="1" allowOverlap="1">
                <wp:simplePos x="0" y="0"/>
                <wp:positionH relativeFrom="column">
                  <wp:posOffset>4458335</wp:posOffset>
                </wp:positionH>
                <wp:positionV relativeFrom="paragraph">
                  <wp:posOffset>55245</wp:posOffset>
                </wp:positionV>
                <wp:extent cx="124460" cy="34925"/>
                <wp:effectExtent l="1270" t="4445" r="1270" b="11430"/>
                <wp:wrapNone/>
                <wp:docPr id="248" name="直线 13953"/>
                <wp:cNvGraphicFramePr/>
                <a:graphic xmlns:a="http://schemas.openxmlformats.org/drawingml/2006/main">
                  <a:graphicData uri="http://schemas.microsoft.com/office/word/2010/wordprocessingShape">
                    <wps:wsp>
                      <wps:cNvCnPr/>
                      <wps:spPr>
                        <a:xfrm>
                          <a:off x="0" y="0"/>
                          <a:ext cx="124460" cy="34925"/>
                        </a:xfrm>
                        <a:prstGeom prst="line">
                          <a:avLst/>
                        </a:prstGeom>
                        <a:ln w="9525" cap="flat" cmpd="sng">
                          <a:solidFill>
                            <a:srgbClr val="00B050"/>
                          </a:solidFill>
                          <a:prstDash val="solid"/>
                          <a:headEnd type="none" w="med" len="sm"/>
                          <a:tailEnd type="triangle" w="sm" len="sm"/>
                        </a:ln>
                      </wps:spPr>
                      <wps:bodyPr upright="1"/>
                    </wps:wsp>
                  </a:graphicData>
                </a:graphic>
              </wp:anchor>
            </w:drawing>
          </mc:Choice>
          <mc:Fallback>
            <w:pict>
              <v:line id="直线 13953" o:spid="_x0000_s1026" o:spt="20" style="position:absolute;left:0pt;margin-left:351.05pt;margin-top:4.35pt;height:2.75pt;width:9.8pt;z-index:251821056;mso-width-relative:page;mso-height-relative:page;" filled="f" stroked="t" coordsize="21600,21600" o:gfxdata="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awipMtUAAAAIAQAADwAAAAAAAAABACAAAAAiAAAAZHJzL2Rvd25yZXYueG1s&#10;UEsBAhQAFAAAAAgAh07iQK/+pLn7AQAA5QMAAA4AAAAAAAAAAQAgAAAAJAEAAGRycy9lMm9Eb2Mu&#10;eG1sUEsFBgAAAAAGAAYAWQEAAJEFAAAAAA==&#10;">
                <v:fill on="f" focussize="0,0"/>
                <v:stroke color="#00B050" joinstyle="round" startarrowlength="short" endarrow="block" endarrowwidth="narrow" endarrowlength="short"/>
                <v:imagedata o:title=""/>
                <o:lock v:ext="edit" aspectratio="f"/>
              </v:line>
            </w:pict>
          </mc:Fallback>
        </mc:AlternateConten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05696" behindDoc="0" locked="0" layoutInCell="1" allowOverlap="1">
                <wp:simplePos x="0" y="0"/>
                <wp:positionH relativeFrom="column">
                  <wp:posOffset>4435475</wp:posOffset>
                </wp:positionH>
                <wp:positionV relativeFrom="paragraph">
                  <wp:posOffset>40640</wp:posOffset>
                </wp:positionV>
                <wp:extent cx="1951355" cy="2540"/>
                <wp:effectExtent l="0" t="22860" r="4445" b="25400"/>
                <wp:wrapNone/>
                <wp:docPr id="232" name="自选图形 9550"/>
                <wp:cNvGraphicFramePr/>
                <a:graphic xmlns:a="http://schemas.openxmlformats.org/drawingml/2006/main">
                  <a:graphicData uri="http://schemas.microsoft.com/office/word/2010/wordprocessingShape">
                    <wps:wsp>
                      <wps:cNvCnPr/>
                      <wps:spPr>
                        <a:xfrm>
                          <a:off x="0" y="0"/>
                          <a:ext cx="1951355" cy="2540"/>
                        </a:xfrm>
                        <a:prstGeom prst="straightConnector1">
                          <a:avLst/>
                        </a:prstGeom>
                        <a:ln w="19050" cap="flat" cmpd="sng">
                          <a:solidFill>
                            <a:srgbClr val="0066FF"/>
                          </a:solidFill>
                          <a:prstDash val="solid"/>
                          <a:headEnd type="none" w="med" len="med"/>
                          <a:tailEnd type="triangle" w="sm" len="med"/>
                        </a:ln>
                      </wps:spPr>
                      <wps:bodyPr/>
                    </wps:wsp>
                  </a:graphicData>
                </a:graphic>
              </wp:anchor>
            </w:drawing>
          </mc:Choice>
          <mc:Fallback>
            <w:pict>
              <v:shape id="自选图形 9550" o:spid="_x0000_s1026" o:spt="32" type="#_x0000_t32" style="position:absolute;left:0pt;margin-left:349.25pt;margin-top:3.2pt;height:0.2pt;width:153.65pt;z-index:251805696;mso-width-relative:page;mso-height-relative:page;" filled="f" stroked="t" coordsize="21600,21600" o:gfxdata="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GHWRVNkAAAAIAQAADwAAAAAAAAABACAAAAAiAAAA&#10;ZHJzL2Rvd25yZXYueG1sUEsBAhQAFAAAAAgAh07iQIH9qdIGAgAA7wMAAA4AAAAAAAAAAQAgAAAA&#10;KAEAAGRycy9lMm9Eb2MueG1sUEsFBgAAAAAGAAYAWQEAAKAFAAAAAA==&#10;">
                <v:fill on="f" focussize="0,0"/>
                <v:stroke weight="1.5pt" color="#0066FF" joinstyle="round" endarrow="block" endarrowwidth="narrow"/>
                <v:imagedata o:title=""/>
                <o:lock v:ext="edit" aspectratio="f"/>
              </v:shape>
            </w:pict>
          </mc:Fallback>
        </mc:AlternateContent>
      </w:r>
    </w:p>
    <w:p w14:paraId="0FC7252A">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55520" behindDoc="0" locked="0" layoutInCell="1" allowOverlap="1">
                <wp:simplePos x="0" y="0"/>
                <wp:positionH relativeFrom="column">
                  <wp:posOffset>3401060</wp:posOffset>
                </wp:positionH>
                <wp:positionV relativeFrom="paragraph">
                  <wp:posOffset>62230</wp:posOffset>
                </wp:positionV>
                <wp:extent cx="599440" cy="273685"/>
                <wp:effectExtent l="0" t="0" r="0" b="0"/>
                <wp:wrapNone/>
                <wp:docPr id="183" name="矩形 9494"/>
                <wp:cNvGraphicFramePr/>
                <a:graphic xmlns:a="http://schemas.openxmlformats.org/drawingml/2006/main">
                  <a:graphicData uri="http://schemas.microsoft.com/office/word/2010/wordprocessingShape">
                    <wps:wsp>
                      <wps:cNvSpPr/>
                      <wps:spPr>
                        <a:xfrm>
                          <a:off x="0" y="0"/>
                          <a:ext cx="599440" cy="273685"/>
                        </a:xfrm>
                        <a:prstGeom prst="rect">
                          <a:avLst/>
                        </a:prstGeom>
                        <a:noFill/>
                        <a:ln>
                          <a:noFill/>
                        </a:ln>
                      </wps:spPr>
                      <wps:txbx>
                        <w:txbxContent>
                          <w:p w14:paraId="6355E57E">
                            <w:pPr>
                              <w:rPr>
                                <w:rFonts w:ascii="黑体" w:hAnsi="黑体" w:eastAsia="黑体"/>
                                <w:color w:val="FFFF00"/>
                                <w:sz w:val="15"/>
                              </w:rPr>
                            </w:pPr>
                            <w:r>
                              <w:rPr>
                                <w:rFonts w:ascii="黑体" w:hAnsi="黑体" w:eastAsia="黑体"/>
                                <w:color w:val="FFFF00"/>
                                <w:sz w:val="15"/>
                              </w:rPr>
                              <w:t>门西</w:t>
                            </w:r>
                          </w:p>
                        </w:txbxContent>
                      </wps:txbx>
                      <wps:bodyPr upright="1"/>
                    </wps:wsp>
                  </a:graphicData>
                </a:graphic>
              </wp:anchor>
            </w:drawing>
          </mc:Choice>
          <mc:Fallback>
            <w:pict>
              <v:rect id="矩形 9494" o:spid="_x0000_s1026" o:spt="1" style="position:absolute;left:0pt;margin-left:267.8pt;margin-top:4.9pt;height:21.55pt;width:47.2pt;z-index:251755520;mso-width-relative:page;mso-height-relative:page;" filled="f" stroked="f" coordsize="21600,21600" o:gfxdata="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AAMp2M2AAAAAgBAAAP&#10;AAAAAAAAAAEAIAAAACIAAABkcnMvZG93bnJldi54bWxQSwECFAAUAAAACACHTuJAVJUPe6YBAABF&#10;AwAADgAAAAAAAAABACAAAAAnAQAAZHJzL2Uyb0RvYy54bWxQSwUGAAAAAAYABgBZAQAAPwUAAAAA&#10;">
                <v:fill on="f" focussize="0,0"/>
                <v:stroke on="f"/>
                <v:imagedata o:title=""/>
                <o:lock v:ext="edit" aspectratio="f"/>
                <v:textbox>
                  <w:txbxContent>
                    <w:p w14:paraId="6355E57E">
                      <w:pPr>
                        <w:rPr>
                          <w:rFonts w:ascii="黑体" w:hAnsi="黑体" w:eastAsia="黑体"/>
                          <w:color w:val="FFFF00"/>
                          <w:sz w:val="15"/>
                        </w:rPr>
                      </w:pPr>
                      <w:r>
                        <w:rPr>
                          <w:rFonts w:ascii="黑体" w:hAnsi="黑体" w:eastAsia="黑体"/>
                          <w:color w:val="FFFF00"/>
                          <w:sz w:val="15"/>
                        </w:rPr>
                        <w:t>门西</w:t>
                      </w:r>
                    </w:p>
                  </w:txbxContent>
                </v:textbox>
              </v:rect>
            </w:pict>
          </mc:Fallback>
        </mc:AlternateContent>
      </w:r>
    </w:p>
    <w:p w14:paraId="579C9BDF">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743232" behindDoc="0" locked="0" layoutInCell="1" allowOverlap="1">
                <wp:simplePos x="0" y="0"/>
                <wp:positionH relativeFrom="column">
                  <wp:posOffset>3601085</wp:posOffset>
                </wp:positionH>
                <wp:positionV relativeFrom="paragraph">
                  <wp:posOffset>78105</wp:posOffset>
                </wp:positionV>
                <wp:extent cx="71755" cy="71755"/>
                <wp:effectExtent l="4445" t="4445" r="12700" b="12700"/>
                <wp:wrapNone/>
                <wp:docPr id="171" name="椭圆 9482"/>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椭圆 9482" o:spid="_x0000_s1026" o:spt="3" type="#_x0000_t3" style="position:absolute;left:0pt;margin-left:283.55pt;margin-top:6.15pt;height:5.65pt;width:5.65pt;z-index:251743232;mso-width-relative:page;mso-height-relative:page;" fillcolor="#FF0000" filled="t" stroked="t" coordsize="21600,21600" o:gfxdata="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WPwE91wAAAAkBAAAPAAAAAAAAAAEAIAAAACIAAABkcnMvZG93bnJldi54bWxQSwEC&#10;FAAUAAAACACHTuJAIFGGdfUBAAAZBAAADgAAAAAAAAABACAAAAAmAQAAZHJzL2Uyb0RvYy54bWxQ&#10;SwUGAAAAAAYABgBZAQAAjQUAAAAA&#10;">
                <v:fill on="t" focussize="0,0"/>
                <v:stroke color="#FF0000" joinstyle="round"/>
                <v:imagedata o:title=""/>
                <o:lock v:ext="edit" aspectratio="f"/>
              </v:shape>
            </w:pict>
          </mc:Fallback>
        </mc:AlternateContent>
      </w:r>
    </w:p>
    <w:p w14:paraId="6E04F7C1">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p>
    <w:p w14:paraId="29E0A929">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p>
    <w:p w14:paraId="2D596CB5">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p>
    <w:p w14:paraId="6CB3C106">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p>
    <w:p w14:paraId="49B4F649">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p>
    <w:p w14:paraId="2028A86F">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p>
    <w:p w14:paraId="316D5CD5">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p>
    <w:p w14:paraId="15382E6E">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p>
    <w:p w14:paraId="0615EA6F">
      <w:pPr>
        <w:tabs>
          <w:tab w:val="left" w:pos="279"/>
          <w:tab w:val="center" w:pos="6979"/>
        </w:tabs>
        <w:jc w:val="left"/>
        <w:rPr>
          <w:rFonts w:hint="default" w:ascii="Times New Roman" w:hAnsi="Times New Roman" w:cs="Times New Roman"/>
          <w:color w:val="000000" w:themeColor="text1"/>
          <w14:textFill>
            <w14:solidFill>
              <w14:schemeClr w14:val="tx1"/>
            </w14:solidFill>
          </w14:textFill>
        </w:rPr>
      </w:pPr>
    </w:p>
    <w:p w14:paraId="46FBE3E8">
      <w:pPr>
        <w:tabs>
          <w:tab w:val="left" w:pos="279"/>
          <w:tab w:val="center" w:pos="6979"/>
        </w:tabs>
        <w:jc w:val="left"/>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04672" behindDoc="0" locked="0" layoutInCell="1" allowOverlap="1">
                <wp:simplePos x="0" y="0"/>
                <wp:positionH relativeFrom="column">
                  <wp:posOffset>2877820</wp:posOffset>
                </wp:positionH>
                <wp:positionV relativeFrom="paragraph">
                  <wp:posOffset>287655</wp:posOffset>
                </wp:positionV>
                <wp:extent cx="3580765" cy="337185"/>
                <wp:effectExtent l="0" t="0" r="0" b="0"/>
                <wp:wrapNone/>
                <wp:docPr id="231" name="矩形 9549"/>
                <wp:cNvGraphicFramePr/>
                <a:graphic xmlns:a="http://schemas.openxmlformats.org/drawingml/2006/main">
                  <a:graphicData uri="http://schemas.microsoft.com/office/word/2010/wordprocessingShape">
                    <wps:wsp>
                      <wps:cNvSpPr/>
                      <wps:spPr>
                        <a:xfrm>
                          <a:off x="0" y="0"/>
                          <a:ext cx="3580765" cy="337185"/>
                        </a:xfrm>
                        <a:prstGeom prst="rect">
                          <a:avLst/>
                        </a:prstGeom>
                        <a:noFill/>
                        <a:ln>
                          <a:noFill/>
                        </a:ln>
                      </wps:spPr>
                      <wps:txbx>
                        <w:txbxContent>
                          <w:p w14:paraId="4A063FDF">
                            <w:pPr>
                              <w:jc w:val="center"/>
                            </w:pPr>
                            <w:r>
                              <w:rPr>
                                <w:rFonts w:hint="eastAsia" w:hAnsi="黑体" w:eastAsia="黑体"/>
                                <w:bCs/>
                                <w:sz w:val="24"/>
                              </w:rPr>
                              <w:t>图2.</w:t>
                            </w:r>
                            <w:r>
                              <w:rPr>
                                <w:rFonts w:hint="eastAsia" w:hAnsi="黑体" w:eastAsia="黑体"/>
                                <w:bCs/>
                                <w:sz w:val="24"/>
                                <w:lang w:val="en-US" w:eastAsia="zh-CN"/>
                              </w:rPr>
                              <w:t>7</w:t>
                            </w:r>
                            <w:r>
                              <w:rPr>
                                <w:rFonts w:hint="eastAsia" w:hAnsi="黑体" w:eastAsia="黑体"/>
                                <w:bCs/>
                                <w:sz w:val="24"/>
                              </w:rPr>
                              <w:t>-1评价区域内大气环境保护目标图</w:t>
                            </w:r>
                          </w:p>
                          <w:p w14:paraId="35C1A50F"/>
                        </w:txbxContent>
                      </wps:txbx>
                      <wps:bodyPr upright="1"/>
                    </wps:wsp>
                  </a:graphicData>
                </a:graphic>
              </wp:anchor>
            </w:drawing>
          </mc:Choice>
          <mc:Fallback>
            <w:pict>
              <v:rect id="矩形 9549" o:spid="_x0000_s1026" o:spt="1" style="position:absolute;left:0pt;margin-left:226.6pt;margin-top:22.65pt;height:26.55pt;width:281.95pt;z-index:251804672;mso-width-relative:page;mso-height-relative:page;" filled="f" stroked="f" coordsize="21600,21600" o:gfxdata="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CUvBrZ2gAAAAoB&#10;AAAPAAAAAAAAAAEAIAAAACIAAABkcnMvZG93bnJldi54bWxQSwECFAAUAAAACACHTuJAj3fPkKcB&#10;AABGAwAADgAAAAAAAAABACAAAAApAQAAZHJzL2Uyb0RvYy54bWxQSwUGAAAAAAYABgBZAQAAQgUA&#10;AAAA&#10;">
                <v:fill on="f" focussize="0,0"/>
                <v:stroke on="f"/>
                <v:imagedata o:title=""/>
                <o:lock v:ext="edit" aspectratio="f"/>
                <v:textbox>
                  <w:txbxContent>
                    <w:p w14:paraId="4A063FDF">
                      <w:pPr>
                        <w:jc w:val="center"/>
                      </w:pPr>
                      <w:r>
                        <w:rPr>
                          <w:rFonts w:hint="eastAsia" w:hAnsi="黑体" w:eastAsia="黑体"/>
                          <w:bCs/>
                          <w:sz w:val="24"/>
                        </w:rPr>
                        <w:t>图2.</w:t>
                      </w:r>
                      <w:r>
                        <w:rPr>
                          <w:rFonts w:hint="eastAsia" w:hAnsi="黑体" w:eastAsia="黑体"/>
                          <w:bCs/>
                          <w:sz w:val="24"/>
                          <w:lang w:val="en-US" w:eastAsia="zh-CN"/>
                        </w:rPr>
                        <w:t>7</w:t>
                      </w:r>
                      <w:r>
                        <w:rPr>
                          <w:rFonts w:hint="eastAsia" w:hAnsi="黑体" w:eastAsia="黑体"/>
                          <w:bCs/>
                          <w:sz w:val="24"/>
                        </w:rPr>
                        <w:t>-1评价区域内大气环境保护目标图</w:t>
                      </w:r>
                    </w:p>
                    <w:p w14:paraId="35C1A50F"/>
                  </w:txbxContent>
                </v:textbox>
              </v:rect>
            </w:pict>
          </mc:Fallback>
        </mc:AlternateContent>
      </w:r>
    </w:p>
    <w:p w14:paraId="2907FD15">
      <w:pPr>
        <w:rPr>
          <w:rFonts w:hint="default" w:ascii="Times New Roman" w:hAnsi="Times New Roman" w:cs="Times New Roman"/>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4031FE0F">
      <w:pPr>
        <w:pStyle w:val="2855"/>
        <w:rPr>
          <w:rFonts w:hint="default" w:ascii="Times New Roman" w:hAnsi="Times New Roman" w:eastAsia="黑体" w:cs="Times New Roman"/>
          <w:b w:val="0"/>
          <w:color w:val="000000" w:themeColor="text1"/>
          <w14:textFill>
            <w14:solidFill>
              <w14:schemeClr w14:val="tx1"/>
            </w14:solidFill>
          </w14:textFill>
        </w:rPr>
      </w:pPr>
      <w:bookmarkStart w:id="44" w:name="_Toc173837636"/>
      <w:r>
        <w:rPr>
          <w:rFonts w:hint="default" w:ascii="Times New Roman" w:hAnsi="Times New Roman" w:eastAsia="黑体" w:cs="Times New Roman"/>
          <w:b w:val="0"/>
          <w:color w:val="000000" w:themeColor="text1"/>
          <w14:textFill>
            <w14:solidFill>
              <w14:schemeClr w14:val="tx1"/>
            </w14:solidFill>
          </w14:textFill>
        </w:rPr>
        <w:t>3建设项目工程分析</w:t>
      </w:r>
      <w:bookmarkEnd w:id="44"/>
    </w:p>
    <w:p w14:paraId="159186B7">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45" w:name="_Toc173837637"/>
      <w:r>
        <w:rPr>
          <w:rFonts w:hint="default" w:ascii="Times New Roman" w:hAnsi="Times New Roman" w:eastAsia="黑体" w:cs="Times New Roman"/>
          <w:b w:val="0"/>
          <w:color w:val="000000" w:themeColor="text1"/>
          <w14:textFill>
            <w14:solidFill>
              <w14:schemeClr w14:val="tx1"/>
            </w14:solidFill>
          </w14:textFill>
        </w:rPr>
        <w:t>3.1工程概况</w:t>
      </w:r>
      <w:bookmarkEnd w:id="45"/>
    </w:p>
    <w:p w14:paraId="1A060168">
      <w:pPr>
        <w:pStyle w:val="3159"/>
        <w:rPr>
          <w:rFonts w:hint="default" w:ascii="Times New Roman" w:hAnsi="Times New Roman" w:eastAsia="黑体" w:cs="Times New Roman"/>
          <w:b w:val="0"/>
          <w:color w:val="000000" w:themeColor="text1"/>
          <w14:textFill>
            <w14:solidFill>
              <w14:schemeClr w14:val="tx1"/>
            </w14:solidFill>
          </w14:textFill>
        </w:rPr>
      </w:pPr>
      <w:bookmarkStart w:id="46" w:name="_Toc173837638"/>
      <w:r>
        <w:rPr>
          <w:rFonts w:hint="default" w:ascii="Times New Roman" w:hAnsi="Times New Roman" w:eastAsia="黑体" w:cs="Times New Roman"/>
          <w:b w:val="0"/>
          <w:color w:val="000000" w:themeColor="text1"/>
          <w14:textFill>
            <w14:solidFill>
              <w14:schemeClr w14:val="tx1"/>
            </w14:solidFill>
          </w14:textFill>
        </w:rPr>
        <w:t>3.1.1总体概况</w:t>
      </w:r>
      <w:bookmarkEnd w:id="46"/>
    </w:p>
    <w:p w14:paraId="3EA95014">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1、项目名称：</w:t>
      </w:r>
      <w:r>
        <w:rPr>
          <w:rFonts w:hint="default" w:ascii="Times New Roman" w:hAnsi="Times New Roman" w:cs="Times New Roman"/>
          <w:color w:val="000000" w:themeColor="text1"/>
          <w:lang w:eastAsia="zh-CN"/>
          <w14:textFill>
            <w14:solidFill>
              <w14:schemeClr w14:val="tx1"/>
            </w14:solidFill>
          </w14:textFill>
        </w:rPr>
        <w:t>PET再生资源综合利用项目</w:t>
      </w:r>
    </w:p>
    <w:p w14:paraId="3F19EC5F">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2、建设性质：新建</w:t>
      </w:r>
    </w:p>
    <w:p w14:paraId="427F32E8">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3、建设单位：</w:t>
      </w:r>
      <w:r>
        <w:rPr>
          <w:rFonts w:hint="default" w:ascii="Times New Roman" w:hAnsi="Times New Roman" w:cs="Times New Roman"/>
          <w:color w:val="000000" w:themeColor="text1"/>
          <w:lang w:eastAsia="zh-CN"/>
          <w14:textFill>
            <w14:solidFill>
              <w14:schemeClr w14:val="tx1"/>
            </w14:solidFill>
          </w14:textFill>
        </w:rPr>
        <w:t>安徽楹聚环保科技有限公司</w:t>
      </w:r>
    </w:p>
    <w:p w14:paraId="6694D76D">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4、建设地点：</w:t>
      </w:r>
      <w:r>
        <w:rPr>
          <w:rFonts w:hint="eastAsia" w:ascii="Times New Roman" w:hAnsi="Times New Roman" w:cs="Times New Roman"/>
          <w:color w:val="000000" w:themeColor="text1"/>
          <w:lang w:eastAsia="zh-CN"/>
          <w14:textFill>
            <w14:solidFill>
              <w14:schemeClr w14:val="tx1"/>
            </w14:solidFill>
          </w14:textFill>
        </w:rPr>
        <w:t>项目位于</w:t>
      </w:r>
      <w:r>
        <w:rPr>
          <w:rFonts w:hint="default" w:ascii="Times New Roman" w:hAnsi="Times New Roman" w:cs="Times New Roman"/>
          <w:color w:val="000000" w:themeColor="text1"/>
          <w:lang w:eastAsia="zh-CN"/>
          <w14:textFill>
            <w14:solidFill>
              <w14:schemeClr w14:val="tx1"/>
            </w14:solidFill>
          </w14:textFill>
        </w:rPr>
        <w:t>安徽省淮南市毛集社会发展综合实验区</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lang w:eastAsia="zh-CN"/>
          <w14:textFill>
            <w14:solidFill>
              <w14:schemeClr w14:val="tx1"/>
            </w14:solidFill>
          </w14:textFill>
        </w:rPr>
        <w:t>项目租赁振亿工程机械有限公司</w:t>
      </w:r>
      <w:r>
        <w:rPr>
          <w:rFonts w:hint="eastAsia" w:ascii="Times New Roman" w:hAnsi="Times New Roman" w:cs="Times New Roman"/>
          <w:color w:val="000000" w:themeColor="text1"/>
          <w:lang w:val="en-US" w:eastAsia="zh-CN"/>
          <w14:textFill>
            <w14:solidFill>
              <w14:schemeClr w14:val="tx1"/>
            </w14:solidFill>
          </w14:textFill>
        </w:rPr>
        <w:t>2栋</w:t>
      </w:r>
      <w:r>
        <w:rPr>
          <w:rFonts w:hint="eastAsia" w:ascii="Times New Roman" w:hAnsi="Times New Roman" w:cs="Times New Roman"/>
          <w:color w:val="000000" w:themeColor="text1"/>
          <w:lang w:eastAsia="zh-CN"/>
          <w14:textFill>
            <w14:solidFill>
              <w14:schemeClr w14:val="tx1"/>
            </w14:solidFill>
          </w14:textFill>
        </w:rPr>
        <w:t>闲置的新建标准化厂房，厂区已做好地面硬化，无遗留的环境问题。</w:t>
      </w:r>
      <w:r>
        <w:rPr>
          <w:rFonts w:hint="eastAsia" w:ascii="Times New Roman" w:hAnsi="Times New Roman" w:cs="Times New Roman"/>
          <w:color w:val="000000" w:themeColor="text1"/>
          <w:lang w:eastAsia="zh-CN"/>
          <w14:textFill>
            <w14:solidFill>
              <w14:schemeClr w14:val="tx1"/>
            </w14:solidFill>
          </w14:textFill>
        </w:rPr>
        <w:t>项目东侧为烟波路，南侧为安徽金荣铜业有限公司，西侧和北侧为空地。详见图3.1-</w:t>
      </w:r>
      <w:r>
        <w:rPr>
          <w:rFonts w:hint="eastAsia" w:ascii="Times New Roman" w:hAnsi="Times New Roman" w:cs="Times New Roman"/>
          <w:color w:val="000000" w:themeColor="text1"/>
          <w:lang w:val="en-US" w:eastAsia="zh-CN"/>
          <w14:textFill>
            <w14:solidFill>
              <w14:schemeClr w14:val="tx1"/>
            </w14:solidFill>
          </w14:textFill>
        </w:rPr>
        <w:t>1</w:t>
      </w:r>
      <w:r>
        <w:rPr>
          <w:rFonts w:hint="eastAsia" w:ascii="Times New Roman" w:hAnsi="Times New Roman" w:cs="Times New Roman"/>
          <w:color w:val="000000" w:themeColor="text1"/>
          <w:lang w:eastAsia="zh-CN"/>
          <w14:textFill>
            <w14:solidFill>
              <w14:schemeClr w14:val="tx1"/>
            </w14:solidFill>
          </w14:textFill>
        </w:rPr>
        <w:t>建设项目周围四至关系图。</w:t>
      </w:r>
    </w:p>
    <w:p w14:paraId="7BA9BDF3">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5、建设内容和规模：本项目占地面积约21亩，租赁并改造钢构厂房及办公楼约9600平方米，购置整瓶处理设备、瓶片清洗设备、色选、粉碎及造粒等设备，新建PET再生切片生产线6条</w:t>
      </w:r>
      <w:r>
        <w:rPr>
          <w:rFonts w:hint="default" w:ascii="Times New Roman" w:hAnsi="Times New Roman" w:cs="Times New Roman"/>
          <w:color w:val="000000" w:themeColor="text1"/>
          <w:lang w:eastAsia="zh-CN"/>
          <w14:textFill>
            <w14:solidFill>
              <w14:schemeClr w14:val="tx1"/>
            </w14:solidFill>
          </w14:textFill>
        </w:rPr>
        <w:t>（3条</w:t>
      </w:r>
      <w:r>
        <w:rPr>
          <w:rFonts w:hint="default" w:ascii="Times New Roman" w:hAnsi="Times New Roman" w:cs="Times New Roman"/>
          <w:color w:val="000000" w:themeColor="text1"/>
          <w:lang w:val="en-US" w:eastAsia="zh-CN"/>
          <w14:textFill>
            <w14:solidFill>
              <w14:schemeClr w14:val="tx1"/>
            </w14:solidFill>
          </w14:textFill>
        </w:rPr>
        <w:t>PET瓶片破碎</w:t>
      </w:r>
      <w:r>
        <w:rPr>
          <w:rFonts w:hint="default" w:ascii="Times New Roman" w:hAnsi="Times New Roman" w:cs="Times New Roman"/>
          <w:color w:val="000000" w:themeColor="text1"/>
          <w:lang w:eastAsia="zh-CN"/>
          <w14:textFill>
            <w14:solidFill>
              <w14:schemeClr w14:val="tx1"/>
            </w14:solidFill>
          </w14:textFill>
        </w:rPr>
        <w:t>清洗分选生产线，1条标签纸生产线，1条瓶盖生产线，1条瓶盖清洗线）</w:t>
      </w:r>
      <w:r>
        <w:rPr>
          <w:rFonts w:hint="default" w:ascii="Times New Roman" w:hAnsi="Times New Roman" w:cs="Times New Roman"/>
          <w:color w:val="000000" w:themeColor="text1"/>
          <w14:textFill>
            <w14:solidFill>
              <w14:schemeClr w14:val="tx1"/>
            </w14:solidFill>
          </w14:textFill>
        </w:rPr>
        <w:t>，改性颗粒生产线2条，并配套建设消防、给排水、供配电、节能环保等附属设施。项目建成后可实现年产瓶片6.3万吨、标签纸0.7万吨、瓶盖0.7万吨、瓶沫0.3万吨、改性塑料粒子2万吨。</w:t>
      </w:r>
    </w:p>
    <w:p w14:paraId="04088F1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6、工程总投资：</w:t>
      </w:r>
      <w:r>
        <w:rPr>
          <w:rFonts w:hint="default" w:ascii="Times New Roman" w:hAnsi="Times New Roman" w:cs="Times New Roman"/>
          <w:color w:val="000000" w:themeColor="text1"/>
          <w:lang w:val="en-US" w:eastAsia="zh-CN"/>
          <w14:textFill>
            <w14:solidFill>
              <w14:schemeClr w14:val="tx1"/>
            </w14:solidFill>
          </w14:textFill>
        </w:rPr>
        <w:t>4197</w:t>
      </w:r>
      <w:r>
        <w:rPr>
          <w:rFonts w:hint="default" w:ascii="Times New Roman" w:hAnsi="Times New Roman" w:cs="Times New Roman"/>
          <w:color w:val="000000" w:themeColor="text1"/>
          <w14:textFill>
            <w14:solidFill>
              <w14:schemeClr w14:val="tx1"/>
            </w14:solidFill>
          </w14:textFill>
        </w:rPr>
        <w:t>万元</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kern w:val="24"/>
          <w:sz w:val="24"/>
          <w:szCs w:val="24"/>
          <w:lang w:val="en-US" w:eastAsia="zh-CN"/>
          <w14:textFill>
            <w14:solidFill>
              <w14:schemeClr w14:val="tx1"/>
            </w14:solidFill>
          </w14:textFill>
        </w:rPr>
        <w:t>其中环保</w:t>
      </w:r>
      <w:r>
        <w:rPr>
          <w:rFonts w:hint="default" w:ascii="Times New Roman" w:hAnsi="Times New Roman" w:cs="Times New Roman"/>
          <w:color w:val="000000" w:themeColor="text1"/>
          <w:kern w:val="24"/>
          <w:sz w:val="24"/>
          <w:szCs w:val="24"/>
          <w14:textFill>
            <w14:solidFill>
              <w14:schemeClr w14:val="tx1"/>
            </w14:solidFill>
          </w14:textFill>
        </w:rPr>
        <w:t>投资</w:t>
      </w:r>
      <w:r>
        <w:rPr>
          <w:rFonts w:hint="default" w:ascii="Times New Roman" w:hAnsi="Times New Roman" w:cs="Times New Roman"/>
          <w:color w:val="000000" w:themeColor="text1"/>
          <w:kern w:val="24"/>
          <w:sz w:val="24"/>
          <w:szCs w:val="24"/>
          <w:lang w:val="en-US" w:eastAsia="zh-CN"/>
          <w14:textFill>
            <w14:solidFill>
              <w14:schemeClr w14:val="tx1"/>
            </w14:solidFill>
          </w14:textFill>
        </w:rPr>
        <w:t>550</w:t>
      </w:r>
      <w:r>
        <w:rPr>
          <w:rFonts w:hint="default" w:ascii="Times New Roman" w:hAnsi="Times New Roman" w:cs="Times New Roman"/>
          <w:color w:val="000000" w:themeColor="text1"/>
          <w:kern w:val="24"/>
          <w:sz w:val="24"/>
          <w:szCs w:val="24"/>
          <w14:textFill>
            <w14:solidFill>
              <w14:schemeClr w14:val="tx1"/>
            </w14:solidFill>
          </w14:textFill>
        </w:rPr>
        <w:t>万元，约占总投资的</w:t>
      </w:r>
      <w:r>
        <w:rPr>
          <w:rFonts w:hint="default" w:ascii="Times New Roman" w:hAnsi="Times New Roman" w:cs="Times New Roman"/>
          <w:color w:val="000000" w:themeColor="text1"/>
          <w:kern w:val="24"/>
          <w:sz w:val="24"/>
          <w:szCs w:val="24"/>
          <w:lang w:val="en-US" w:eastAsia="zh-CN"/>
          <w14:textFill>
            <w14:solidFill>
              <w14:schemeClr w14:val="tx1"/>
            </w14:solidFill>
          </w14:textFill>
        </w:rPr>
        <w:t>13.1</w:t>
      </w:r>
      <w:r>
        <w:rPr>
          <w:rFonts w:hint="default" w:ascii="Times New Roman" w:hAnsi="Times New Roman" w:cs="Times New Roman"/>
          <w:color w:val="000000" w:themeColor="text1"/>
          <w:kern w:val="24"/>
          <w:sz w:val="24"/>
          <w:szCs w:val="24"/>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w:t>
      </w:r>
    </w:p>
    <w:p w14:paraId="2F3A7CD9">
      <w:pPr>
        <w:pStyle w:val="3159"/>
        <w:rPr>
          <w:rFonts w:hint="default" w:ascii="Times New Roman" w:hAnsi="Times New Roman" w:eastAsia="黑体" w:cs="Times New Roman"/>
          <w:b w:val="0"/>
          <w:color w:val="000000" w:themeColor="text1"/>
          <w14:textFill>
            <w14:solidFill>
              <w14:schemeClr w14:val="tx1"/>
            </w14:solidFill>
          </w14:textFill>
        </w:rPr>
      </w:pPr>
      <w:bookmarkStart w:id="47" w:name="_Toc173837639"/>
      <w:r>
        <w:rPr>
          <w:rFonts w:hint="default" w:ascii="Times New Roman" w:hAnsi="Times New Roman" w:eastAsia="黑体" w:cs="Times New Roman"/>
          <w:b w:val="0"/>
          <w:color w:val="000000" w:themeColor="text1"/>
          <w14:textFill>
            <w14:solidFill>
              <w14:schemeClr w14:val="tx1"/>
            </w14:solidFill>
          </w14:textFill>
        </w:rPr>
        <w:t>3.1.2工程建设内容</w:t>
      </w:r>
      <w:bookmarkEnd w:id="47"/>
    </w:p>
    <w:p w14:paraId="0A8404A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安徽楹聚环保科技有限公司</w:t>
      </w:r>
      <w:r>
        <w:rPr>
          <w:rFonts w:hint="default" w:ascii="Times New Roman" w:hAnsi="Times New Roman" w:cs="Times New Roman"/>
          <w:color w:val="000000" w:themeColor="text1"/>
          <w14:textFill>
            <w14:solidFill>
              <w14:schemeClr w14:val="tx1"/>
            </w14:solidFill>
          </w14:textFill>
        </w:rPr>
        <w:t>租赁并改造钢构厂房及办公楼约9600平方米，购置整瓶处理设备、瓶片清洗设备、色选、粉碎及造粒等设备，新建PET再生切片生产线6条</w:t>
      </w:r>
      <w:r>
        <w:rPr>
          <w:rFonts w:hint="default" w:ascii="Times New Roman" w:hAnsi="Times New Roman" w:cs="Times New Roman"/>
          <w:color w:val="000000" w:themeColor="text1"/>
          <w:lang w:eastAsia="zh-CN"/>
          <w14:textFill>
            <w14:solidFill>
              <w14:schemeClr w14:val="tx1"/>
            </w14:solidFill>
          </w14:textFill>
        </w:rPr>
        <w:t>（3条</w:t>
      </w:r>
      <w:r>
        <w:rPr>
          <w:rFonts w:hint="default" w:ascii="Times New Roman" w:hAnsi="Times New Roman" w:cs="Times New Roman"/>
          <w:color w:val="000000" w:themeColor="text1"/>
          <w:lang w:val="en-US" w:eastAsia="zh-CN"/>
          <w14:textFill>
            <w14:solidFill>
              <w14:schemeClr w14:val="tx1"/>
            </w14:solidFill>
          </w14:textFill>
        </w:rPr>
        <w:t>PET瓶片破碎</w:t>
      </w:r>
      <w:r>
        <w:rPr>
          <w:rFonts w:hint="default" w:ascii="Times New Roman" w:hAnsi="Times New Roman" w:cs="Times New Roman"/>
          <w:color w:val="000000" w:themeColor="text1"/>
          <w:lang w:eastAsia="zh-CN"/>
          <w14:textFill>
            <w14:solidFill>
              <w14:schemeClr w14:val="tx1"/>
            </w14:solidFill>
          </w14:textFill>
        </w:rPr>
        <w:t>清洗分选生产线，1条标签纸生产线，1条瓶盖生产线，1条瓶盖清洗线）</w:t>
      </w:r>
      <w:r>
        <w:rPr>
          <w:rFonts w:hint="default" w:ascii="Times New Roman" w:hAnsi="Times New Roman" w:cs="Times New Roman"/>
          <w:color w:val="000000" w:themeColor="text1"/>
          <w14:textFill>
            <w14:solidFill>
              <w14:schemeClr w14:val="tx1"/>
            </w14:solidFill>
          </w14:textFill>
        </w:rPr>
        <w:t>，改性颗粒生产线2条，并配套建设消防、给排水、供配电、节能环保等附属设施。项目建成后可实现年产瓶片6.3万吨、标签纸0.7万吨、瓶盖0.7万吨、瓶沫0.3万吨、改性塑料粒子2万吨。</w:t>
      </w:r>
    </w:p>
    <w:p w14:paraId="0EA4082B">
      <w:pPr>
        <w:pStyle w:val="251"/>
        <w:ind w:firstLine="480"/>
        <w:rPr>
          <w:rFonts w:hint="default" w:ascii="Times New Roman" w:hAnsi="Times New Roman" w:cs="Times New Roman"/>
          <w:color w:val="000000" w:themeColor="text1"/>
          <w14:textFill>
            <w14:solidFill>
              <w14:schemeClr w14:val="tx1"/>
            </w14:solidFill>
          </w14:textFill>
        </w:rPr>
        <w:sectPr>
          <w:footerReference r:id="rId8" w:type="default"/>
          <w:pgSz w:w="11906" w:h="16838"/>
          <w:pgMar w:top="1440" w:right="1440" w:bottom="1440" w:left="1440"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cs="Times New Roman"/>
          <w:color w:val="000000" w:themeColor="text1"/>
          <w14:textFill>
            <w14:solidFill>
              <w14:schemeClr w14:val="tx1"/>
            </w14:solidFill>
          </w14:textFill>
        </w:rPr>
        <w:t>项目具体工程组成内容见表3.1-1。项目平面布置情况见附图3</w:t>
      </w:r>
      <w:r>
        <w:rPr>
          <w:rFonts w:hint="eastAsia" w:ascii="Times New Roman" w:hAnsi="Times New Roman" w:cs="Times New Roman"/>
          <w:color w:val="000000" w:themeColor="text1"/>
          <w:lang w:val="en-US" w:eastAsia="zh-CN"/>
          <w14:textFill>
            <w14:solidFill>
              <w14:schemeClr w14:val="tx1"/>
            </w14:solidFill>
          </w14:textFill>
        </w:rPr>
        <w:t>.1-2</w:t>
      </w:r>
      <w:r>
        <w:rPr>
          <w:rFonts w:hint="default" w:ascii="Times New Roman" w:hAnsi="Times New Roman" w:cs="Times New Roman"/>
          <w:color w:val="000000" w:themeColor="text1"/>
          <w14:textFill>
            <w14:solidFill>
              <w14:schemeClr w14:val="tx1"/>
            </w14:solidFill>
          </w14:textFill>
        </w:rPr>
        <w:t>。项目</w:t>
      </w:r>
      <w:r>
        <w:rPr>
          <w:rFonts w:hint="eastAsia" w:ascii="Times New Roman" w:hAnsi="Times New Roman" w:cs="Times New Roman"/>
          <w:color w:val="000000" w:themeColor="text1"/>
          <w:lang w:eastAsia="zh-CN"/>
          <w14:textFill>
            <w14:solidFill>
              <w14:schemeClr w14:val="tx1"/>
            </w14:solidFill>
          </w14:textFill>
        </w:rPr>
        <w:t>雨污水管网</w:t>
      </w:r>
      <w:r>
        <w:rPr>
          <w:rFonts w:hint="default" w:ascii="Times New Roman" w:hAnsi="Times New Roman" w:cs="Times New Roman"/>
          <w:color w:val="000000" w:themeColor="text1"/>
          <w14:textFill>
            <w14:solidFill>
              <w14:schemeClr w14:val="tx1"/>
            </w14:solidFill>
          </w14:textFill>
        </w:rPr>
        <w:t>见附图3</w:t>
      </w:r>
      <w:r>
        <w:rPr>
          <w:rFonts w:hint="eastAsia" w:ascii="Times New Roman" w:hAnsi="Times New Roman" w:cs="Times New Roman"/>
          <w:color w:val="000000" w:themeColor="text1"/>
          <w:lang w:val="en-US" w:eastAsia="zh-CN"/>
          <w14:textFill>
            <w14:solidFill>
              <w14:schemeClr w14:val="tx1"/>
            </w14:solidFill>
          </w14:textFill>
        </w:rPr>
        <w:t>.1-3</w:t>
      </w:r>
      <w:r>
        <w:rPr>
          <w:rFonts w:hint="default" w:ascii="Times New Roman" w:hAnsi="Times New Roman" w:cs="Times New Roman"/>
          <w:color w:val="000000" w:themeColor="text1"/>
          <w14:textFill>
            <w14:solidFill>
              <w14:schemeClr w14:val="tx1"/>
            </w14:solidFill>
          </w14:textFill>
        </w:rPr>
        <w:t>。</w:t>
      </w:r>
    </w:p>
    <w:p w14:paraId="1CD1A07D">
      <w:pPr>
        <w:tabs>
          <w:tab w:val="left" w:pos="3261"/>
        </w:tabs>
        <w:spacing w:line="360" w:lineRule="auto"/>
        <w:jc w:val="center"/>
        <w:rPr>
          <w:rFonts w:hint="default" w:ascii="Times New Roman" w:hAnsi="Times New Roman" w:eastAsia="黑体" w:cs="Times New Roman"/>
          <w:color w:val="000000" w:themeColor="text1"/>
          <w:sz w:val="24"/>
          <w14:textFill>
            <w14:solidFill>
              <w14:schemeClr w14:val="tx1"/>
            </w14:solidFill>
          </w14:textFill>
        </w:rPr>
      </w:pPr>
      <w:r>
        <w:rPr>
          <w:color w:val="000000" w:themeColor="text1"/>
          <w:sz w:val="20"/>
          <w14:textFill>
            <w14:solidFill>
              <w14:schemeClr w14:val="tx1"/>
            </w14:solidFill>
          </w14:textFill>
        </w:rPr>
        <mc:AlternateContent>
          <mc:Choice Requires="wps">
            <w:drawing>
              <wp:anchor distT="0" distB="0" distL="114300" distR="114300" simplePos="0" relativeHeight="251828224" behindDoc="0" locked="0" layoutInCell="1" allowOverlap="1">
                <wp:simplePos x="0" y="0"/>
                <wp:positionH relativeFrom="column">
                  <wp:posOffset>5227955</wp:posOffset>
                </wp:positionH>
                <wp:positionV relativeFrom="paragraph">
                  <wp:posOffset>1471930</wp:posOffset>
                </wp:positionV>
                <wp:extent cx="160020" cy="724535"/>
                <wp:effectExtent l="0" t="0" r="0" b="0"/>
                <wp:wrapNone/>
                <wp:docPr id="266" name="文本框 13971"/>
                <wp:cNvGraphicFramePr/>
                <a:graphic xmlns:a="http://schemas.openxmlformats.org/drawingml/2006/main">
                  <a:graphicData uri="http://schemas.microsoft.com/office/word/2010/wordprocessingShape">
                    <wps:wsp>
                      <wps:cNvSpPr txBox="1"/>
                      <wps:spPr>
                        <a:xfrm rot="360000">
                          <a:off x="0" y="0"/>
                          <a:ext cx="160020" cy="724535"/>
                        </a:xfrm>
                        <a:prstGeom prst="rect">
                          <a:avLst/>
                        </a:prstGeom>
                        <a:noFill/>
                        <a:ln>
                          <a:noFill/>
                        </a:ln>
                      </wps:spPr>
                      <wps:txbx>
                        <w:txbxContent>
                          <w:p w14:paraId="1A3446DE">
                            <w:pPr>
                              <w:rPr>
                                <w:rFonts w:hint="eastAsia"/>
                                <w:color w:val="FFFF00"/>
                                <w:sz w:val="16"/>
                                <w:szCs w:val="16"/>
                                <w:lang w:val="en-US" w:eastAsia="zh-CN"/>
                              </w:rPr>
                            </w:pPr>
                            <w:r>
                              <w:rPr>
                                <w:rFonts w:hint="eastAsia" w:cs="Times New Roman"/>
                                <w:color w:val="FFFF00"/>
                                <w:sz w:val="16"/>
                                <w:szCs w:val="16"/>
                                <w:lang w:eastAsia="zh-CN"/>
                              </w:rPr>
                              <w:t>烟波路</w:t>
                            </w:r>
                          </w:p>
                        </w:txbxContent>
                      </wps:txbx>
                      <wps:bodyPr lIns="0" tIns="0" rIns="0" bIns="0" upright="1"/>
                    </wps:wsp>
                  </a:graphicData>
                </a:graphic>
              </wp:anchor>
            </w:drawing>
          </mc:Choice>
          <mc:Fallback>
            <w:pict>
              <v:shape id="文本框 13971" o:spid="_x0000_s1026" o:spt="202" type="#_x0000_t202" style="position:absolute;left:0pt;margin-left:411.65pt;margin-top:115.9pt;height:57.05pt;width:12.6pt;rotation:393216f;z-index:251828224;mso-width-relative:page;mso-height-relative:page;" filled="f" stroked="f" coordsize="21600,21600" o:gfxdata="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Pvs8uHaAAAACwEAAA8AAAAAAAAAAQAgAAAAIgAAAGRycy9k&#10;b3ducmV2LnhtbFBLAQIUABQAAAAIAIdO4kDG/k21xwEAAIQDAAAOAAAAAAAAAAEAIAAAACkBAABk&#10;cnMvZTJvRG9jLnhtbFBLBQYAAAAABgAGAFkBAABiBQAAAAA=&#10;">
                <v:fill on="f" focussize="0,0"/>
                <v:stroke on="f"/>
                <v:imagedata o:title=""/>
                <o:lock v:ext="edit" aspectratio="f"/>
                <v:textbox inset="0mm,0mm,0mm,0mm">
                  <w:txbxContent>
                    <w:p w14:paraId="1A3446DE">
                      <w:pPr>
                        <w:rPr>
                          <w:rFonts w:hint="eastAsia"/>
                          <w:color w:val="FFFF00"/>
                          <w:sz w:val="16"/>
                          <w:szCs w:val="16"/>
                          <w:lang w:val="en-US" w:eastAsia="zh-CN"/>
                        </w:rPr>
                      </w:pPr>
                      <w:r>
                        <w:rPr>
                          <w:rFonts w:hint="eastAsia" w:cs="Times New Roman"/>
                          <w:color w:val="FFFF00"/>
                          <w:sz w:val="16"/>
                          <w:szCs w:val="16"/>
                          <w:lang w:eastAsia="zh-CN"/>
                        </w:rPr>
                        <w:t>烟波路</w:t>
                      </w:r>
                    </w:p>
                  </w:txbxContent>
                </v:textbox>
              </v:shape>
            </w:pict>
          </mc:Fallback>
        </mc:AlternateContent>
      </w:r>
      <w:r>
        <w:rPr>
          <w:color w:val="000000" w:themeColor="text1"/>
          <w:sz w:val="20"/>
          <w14:textFill>
            <w14:solidFill>
              <w14:schemeClr w14:val="tx1"/>
            </w14:solidFill>
          </w14:textFill>
        </w:rPr>
        <mc:AlternateContent>
          <mc:Choice Requires="wps">
            <w:drawing>
              <wp:anchor distT="0" distB="0" distL="114300" distR="114300" simplePos="0" relativeHeight="251824128" behindDoc="0" locked="0" layoutInCell="1" allowOverlap="1">
                <wp:simplePos x="0" y="0"/>
                <wp:positionH relativeFrom="column">
                  <wp:posOffset>4004945</wp:posOffset>
                </wp:positionH>
                <wp:positionV relativeFrom="paragraph">
                  <wp:posOffset>1025525</wp:posOffset>
                </wp:positionV>
                <wp:extent cx="1262380" cy="1021715"/>
                <wp:effectExtent l="97790" t="125730" r="100330" b="135255"/>
                <wp:wrapNone/>
                <wp:docPr id="262" name="矩形 13967"/>
                <wp:cNvGraphicFramePr/>
                <a:graphic xmlns:a="http://schemas.openxmlformats.org/drawingml/2006/main">
                  <a:graphicData uri="http://schemas.microsoft.com/office/word/2010/wordprocessingShape">
                    <wps:wsp>
                      <wps:cNvSpPr/>
                      <wps:spPr>
                        <a:xfrm rot="720000">
                          <a:off x="0" y="0"/>
                          <a:ext cx="1262380" cy="1021715"/>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矩形 13967" o:spid="_x0000_s1026" o:spt="1" style="position:absolute;left:0pt;margin-left:315.35pt;margin-top:80.75pt;height:80.45pt;width:99.4pt;rotation:786432f;z-index:251824128;mso-width-relative:page;mso-height-relative:page;" filled="f" stroked="t" coordsize="21600,21600" o:gfxdata="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8NLzG2wAAAAsBAAAPAAAAAAAAAAEAIAAAACIA&#10;AABkcnMvZG93bnJldi54bWxQSwECFAAUAAAACACHTuJAqDIshwYCAAAJBAAADgAAAAAAAAABACAA&#10;AAAqAQAAZHJzL2Uyb0RvYy54bWxQSwUGAAAAAAYABgBZAQAAogUAAAAA&#10;">
                <v:fill on="f" focussize="0,0"/>
                <v:stroke color="#FF0000" joinstyle="miter"/>
                <v:imagedata o:title=""/>
                <o:lock v:ext="edit" aspectratio="f"/>
              </v:rect>
            </w:pict>
          </mc:Fallback>
        </mc:AlternateContent>
      </w:r>
      <w:r>
        <w:rPr>
          <w:color w:val="000000" w:themeColor="text1"/>
          <w:sz w:val="20"/>
          <w14:textFill>
            <w14:solidFill>
              <w14:schemeClr w14:val="tx1"/>
            </w14:solidFill>
          </w14:textFill>
        </w:rPr>
        <mc:AlternateContent>
          <mc:Choice Requires="wps">
            <w:drawing>
              <wp:anchor distT="0" distB="0" distL="114300" distR="114300" simplePos="0" relativeHeight="251827200" behindDoc="0" locked="0" layoutInCell="1" allowOverlap="1">
                <wp:simplePos x="0" y="0"/>
                <wp:positionH relativeFrom="column">
                  <wp:posOffset>3921760</wp:posOffset>
                </wp:positionH>
                <wp:positionV relativeFrom="paragraph">
                  <wp:posOffset>2299970</wp:posOffset>
                </wp:positionV>
                <wp:extent cx="1104265" cy="542925"/>
                <wp:effectExtent l="0" t="0" r="0" b="0"/>
                <wp:wrapNone/>
                <wp:docPr id="265" name="文本框 13970"/>
                <wp:cNvGraphicFramePr/>
                <a:graphic xmlns:a="http://schemas.openxmlformats.org/drawingml/2006/main">
                  <a:graphicData uri="http://schemas.microsoft.com/office/word/2010/wordprocessingShape">
                    <wps:wsp>
                      <wps:cNvSpPr txBox="1"/>
                      <wps:spPr>
                        <a:xfrm>
                          <a:off x="0" y="0"/>
                          <a:ext cx="1104265" cy="542925"/>
                        </a:xfrm>
                        <a:prstGeom prst="rect">
                          <a:avLst/>
                        </a:prstGeom>
                        <a:noFill/>
                        <a:ln>
                          <a:noFill/>
                        </a:ln>
                      </wps:spPr>
                      <wps:txbx>
                        <w:txbxContent>
                          <w:p w14:paraId="0A9AEADF">
                            <w:pPr>
                              <w:rPr>
                                <w:rFonts w:hint="eastAsia"/>
                                <w:color w:val="FFFF00"/>
                                <w:sz w:val="24"/>
                                <w:szCs w:val="24"/>
                                <w:lang w:val="en-US" w:eastAsia="zh-CN"/>
                              </w:rPr>
                            </w:pPr>
                            <w:r>
                              <w:rPr>
                                <w:rFonts w:hint="eastAsia" w:ascii="Times New Roman" w:hAnsi="Times New Roman" w:cs="Times New Roman"/>
                                <w:color w:val="FFFF00"/>
                                <w:sz w:val="24"/>
                                <w:szCs w:val="24"/>
                                <w:lang w:eastAsia="zh-CN"/>
                              </w:rPr>
                              <w:t>安徽金荣铜业有限公司</w:t>
                            </w:r>
                          </w:p>
                        </w:txbxContent>
                      </wps:txbx>
                      <wps:bodyPr upright="1"/>
                    </wps:wsp>
                  </a:graphicData>
                </a:graphic>
              </wp:anchor>
            </w:drawing>
          </mc:Choice>
          <mc:Fallback>
            <w:pict>
              <v:shape id="文本框 13970" o:spid="_x0000_s1026" o:spt="202" type="#_x0000_t202" style="position:absolute;left:0pt;margin-left:308.8pt;margin-top:181.1pt;height:42.75pt;width:86.95pt;z-index:251827200;mso-width-relative:page;mso-height-relative:page;" filled="f" stroked="f" coordsize="21600,21600" o:gfxdata="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Mbg&#10;EmDZAAAACwEAAA8AAAAAAAAAAQAgAAAAIgAAAGRycy9kb3ducmV2LnhtbFBLAQIUABQAAAAIAIdO&#10;4kCiLtIIsAEAAFQDAAAOAAAAAAAAAAEAIAAAACgBAABkcnMvZTJvRG9jLnhtbFBLBQYAAAAABgAG&#10;AFkBAABKBQAAAAA=&#10;">
                <v:fill on="f" focussize="0,0"/>
                <v:stroke on="f"/>
                <v:imagedata o:title=""/>
                <o:lock v:ext="edit" aspectratio="f"/>
                <v:textbox>
                  <w:txbxContent>
                    <w:p w14:paraId="0A9AEADF">
                      <w:pPr>
                        <w:rPr>
                          <w:rFonts w:hint="eastAsia"/>
                          <w:color w:val="FFFF00"/>
                          <w:sz w:val="24"/>
                          <w:szCs w:val="24"/>
                          <w:lang w:val="en-US" w:eastAsia="zh-CN"/>
                        </w:rPr>
                      </w:pPr>
                      <w:r>
                        <w:rPr>
                          <w:rFonts w:hint="eastAsia" w:ascii="Times New Roman" w:hAnsi="Times New Roman" w:cs="Times New Roman"/>
                          <w:color w:val="FFFF00"/>
                          <w:sz w:val="24"/>
                          <w:szCs w:val="24"/>
                          <w:lang w:eastAsia="zh-CN"/>
                        </w:rPr>
                        <w:t>安徽金荣铜业有限公司</w:t>
                      </w:r>
                    </w:p>
                  </w:txbxContent>
                </v:textbox>
              </v:shape>
            </w:pict>
          </mc:Fallback>
        </mc:AlternateContent>
      </w:r>
      <w:r>
        <w:rPr>
          <w:color w:val="000000" w:themeColor="text1"/>
          <w:sz w:val="20"/>
          <w14:textFill>
            <w14:solidFill>
              <w14:schemeClr w14:val="tx1"/>
            </w14:solidFill>
          </w14:textFill>
        </w:rPr>
        <mc:AlternateContent>
          <mc:Choice Requires="wps">
            <w:drawing>
              <wp:anchor distT="0" distB="0" distL="114300" distR="114300" simplePos="0" relativeHeight="251826176" behindDoc="0" locked="0" layoutInCell="1" allowOverlap="1">
                <wp:simplePos x="0" y="0"/>
                <wp:positionH relativeFrom="column">
                  <wp:posOffset>3807460</wp:posOffset>
                </wp:positionH>
                <wp:positionV relativeFrom="paragraph">
                  <wp:posOffset>2076450</wp:posOffset>
                </wp:positionV>
                <wp:extent cx="1205230" cy="1021715"/>
                <wp:effectExtent l="98425" t="120015" r="106045" b="128270"/>
                <wp:wrapNone/>
                <wp:docPr id="264" name="矩形 13969"/>
                <wp:cNvGraphicFramePr/>
                <a:graphic xmlns:a="http://schemas.openxmlformats.org/drawingml/2006/main">
                  <a:graphicData uri="http://schemas.microsoft.com/office/word/2010/wordprocessingShape">
                    <wps:wsp>
                      <wps:cNvSpPr/>
                      <wps:spPr>
                        <a:xfrm rot="720000">
                          <a:off x="0" y="0"/>
                          <a:ext cx="1205230" cy="1021715"/>
                        </a:xfrm>
                        <a:prstGeom prst="rect">
                          <a:avLst/>
                        </a:prstGeom>
                        <a:noFill/>
                        <a:ln w="9525" cap="flat" cmpd="sng">
                          <a:solidFill>
                            <a:srgbClr val="FFFF00"/>
                          </a:solidFill>
                          <a:prstDash val="solid"/>
                          <a:miter/>
                          <a:headEnd type="none" w="med" len="med"/>
                          <a:tailEnd type="none" w="med" len="med"/>
                        </a:ln>
                      </wps:spPr>
                      <wps:bodyPr upright="1"/>
                    </wps:wsp>
                  </a:graphicData>
                </a:graphic>
              </wp:anchor>
            </w:drawing>
          </mc:Choice>
          <mc:Fallback>
            <w:pict>
              <v:rect id="矩形 13969" o:spid="_x0000_s1026" o:spt="1" style="position:absolute;left:0pt;margin-left:299.8pt;margin-top:163.5pt;height:80.45pt;width:94.9pt;rotation:786432f;z-index:251826176;mso-width-relative:page;mso-height-relative:page;" filled="f" stroked="t" coordsize="21600,21600" o:gfxdata="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uRbETcAAAACwEAAA8AAAAAAAAAAQAgAAAA&#10;IgAAAGRycy9kb3ducmV2LnhtbFBLAQIUABQAAAAIAIdO4kAGlp/aBwIAAAkEAAAOAAAAAAAAAAEA&#10;IAAAACsBAABkcnMvZTJvRG9jLnhtbFBLBQYAAAAABgAGAFkBAACkBQAAAAA=&#10;">
                <v:fill on="f" focussize="0,0"/>
                <v:stroke color="#FFFF00" joinstyle="miter"/>
                <v:imagedata o:title=""/>
                <o:lock v:ext="edit" aspectratio="f"/>
              </v:rect>
            </w:pict>
          </mc:Fallback>
        </mc:AlternateContent>
      </w:r>
      <w:r>
        <w:rPr>
          <w:color w:val="000000" w:themeColor="text1"/>
          <w:sz w:val="20"/>
          <w14:textFill>
            <w14:solidFill>
              <w14:schemeClr w14:val="tx1"/>
            </w14:solidFill>
          </w14:textFill>
        </w:rPr>
        <mc:AlternateContent>
          <mc:Choice Requires="wps">
            <w:drawing>
              <wp:anchor distT="0" distB="0" distL="114300" distR="114300" simplePos="0" relativeHeight="251825152" behindDoc="0" locked="0" layoutInCell="1" allowOverlap="1">
                <wp:simplePos x="0" y="0"/>
                <wp:positionH relativeFrom="column">
                  <wp:posOffset>4193540</wp:posOffset>
                </wp:positionH>
                <wp:positionV relativeFrom="paragraph">
                  <wp:posOffset>1333500</wp:posOffset>
                </wp:positionV>
                <wp:extent cx="1060450" cy="377825"/>
                <wp:effectExtent l="0" t="0" r="0" b="0"/>
                <wp:wrapNone/>
                <wp:docPr id="263" name="文本框 13968"/>
                <wp:cNvGraphicFramePr/>
                <a:graphic xmlns:a="http://schemas.openxmlformats.org/drawingml/2006/main">
                  <a:graphicData uri="http://schemas.microsoft.com/office/word/2010/wordprocessingShape">
                    <wps:wsp>
                      <wps:cNvSpPr txBox="1"/>
                      <wps:spPr>
                        <a:xfrm>
                          <a:off x="0" y="0"/>
                          <a:ext cx="1060450" cy="377825"/>
                        </a:xfrm>
                        <a:prstGeom prst="rect">
                          <a:avLst/>
                        </a:prstGeom>
                        <a:noFill/>
                        <a:ln>
                          <a:noFill/>
                        </a:ln>
                      </wps:spPr>
                      <wps:txbx>
                        <w:txbxContent>
                          <w:p w14:paraId="01193E19">
                            <w:pPr>
                              <w:rPr>
                                <w:rFonts w:hint="eastAsia" w:eastAsia="宋体"/>
                                <w:color w:val="FF0000"/>
                                <w:sz w:val="24"/>
                                <w:szCs w:val="24"/>
                                <w:lang w:val="en-US" w:eastAsia="zh-CN"/>
                              </w:rPr>
                            </w:pPr>
                            <w:r>
                              <w:rPr>
                                <w:rFonts w:hint="eastAsia"/>
                                <w:color w:val="FF0000"/>
                                <w:sz w:val="24"/>
                                <w:szCs w:val="24"/>
                                <w:lang w:val="en-US" w:eastAsia="zh-CN"/>
                              </w:rPr>
                              <w:t>项目所在地</w:t>
                            </w:r>
                          </w:p>
                        </w:txbxContent>
                      </wps:txbx>
                      <wps:bodyPr upright="1"/>
                    </wps:wsp>
                  </a:graphicData>
                </a:graphic>
              </wp:anchor>
            </w:drawing>
          </mc:Choice>
          <mc:Fallback>
            <w:pict>
              <v:shape id="文本框 13968" o:spid="_x0000_s1026" o:spt="202" type="#_x0000_t202" style="position:absolute;left:0pt;margin-left:330.2pt;margin-top:105pt;height:29.75pt;width:83.5pt;z-index:251825152;mso-width-relative:page;mso-height-relative:page;" filled="f" stroked="f" coordsize="21600,21600" o:gfxdata="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GTI&#10;AyXXAAAACwEAAA8AAAAAAAAAAQAgAAAAIgAAAGRycy9kb3ducmV2LnhtbFBLAQIUABQAAAAIAIdO&#10;4kDPo3cPsgEAAFQDAAAOAAAAAAAAAAEAIAAAACYBAABkcnMvZTJvRG9jLnhtbFBLBQYAAAAABgAG&#10;AFkBAABKBQAAAAA=&#10;">
                <v:fill on="f" focussize="0,0"/>
                <v:stroke on="f"/>
                <v:imagedata o:title=""/>
                <o:lock v:ext="edit" aspectratio="f"/>
                <v:textbox>
                  <w:txbxContent>
                    <w:p w14:paraId="01193E19">
                      <w:pPr>
                        <w:rPr>
                          <w:rFonts w:hint="eastAsia" w:eastAsia="宋体"/>
                          <w:color w:val="FF0000"/>
                          <w:sz w:val="24"/>
                          <w:szCs w:val="24"/>
                          <w:lang w:val="en-US" w:eastAsia="zh-CN"/>
                        </w:rPr>
                      </w:pPr>
                      <w:r>
                        <w:rPr>
                          <w:rFonts w:hint="eastAsia"/>
                          <w:color w:val="FF0000"/>
                          <w:sz w:val="24"/>
                          <w:szCs w:val="24"/>
                          <w:lang w:val="en-US" w:eastAsia="zh-CN"/>
                        </w:rPr>
                        <w:t>项目所在地</w:t>
                      </w:r>
                    </w:p>
                  </w:txbxContent>
                </v:textbox>
              </v:shape>
            </w:pict>
          </mc:Fallback>
        </mc:AlternateContent>
      </w: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823104" behindDoc="0" locked="0" layoutInCell="1" allowOverlap="1">
            <wp:simplePos x="0" y="0"/>
            <wp:positionH relativeFrom="column">
              <wp:posOffset>7484110</wp:posOffset>
            </wp:positionH>
            <wp:positionV relativeFrom="paragraph">
              <wp:posOffset>55880</wp:posOffset>
            </wp:positionV>
            <wp:extent cx="734060" cy="782320"/>
            <wp:effectExtent l="19050" t="19050" r="27940" b="36830"/>
            <wp:wrapNone/>
            <wp:docPr id="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0"/>
                    <pic:cNvPicPr>
                      <a:picLocks noChangeAspect="1" noChangeArrowheads="1"/>
                    </pic:cNvPicPr>
                  </pic:nvPicPr>
                  <pic:blipFill>
                    <a:blip r:embed="rId32" cstate="print"/>
                    <a:srcRect/>
                    <a:stretch>
                      <a:fillRect/>
                    </a:stretch>
                  </pic:blipFill>
                  <pic:spPr>
                    <a:xfrm>
                      <a:off x="0" y="0"/>
                      <a:ext cx="734060" cy="782320"/>
                    </a:xfrm>
                    <a:prstGeom prst="rect">
                      <a:avLst/>
                    </a:prstGeom>
                    <a:noFill/>
                    <a:ln w="19050">
                      <a:solidFill>
                        <a:schemeClr val="tx1"/>
                      </a:solidFill>
                      <a:miter lim="800000"/>
                      <a:headEnd/>
                      <a:tailEnd/>
                    </a:ln>
                  </pic:spPr>
                </pic:pic>
              </a:graphicData>
            </a:graphic>
          </wp:anchor>
        </w:drawing>
      </w:r>
      <w:r>
        <w:rPr>
          <w:rFonts w:hint="default" w:ascii="Times New Roman" w:hAnsi="Times New Roman" w:eastAsia="黑体" w:cs="Times New Roman"/>
          <w:color w:val="000000" w:themeColor="text1"/>
          <w:sz w:val="24"/>
          <w14:textFill>
            <w14:solidFill>
              <w14:schemeClr w14:val="tx1"/>
            </w14:solidFill>
          </w14:textFill>
        </w:rPr>
        <w:drawing>
          <wp:inline distT="0" distB="0" distL="114300" distR="114300">
            <wp:extent cx="7626350" cy="5262245"/>
            <wp:effectExtent l="0" t="0" r="12700" b="14605"/>
            <wp:docPr id="4" name="图片 4" descr="微信图片_20260108101138_4831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60108101138_4831_31"/>
                    <pic:cNvPicPr>
                      <a:picLocks noChangeAspect="1"/>
                    </pic:cNvPicPr>
                  </pic:nvPicPr>
                  <pic:blipFill>
                    <a:blip r:embed="rId34"/>
                    <a:stretch>
                      <a:fillRect/>
                    </a:stretch>
                  </pic:blipFill>
                  <pic:spPr>
                    <a:xfrm>
                      <a:off x="0" y="0"/>
                      <a:ext cx="7626350" cy="5262245"/>
                    </a:xfrm>
                    <a:prstGeom prst="rect">
                      <a:avLst/>
                    </a:prstGeom>
                  </pic:spPr>
                </pic:pic>
              </a:graphicData>
            </a:graphic>
          </wp:inline>
        </w:drawing>
      </w:r>
    </w:p>
    <w:p w14:paraId="768527EB">
      <w:pPr>
        <w:jc w:val="center"/>
        <w:rPr>
          <w:rFonts w:hint="default" w:ascii="Times New Roman" w:hAnsi="Times New Roman" w:eastAsia="黑体" w:cs="Times New Roman"/>
          <w:color w:val="000000" w:themeColor="text1"/>
          <w:sz w:val="24"/>
          <w14:textFill>
            <w14:solidFill>
              <w14:schemeClr w14:val="tx1"/>
            </w14:solidFill>
          </w14:textFill>
        </w:rPr>
      </w:pPr>
      <w:r>
        <w:rPr>
          <w:rFonts w:hint="eastAsia" w:ascii="Times New Roman" w:hAnsi="Times New Roman" w:eastAsia="黑体" w:cs="Times New Roman"/>
          <w:color w:val="000000" w:themeColor="text1"/>
          <w:sz w:val="24"/>
          <w:szCs w:val="24"/>
          <w:lang w:eastAsia="zh-CN"/>
          <w14:textFill>
            <w14:solidFill>
              <w14:schemeClr w14:val="tx1"/>
            </w14:solidFill>
          </w14:textFill>
        </w:rPr>
        <w:t>图3.1-</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1</w:t>
      </w:r>
      <w:r>
        <w:rPr>
          <w:rFonts w:hint="eastAsia" w:ascii="Times New Roman" w:hAnsi="Times New Roman" w:eastAsia="黑体" w:cs="Times New Roman"/>
          <w:color w:val="000000" w:themeColor="text1"/>
          <w:sz w:val="24"/>
          <w:szCs w:val="24"/>
          <w:lang w:eastAsia="zh-CN"/>
          <w14:textFill>
            <w14:solidFill>
              <w14:schemeClr w14:val="tx1"/>
            </w14:solidFill>
          </w14:textFill>
        </w:rPr>
        <w:t>建设项目周围四至关系图</w:t>
      </w:r>
    </w:p>
    <w:p w14:paraId="476DA973">
      <w:pPr>
        <w:tabs>
          <w:tab w:val="left" w:pos="3261"/>
        </w:tabs>
        <w:spacing w:line="360" w:lineRule="auto"/>
        <w:jc w:val="center"/>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表3.1-1建设项目组成内容一览表</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845"/>
        <w:gridCol w:w="669"/>
        <w:gridCol w:w="1412"/>
        <w:gridCol w:w="1673"/>
        <w:gridCol w:w="890"/>
        <w:gridCol w:w="5583"/>
        <w:gridCol w:w="3102"/>
      </w:tblGrid>
      <w:tr w14:paraId="164351D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34" w:type="pct"/>
            <w:gridSpan w:val="2"/>
            <w:tcBorders>
              <w:tl2br w:val="nil"/>
              <w:tr2bl w:val="nil"/>
            </w:tcBorders>
            <w:vAlign w:val="center"/>
          </w:tcPr>
          <w:p w14:paraId="1FDFE096">
            <w:pPr>
              <w:widowControl/>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工程类别</w:t>
            </w:r>
          </w:p>
        </w:tc>
        <w:tc>
          <w:tcPr>
            <w:tcW w:w="1402" w:type="pct"/>
            <w:gridSpan w:val="3"/>
            <w:tcBorders>
              <w:tl2br w:val="nil"/>
              <w:tr2bl w:val="nil"/>
            </w:tcBorders>
            <w:vAlign w:val="center"/>
          </w:tcPr>
          <w:p w14:paraId="7D47673F">
            <w:pPr>
              <w:widowControl/>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工程名称</w:t>
            </w:r>
          </w:p>
        </w:tc>
        <w:tc>
          <w:tcPr>
            <w:tcW w:w="1969" w:type="pct"/>
            <w:tcBorders>
              <w:tl2br w:val="nil"/>
              <w:tr2bl w:val="nil"/>
            </w:tcBorders>
            <w:vAlign w:val="center"/>
          </w:tcPr>
          <w:p w14:paraId="77E8F073">
            <w:pPr>
              <w:widowControl/>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工程内容</w:t>
            </w:r>
          </w:p>
        </w:tc>
        <w:tc>
          <w:tcPr>
            <w:tcW w:w="1094" w:type="pct"/>
            <w:tcBorders>
              <w:tl2br w:val="nil"/>
              <w:tr2bl w:val="nil"/>
            </w:tcBorders>
            <w:vAlign w:val="center"/>
          </w:tcPr>
          <w:p w14:paraId="0AD655C9">
            <w:pPr>
              <w:widowControl/>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工程规模</w:t>
            </w:r>
          </w:p>
        </w:tc>
      </w:tr>
      <w:tr w14:paraId="3BD281D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34" w:type="pct"/>
            <w:gridSpan w:val="2"/>
            <w:vMerge w:val="restart"/>
            <w:tcBorders>
              <w:tl2br w:val="nil"/>
              <w:tr2bl w:val="nil"/>
            </w:tcBorders>
            <w:vAlign w:val="center"/>
          </w:tcPr>
          <w:p w14:paraId="797273EB">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主体工程</w:t>
            </w:r>
          </w:p>
        </w:tc>
        <w:tc>
          <w:tcPr>
            <w:tcW w:w="498" w:type="pct"/>
            <w:tcBorders>
              <w:tl2br w:val="nil"/>
              <w:tr2bl w:val="nil"/>
            </w:tcBorders>
            <w:vAlign w:val="center"/>
          </w:tcPr>
          <w:p w14:paraId="5A28652D">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1#厂房</w:t>
            </w:r>
          </w:p>
        </w:tc>
        <w:tc>
          <w:tcPr>
            <w:tcW w:w="904" w:type="pct"/>
            <w:gridSpan w:val="2"/>
            <w:tcBorders>
              <w:tl2br w:val="nil"/>
              <w:tr2bl w:val="nil"/>
            </w:tcBorders>
            <w:vAlign w:val="center"/>
          </w:tcPr>
          <w:p w14:paraId="6AB119BE">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面积5</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45</w:t>
            </w:r>
            <w:r>
              <w:rPr>
                <w:rFonts w:hint="default" w:ascii="Times New Roman" w:hAnsi="Times New Roman" w:cs="Times New Roman"/>
                <w:color w:val="000000" w:themeColor="text1"/>
                <w:sz w:val="21"/>
                <w:szCs w:val="21"/>
                <w14:textFill>
                  <w14:solidFill>
                    <w14:schemeClr w14:val="tx1"/>
                  </w14:solidFill>
                </w14:textFill>
              </w:rPr>
              <w:t>0m</w:t>
            </w:r>
            <w:r>
              <w:rPr>
                <w:rFonts w:hint="default" w:ascii="Times New Roman" w:hAnsi="Times New Roman" w:cs="Times New Roman"/>
                <w:color w:val="000000" w:themeColor="text1"/>
                <w:sz w:val="21"/>
                <w:szCs w:val="21"/>
                <w:vertAlign w:val="super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，1F，高12m</w:t>
            </w:r>
          </w:p>
        </w:tc>
        <w:tc>
          <w:tcPr>
            <w:tcW w:w="1969" w:type="pct"/>
            <w:tcBorders>
              <w:tl2br w:val="nil"/>
              <w:tr2bl w:val="nil"/>
            </w:tcBorders>
            <w:vAlign w:val="center"/>
          </w:tcPr>
          <w:p w14:paraId="71A64679">
            <w:pPr>
              <w:widowControl/>
              <w:spacing w:line="276" w:lineRule="auto"/>
              <w:jc w:val="left"/>
              <w:rPr>
                <w:rFonts w:hint="default"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新建</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3条</w:t>
            </w:r>
            <w:r>
              <w:rPr>
                <w:rFonts w:hint="default" w:ascii="Times New Roman" w:hAnsi="Times New Roman" w:cs="Times New Roman"/>
                <w:color w:val="000000" w:themeColor="text1"/>
                <w:sz w:val="21"/>
                <w:szCs w:val="21"/>
                <w:lang w:val="en-US" w:eastAsia="zh-CN"/>
                <w14:textFill>
                  <w14:solidFill>
                    <w14:schemeClr w14:val="tx1"/>
                  </w14:solidFill>
                </w14:textFill>
              </w:rPr>
              <w:t>PET瓶片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清洗分选生产线</w:t>
            </w:r>
            <w:r>
              <w:rPr>
                <w:rFonts w:hint="eastAsia" w:cs="Times New Roman"/>
                <w:color w:val="000000" w:themeColor="text1"/>
                <w:sz w:val="21"/>
                <w:szCs w:val="21"/>
                <w:lang w:val="en-US" w:eastAsia="zh-CN"/>
                <w14:textFill>
                  <w14:solidFill>
                    <w14:schemeClr w14:val="tx1"/>
                  </w14:solidFill>
                </w14:textFill>
              </w:rPr>
              <w:t>，主要设备为筛分机、脱标机、粉碎机等，位于1#厂房北侧；</w:t>
            </w:r>
          </w:p>
          <w:p w14:paraId="457D54D7">
            <w:pPr>
              <w:widowControl/>
              <w:spacing w:line="276" w:lineRule="auto"/>
              <w:jc w:val="left"/>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新建</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2条改性造粒生产线</w:t>
            </w:r>
            <w:r>
              <w:rPr>
                <w:rFonts w:hint="eastAsia"/>
                <w:color w:val="000000" w:themeColor="text1"/>
                <w:lang w:eastAsia="zh-CN"/>
                <w14:textFill>
                  <w14:solidFill>
                    <w14:schemeClr w14:val="tx1"/>
                  </w14:solidFill>
                </w14:textFill>
              </w:rPr>
              <w:t>，主要为设备为高速</w:t>
            </w:r>
            <w:r>
              <w:rPr>
                <w:rFonts w:hint="eastAsia"/>
                <w:color w:val="000000" w:themeColor="text1"/>
                <w:lang w:val="en-US" w:eastAsia="zh-CN"/>
                <w14:textFill>
                  <w14:solidFill>
                    <w14:schemeClr w14:val="tx1"/>
                  </w14:solidFill>
                </w14:textFill>
              </w:rPr>
              <w:t>PET造粒设备，位于1#厂房东北侧</w:t>
            </w:r>
            <w:r>
              <w:rPr>
                <w:rFonts w:hint="eastAsia" w:cs="Times New Roman"/>
                <w:color w:val="000000" w:themeColor="text1"/>
                <w:sz w:val="21"/>
                <w:szCs w:val="21"/>
                <w:lang w:val="en-US" w:eastAsia="zh-CN"/>
                <w14:textFill>
                  <w14:solidFill>
                    <w14:schemeClr w14:val="tx1"/>
                  </w14:solidFill>
                </w14:textFill>
              </w:rPr>
              <w:t>；</w:t>
            </w:r>
          </w:p>
        </w:tc>
        <w:tc>
          <w:tcPr>
            <w:tcW w:w="1094" w:type="pct"/>
            <w:vMerge w:val="restart"/>
            <w:tcBorders>
              <w:tl2br w:val="nil"/>
              <w:tr2bl w:val="nil"/>
            </w:tcBorders>
            <w:vAlign w:val="center"/>
          </w:tcPr>
          <w:p w14:paraId="6A0A74E2">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年产瓶片6.3万吨、标签纸0.7万吨、瓶盖0.7万吨、瓶沫0.3万吨、改性塑料粒子2万吨</w:t>
            </w:r>
          </w:p>
        </w:tc>
      </w:tr>
      <w:tr w14:paraId="42EDC0A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34" w:type="pct"/>
            <w:gridSpan w:val="2"/>
            <w:vMerge w:val="continue"/>
            <w:tcBorders>
              <w:tl2br w:val="nil"/>
              <w:tr2bl w:val="nil"/>
            </w:tcBorders>
            <w:vAlign w:val="center"/>
          </w:tcPr>
          <w:p w14:paraId="1653482E">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p>
        </w:tc>
        <w:tc>
          <w:tcPr>
            <w:tcW w:w="498" w:type="pct"/>
            <w:tcBorders>
              <w:tl2br w:val="nil"/>
              <w:tr2bl w:val="nil"/>
            </w:tcBorders>
            <w:vAlign w:val="center"/>
          </w:tcPr>
          <w:p w14:paraId="65B0E48C">
            <w:pPr>
              <w:spacing w:line="276" w:lineRule="auto"/>
              <w:ind w:left="14" w:leftChars="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2#厂房</w:t>
            </w:r>
          </w:p>
        </w:tc>
        <w:tc>
          <w:tcPr>
            <w:tcW w:w="904" w:type="pct"/>
            <w:gridSpan w:val="2"/>
            <w:tcBorders>
              <w:tl2br w:val="nil"/>
              <w:tr2bl w:val="nil"/>
            </w:tcBorders>
            <w:vAlign w:val="center"/>
          </w:tcPr>
          <w:p w14:paraId="331B1F1B">
            <w:pPr>
              <w:spacing w:line="276" w:lineRule="auto"/>
              <w:ind w:left="14" w:leftChars="7"/>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面积</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4150</w:t>
            </w: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，1F，高12m</w:t>
            </w:r>
          </w:p>
        </w:tc>
        <w:tc>
          <w:tcPr>
            <w:tcW w:w="1969" w:type="pct"/>
            <w:tcBorders>
              <w:tl2br w:val="nil"/>
              <w:tr2bl w:val="nil"/>
            </w:tcBorders>
            <w:vAlign w:val="center"/>
          </w:tcPr>
          <w:p w14:paraId="0D42B240">
            <w:pPr>
              <w:widowControl/>
              <w:spacing w:line="276" w:lineRule="auto"/>
              <w:jc w:val="left"/>
              <w:rPr>
                <w:rFonts w:hint="eastAsia"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新建</w:t>
            </w:r>
            <w:r>
              <w:rPr>
                <w:rFonts w:hint="default" w:ascii="Times New Roman" w:hAnsi="Times New Roman"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条</w:t>
            </w:r>
            <w:r>
              <w:rPr>
                <w:rFonts w:hint="eastAsia" w:cs="Times New Roman"/>
                <w:color w:val="000000" w:themeColor="text1"/>
                <w:sz w:val="21"/>
                <w:szCs w:val="21"/>
                <w:lang w:val="en-US" w:eastAsia="zh-CN"/>
                <w14:textFill>
                  <w14:solidFill>
                    <w14:schemeClr w14:val="tx1"/>
                  </w14:solidFill>
                </w14:textFill>
              </w:rPr>
              <w:t>废</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标签纸</w:t>
            </w:r>
            <w:r>
              <w:rPr>
                <w:rFonts w:hint="default" w:ascii="Times New Roman" w:hAnsi="Times New Roman" w:cs="Times New Roman"/>
                <w:color w:val="000000" w:themeColor="text1"/>
                <w:sz w:val="21"/>
                <w:szCs w:val="21"/>
                <w:lang w:val="en-US" w:eastAsia="zh-CN"/>
                <w14:textFill>
                  <w14:solidFill>
                    <w14:schemeClr w14:val="tx1"/>
                  </w14:solidFill>
                </w14:textFill>
              </w:rPr>
              <w:t>生产</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线，</w:t>
            </w:r>
            <w:r>
              <w:rPr>
                <w:rFonts w:hint="eastAsia" w:eastAsia="宋体" w:cs="Times New Roman"/>
                <w:color w:val="000000" w:themeColor="text1"/>
                <w:sz w:val="21"/>
                <w:szCs w:val="21"/>
                <w:lang w:val="en-US" w:eastAsia="zh-CN"/>
                <w14:textFill>
                  <w14:solidFill>
                    <w14:schemeClr w14:val="tx1"/>
                  </w14:solidFill>
                </w14:textFill>
              </w:rPr>
              <w:t>主要设备为、破碎机、摩擦清洗机、清洗水槽、甩干机、挤干机、团粒机、磨粉机等，位于2#厂房北侧；</w:t>
            </w:r>
          </w:p>
          <w:p w14:paraId="18566446">
            <w:pPr>
              <w:widowControl/>
              <w:spacing w:line="276" w:lineRule="auto"/>
              <w:jc w:val="left"/>
              <w:rPr>
                <w:rFonts w:hint="eastAsia" w:eastAsia="宋体" w:cs="Times New Roman"/>
                <w:color w:val="000000" w:themeColor="text1"/>
                <w:sz w:val="21"/>
                <w:szCs w:val="21"/>
                <w:lang w:val="en-US" w:eastAsia="zh-CN"/>
                <w14:textFill>
                  <w14:solidFill>
                    <w14:schemeClr w14:val="tx1"/>
                  </w14:solidFill>
                </w14:textFill>
              </w:rPr>
            </w:pPr>
            <w:r>
              <w:rPr>
                <w:rFonts w:hint="eastAsia" w:eastAsia="宋体" w:cs="Times New Roman"/>
                <w:color w:val="000000" w:themeColor="text1"/>
                <w:sz w:val="21"/>
                <w:szCs w:val="21"/>
                <w:lang w:val="en-US" w:eastAsia="zh-CN"/>
                <w14:textFill>
                  <w14:solidFill>
                    <w14:schemeClr w14:val="tx1"/>
                  </w14:solidFill>
                </w14:textFill>
              </w:rPr>
              <w:t>新建</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1条</w:t>
            </w:r>
            <w:r>
              <w:rPr>
                <w:rFonts w:hint="eastAsia" w:cs="Times New Roman"/>
                <w:color w:val="000000" w:themeColor="text1"/>
                <w:sz w:val="21"/>
                <w:szCs w:val="21"/>
                <w:lang w:val="en-US" w:eastAsia="zh-CN"/>
                <w14:textFill>
                  <w14:solidFill>
                    <w14:schemeClr w14:val="tx1"/>
                  </w14:solidFill>
                </w14:textFill>
              </w:rPr>
              <w:t>废</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瓶盖生产线</w:t>
            </w:r>
            <w:r>
              <w:rPr>
                <w:rFonts w:hint="eastAsia" w:eastAsia="宋体" w:cs="Times New Roman"/>
                <w:color w:val="000000" w:themeColor="text1"/>
                <w:sz w:val="21"/>
                <w:szCs w:val="21"/>
                <w:lang w:val="en-US" w:eastAsia="zh-CN"/>
                <w14:textFill>
                  <w14:solidFill>
                    <w14:schemeClr w14:val="tx1"/>
                  </w14:solidFill>
                </w14:textFill>
              </w:rPr>
              <w:t>，主要设备为浮选槽、脱水机、四吸风选机等</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r>
              <w:rPr>
                <w:rFonts w:hint="eastAsia" w:eastAsia="宋体" w:cs="Times New Roman"/>
                <w:color w:val="000000" w:themeColor="text1"/>
                <w:sz w:val="21"/>
                <w:szCs w:val="21"/>
                <w:lang w:val="en-US" w:eastAsia="zh-CN"/>
                <w14:textFill>
                  <w14:solidFill>
                    <w14:schemeClr w14:val="tx1"/>
                  </w14:solidFill>
                </w14:textFill>
              </w:rPr>
              <w:t>位于2#厂房北侧；</w:t>
            </w:r>
          </w:p>
          <w:p w14:paraId="5C3618E1">
            <w:pPr>
              <w:spacing w:line="276" w:lineRule="auto"/>
              <w:jc w:val="left"/>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新建</w:t>
            </w:r>
            <w:r>
              <w:rPr>
                <w:rFonts w:hint="default" w:ascii="Times New Roman" w:hAnsi="Times New Roman" w:cs="Times New Roman"/>
                <w:color w:val="000000" w:themeColor="text1"/>
                <w:sz w:val="21"/>
                <w:szCs w:val="21"/>
                <w:lang w:val="en-US" w:eastAsia="zh-CN"/>
                <w14:textFill>
                  <w14:solidFill>
                    <w14:schemeClr w14:val="tx1"/>
                  </w14:solidFill>
                </w14:textFill>
              </w:rPr>
              <w:t>1条</w:t>
            </w:r>
            <w:r>
              <w:rPr>
                <w:rFonts w:hint="eastAsia" w:cs="Times New Roman"/>
                <w:color w:val="000000" w:themeColor="text1"/>
                <w:sz w:val="21"/>
                <w:szCs w:val="21"/>
                <w:lang w:val="en-US" w:eastAsia="zh-CN"/>
                <w14:textFill>
                  <w14:solidFill>
                    <w14:schemeClr w14:val="tx1"/>
                  </w14:solidFill>
                </w14:textFill>
              </w:rPr>
              <w:t>废</w:t>
            </w:r>
            <w:r>
              <w:rPr>
                <w:rFonts w:hint="default" w:ascii="Times New Roman" w:hAnsi="Times New Roman" w:cs="Times New Roman"/>
                <w:color w:val="000000" w:themeColor="text1"/>
                <w:sz w:val="21"/>
                <w:szCs w:val="21"/>
                <w:lang w:val="en-US" w:eastAsia="zh-CN"/>
                <w14:textFill>
                  <w14:solidFill>
                    <w14:schemeClr w14:val="tx1"/>
                  </w14:solidFill>
                </w14:textFill>
              </w:rPr>
              <w:t>瓶盖清洗线，</w:t>
            </w:r>
            <w:r>
              <w:rPr>
                <w:rFonts w:hint="eastAsia" w:eastAsia="宋体" w:cs="Times New Roman"/>
                <w:color w:val="000000" w:themeColor="text1"/>
                <w:sz w:val="21"/>
                <w:szCs w:val="21"/>
                <w:lang w:val="en-US" w:eastAsia="zh-CN"/>
                <w14:textFill>
                  <w14:solidFill>
                    <w14:schemeClr w14:val="tx1"/>
                  </w14:solidFill>
                </w14:textFill>
              </w:rPr>
              <w:t>主要设备为蒸锅、圆筒转沙池、清洗水槽、去沙池、甩干机、烘干机等</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r>
              <w:rPr>
                <w:rFonts w:hint="eastAsia" w:eastAsia="宋体" w:cs="Times New Roman"/>
                <w:color w:val="000000" w:themeColor="text1"/>
                <w:sz w:val="21"/>
                <w:szCs w:val="21"/>
                <w:lang w:val="en-US" w:eastAsia="zh-CN"/>
                <w14:textFill>
                  <w14:solidFill>
                    <w14:schemeClr w14:val="tx1"/>
                  </w14:solidFill>
                </w14:textFill>
              </w:rPr>
              <w:t>位于2#厂房北侧；</w:t>
            </w:r>
          </w:p>
          <w:p w14:paraId="5C0BE652">
            <w:pPr>
              <w:spacing w:line="276" w:lineRule="auto"/>
              <w:jc w:val="left"/>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eastAsia="宋体" w:cs="Times New Roman"/>
                <w:color w:val="000000" w:themeColor="text1"/>
                <w:sz w:val="21"/>
                <w:szCs w:val="21"/>
                <w:lang w:val="en-US" w:eastAsia="zh-CN"/>
                <w14:textFill>
                  <w14:solidFill>
                    <w14:schemeClr w14:val="tx1"/>
                  </w14:solidFill>
                </w14:textFill>
              </w:rPr>
              <w:t>新建</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3条</w:t>
            </w:r>
            <w:r>
              <w:rPr>
                <w:rFonts w:hint="default" w:ascii="Times New Roman" w:hAnsi="Times New Roman" w:cs="Times New Roman"/>
                <w:color w:val="000000" w:themeColor="text1"/>
                <w:sz w:val="21"/>
                <w:szCs w:val="21"/>
                <w:lang w:val="en-US" w:eastAsia="zh-CN"/>
                <w14:textFill>
                  <w14:solidFill>
                    <w14:schemeClr w14:val="tx1"/>
                  </w14:solidFill>
                </w14:textFill>
              </w:rPr>
              <w:t>PET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瓶片破碎分选线</w:t>
            </w:r>
            <w:r>
              <w:rPr>
                <w:rFonts w:hint="eastAsia" w:eastAsia="宋体" w:cs="Times New Roman"/>
                <w:color w:val="000000" w:themeColor="text1"/>
                <w:sz w:val="21"/>
                <w:szCs w:val="21"/>
                <w:lang w:val="en-US" w:eastAsia="zh-CN"/>
                <w14:textFill>
                  <w14:solidFill>
                    <w14:schemeClr w14:val="tx1"/>
                  </w14:solidFill>
                </w14:textFill>
              </w:rPr>
              <w:t>，主要设备为</w:t>
            </w:r>
            <w:r>
              <w:rPr>
                <w:rFonts w:hint="eastAsia" w:cs="Times New Roman"/>
                <w:color w:val="000000" w:themeColor="text1"/>
                <w:sz w:val="21"/>
                <w:szCs w:val="21"/>
                <w:lang w:val="en-US" w:eastAsia="zh-CN"/>
                <w14:textFill>
                  <w14:solidFill>
                    <w14:schemeClr w14:val="tx1"/>
                  </w14:solidFill>
                </w14:textFill>
              </w:rPr>
              <w:t>浸泡桶、浮洗槽、脱水机、高温清洗筒、涡电流分选一体机、材质分选机、色选机等，位于2#厂房南侧</w:t>
            </w:r>
          </w:p>
        </w:tc>
        <w:tc>
          <w:tcPr>
            <w:tcW w:w="1094" w:type="pct"/>
            <w:vMerge w:val="continue"/>
            <w:tcBorders>
              <w:tl2br w:val="nil"/>
              <w:tr2bl w:val="nil"/>
            </w:tcBorders>
            <w:vAlign w:val="center"/>
          </w:tcPr>
          <w:p w14:paraId="59A6AD7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403049C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34" w:type="pct"/>
            <w:gridSpan w:val="2"/>
            <w:tcBorders>
              <w:tl2br w:val="nil"/>
              <w:tr2bl w:val="nil"/>
            </w:tcBorders>
            <w:vAlign w:val="center"/>
          </w:tcPr>
          <w:p w14:paraId="19DE310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辅助工程</w:t>
            </w:r>
          </w:p>
        </w:tc>
        <w:tc>
          <w:tcPr>
            <w:tcW w:w="1402" w:type="pct"/>
            <w:gridSpan w:val="3"/>
            <w:tcBorders>
              <w:tl2br w:val="nil"/>
              <w:tr2bl w:val="nil"/>
            </w:tcBorders>
            <w:vAlign w:val="center"/>
          </w:tcPr>
          <w:p w14:paraId="374B3B05">
            <w:pPr>
              <w:spacing w:line="276" w:lineRule="auto"/>
              <w:ind w:left="14" w:leftChars="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综合楼</w:t>
            </w:r>
          </w:p>
        </w:tc>
        <w:tc>
          <w:tcPr>
            <w:tcW w:w="1969" w:type="pct"/>
            <w:tcBorders>
              <w:tl2br w:val="nil"/>
              <w:tr2bl w:val="nil"/>
            </w:tcBorders>
            <w:vAlign w:val="center"/>
          </w:tcPr>
          <w:p w14:paraId="4F602FC6">
            <w:pPr>
              <w:autoSpaceDE w:val="0"/>
              <w:autoSpaceDN w:val="0"/>
              <w:adjustRightInd w:val="0"/>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共</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层，高1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w:t>
            </w:r>
            <w:r>
              <w:rPr>
                <w:rFonts w:hint="default" w:ascii="Times New Roman" w:hAnsi="Times New Roman" w:cs="Times New Roman"/>
                <w:color w:val="000000" w:themeColor="text1"/>
                <w:sz w:val="21"/>
                <w:szCs w:val="21"/>
                <w14:textFill>
                  <w14:solidFill>
                    <w14:schemeClr w14:val="tx1"/>
                  </w14:solidFill>
                </w14:textFill>
              </w:rPr>
              <w:t>m，位于厂区东</w:t>
            </w:r>
            <w:r>
              <w:rPr>
                <w:rFonts w:hint="default" w:ascii="Times New Roman" w:hAnsi="Times New Roman" w:eastAsia="宋体" w:cs="Times New Roman"/>
                <w:color w:val="000000" w:themeColor="text1"/>
                <w:sz w:val="21"/>
                <w:szCs w:val="21"/>
                <w:lang w:eastAsia="zh-CN"/>
                <w14:textFill>
                  <w14:solidFill>
                    <w14:schemeClr w14:val="tx1"/>
                  </w14:solidFill>
                </w14:textFill>
              </w:rPr>
              <w:t>北</w:t>
            </w:r>
            <w:r>
              <w:rPr>
                <w:rFonts w:hint="default" w:ascii="Times New Roman" w:hAnsi="Times New Roman" w:cs="Times New Roman"/>
                <w:color w:val="000000" w:themeColor="text1"/>
                <w:sz w:val="21"/>
                <w:szCs w:val="21"/>
                <w14:textFill>
                  <w14:solidFill>
                    <w14:schemeClr w14:val="tx1"/>
                  </w14:solidFill>
                </w14:textFill>
              </w:rPr>
              <w:t>部，主要用于员工办公</w:t>
            </w:r>
          </w:p>
        </w:tc>
        <w:tc>
          <w:tcPr>
            <w:tcW w:w="1094" w:type="pct"/>
            <w:tcBorders>
              <w:tl2br w:val="nil"/>
              <w:tr2bl w:val="nil"/>
            </w:tcBorders>
            <w:vAlign w:val="center"/>
          </w:tcPr>
          <w:p w14:paraId="638A861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建筑面积1836m</w:t>
            </w:r>
            <w:r>
              <w:rPr>
                <w:rFonts w:hint="default" w:ascii="Times New Roman" w:hAnsi="Times New Roman" w:cs="Times New Roman"/>
                <w:color w:val="000000" w:themeColor="text1"/>
                <w:sz w:val="21"/>
                <w:szCs w:val="21"/>
                <w:vertAlign w:val="superscript"/>
                <w14:textFill>
                  <w14:solidFill>
                    <w14:schemeClr w14:val="tx1"/>
                  </w14:solidFill>
                </w14:textFill>
              </w:rPr>
              <w:t>2</w:t>
            </w:r>
          </w:p>
        </w:tc>
      </w:tr>
      <w:tr w14:paraId="014CD0A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34" w:type="pct"/>
            <w:gridSpan w:val="2"/>
            <w:vMerge w:val="restart"/>
            <w:tcBorders>
              <w:tl2br w:val="nil"/>
              <w:tr2bl w:val="nil"/>
            </w:tcBorders>
            <w:vAlign w:val="center"/>
          </w:tcPr>
          <w:p w14:paraId="0C57FF8C">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储运工程</w:t>
            </w:r>
          </w:p>
        </w:tc>
        <w:tc>
          <w:tcPr>
            <w:tcW w:w="1402" w:type="pct"/>
            <w:gridSpan w:val="3"/>
            <w:tcBorders>
              <w:tl2br w:val="nil"/>
              <w:tr2bl w:val="nil"/>
            </w:tcBorders>
            <w:vAlign w:val="center"/>
          </w:tcPr>
          <w:p w14:paraId="59FDD373">
            <w:pPr>
              <w:spacing w:line="276" w:lineRule="auto"/>
              <w:ind w:left="14" w:leftChars="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原料仓库</w:t>
            </w:r>
          </w:p>
        </w:tc>
        <w:tc>
          <w:tcPr>
            <w:tcW w:w="1969" w:type="pct"/>
            <w:tcBorders>
              <w:tl2br w:val="nil"/>
              <w:tr2bl w:val="nil"/>
            </w:tcBorders>
            <w:vAlign w:val="center"/>
          </w:tcPr>
          <w:p w14:paraId="0F159A4B">
            <w:pPr>
              <w:spacing w:line="276" w:lineRule="auto"/>
              <w:ind w:left="14" w:leftChars="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位于</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#厂房</w:t>
            </w:r>
            <w:r>
              <w:rPr>
                <w:rFonts w:hint="default" w:ascii="Times New Roman" w:hAnsi="Times New Roman" w:eastAsia="宋体" w:cs="Times New Roman"/>
                <w:color w:val="000000" w:themeColor="text1"/>
                <w:sz w:val="21"/>
                <w:szCs w:val="21"/>
                <w:lang w:eastAsia="zh-CN"/>
                <w14:textFill>
                  <w14:solidFill>
                    <w14:schemeClr w14:val="tx1"/>
                  </w14:solidFill>
                </w14:textFill>
              </w:rPr>
              <w:t>东北部</w:t>
            </w:r>
            <w:r>
              <w:rPr>
                <w:rFonts w:hint="eastAsia" w:cs="Times New Roman"/>
                <w:color w:val="000000" w:themeColor="text1"/>
                <w:sz w:val="21"/>
                <w:szCs w:val="21"/>
                <w:lang w:eastAsia="zh-CN"/>
                <w14:textFill>
                  <w14:solidFill>
                    <w14:schemeClr w14:val="tx1"/>
                  </w14:solidFill>
                </w14:textFill>
              </w:rPr>
              <w:t>，面积</w:t>
            </w:r>
            <w:r>
              <w:rPr>
                <w:rFonts w:hint="eastAsia" w:cs="Times New Roman"/>
                <w:color w:val="000000" w:themeColor="text1"/>
                <w:sz w:val="21"/>
                <w:szCs w:val="21"/>
                <w:lang w:val="en-US" w:eastAsia="zh-CN"/>
                <w14:textFill>
                  <w14:solidFill>
                    <w14:schemeClr w14:val="tx1"/>
                  </w14:solidFill>
                </w14:textFill>
              </w:rPr>
              <w:t>1400m</w:t>
            </w:r>
            <w:r>
              <w:rPr>
                <w:rFonts w:hint="eastAsia" w:cs="Times New Roman"/>
                <w:color w:val="000000" w:themeColor="text1"/>
                <w:sz w:val="21"/>
                <w:szCs w:val="21"/>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，主要用于原料</w:t>
            </w:r>
            <w:r>
              <w:rPr>
                <w:rFonts w:hint="eastAsia" w:cs="Times New Roman"/>
                <w:color w:val="000000" w:themeColor="text1"/>
                <w:sz w:val="21"/>
                <w:szCs w:val="21"/>
                <w:lang w:eastAsia="zh-CN"/>
                <w14:textFill>
                  <w14:solidFill>
                    <w14:schemeClr w14:val="tx1"/>
                  </w14:solidFill>
                </w14:textFill>
              </w:rPr>
              <w:t>瓶砖</w:t>
            </w:r>
            <w:r>
              <w:rPr>
                <w:rFonts w:hint="default" w:ascii="Times New Roman" w:hAnsi="Times New Roman" w:cs="Times New Roman"/>
                <w:color w:val="000000" w:themeColor="text1"/>
                <w:sz w:val="21"/>
                <w:szCs w:val="21"/>
                <w14:textFill>
                  <w14:solidFill>
                    <w14:schemeClr w14:val="tx1"/>
                  </w14:solidFill>
                </w14:textFill>
              </w:rPr>
              <w:t>的暂存</w:t>
            </w:r>
          </w:p>
        </w:tc>
        <w:tc>
          <w:tcPr>
            <w:tcW w:w="1094" w:type="pct"/>
            <w:tcBorders>
              <w:tl2br w:val="nil"/>
              <w:tr2bl w:val="nil"/>
            </w:tcBorders>
            <w:vAlign w:val="center"/>
          </w:tcPr>
          <w:p w14:paraId="2D9334E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建筑面积</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w:t>
            </w:r>
            <w:r>
              <w:rPr>
                <w:rFonts w:hint="default" w:ascii="Times New Roman" w:hAnsi="Times New Roman" w:cs="Times New Roman"/>
                <w:color w:val="000000" w:themeColor="text1"/>
                <w:sz w:val="21"/>
                <w:szCs w:val="21"/>
                <w14:textFill>
                  <w14:solidFill>
                    <w14:schemeClr w14:val="tx1"/>
                  </w14:solidFill>
                </w14:textFill>
              </w:rPr>
              <w:t>00m</w:t>
            </w:r>
            <w:r>
              <w:rPr>
                <w:rFonts w:hint="default" w:ascii="Times New Roman" w:hAnsi="Times New Roman" w:cs="Times New Roman"/>
                <w:color w:val="000000" w:themeColor="text1"/>
                <w:sz w:val="21"/>
                <w:szCs w:val="21"/>
                <w:vertAlign w:val="super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，储存规模</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w:t>
            </w:r>
            <w:r>
              <w:rPr>
                <w:rFonts w:hint="default" w:ascii="Times New Roman" w:hAnsi="Times New Roman" w:cs="Times New Roman"/>
                <w:color w:val="000000" w:themeColor="text1"/>
                <w:sz w:val="21"/>
                <w:szCs w:val="21"/>
                <w14:textFill>
                  <w14:solidFill>
                    <w14:schemeClr w14:val="tx1"/>
                  </w14:solidFill>
                </w14:textFill>
              </w:rPr>
              <w:t>00t</w:t>
            </w:r>
          </w:p>
        </w:tc>
      </w:tr>
      <w:tr w14:paraId="6858073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34" w:type="pct"/>
            <w:gridSpan w:val="2"/>
            <w:vMerge w:val="continue"/>
            <w:tcBorders>
              <w:tl2br w:val="nil"/>
              <w:tr2bl w:val="nil"/>
            </w:tcBorders>
            <w:vAlign w:val="center"/>
          </w:tcPr>
          <w:p w14:paraId="53B50617">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402" w:type="pct"/>
            <w:gridSpan w:val="3"/>
            <w:tcBorders>
              <w:tl2br w:val="nil"/>
              <w:tr2bl w:val="nil"/>
            </w:tcBorders>
            <w:vAlign w:val="center"/>
          </w:tcPr>
          <w:p w14:paraId="5E31B3DE">
            <w:pPr>
              <w:spacing w:line="276" w:lineRule="auto"/>
              <w:ind w:left="14" w:leftChars="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成品仓库</w:t>
            </w:r>
          </w:p>
        </w:tc>
        <w:tc>
          <w:tcPr>
            <w:tcW w:w="1969" w:type="pct"/>
            <w:tcBorders>
              <w:tl2br w:val="nil"/>
              <w:tr2bl w:val="nil"/>
            </w:tcBorders>
            <w:vAlign w:val="center"/>
          </w:tcPr>
          <w:p w14:paraId="711A7913">
            <w:pPr>
              <w:spacing w:line="276" w:lineRule="auto"/>
              <w:ind w:left="14" w:leftChars="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位于1#厂房</w:t>
            </w:r>
            <w:r>
              <w:rPr>
                <w:rFonts w:hint="default" w:ascii="Times New Roman" w:hAnsi="Times New Roman" w:eastAsia="宋体" w:cs="Times New Roman"/>
                <w:color w:val="000000" w:themeColor="text1"/>
                <w:sz w:val="21"/>
                <w:szCs w:val="21"/>
                <w:lang w:eastAsia="zh-CN"/>
                <w14:textFill>
                  <w14:solidFill>
                    <w14:schemeClr w14:val="tx1"/>
                  </w14:solidFill>
                </w14:textFill>
              </w:rPr>
              <w:t>南侧</w:t>
            </w:r>
            <w:r>
              <w:rPr>
                <w:rFonts w:hint="eastAsia" w:cs="Times New Roman"/>
                <w:color w:val="000000" w:themeColor="text1"/>
                <w:sz w:val="21"/>
                <w:szCs w:val="21"/>
                <w:lang w:eastAsia="zh-CN"/>
                <w14:textFill>
                  <w14:solidFill>
                    <w14:schemeClr w14:val="tx1"/>
                  </w14:solidFill>
                </w14:textFill>
              </w:rPr>
              <w:t>和</w:t>
            </w:r>
            <w:r>
              <w:rPr>
                <w:rFonts w:hint="eastAsia" w:cs="Times New Roman"/>
                <w:color w:val="000000" w:themeColor="text1"/>
                <w:sz w:val="21"/>
                <w:szCs w:val="21"/>
                <w:lang w:val="en-US" w:eastAsia="zh-CN"/>
                <w14:textFill>
                  <w14:solidFill>
                    <w14:schemeClr w14:val="tx1"/>
                  </w14:solidFill>
                </w14:textFill>
              </w:rPr>
              <w:t>2#厂房北侧，共1000m</w:t>
            </w:r>
            <w:r>
              <w:rPr>
                <w:rFonts w:hint="eastAsia" w:cs="Times New Roman"/>
                <w:color w:val="000000" w:themeColor="text1"/>
                <w:sz w:val="21"/>
                <w:szCs w:val="21"/>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，主要用于成品的暂存</w:t>
            </w:r>
          </w:p>
        </w:tc>
        <w:tc>
          <w:tcPr>
            <w:tcW w:w="1094" w:type="pct"/>
            <w:tcBorders>
              <w:tl2br w:val="nil"/>
              <w:tr2bl w:val="nil"/>
            </w:tcBorders>
            <w:vAlign w:val="center"/>
          </w:tcPr>
          <w:p w14:paraId="28240EF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建筑面积</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1200</w:t>
            </w: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，储存规模</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1200</w:t>
            </w:r>
            <w:r>
              <w:rPr>
                <w:rFonts w:hint="default" w:ascii="Times New Roman" w:hAnsi="Times New Roman" w:cs="Times New Roman"/>
                <w:color w:val="000000" w:themeColor="text1"/>
                <w:sz w:val="21"/>
                <w:szCs w:val="21"/>
                <w14:textFill>
                  <w14:solidFill>
                    <w14:schemeClr w14:val="tx1"/>
                  </w14:solidFill>
                </w14:textFill>
              </w:rPr>
              <w:t>t</w:t>
            </w:r>
          </w:p>
        </w:tc>
      </w:tr>
      <w:tr w14:paraId="18EE5E2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34" w:type="pct"/>
            <w:gridSpan w:val="2"/>
            <w:vMerge w:val="restart"/>
            <w:tcBorders>
              <w:tl2br w:val="nil"/>
              <w:tr2bl w:val="nil"/>
            </w:tcBorders>
            <w:vAlign w:val="center"/>
          </w:tcPr>
          <w:p w14:paraId="0AC85844">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公辅工程</w:t>
            </w:r>
          </w:p>
        </w:tc>
        <w:tc>
          <w:tcPr>
            <w:tcW w:w="1402" w:type="pct"/>
            <w:gridSpan w:val="3"/>
            <w:tcBorders>
              <w:tl2br w:val="nil"/>
              <w:tr2bl w:val="nil"/>
            </w:tcBorders>
            <w:vAlign w:val="center"/>
          </w:tcPr>
          <w:p w14:paraId="6F501DF8">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供水系统</w:t>
            </w:r>
          </w:p>
        </w:tc>
        <w:tc>
          <w:tcPr>
            <w:tcW w:w="1969" w:type="pct"/>
            <w:tcBorders>
              <w:tl2br w:val="nil"/>
              <w:tr2bl w:val="nil"/>
            </w:tcBorders>
            <w:vAlign w:val="center"/>
          </w:tcPr>
          <w:p w14:paraId="186FED9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市政供水管网</w:t>
            </w:r>
          </w:p>
        </w:tc>
        <w:tc>
          <w:tcPr>
            <w:tcW w:w="1094" w:type="pct"/>
            <w:tcBorders>
              <w:tl2br w:val="nil"/>
              <w:tr2bl w:val="nil"/>
            </w:tcBorders>
            <w:vAlign w:val="center"/>
          </w:tcPr>
          <w:p w14:paraId="70C58C82">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用水量</w:t>
            </w:r>
            <w:r>
              <w:rPr>
                <w:rFonts w:hint="eastAsia" w:cs="Times New Roman"/>
                <w:color w:val="000000" w:themeColor="text1"/>
                <w:sz w:val="21"/>
                <w:szCs w:val="21"/>
                <w:lang w:val="en-US" w:eastAsia="zh-CN"/>
                <w14:textFill>
                  <w14:solidFill>
                    <w14:schemeClr w14:val="tx1"/>
                  </w14:solidFill>
                </w14:textFill>
              </w:rPr>
              <w:t>23200</w:t>
            </w:r>
            <w:r>
              <w:rPr>
                <w:rFonts w:hint="default" w:ascii="Times New Roman" w:hAnsi="Times New Roman" w:cs="Times New Roman"/>
                <w:color w:val="000000" w:themeColor="text1"/>
                <w:sz w:val="21"/>
                <w:szCs w:val="21"/>
                <w14:textFill>
                  <w14:solidFill>
                    <w14:schemeClr w14:val="tx1"/>
                  </w14:solidFill>
                </w14:textFill>
              </w:rPr>
              <w:t>t/a</w:t>
            </w: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其中蒸汽冷凝水20000t</w:t>
            </w:r>
            <w:r>
              <w:rPr>
                <w:rFonts w:hint="eastAsia" w:cs="Times New Roman"/>
                <w:color w:val="000000" w:themeColor="text1"/>
                <w:sz w:val="21"/>
                <w:szCs w:val="21"/>
                <w:lang w:eastAsia="zh-CN"/>
                <w14:textFill>
                  <w14:solidFill>
                    <w14:schemeClr w14:val="tx1"/>
                  </w14:solidFill>
                </w14:textFill>
              </w:rPr>
              <w:t>）</w:t>
            </w:r>
          </w:p>
        </w:tc>
      </w:tr>
      <w:tr w14:paraId="34898E5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34" w:type="pct"/>
            <w:gridSpan w:val="2"/>
            <w:vMerge w:val="continue"/>
            <w:tcBorders>
              <w:tl2br w:val="nil"/>
              <w:tr2bl w:val="nil"/>
            </w:tcBorders>
            <w:vAlign w:val="center"/>
          </w:tcPr>
          <w:p w14:paraId="6D96A616">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402" w:type="pct"/>
            <w:gridSpan w:val="3"/>
            <w:tcBorders>
              <w:tl2br w:val="nil"/>
              <w:tr2bl w:val="nil"/>
            </w:tcBorders>
            <w:vAlign w:val="center"/>
          </w:tcPr>
          <w:p w14:paraId="7018C6B8">
            <w:pPr>
              <w:widowControl/>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供蒸汽系统</w:t>
            </w:r>
          </w:p>
        </w:tc>
        <w:tc>
          <w:tcPr>
            <w:tcW w:w="1969" w:type="pct"/>
            <w:tcBorders>
              <w:tl2br w:val="nil"/>
              <w:tr2bl w:val="nil"/>
            </w:tcBorders>
            <w:vAlign w:val="center"/>
          </w:tcPr>
          <w:p w14:paraId="60FB8C0C">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园区蒸汽管网</w:t>
            </w:r>
          </w:p>
        </w:tc>
        <w:tc>
          <w:tcPr>
            <w:tcW w:w="1094" w:type="pct"/>
            <w:tcBorders>
              <w:tl2br w:val="nil"/>
              <w:tr2bl w:val="nil"/>
            </w:tcBorders>
            <w:vAlign w:val="center"/>
          </w:tcPr>
          <w:p w14:paraId="76EB38F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蒸汽用量20000m</w:t>
            </w:r>
            <w:r>
              <w:rPr>
                <w:rFonts w:hint="eastAsia" w:cs="Times New Roman"/>
                <w:color w:val="000000" w:themeColor="text1"/>
                <w:sz w:val="21"/>
                <w:szCs w:val="21"/>
                <w:vertAlign w:val="superscript"/>
                <w:lang w:val="en-US" w:eastAsia="zh-CN"/>
                <w14:textFill>
                  <w14:solidFill>
                    <w14:schemeClr w14:val="tx1"/>
                  </w14:solidFill>
                </w14:textFill>
              </w:rPr>
              <w:t>3</w:t>
            </w:r>
            <w:r>
              <w:rPr>
                <w:rFonts w:hint="eastAsia" w:cs="Times New Roman"/>
                <w:color w:val="000000" w:themeColor="text1"/>
                <w:sz w:val="21"/>
                <w:szCs w:val="21"/>
                <w:lang w:val="en-US" w:eastAsia="zh-CN"/>
                <w14:textFill>
                  <w14:solidFill>
                    <w14:schemeClr w14:val="tx1"/>
                  </w14:solidFill>
                </w14:textFill>
              </w:rPr>
              <w:t>/a</w:t>
            </w:r>
          </w:p>
        </w:tc>
      </w:tr>
      <w:tr w14:paraId="35068ED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34" w:type="pct"/>
            <w:gridSpan w:val="2"/>
            <w:vMerge w:val="continue"/>
            <w:tcBorders>
              <w:tl2br w:val="nil"/>
              <w:tr2bl w:val="nil"/>
            </w:tcBorders>
            <w:vAlign w:val="center"/>
          </w:tcPr>
          <w:p w14:paraId="11618678">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402" w:type="pct"/>
            <w:gridSpan w:val="3"/>
            <w:tcBorders>
              <w:tl2br w:val="nil"/>
              <w:tr2bl w:val="nil"/>
            </w:tcBorders>
            <w:vAlign w:val="center"/>
          </w:tcPr>
          <w:p w14:paraId="015CFD7C">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排水系统</w:t>
            </w:r>
          </w:p>
        </w:tc>
        <w:tc>
          <w:tcPr>
            <w:tcW w:w="3063" w:type="pct"/>
            <w:gridSpan w:val="2"/>
            <w:tcBorders>
              <w:tl2br w:val="nil"/>
              <w:tr2bl w:val="nil"/>
            </w:tcBorders>
            <w:vAlign w:val="center"/>
          </w:tcPr>
          <w:p w14:paraId="3877571E">
            <w:pPr>
              <w:pStyle w:val="1114"/>
              <w:adjustRightInd/>
              <w:spacing w:before="0" w:after="0"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厂区采用雨污分流；冷却水循环使用</w:t>
            </w:r>
            <w:r>
              <w:rPr>
                <w:rFonts w:hint="eastAsia" w:ascii="Times New Roman" w:hAnsi="Times New Roman" w:eastAsia="宋体" w:cs="Times New Roman"/>
                <w:color w:val="000000" w:themeColor="text1"/>
                <w:sz w:val="21"/>
                <w:szCs w:val="21"/>
                <w:lang w:eastAsia="zh-CN"/>
                <w14:textFill>
                  <w14:solidFill>
                    <w14:schemeClr w14:val="tx1"/>
                  </w14:solidFill>
                </w14:textFill>
              </w:rPr>
              <w:t>，定期外排水用于物料清洗</w:t>
            </w:r>
            <w:r>
              <w:rPr>
                <w:rFonts w:hint="default" w:ascii="Times New Roman" w:hAnsi="Times New Roman" w:eastAsia="宋体" w:cs="Times New Roman"/>
                <w:color w:val="000000" w:themeColor="text1"/>
                <w:sz w:val="21"/>
                <w:szCs w:val="21"/>
                <w14:textFill>
                  <w14:solidFill>
                    <w14:schemeClr w14:val="tx1"/>
                  </w14:solidFill>
                </w14:textFill>
              </w:rPr>
              <w:t>，生活污水经化粪池预处理后接入市政污水管网送至</w:t>
            </w:r>
            <w:r>
              <w:rPr>
                <w:rFonts w:hint="default" w:ascii="Times New Roman" w:hAnsi="Times New Roman" w:eastAsia="宋体" w:cs="Times New Roman"/>
                <w:color w:val="000000" w:themeColor="text1"/>
                <w:sz w:val="21"/>
                <w:szCs w:val="21"/>
                <w:lang w:eastAsia="zh-CN"/>
                <w14:textFill>
                  <w14:solidFill>
                    <w14:schemeClr w14:val="tx1"/>
                  </w14:solidFill>
                </w14:textFill>
              </w:rPr>
              <w:t>毛集实验区污水处理厂</w:t>
            </w:r>
            <w:r>
              <w:rPr>
                <w:rFonts w:hint="default" w:ascii="Times New Roman" w:hAnsi="Times New Roman" w:eastAsia="宋体" w:cs="Times New Roman"/>
                <w:color w:val="000000" w:themeColor="text1"/>
                <w:sz w:val="21"/>
                <w:szCs w:val="21"/>
                <w14:textFill>
                  <w14:solidFill>
                    <w14:schemeClr w14:val="tx1"/>
                  </w14:solidFill>
                </w14:textFill>
              </w:rPr>
              <w:t>处理，</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生产废水经</w:t>
            </w:r>
            <w:r>
              <w:rPr>
                <w:rFonts w:hint="default" w:ascii="Times New Roman" w:hAnsi="Times New Roman" w:eastAsia="宋体" w:cs="Times New Roman"/>
                <w:color w:val="000000" w:themeColor="text1"/>
                <w:sz w:val="21"/>
                <w:szCs w:val="21"/>
                <w14:textFill>
                  <w14:solidFill>
                    <w14:schemeClr w14:val="tx1"/>
                  </w14:solidFill>
                </w14:textFill>
              </w:rPr>
              <w:t>厂内污水处理站处理</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后90%回用，剩下10%</w:t>
            </w:r>
            <w:r>
              <w:rPr>
                <w:rFonts w:hint="default" w:ascii="Times New Roman" w:hAnsi="Times New Roman" w:eastAsia="宋体" w:cs="Times New Roman"/>
                <w:color w:val="000000" w:themeColor="text1"/>
                <w:sz w:val="21"/>
                <w:szCs w:val="21"/>
                <w14:textFill>
                  <w14:solidFill>
                    <w14:schemeClr w14:val="tx1"/>
                  </w14:solidFill>
                </w14:textFill>
              </w:rPr>
              <w:t>废水经市政污水管网送至</w:t>
            </w:r>
            <w:r>
              <w:rPr>
                <w:rFonts w:hint="default" w:ascii="Times New Roman" w:hAnsi="Times New Roman" w:eastAsia="宋体" w:cs="Times New Roman"/>
                <w:color w:val="000000" w:themeColor="text1"/>
                <w:sz w:val="21"/>
                <w:szCs w:val="21"/>
                <w:lang w:eastAsia="zh-CN"/>
                <w14:textFill>
                  <w14:solidFill>
                    <w14:schemeClr w14:val="tx1"/>
                  </w14:solidFill>
                </w14:textFill>
              </w:rPr>
              <w:t>毛集实验区</w:t>
            </w:r>
            <w:r>
              <w:rPr>
                <w:rFonts w:hint="default" w:ascii="Times New Roman" w:hAnsi="Times New Roman" w:eastAsia="宋体" w:cs="Times New Roman"/>
                <w:color w:val="000000" w:themeColor="text1"/>
                <w:sz w:val="21"/>
                <w:szCs w:val="21"/>
                <w14:textFill>
                  <w14:solidFill>
                    <w14:schemeClr w14:val="tx1"/>
                  </w14:solidFill>
                </w14:textFill>
              </w:rPr>
              <w:t>污水处理厂处理，废水</w:t>
            </w:r>
            <w:r>
              <w:rPr>
                <w:rFonts w:hint="default" w:ascii="Times New Roman" w:hAnsi="Times New Roman" w:eastAsia="宋体" w:cs="Times New Roman"/>
                <w:color w:val="000000" w:themeColor="text1"/>
                <w:sz w:val="21"/>
                <w:szCs w:val="21"/>
                <w14:textFill>
                  <w14:solidFill>
                    <w14:schemeClr w14:val="tx1"/>
                  </w14:solidFill>
                </w14:textFill>
              </w:rPr>
              <w:t>量</w:t>
            </w:r>
            <w:r>
              <w:rPr>
                <w:rFonts w:hint="eastAsia" w:ascii="Times New Roman" w:hAnsi="Times New Roman" w:eastAsia="宋体" w:cs="Times New Roman"/>
                <w:color w:val="000000" w:themeColor="text1"/>
                <w:sz w:val="21"/>
                <w:szCs w:val="21"/>
                <w:lang w:eastAsia="zh-CN"/>
                <w14:textFill>
                  <w14:solidFill>
                    <w14:schemeClr w14:val="tx1"/>
                  </w14:solidFill>
                </w14:textFill>
              </w:rPr>
              <w:t>19161t/a</w:t>
            </w:r>
          </w:p>
        </w:tc>
      </w:tr>
      <w:tr w14:paraId="62E7CFC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34" w:type="pct"/>
            <w:gridSpan w:val="2"/>
            <w:vMerge w:val="continue"/>
            <w:tcBorders>
              <w:tl2br w:val="nil"/>
              <w:tr2bl w:val="nil"/>
            </w:tcBorders>
            <w:vAlign w:val="center"/>
          </w:tcPr>
          <w:p w14:paraId="7598E7FF">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402" w:type="pct"/>
            <w:gridSpan w:val="3"/>
            <w:tcBorders>
              <w:tl2br w:val="nil"/>
              <w:tr2bl w:val="nil"/>
            </w:tcBorders>
            <w:vAlign w:val="center"/>
          </w:tcPr>
          <w:p w14:paraId="279957A6">
            <w:pPr>
              <w:spacing w:line="276" w:lineRule="auto"/>
              <w:ind w:left="14" w:leftChars="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供电系统</w:t>
            </w:r>
          </w:p>
        </w:tc>
        <w:tc>
          <w:tcPr>
            <w:tcW w:w="1969" w:type="pct"/>
            <w:tcBorders>
              <w:tl2br w:val="nil"/>
              <w:tr2bl w:val="nil"/>
            </w:tcBorders>
            <w:vAlign w:val="center"/>
          </w:tcPr>
          <w:p w14:paraId="4583D80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市政供电管网</w:t>
            </w:r>
          </w:p>
        </w:tc>
        <w:tc>
          <w:tcPr>
            <w:tcW w:w="1094" w:type="pct"/>
            <w:tcBorders>
              <w:tl2br w:val="nil"/>
              <w:tr2bl w:val="nil"/>
            </w:tcBorders>
            <w:vAlign w:val="center"/>
          </w:tcPr>
          <w:p w14:paraId="5332CEE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用电量</w:t>
            </w:r>
            <w:r>
              <w:rPr>
                <w:rFonts w:hint="eastAsia" w:cs="Times New Roman"/>
                <w:color w:val="000000" w:themeColor="text1"/>
                <w:sz w:val="21"/>
                <w:szCs w:val="21"/>
                <w:lang w:val="en-US" w:eastAsia="zh-CN"/>
                <w14:textFill>
                  <w14:solidFill>
                    <w14:schemeClr w14:val="tx1"/>
                  </w14:solidFill>
                </w14:textFill>
              </w:rPr>
              <w:t>120</w:t>
            </w:r>
            <w:r>
              <w:rPr>
                <w:rFonts w:hint="default" w:ascii="Times New Roman" w:hAnsi="Times New Roman" w:cs="Times New Roman"/>
                <w:color w:val="000000" w:themeColor="text1"/>
                <w:sz w:val="21"/>
                <w:szCs w:val="21"/>
                <w14:textFill>
                  <w14:solidFill>
                    <w14:schemeClr w14:val="tx1"/>
                  </w14:solidFill>
                </w14:textFill>
              </w:rPr>
              <w:t>万kW·h/a</w:t>
            </w:r>
          </w:p>
        </w:tc>
      </w:tr>
      <w:tr w14:paraId="649CCB1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8" w:type="pct"/>
            <w:vMerge w:val="restart"/>
            <w:tcBorders>
              <w:tl2br w:val="nil"/>
              <w:tr2bl w:val="nil"/>
            </w:tcBorders>
            <w:vAlign w:val="center"/>
          </w:tcPr>
          <w:p w14:paraId="04D9F75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环保工程</w:t>
            </w:r>
          </w:p>
        </w:tc>
        <w:tc>
          <w:tcPr>
            <w:tcW w:w="235" w:type="pct"/>
            <w:vMerge w:val="restart"/>
            <w:tcBorders>
              <w:tl2br w:val="nil"/>
              <w:tr2bl w:val="nil"/>
            </w:tcBorders>
            <w:vAlign w:val="center"/>
          </w:tcPr>
          <w:p w14:paraId="3F51FE7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废气</w:t>
            </w:r>
          </w:p>
        </w:tc>
        <w:tc>
          <w:tcPr>
            <w:tcW w:w="1402" w:type="pct"/>
            <w:gridSpan w:val="3"/>
            <w:tcBorders>
              <w:tl2br w:val="nil"/>
              <w:tr2bl w:val="nil"/>
            </w:tcBorders>
            <w:vAlign w:val="center"/>
          </w:tcPr>
          <w:p w14:paraId="4D4BC19E">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3063" w:type="pct"/>
            <w:gridSpan w:val="2"/>
            <w:tcBorders>
              <w:tl2br w:val="nil"/>
              <w:tr2bl w:val="nil"/>
            </w:tcBorders>
            <w:vAlign w:val="top"/>
          </w:tcPr>
          <w:p w14:paraId="51DB5BFF">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熔融挤出废气经区域封闭+集气罩收集后进入“</w:t>
            </w:r>
            <w:r>
              <w:rPr>
                <w:rFonts w:hint="default" w:ascii="Times New Roman" w:hAnsi="Times New Roman" w:eastAsia="宋体" w:cs="Times New Roman"/>
                <w:color w:val="000000" w:themeColor="text1"/>
                <w:sz w:val="21"/>
                <w:szCs w:val="21"/>
                <w:highlight w:val="yellow"/>
                <w:lang w:eastAsia="zh-CN"/>
                <w14:textFill>
                  <w14:solidFill>
                    <w14:schemeClr w14:val="tx1"/>
                  </w14:solidFill>
                </w14:textFill>
              </w:rPr>
              <w:t>油烟净化器+两级活性炭吸附装置</w:t>
            </w:r>
            <w:r>
              <w:rPr>
                <w:rFonts w:hint="default" w:ascii="Times New Roman" w:hAnsi="Times New Roman" w:eastAsia="宋体" w:cs="Times New Roman"/>
                <w:color w:val="000000" w:themeColor="text1"/>
                <w:sz w:val="21"/>
                <w:szCs w:val="21"/>
                <w:lang w:eastAsia="zh-CN"/>
                <w14:textFill>
                  <w14:solidFill>
                    <w14:schemeClr w14:val="tx1"/>
                  </w14:solidFill>
                </w14:textFill>
              </w:rPr>
              <w:t>（TA001）”处理后通过</w:t>
            </w:r>
            <w:r>
              <w:rPr>
                <w:rFonts w:hint="default" w:ascii="Times New Roman" w:hAnsi="Times New Roman" w:eastAsia="宋体" w:cs="Times New Roman"/>
                <w:color w:val="000000" w:themeColor="text1"/>
                <w:sz w:val="21"/>
                <w:szCs w:val="21"/>
                <w:highlight w:val="yellow"/>
                <w:lang w:eastAsia="zh-CN"/>
                <w14:textFill>
                  <w14:solidFill>
                    <w14:schemeClr w14:val="tx1"/>
                  </w14:solidFill>
                </w14:textFill>
              </w:rPr>
              <w:t>15m</w:t>
            </w:r>
            <w:r>
              <w:rPr>
                <w:rFonts w:hint="default" w:ascii="Times New Roman" w:hAnsi="Times New Roman" w:eastAsia="宋体" w:cs="Times New Roman"/>
                <w:color w:val="000000" w:themeColor="text1"/>
                <w:sz w:val="21"/>
                <w:szCs w:val="21"/>
                <w:lang w:eastAsia="zh-CN"/>
                <w14:textFill>
                  <w14:solidFill>
                    <w14:schemeClr w14:val="tx1"/>
                  </w14:solidFill>
                </w14:textFill>
              </w:rPr>
              <w:t>高排气筒（DA001）排放；</w:t>
            </w:r>
            <w:r>
              <w:rPr>
                <w:rFonts w:hint="eastAsia" w:cs="Times New Roman"/>
                <w:color w:val="000000" w:themeColor="text1"/>
                <w:sz w:val="21"/>
                <w:szCs w:val="21"/>
                <w:lang w:eastAsia="zh-CN"/>
                <w14:textFill>
                  <w14:solidFill>
                    <w14:schemeClr w14:val="tx1"/>
                  </w14:solidFill>
                </w14:textFill>
              </w:rPr>
              <w:t>高温分选</w:t>
            </w:r>
            <w:r>
              <w:rPr>
                <w:rFonts w:hint="default" w:ascii="Times New Roman" w:hAnsi="Times New Roman" w:eastAsia="宋体" w:cs="Times New Roman"/>
                <w:color w:val="000000" w:themeColor="text1"/>
                <w:sz w:val="21"/>
                <w:szCs w:val="21"/>
                <w:lang w:eastAsia="zh-CN"/>
                <w14:textFill>
                  <w14:solidFill>
                    <w14:schemeClr w14:val="tx1"/>
                  </w14:solidFill>
                </w14:textFill>
              </w:rPr>
              <w:t>废气经设备密闭+集气罩收集后进入“油烟净化器+两级活性炭吸附装置（TA001）”处理后通过15m高排气筒（DA001）排放</w:t>
            </w:r>
          </w:p>
        </w:tc>
      </w:tr>
      <w:tr w14:paraId="682B3E0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8" w:type="pct"/>
            <w:vMerge w:val="continue"/>
            <w:tcBorders>
              <w:tl2br w:val="nil"/>
              <w:tr2bl w:val="nil"/>
            </w:tcBorders>
            <w:vAlign w:val="center"/>
          </w:tcPr>
          <w:p w14:paraId="38DF077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35" w:type="pct"/>
            <w:vMerge w:val="continue"/>
            <w:tcBorders>
              <w:tl2br w:val="nil"/>
              <w:tr2bl w:val="nil"/>
            </w:tcBorders>
            <w:vAlign w:val="center"/>
          </w:tcPr>
          <w:p w14:paraId="09D1E25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402" w:type="pct"/>
            <w:gridSpan w:val="3"/>
            <w:tcBorders>
              <w:tl2br w:val="nil"/>
              <w:tr2bl w:val="nil"/>
            </w:tcBorders>
            <w:vAlign w:val="center"/>
          </w:tcPr>
          <w:p w14:paraId="11C5812E">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颗粒物</w:t>
            </w:r>
          </w:p>
        </w:tc>
        <w:tc>
          <w:tcPr>
            <w:tcW w:w="3063" w:type="pct"/>
            <w:gridSpan w:val="2"/>
            <w:tcBorders>
              <w:tl2br w:val="nil"/>
              <w:tr2bl w:val="nil"/>
            </w:tcBorders>
            <w:vAlign w:val="top"/>
          </w:tcPr>
          <w:p w14:paraId="53F1250A">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拆包废气经软帘+集气罩收集后进入“脉冲布袋除尘器（TA002）”处理后通过15m高排气筒（DA002）排放；磨粉废气经设备密闭+集气罩收集后进入“脉冲布袋除尘器（TA002）”处理后通过15m高排气筒（DA002）排放</w:t>
            </w:r>
          </w:p>
        </w:tc>
      </w:tr>
      <w:tr w14:paraId="6566841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8" w:type="pct"/>
            <w:vMerge w:val="continue"/>
            <w:tcBorders>
              <w:tl2br w:val="nil"/>
              <w:tr2bl w:val="nil"/>
            </w:tcBorders>
            <w:vAlign w:val="center"/>
          </w:tcPr>
          <w:p w14:paraId="60D10129">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35" w:type="pct"/>
            <w:vMerge w:val="continue"/>
            <w:tcBorders>
              <w:tl2br w:val="nil"/>
              <w:tr2bl w:val="nil"/>
            </w:tcBorders>
            <w:vAlign w:val="center"/>
          </w:tcPr>
          <w:p w14:paraId="26C3E623">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402" w:type="pct"/>
            <w:gridSpan w:val="3"/>
            <w:tcBorders>
              <w:tl2br w:val="nil"/>
              <w:tr2bl w:val="nil"/>
            </w:tcBorders>
            <w:vAlign w:val="center"/>
          </w:tcPr>
          <w:p w14:paraId="6A3B162E">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恶臭气体</w:t>
            </w:r>
          </w:p>
        </w:tc>
        <w:tc>
          <w:tcPr>
            <w:tcW w:w="3063" w:type="pct"/>
            <w:gridSpan w:val="2"/>
            <w:tcBorders>
              <w:tl2br w:val="nil"/>
              <w:tr2bl w:val="nil"/>
            </w:tcBorders>
            <w:vAlign w:val="top"/>
          </w:tcPr>
          <w:p w14:paraId="7849B5CF">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污水处理站</w:t>
            </w:r>
            <w:r>
              <w:rPr>
                <w:rFonts w:hint="eastAsia" w:cs="Times New Roman"/>
                <w:color w:val="000000" w:themeColor="text1"/>
                <w:sz w:val="21"/>
                <w:szCs w:val="21"/>
                <w:lang w:val="en-US" w:eastAsia="zh-CN"/>
                <w14:textFill>
                  <w14:solidFill>
                    <w14:schemeClr w14:val="tx1"/>
                  </w14:solidFill>
                </w14:textFill>
              </w:rPr>
              <w:t>封闭负压收集</w:t>
            </w: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highlight w:val="yellow"/>
                <w:lang w:eastAsia="zh-CN"/>
                <w14:textFill>
                  <w14:solidFill>
                    <w14:schemeClr w14:val="tx1"/>
                  </w14:solidFill>
                </w14:textFill>
              </w:rPr>
              <w:t>两级活性炭吸附装置</w:t>
            </w:r>
            <w:r>
              <w:rPr>
                <w:rFonts w:hint="default" w:ascii="Times New Roman" w:hAnsi="Times New Roman" w:eastAsia="宋体" w:cs="Times New Roman"/>
                <w:color w:val="000000" w:themeColor="text1"/>
                <w:sz w:val="21"/>
                <w:szCs w:val="21"/>
                <w:lang w:eastAsia="zh-CN"/>
                <w14:textFill>
                  <w14:solidFill>
                    <w14:schemeClr w14:val="tx1"/>
                  </w14:solidFill>
                </w14:textFill>
              </w:rPr>
              <w:t>（TA00</w:t>
            </w: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eastAsia="zh-CN"/>
                <w14:textFill>
                  <w14:solidFill>
                    <w14:schemeClr w14:val="tx1"/>
                  </w14:solidFill>
                </w14:textFill>
              </w:rPr>
              <w:t>15m高排气筒（DA00</w:t>
            </w: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lang w:eastAsia="zh-CN"/>
                <w14:textFill>
                  <w14:solidFill>
                    <w14:schemeClr w14:val="tx1"/>
                  </w14:solidFill>
                </w14:textFill>
              </w:rPr>
              <w:t>）排放</w:t>
            </w:r>
          </w:p>
        </w:tc>
      </w:tr>
      <w:tr w14:paraId="700D813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8" w:type="pct"/>
            <w:vMerge w:val="continue"/>
            <w:tcBorders>
              <w:tl2br w:val="nil"/>
              <w:tr2bl w:val="nil"/>
            </w:tcBorders>
            <w:vAlign w:val="center"/>
          </w:tcPr>
          <w:p w14:paraId="31795BE5">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35" w:type="pct"/>
            <w:vMerge w:val="restart"/>
            <w:tcBorders>
              <w:tl2br w:val="nil"/>
              <w:tr2bl w:val="nil"/>
            </w:tcBorders>
            <w:vAlign w:val="center"/>
          </w:tcPr>
          <w:p w14:paraId="40786480">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废水</w:t>
            </w:r>
          </w:p>
        </w:tc>
        <w:tc>
          <w:tcPr>
            <w:tcW w:w="1402" w:type="pct"/>
            <w:gridSpan w:val="3"/>
            <w:tcBorders>
              <w:tl2br w:val="nil"/>
              <w:tr2bl w:val="nil"/>
            </w:tcBorders>
            <w:vAlign w:val="center"/>
          </w:tcPr>
          <w:p w14:paraId="3D6C987E">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生活污水</w:t>
            </w:r>
          </w:p>
        </w:tc>
        <w:tc>
          <w:tcPr>
            <w:tcW w:w="3063" w:type="pct"/>
            <w:gridSpan w:val="2"/>
            <w:tcBorders>
              <w:tl2br w:val="nil"/>
              <w:tr2bl w:val="nil"/>
            </w:tcBorders>
            <w:vAlign w:val="top"/>
          </w:tcPr>
          <w:p w14:paraId="0E1779AF">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预</w:t>
            </w:r>
            <w:r>
              <w:rPr>
                <w:rFonts w:hint="default" w:ascii="Times New Roman" w:hAnsi="Times New Roman" w:cs="Times New Roman"/>
                <w:color w:val="000000" w:themeColor="text1"/>
                <w:sz w:val="21"/>
                <w:szCs w:val="21"/>
                <w14:textFill>
                  <w14:solidFill>
                    <w14:schemeClr w14:val="tx1"/>
                  </w14:solidFill>
                </w14:textFill>
              </w:rPr>
              <w:t>处理后</w:t>
            </w:r>
            <w:r>
              <w:rPr>
                <w:rFonts w:hint="default" w:ascii="Times New Roman" w:hAnsi="Times New Roman" w:cs="Times New Roman"/>
                <w:color w:val="000000" w:themeColor="text1"/>
                <w:sz w:val="21"/>
                <w:szCs w:val="21"/>
                <w14:textFill>
                  <w14:solidFill>
                    <w14:schemeClr w14:val="tx1"/>
                  </w14:solidFill>
                </w14:textFill>
              </w:rPr>
              <w:t>经市政管网排入</w:t>
            </w:r>
            <w:r>
              <w:rPr>
                <w:rFonts w:hint="default" w:ascii="Times New Roman" w:hAnsi="Times New Roman" w:eastAsia="宋体" w:cs="Times New Roman"/>
                <w:color w:val="000000" w:themeColor="text1"/>
                <w:sz w:val="21"/>
                <w:szCs w:val="21"/>
                <w:lang w:eastAsia="zh-CN"/>
                <w14:textFill>
                  <w14:solidFill>
                    <w14:schemeClr w14:val="tx1"/>
                  </w14:solidFill>
                </w14:textFill>
              </w:rPr>
              <w:t>毛集实验区</w:t>
            </w:r>
            <w:r>
              <w:rPr>
                <w:rFonts w:hint="default" w:ascii="Times New Roman" w:hAnsi="Times New Roman" w:cs="Times New Roman"/>
                <w:color w:val="000000" w:themeColor="text1"/>
                <w:sz w:val="21"/>
                <w:szCs w:val="21"/>
                <w14:textFill>
                  <w14:solidFill>
                    <w14:schemeClr w14:val="tx1"/>
                  </w14:solidFill>
                </w14:textFill>
              </w:rPr>
              <w:t>污水处理厂深度处理</w:t>
            </w:r>
          </w:p>
        </w:tc>
      </w:tr>
      <w:tr w14:paraId="7AE6C53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8" w:type="pct"/>
            <w:vMerge w:val="continue"/>
            <w:tcBorders>
              <w:tl2br w:val="nil"/>
              <w:tr2bl w:val="nil"/>
            </w:tcBorders>
            <w:vAlign w:val="center"/>
          </w:tcPr>
          <w:p w14:paraId="72268B0F">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35" w:type="pct"/>
            <w:vMerge w:val="continue"/>
            <w:tcBorders>
              <w:tl2br w:val="nil"/>
              <w:tr2bl w:val="nil"/>
            </w:tcBorders>
            <w:vAlign w:val="center"/>
          </w:tcPr>
          <w:p w14:paraId="0251BC91">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402" w:type="pct"/>
            <w:gridSpan w:val="3"/>
            <w:tcBorders>
              <w:tl2br w:val="nil"/>
              <w:tr2bl w:val="nil"/>
            </w:tcBorders>
            <w:vAlign w:val="center"/>
          </w:tcPr>
          <w:p w14:paraId="7CB5F7E2">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瓶片清洗废水</w:t>
            </w:r>
          </w:p>
        </w:tc>
        <w:tc>
          <w:tcPr>
            <w:tcW w:w="3063" w:type="pct"/>
            <w:gridSpan w:val="2"/>
            <w:tcBorders>
              <w:tl2br w:val="nil"/>
              <w:tr2bl w:val="nil"/>
            </w:tcBorders>
            <w:vAlign w:val="top"/>
          </w:tcPr>
          <w:p w14:paraId="6B520FA6">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经厂内污水处理站（处理能力</w:t>
            </w:r>
            <w:r>
              <w:rPr>
                <w:rFonts w:hint="eastAsia" w:cs="Times New Roman"/>
                <w:color w:val="000000" w:themeColor="text1"/>
                <w:sz w:val="21"/>
                <w:szCs w:val="21"/>
                <w:lang w:val="en-US" w:eastAsia="zh-CN"/>
                <w14:textFill>
                  <w14:solidFill>
                    <w14:schemeClr w14:val="tx1"/>
                  </w14:solidFill>
                </w14:textFill>
              </w:rPr>
              <w:t>6</w:t>
            </w:r>
            <w:r>
              <w:rPr>
                <w:rFonts w:hint="default" w:ascii="Times New Roman" w:hAnsi="Times New Roman" w:cs="Times New Roman"/>
                <w:color w:val="000000" w:themeColor="text1"/>
                <w:sz w:val="21"/>
                <w:szCs w:val="21"/>
                <w14:textFill>
                  <w14:solidFill>
                    <w14:schemeClr w14:val="tx1"/>
                  </w14:solidFill>
                </w14:textFill>
              </w:rPr>
              <w:t>00t/d）处理后</w:t>
            </w:r>
            <w:r>
              <w:rPr>
                <w:rFonts w:hint="default" w:ascii="Times New Roman" w:hAnsi="Times New Roman" w:cs="Times New Roman"/>
                <w:color w:val="000000" w:themeColor="text1"/>
                <w:sz w:val="21"/>
                <w:szCs w:val="21"/>
                <w:highlight w:val="yellow"/>
                <w14:textFill>
                  <w14:solidFill>
                    <w14:schemeClr w14:val="tx1"/>
                  </w14:solidFill>
                </w14:textFill>
              </w:rPr>
              <w:t>90%循环使用</w:t>
            </w:r>
            <w:r>
              <w:rPr>
                <w:rFonts w:hint="default" w:ascii="Times New Roman" w:hAnsi="Times New Roman" w:cs="Times New Roman"/>
                <w:color w:val="000000" w:themeColor="text1"/>
                <w:sz w:val="21"/>
                <w:szCs w:val="21"/>
                <w14:textFill>
                  <w14:solidFill>
                    <w14:schemeClr w14:val="tx1"/>
                  </w14:solidFill>
                </w14:textFill>
              </w:rPr>
              <w:t>，10%经市政污水管网排入</w:t>
            </w:r>
            <w:r>
              <w:rPr>
                <w:rFonts w:hint="default" w:ascii="Times New Roman" w:hAnsi="Times New Roman" w:eastAsia="宋体" w:cs="Times New Roman"/>
                <w:color w:val="000000" w:themeColor="text1"/>
                <w:sz w:val="21"/>
                <w:szCs w:val="21"/>
                <w:lang w:eastAsia="zh-CN"/>
                <w14:textFill>
                  <w14:solidFill>
                    <w14:schemeClr w14:val="tx1"/>
                  </w14:solidFill>
                </w14:textFill>
              </w:rPr>
              <w:t>毛集实验区污水处理厂</w:t>
            </w:r>
            <w:r>
              <w:rPr>
                <w:rFonts w:hint="default" w:ascii="Times New Roman" w:hAnsi="Times New Roman" w:cs="Times New Roman"/>
                <w:color w:val="000000" w:themeColor="text1"/>
                <w:sz w:val="21"/>
                <w:szCs w:val="21"/>
                <w14:textFill>
                  <w14:solidFill>
                    <w14:schemeClr w14:val="tx1"/>
                  </w14:solidFill>
                </w14:textFill>
              </w:rPr>
              <w:t>深度处理</w:t>
            </w:r>
          </w:p>
        </w:tc>
      </w:tr>
      <w:tr w14:paraId="3880C93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8" w:type="pct"/>
            <w:vMerge w:val="continue"/>
            <w:tcBorders>
              <w:tl2br w:val="nil"/>
              <w:tr2bl w:val="nil"/>
            </w:tcBorders>
            <w:vAlign w:val="center"/>
          </w:tcPr>
          <w:p w14:paraId="53ADDDF8">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35" w:type="pct"/>
            <w:vMerge w:val="continue"/>
            <w:tcBorders>
              <w:tl2br w:val="nil"/>
              <w:tr2bl w:val="nil"/>
            </w:tcBorders>
            <w:vAlign w:val="center"/>
          </w:tcPr>
          <w:p w14:paraId="6796CC60">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402" w:type="pct"/>
            <w:gridSpan w:val="3"/>
            <w:tcBorders>
              <w:tl2br w:val="nil"/>
              <w:tr2bl w:val="nil"/>
            </w:tcBorders>
            <w:vAlign w:val="center"/>
          </w:tcPr>
          <w:p w14:paraId="21A8A456">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冷却水</w:t>
            </w:r>
          </w:p>
        </w:tc>
        <w:tc>
          <w:tcPr>
            <w:tcW w:w="3063" w:type="pct"/>
            <w:gridSpan w:val="2"/>
            <w:tcBorders>
              <w:tl2br w:val="nil"/>
              <w:tr2bl w:val="nil"/>
            </w:tcBorders>
            <w:vAlign w:val="top"/>
          </w:tcPr>
          <w:p w14:paraId="1E1BDF4C">
            <w:pPr>
              <w:widowControl/>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冷却水循环使用</w:t>
            </w:r>
            <w:r>
              <w:rPr>
                <w:rFonts w:hint="eastAsia" w:ascii="Times New Roman" w:hAnsi="Times New Roman" w:cs="Times New Roman"/>
                <w:color w:val="000000" w:themeColor="text1"/>
                <w:sz w:val="21"/>
                <w:szCs w:val="21"/>
                <w:lang w:eastAsia="zh-CN"/>
                <w14:textFill>
                  <w14:solidFill>
                    <w14:schemeClr w14:val="tx1"/>
                  </w14:solidFill>
                </w14:textFill>
              </w:rPr>
              <w:t>，定期外排水用于物料清洗</w:t>
            </w:r>
          </w:p>
        </w:tc>
      </w:tr>
      <w:tr w14:paraId="321CF6D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8" w:type="pct"/>
            <w:vMerge w:val="continue"/>
            <w:tcBorders>
              <w:tl2br w:val="nil"/>
              <w:tr2bl w:val="nil"/>
            </w:tcBorders>
            <w:vAlign w:val="center"/>
          </w:tcPr>
          <w:p w14:paraId="60A86D79">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35" w:type="pct"/>
            <w:tcBorders>
              <w:tl2br w:val="nil"/>
              <w:tr2bl w:val="nil"/>
            </w:tcBorders>
            <w:vAlign w:val="center"/>
          </w:tcPr>
          <w:p w14:paraId="618D0D35">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噪声</w:t>
            </w:r>
          </w:p>
        </w:tc>
        <w:tc>
          <w:tcPr>
            <w:tcW w:w="4465" w:type="pct"/>
            <w:gridSpan w:val="5"/>
            <w:tcBorders>
              <w:tl2br w:val="nil"/>
              <w:tr2bl w:val="nil"/>
            </w:tcBorders>
            <w:vAlign w:val="center"/>
          </w:tcPr>
          <w:p w14:paraId="7CAACB2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选用低噪声设备，通过合理布局、基础减振、隔声、消声等措施来降低噪声</w:t>
            </w:r>
          </w:p>
        </w:tc>
      </w:tr>
      <w:tr w14:paraId="7FD5C9B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8" w:type="pct"/>
            <w:vMerge w:val="continue"/>
            <w:tcBorders>
              <w:tl2br w:val="nil"/>
              <w:tr2bl w:val="nil"/>
            </w:tcBorders>
            <w:vAlign w:val="center"/>
          </w:tcPr>
          <w:p w14:paraId="4D54EB5F">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35" w:type="pct"/>
            <w:vMerge w:val="restart"/>
            <w:tcBorders>
              <w:tl2br w:val="nil"/>
              <w:tr2bl w:val="nil"/>
            </w:tcBorders>
            <w:vAlign w:val="center"/>
          </w:tcPr>
          <w:p w14:paraId="0ED82A78">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固体废物</w:t>
            </w:r>
          </w:p>
        </w:tc>
        <w:tc>
          <w:tcPr>
            <w:tcW w:w="4465" w:type="pct"/>
            <w:gridSpan w:val="5"/>
            <w:tcBorders>
              <w:tl2br w:val="nil"/>
              <w:tr2bl w:val="nil"/>
            </w:tcBorders>
            <w:vAlign w:val="center"/>
          </w:tcPr>
          <w:p w14:paraId="4EE5D2D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#厂房</w:t>
            </w:r>
            <w:r>
              <w:rPr>
                <w:rFonts w:hint="default" w:ascii="Times New Roman" w:hAnsi="Times New Roman" w:eastAsia="宋体" w:cs="Times New Roman"/>
                <w:color w:val="000000" w:themeColor="text1"/>
                <w:sz w:val="21"/>
                <w:szCs w:val="21"/>
                <w:lang w:eastAsia="zh-CN"/>
                <w14:textFill>
                  <w14:solidFill>
                    <w14:schemeClr w14:val="tx1"/>
                  </w14:solidFill>
                </w14:textFill>
              </w:rPr>
              <w:t>西北侧</w:t>
            </w:r>
            <w:r>
              <w:rPr>
                <w:rFonts w:hint="default" w:ascii="Times New Roman" w:hAnsi="Times New Roman" w:cs="Times New Roman"/>
                <w:color w:val="000000" w:themeColor="text1"/>
                <w:sz w:val="21"/>
                <w:szCs w:val="21"/>
                <w14:textFill>
                  <w14:solidFill>
                    <w14:schemeClr w14:val="tx1"/>
                  </w14:solidFill>
                </w14:textFill>
              </w:rPr>
              <w:t>设置一般工业固体废物暂存仓库（1F，占地面积为50m</w:t>
            </w:r>
            <w:r>
              <w:rPr>
                <w:rFonts w:hint="default" w:ascii="Times New Roman" w:hAnsi="Times New Roman" w:cs="Times New Roman"/>
                <w:color w:val="000000" w:themeColor="text1"/>
                <w:sz w:val="21"/>
                <w:szCs w:val="21"/>
                <w:vertAlign w:val="super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，储存规模</w:t>
            </w:r>
            <w:r>
              <w:rPr>
                <w:rFonts w:hint="eastAsia" w:cs="Times New Roman"/>
                <w:color w:val="000000" w:themeColor="text1"/>
                <w:sz w:val="21"/>
                <w:szCs w:val="21"/>
                <w:lang w:val="en-US" w:eastAsia="zh-CN"/>
                <w14:textFill>
                  <w14:solidFill>
                    <w14:schemeClr w14:val="tx1"/>
                  </w14:solidFill>
                </w14:textFill>
              </w:rPr>
              <w:t>8</w:t>
            </w:r>
            <w:r>
              <w:rPr>
                <w:rFonts w:hint="default" w:ascii="Times New Roman" w:hAnsi="Times New Roman" w:cs="Times New Roman"/>
                <w:color w:val="000000" w:themeColor="text1"/>
                <w:sz w:val="21"/>
                <w:szCs w:val="21"/>
                <w14:textFill>
                  <w14:solidFill>
                    <w14:schemeClr w14:val="tx1"/>
                  </w14:solidFill>
                </w14:textFill>
              </w:rPr>
              <w:t>0t），暂存本项目产生的一般工业固体废物</w:t>
            </w:r>
          </w:p>
        </w:tc>
      </w:tr>
      <w:tr w14:paraId="60DB3D0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8" w:type="pct"/>
            <w:vMerge w:val="continue"/>
            <w:tcBorders>
              <w:tl2br w:val="nil"/>
              <w:tr2bl w:val="nil"/>
            </w:tcBorders>
            <w:vAlign w:val="center"/>
          </w:tcPr>
          <w:p w14:paraId="4D2A69C0">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35" w:type="pct"/>
            <w:vMerge w:val="continue"/>
            <w:tcBorders>
              <w:tl2br w:val="nil"/>
              <w:tr2bl w:val="nil"/>
            </w:tcBorders>
            <w:vAlign w:val="center"/>
          </w:tcPr>
          <w:p w14:paraId="299DE9D5">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65" w:type="pct"/>
            <w:gridSpan w:val="5"/>
            <w:tcBorders>
              <w:tl2br w:val="nil"/>
              <w:tr2bl w:val="nil"/>
            </w:tcBorders>
            <w:vAlign w:val="center"/>
          </w:tcPr>
          <w:p w14:paraId="57D87D5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#厂房</w:t>
            </w:r>
            <w:r>
              <w:rPr>
                <w:rFonts w:hint="default" w:ascii="Times New Roman" w:hAnsi="Times New Roman" w:eastAsia="宋体" w:cs="Times New Roman"/>
                <w:color w:val="000000" w:themeColor="text1"/>
                <w:sz w:val="21"/>
                <w:szCs w:val="21"/>
                <w:lang w:eastAsia="zh-CN"/>
                <w14:textFill>
                  <w14:solidFill>
                    <w14:schemeClr w14:val="tx1"/>
                  </w14:solidFill>
                </w14:textFill>
              </w:rPr>
              <w:t>西北侧</w:t>
            </w:r>
            <w:r>
              <w:rPr>
                <w:rFonts w:hint="default" w:ascii="Times New Roman" w:hAnsi="Times New Roman" w:cs="Times New Roman"/>
                <w:color w:val="000000" w:themeColor="text1"/>
                <w:sz w:val="21"/>
                <w:szCs w:val="21"/>
                <w14:textFill>
                  <w14:solidFill>
                    <w14:schemeClr w14:val="tx1"/>
                  </w14:solidFill>
                </w14:textFill>
              </w:rPr>
              <w:t>设置一座危险废物暂存仓库（1F，占地面积为</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0m</w:t>
            </w:r>
            <w:r>
              <w:rPr>
                <w:rFonts w:hint="default" w:ascii="Times New Roman" w:hAnsi="Times New Roman" w:cs="Times New Roman"/>
                <w:color w:val="000000" w:themeColor="text1"/>
                <w:sz w:val="21"/>
                <w:szCs w:val="21"/>
                <w:vertAlign w:val="super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，储存规模</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0t），暂存本项目产生的危险废物</w:t>
            </w:r>
          </w:p>
        </w:tc>
      </w:tr>
      <w:tr w14:paraId="28B13B4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8" w:type="pct"/>
            <w:vMerge w:val="continue"/>
            <w:tcBorders>
              <w:tl2br w:val="nil"/>
              <w:tr2bl w:val="nil"/>
            </w:tcBorders>
            <w:vAlign w:val="center"/>
          </w:tcPr>
          <w:p w14:paraId="46B3882A">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324" w:type="pct"/>
            <w:gridSpan w:val="3"/>
            <w:tcBorders>
              <w:tl2br w:val="nil"/>
              <w:tr2bl w:val="nil"/>
            </w:tcBorders>
            <w:vAlign w:val="center"/>
          </w:tcPr>
          <w:p w14:paraId="5D602070">
            <w:pPr>
              <w:spacing w:line="276" w:lineRule="auto"/>
              <w:ind w:left="14" w:leftChars="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分区防渗</w:t>
            </w:r>
          </w:p>
        </w:tc>
        <w:tc>
          <w:tcPr>
            <w:tcW w:w="3377" w:type="pct"/>
            <w:gridSpan w:val="3"/>
            <w:tcBorders>
              <w:tl2br w:val="nil"/>
              <w:tr2bl w:val="nil"/>
            </w:tcBorders>
            <w:vAlign w:val="center"/>
          </w:tcPr>
          <w:p w14:paraId="7BA436C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危险废物暂存仓库、事故应急池等实施重点防渗；原料仓库、成品仓库、一般工业固体废物暂存仓库、</w:t>
            </w:r>
            <w:r>
              <w:rPr>
                <w:rFonts w:hint="default" w:ascii="Times New Roman" w:hAnsi="Times New Roman" w:eastAsia="宋体" w:cs="Times New Roman"/>
                <w:color w:val="000000" w:themeColor="text1"/>
                <w:sz w:val="21"/>
                <w:szCs w:val="21"/>
                <w:lang w:eastAsia="zh-CN"/>
                <w14:textFill>
                  <w14:solidFill>
                    <w14:schemeClr w14:val="tx1"/>
                  </w14:solidFill>
                </w14:textFill>
              </w:rPr>
              <w:t>生产车间</w:t>
            </w:r>
            <w:r>
              <w:rPr>
                <w:rFonts w:hint="default" w:ascii="Times New Roman" w:hAnsi="Times New Roman" w:cs="Times New Roman"/>
                <w:color w:val="000000" w:themeColor="text1"/>
                <w:sz w:val="21"/>
                <w:szCs w:val="21"/>
                <w14:textFill>
                  <w14:solidFill>
                    <w14:schemeClr w14:val="tx1"/>
                  </w14:solidFill>
                </w14:textFill>
              </w:rPr>
              <w:t>等实施一般防渗；其他区域等进行简单防渗</w:t>
            </w:r>
          </w:p>
        </w:tc>
      </w:tr>
      <w:tr w14:paraId="48279A7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98" w:type="pct"/>
            <w:vMerge w:val="continue"/>
            <w:tcBorders>
              <w:tl2br w:val="nil"/>
              <w:tr2bl w:val="nil"/>
            </w:tcBorders>
            <w:vAlign w:val="center"/>
          </w:tcPr>
          <w:p w14:paraId="7C2B414A">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324" w:type="pct"/>
            <w:gridSpan w:val="3"/>
            <w:tcBorders>
              <w:tl2br w:val="nil"/>
              <w:tr2bl w:val="nil"/>
            </w:tcBorders>
            <w:vAlign w:val="center"/>
          </w:tcPr>
          <w:p w14:paraId="2F17714E">
            <w:pPr>
              <w:spacing w:line="276" w:lineRule="auto"/>
              <w:ind w:left="14" w:leftChars="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环境风险防范措施和应急措施</w:t>
            </w:r>
          </w:p>
        </w:tc>
        <w:tc>
          <w:tcPr>
            <w:tcW w:w="3377" w:type="pct"/>
            <w:gridSpan w:val="3"/>
            <w:tcBorders>
              <w:tl2br w:val="nil"/>
              <w:tr2bl w:val="nil"/>
            </w:tcBorders>
            <w:vAlign w:val="center"/>
          </w:tcPr>
          <w:p w14:paraId="4D305CD6">
            <w:pPr>
              <w:spacing w:line="276" w:lineRule="auto"/>
              <w:jc w:val="center"/>
              <w:rPr>
                <w:rFonts w:hint="default" w:ascii="Times New Roman" w:hAnsi="Times New Roman" w:eastAsia="等线"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设置一座</w:t>
            </w:r>
            <w:r>
              <w:rPr>
                <w:rFonts w:hint="eastAsia" w:cs="Times New Roman"/>
                <w:color w:val="000000" w:themeColor="text1"/>
                <w:sz w:val="21"/>
                <w:szCs w:val="21"/>
                <w:lang w:val="en-US" w:eastAsia="zh-CN"/>
                <w14:textFill>
                  <w14:solidFill>
                    <w14:schemeClr w14:val="tx1"/>
                  </w14:solidFill>
                </w14:textFill>
              </w:rPr>
              <w:t>145m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应急事故池</w:t>
            </w: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位于厂区东北侧</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；企业应编制突发环境事件应急预案</w:t>
            </w:r>
          </w:p>
        </w:tc>
      </w:tr>
    </w:tbl>
    <w:p w14:paraId="2EA8E0D8">
      <w:pPr>
        <w:pStyle w:val="888"/>
        <w:spacing w:line="360" w:lineRule="auto"/>
        <w:ind w:firstLine="562"/>
        <w:rPr>
          <w:rFonts w:hint="default" w:ascii="Times New Roman" w:hAnsi="Times New Roman" w:eastAsia="黑体" w:cs="Times New Roman"/>
          <w:b/>
          <w:color w:val="000000" w:themeColor="text1"/>
          <w14:textFill>
            <w14:solidFill>
              <w14:schemeClr w14:val="tx1"/>
            </w14:solidFill>
          </w14:textFill>
        </w:rPr>
        <w:sectPr>
          <w:pgSz w:w="16838" w:h="11906" w:orient="landscape"/>
          <w:pgMar w:top="1440" w:right="1440" w:bottom="1440" w:left="1440" w:header="851" w:footer="992" w:gutter="0"/>
          <w:pgBorders>
            <w:top w:val="none" w:sz="0" w:space="0"/>
            <w:left w:val="none" w:sz="0" w:space="0"/>
            <w:bottom w:val="none" w:sz="0" w:space="0"/>
            <w:right w:val="none" w:sz="0" w:space="0"/>
          </w:pgBorders>
          <w:cols w:space="720" w:num="1"/>
          <w:docGrid w:type="lines" w:linePitch="312" w:charSpace="0"/>
        </w:sectPr>
      </w:pPr>
    </w:p>
    <w:p w14:paraId="295909EA">
      <w:pPr>
        <w:pStyle w:val="3159"/>
        <w:rPr>
          <w:rFonts w:hint="default" w:ascii="Times New Roman" w:hAnsi="Times New Roman" w:cs="Times New Roman"/>
          <w:color w:val="000000" w:themeColor="text1"/>
          <w14:textFill>
            <w14:solidFill>
              <w14:schemeClr w14:val="tx1"/>
            </w14:solidFill>
          </w14:textFill>
        </w:rPr>
      </w:pPr>
      <w:bookmarkStart w:id="48" w:name="_Toc173837640"/>
      <w:r>
        <w:rPr>
          <w:rFonts w:hint="default" w:ascii="Times New Roman" w:hAnsi="Times New Roman" w:eastAsia="黑体" w:cs="Times New Roman"/>
          <w:b w:val="0"/>
          <w:color w:val="000000" w:themeColor="text1"/>
          <w14:textFill>
            <w14:solidFill>
              <w14:schemeClr w14:val="tx1"/>
            </w14:solidFill>
          </w14:textFill>
        </w:rPr>
        <w:t>3.1.3 总平面布置</w:t>
      </w:r>
    </w:p>
    <w:p w14:paraId="7883361A">
      <w:pPr>
        <w:spacing w:before="78" w:line="360" w:lineRule="auto"/>
        <w:ind w:left="535"/>
        <w:rPr>
          <w:rFonts w:hint="default" w:ascii="Times New Roman" w:hAnsi="Times New Roman" w:eastAsia="宋体" w:cs="Times New Roman"/>
          <w:color w:val="000000" w:themeColor="text1"/>
          <w:spacing w:val="-3"/>
          <w:sz w:val="24"/>
          <w:szCs w:val="24"/>
          <w14:textFill>
            <w14:solidFill>
              <w14:schemeClr w14:val="tx1"/>
            </w14:solidFill>
          </w14:textFill>
        </w:rPr>
      </w:pPr>
      <w:r>
        <w:rPr>
          <w:rFonts w:hint="default" w:ascii="Times New Roman" w:hAnsi="Times New Roman" w:eastAsia="宋体" w:cs="Times New Roman"/>
          <w:color w:val="000000" w:themeColor="text1"/>
          <w:spacing w:val="-3"/>
          <w:sz w:val="24"/>
          <w:szCs w:val="24"/>
          <w14:textFill>
            <w14:solidFill>
              <w14:schemeClr w14:val="tx1"/>
            </w14:solidFill>
          </w14:textFill>
        </w:rPr>
        <w:t>（</w:t>
      </w:r>
      <w:r>
        <w:rPr>
          <w:rFonts w:hint="default" w:ascii="Times New Roman" w:hAnsi="Times New Roman" w:eastAsia="Times New Roman" w:cs="Times New Roman"/>
          <w:color w:val="000000" w:themeColor="text1"/>
          <w:spacing w:val="-3"/>
          <w:sz w:val="24"/>
          <w:szCs w:val="24"/>
          <w14:textFill>
            <w14:solidFill>
              <w14:schemeClr w14:val="tx1"/>
            </w14:solidFill>
          </w14:textFill>
        </w:rPr>
        <w:t>1</w:t>
      </w:r>
      <w:r>
        <w:rPr>
          <w:rFonts w:hint="default" w:ascii="Times New Roman" w:hAnsi="Times New Roman" w:eastAsia="宋体" w:cs="Times New Roman"/>
          <w:color w:val="000000" w:themeColor="text1"/>
          <w:spacing w:val="-3"/>
          <w:sz w:val="24"/>
          <w:szCs w:val="24"/>
          <w14:textFill>
            <w14:solidFill>
              <w14:schemeClr w14:val="tx1"/>
            </w14:solidFill>
          </w14:textFill>
        </w:rPr>
        <w:t>）总平面布置原则</w:t>
      </w:r>
    </w:p>
    <w:p w14:paraId="7E4D8FAC">
      <w:pPr>
        <w:spacing w:before="78" w:line="360" w:lineRule="auto"/>
        <w:ind w:firstLine="472"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①总图布置应符合建设地区的城镇规划、工业区规划或</w:t>
      </w:r>
      <w:r>
        <w:rPr>
          <w:rFonts w:hint="default" w:ascii="Times New Roman" w:hAnsi="Times New Roman" w:eastAsia="宋体" w:cs="Times New Roman"/>
          <w:color w:val="000000" w:themeColor="text1"/>
          <w:spacing w:val="-1"/>
          <w:sz w:val="24"/>
          <w:szCs w:val="24"/>
          <w14:textFill>
            <w14:solidFill>
              <w14:schemeClr w14:val="tx1"/>
            </w14:solidFill>
          </w14:textFill>
        </w:rPr>
        <w:t>企业总体布置的要求。</w:t>
      </w:r>
      <w:r>
        <w:rPr>
          <w:rFonts w:hint="default" w:ascii="Times New Roman" w:hAnsi="Times New Roman" w:eastAsia="宋体" w:cs="Times New Roman"/>
          <w:color w:val="000000" w:themeColor="text1"/>
          <w:spacing w:val="-4"/>
          <w:sz w:val="24"/>
          <w:szCs w:val="24"/>
          <w14:textFill>
            <w14:solidFill>
              <w14:schemeClr w14:val="tx1"/>
            </w14:solidFill>
          </w14:textFill>
        </w:rPr>
        <w:t>正确处理内部与外部运输线路、管线等的联系，协调与协作部门总图布置之间的关</w:t>
      </w:r>
      <w:r>
        <w:rPr>
          <w:rFonts w:hint="default" w:ascii="Times New Roman" w:hAnsi="Times New Roman" w:eastAsia="宋体" w:cs="Times New Roman"/>
          <w:color w:val="000000" w:themeColor="text1"/>
          <w:spacing w:val="-8"/>
          <w:sz w:val="24"/>
          <w:szCs w:val="24"/>
          <w14:textFill>
            <w14:solidFill>
              <w14:schemeClr w14:val="tx1"/>
            </w14:solidFill>
          </w14:textFill>
        </w:rPr>
        <w:t>系。</w:t>
      </w:r>
    </w:p>
    <w:p w14:paraId="6A74011F">
      <w:pPr>
        <w:spacing w:line="360" w:lineRule="auto"/>
        <w:ind w:left="44" w:right="33" w:firstLine="478"/>
        <w:rPr>
          <w:rFonts w:hint="default" w:ascii="Times New Roman" w:hAnsi="Times New Roman" w:eastAsia="宋体" w:cs="Times New Roman"/>
          <w:color w:val="000000" w:themeColor="text1"/>
          <w:spacing w:val="-1"/>
          <w:sz w:val="24"/>
          <w:szCs w:val="24"/>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②总图布置应采取各种措施节约用地。在符合防火、卫生和安全间距的要求，并在</w:t>
      </w:r>
      <w:r>
        <w:rPr>
          <w:rFonts w:hint="default" w:ascii="Times New Roman" w:hAnsi="Times New Roman" w:eastAsia="宋体" w:cs="Times New Roman"/>
          <w:color w:val="000000" w:themeColor="text1"/>
          <w:sz w:val="24"/>
          <w:szCs w:val="24"/>
          <w14:textFill>
            <w14:solidFill>
              <w14:schemeClr w14:val="tx1"/>
            </w14:solidFill>
          </w14:textFill>
        </w:rPr>
        <w:t>满足各种工程管线布置和建筑、构筑物发展条件</w:t>
      </w:r>
      <w:r>
        <w:rPr>
          <w:rFonts w:hint="default" w:ascii="Times New Roman" w:hAnsi="Times New Roman" w:eastAsia="宋体" w:cs="Times New Roman"/>
          <w:color w:val="000000" w:themeColor="text1"/>
          <w:spacing w:val="-1"/>
          <w:sz w:val="24"/>
          <w:szCs w:val="24"/>
          <w14:textFill>
            <w14:solidFill>
              <w14:schemeClr w14:val="tx1"/>
            </w14:solidFill>
          </w14:textFill>
        </w:rPr>
        <w:t>下，力求布置紧凑合理。</w:t>
      </w:r>
    </w:p>
    <w:p w14:paraId="03D361B9">
      <w:pPr>
        <w:spacing w:line="360" w:lineRule="auto"/>
        <w:ind w:left="44" w:right="33" w:firstLine="478"/>
        <w:rPr>
          <w:rFonts w:hint="default" w:ascii="Times New Roman" w:hAnsi="Times New Roman" w:eastAsia="宋体" w:cs="Times New Roman"/>
          <w:color w:val="000000" w:themeColor="text1"/>
          <w:spacing w:val="-4"/>
          <w:sz w:val="24"/>
          <w:szCs w:val="24"/>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③应根据防火、防噪声等要求，预防有害因素的干扰。建、构筑物的布置应有良好的通风和采光条件。</w:t>
      </w:r>
    </w:p>
    <w:p w14:paraId="0F453402">
      <w:pPr>
        <w:spacing w:line="360" w:lineRule="auto"/>
        <w:ind w:left="44" w:right="33" w:firstLine="478"/>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3"/>
          <w:sz w:val="24"/>
          <w:szCs w:val="24"/>
          <w14:textFill>
            <w14:solidFill>
              <w14:schemeClr w14:val="tx1"/>
            </w14:solidFill>
          </w14:textFill>
        </w:rPr>
        <w:t>（</w:t>
      </w:r>
      <w:r>
        <w:rPr>
          <w:rFonts w:hint="default" w:ascii="Times New Roman" w:hAnsi="Times New Roman" w:eastAsia="Times New Roman" w:cs="Times New Roman"/>
          <w:color w:val="000000" w:themeColor="text1"/>
          <w:spacing w:val="-3"/>
          <w:sz w:val="24"/>
          <w:szCs w:val="24"/>
          <w14:textFill>
            <w14:solidFill>
              <w14:schemeClr w14:val="tx1"/>
            </w14:solidFill>
          </w14:textFill>
        </w:rPr>
        <w:t>2</w:t>
      </w:r>
      <w:r>
        <w:rPr>
          <w:rFonts w:hint="default" w:ascii="Times New Roman" w:hAnsi="Times New Roman" w:eastAsia="宋体" w:cs="Times New Roman"/>
          <w:color w:val="000000" w:themeColor="text1"/>
          <w:spacing w:val="-3"/>
          <w:sz w:val="24"/>
          <w:szCs w:val="24"/>
          <w14:textFill>
            <w14:solidFill>
              <w14:schemeClr w14:val="tx1"/>
            </w14:solidFill>
          </w14:textFill>
        </w:rPr>
        <w:t>）总平面布置</w:t>
      </w:r>
    </w:p>
    <w:p w14:paraId="41B5CECE">
      <w:pPr>
        <w:spacing w:before="78" w:line="360" w:lineRule="auto"/>
        <w:ind w:firstLine="472"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整个厂区分为管理区、原料区、生产区、产品贮存区。</w:t>
      </w:r>
    </w:p>
    <w:p w14:paraId="5747685D">
      <w:pPr>
        <w:spacing w:before="78" w:line="360" w:lineRule="auto"/>
        <w:ind w:firstLine="472" w:firstLineChars="200"/>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管理区主要为办公用房，集办公、管理于一体，</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位于综合楼。</w:t>
      </w:r>
    </w:p>
    <w:p w14:paraId="1A5F10E2">
      <w:pPr>
        <w:spacing w:before="78" w:line="360" w:lineRule="auto"/>
        <w:ind w:firstLine="472"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原料区（原料仓库）位于2#厂房</w:t>
      </w:r>
      <w:r>
        <w:rPr>
          <w:rFonts w:hint="eastAsia" w:cs="Times New Roman"/>
          <w:color w:val="000000" w:themeColor="text1"/>
          <w:sz w:val="24"/>
          <w:szCs w:val="24"/>
          <w:lang w:eastAsia="zh-CN"/>
          <w14:textFill>
            <w14:solidFill>
              <w14:schemeClr w14:val="tx1"/>
            </w14:solidFill>
          </w14:textFill>
        </w:rPr>
        <w:t>东北侧</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产品贮存区（成品仓库）位于</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14:textFill>
            <w14:solidFill>
              <w14:schemeClr w14:val="tx1"/>
            </w14:solidFill>
          </w14:textFill>
        </w:rPr>
        <w:t>#厂房</w:t>
      </w:r>
      <w:r>
        <w:rPr>
          <w:rFonts w:hint="eastAsia" w:cs="Times New Roman"/>
          <w:color w:val="000000" w:themeColor="text1"/>
          <w:sz w:val="24"/>
          <w:szCs w:val="24"/>
          <w:lang w:eastAsia="zh-CN"/>
          <w14:textFill>
            <w14:solidFill>
              <w14:schemeClr w14:val="tx1"/>
            </w14:solidFill>
          </w14:textFill>
        </w:rPr>
        <w:t>南侧和</w:t>
      </w:r>
      <w:r>
        <w:rPr>
          <w:rFonts w:hint="default" w:ascii="Times New Roman" w:hAnsi="Times New Roman" w:eastAsia="宋体" w:cs="Times New Roman"/>
          <w:color w:val="000000" w:themeColor="text1"/>
          <w:sz w:val="24"/>
          <w:szCs w:val="24"/>
          <w14:textFill>
            <w14:solidFill>
              <w14:schemeClr w14:val="tx1"/>
            </w14:solidFill>
          </w14:textFill>
        </w:rPr>
        <w:t>2#厂房</w:t>
      </w:r>
      <w:r>
        <w:rPr>
          <w:rFonts w:hint="eastAsia" w:cs="Times New Roman"/>
          <w:color w:val="000000" w:themeColor="text1"/>
          <w:sz w:val="24"/>
          <w:szCs w:val="24"/>
          <w:lang w:eastAsia="zh-CN"/>
          <w14:textFill>
            <w14:solidFill>
              <w14:schemeClr w14:val="tx1"/>
            </w14:solidFill>
          </w14:textFill>
        </w:rPr>
        <w:t>北侧</w:t>
      </w:r>
      <w:r>
        <w:rPr>
          <w:rFonts w:hint="default" w:ascii="Times New Roman" w:hAnsi="Times New Roman" w:eastAsia="宋体" w:cs="Times New Roman"/>
          <w:color w:val="000000" w:themeColor="text1"/>
          <w:sz w:val="24"/>
          <w:szCs w:val="24"/>
          <w14:textFill>
            <w14:solidFill>
              <w14:schemeClr w14:val="tx1"/>
            </w14:solidFill>
          </w14:textFill>
        </w:rPr>
        <w:t>；</w:t>
      </w:r>
    </w:p>
    <w:p w14:paraId="1FE013BF">
      <w:pPr>
        <w:spacing w:before="78" w:line="360" w:lineRule="auto"/>
        <w:ind w:firstLine="472" w:firstLineChars="200"/>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1#厂房新建3条</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PET瓶片</w:t>
      </w:r>
      <w:r>
        <w:rPr>
          <w:rFonts w:hint="default" w:ascii="Times New Roman" w:hAnsi="Times New Roman" w:eastAsia="宋体" w:cs="Times New Roman"/>
          <w:color w:val="000000" w:themeColor="text1"/>
          <w:sz w:val="24"/>
          <w:szCs w:val="24"/>
          <w14:textFill>
            <w14:solidFill>
              <w14:schemeClr w14:val="tx1"/>
            </w14:solidFill>
          </w14:textFill>
        </w:rPr>
        <w:t>清洗分选生产线，2条改性造粒生产线</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p>
    <w:p w14:paraId="069673F2">
      <w:pPr>
        <w:spacing w:before="78" w:line="360" w:lineRule="auto"/>
        <w:ind w:firstLine="472" w:firstLineChars="200"/>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2#厂房新建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14:textFill>
            <w14:solidFill>
              <w14:schemeClr w14:val="tx1"/>
            </w14:solidFill>
          </w14:textFill>
        </w:rPr>
        <w:t>条</w:t>
      </w:r>
      <w:r>
        <w:rPr>
          <w:rFonts w:hint="eastAsia" w:cs="Times New Roman"/>
          <w:color w:val="000000" w:themeColor="text1"/>
          <w:sz w:val="24"/>
          <w:szCs w:val="24"/>
          <w:lang w:eastAsia="zh-CN"/>
          <w14:textFill>
            <w14:solidFill>
              <w14:schemeClr w14:val="tx1"/>
            </w14:solidFill>
          </w14:textFill>
        </w:rPr>
        <w:t>废标签纸生产线</w:t>
      </w:r>
      <w:r>
        <w:rPr>
          <w:rFonts w:hint="default" w:ascii="Times New Roman" w:hAnsi="Times New Roman" w:eastAsia="宋体" w:cs="Times New Roman"/>
          <w:color w:val="000000" w:themeColor="text1"/>
          <w:sz w:val="24"/>
          <w:szCs w:val="24"/>
          <w14:textFill>
            <w14:solidFill>
              <w14:schemeClr w14:val="tx1"/>
            </w14:solidFill>
          </w14:textFill>
        </w:rPr>
        <w:t>，1条</w:t>
      </w:r>
      <w:r>
        <w:rPr>
          <w:rFonts w:hint="eastAsia" w:cs="Times New Roman"/>
          <w:color w:val="000000" w:themeColor="text1"/>
          <w:sz w:val="24"/>
          <w:szCs w:val="24"/>
          <w:lang w:eastAsia="zh-CN"/>
          <w14:textFill>
            <w14:solidFill>
              <w14:schemeClr w14:val="tx1"/>
            </w14:solidFill>
          </w14:textFill>
        </w:rPr>
        <w:t>废</w:t>
      </w:r>
      <w:r>
        <w:rPr>
          <w:rFonts w:hint="default" w:ascii="Times New Roman" w:hAnsi="Times New Roman" w:eastAsia="宋体" w:cs="Times New Roman"/>
          <w:color w:val="000000" w:themeColor="text1"/>
          <w:sz w:val="24"/>
          <w:szCs w:val="24"/>
          <w14:textFill>
            <w14:solidFill>
              <w14:schemeClr w14:val="tx1"/>
            </w14:solidFill>
          </w14:textFill>
        </w:rPr>
        <w:t>瓶盖生产线，</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14:textFill>
            <w14:solidFill>
              <w14:schemeClr w14:val="tx1"/>
            </w14:solidFill>
          </w14:textFill>
        </w:rPr>
        <w:t>条</w:t>
      </w:r>
      <w:r>
        <w:rPr>
          <w:rFonts w:hint="eastAsia" w:cs="Times New Roman"/>
          <w:color w:val="000000" w:themeColor="text1"/>
          <w:sz w:val="24"/>
          <w:szCs w:val="24"/>
          <w:lang w:eastAsia="zh-CN"/>
          <w14:textFill>
            <w14:solidFill>
              <w14:schemeClr w14:val="tx1"/>
            </w14:solidFill>
          </w14:textFill>
        </w:rPr>
        <w:t>废</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瓶盖清洗线，</w:t>
      </w:r>
      <w:r>
        <w:rPr>
          <w:rFonts w:hint="default" w:ascii="Times New Roman" w:hAnsi="Times New Roman" w:eastAsia="宋体" w:cs="Times New Roman"/>
          <w:color w:val="000000" w:themeColor="text1"/>
          <w:sz w:val="24"/>
          <w:szCs w:val="24"/>
          <w14:textFill>
            <w14:solidFill>
              <w14:schemeClr w14:val="tx1"/>
            </w14:solidFill>
          </w14:textFill>
        </w:rPr>
        <w:t>3条</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PET</w:t>
      </w:r>
      <w:r>
        <w:rPr>
          <w:rFonts w:hint="default" w:ascii="Times New Roman" w:hAnsi="Times New Roman" w:eastAsia="宋体" w:cs="Times New Roman"/>
          <w:color w:val="000000" w:themeColor="text1"/>
          <w:sz w:val="24"/>
          <w:szCs w:val="24"/>
          <w14:textFill>
            <w14:solidFill>
              <w14:schemeClr w14:val="tx1"/>
            </w14:solidFill>
          </w14:textFill>
        </w:rPr>
        <w:t>瓶片破碎分选线</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p>
    <w:p w14:paraId="5F43E274">
      <w:pPr>
        <w:spacing w:before="78" w:line="360" w:lineRule="auto"/>
        <w:ind w:firstLine="472"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厂区共设置一处出入口，主出入口位于厂区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东</w:t>
      </w:r>
      <w:r>
        <w:rPr>
          <w:rFonts w:hint="default" w:ascii="Times New Roman" w:hAnsi="Times New Roman" w:eastAsia="宋体" w:cs="Times New Roman"/>
          <w:color w:val="000000" w:themeColor="text1"/>
          <w:sz w:val="24"/>
          <w:szCs w:val="24"/>
          <w14:textFill>
            <w14:solidFill>
              <w14:schemeClr w14:val="tx1"/>
            </w14:solidFill>
          </w14:textFill>
        </w:rPr>
        <w:t>侧，紧邻</w:t>
      </w:r>
      <w:r>
        <w:rPr>
          <w:rFonts w:hint="default" w:ascii="Times New Roman" w:hAnsi="Times New Roman" w:eastAsia="宋体" w:cs="Times New Roman"/>
          <w:color w:val="000000" w:themeColor="text1"/>
          <w:sz w:val="24"/>
          <w:szCs w:val="24"/>
          <w:lang w:eastAsia="zh-CN"/>
          <w14:textFill>
            <w14:solidFill>
              <w14:schemeClr w14:val="tx1"/>
            </w14:solidFill>
          </w14:textFill>
        </w:rPr>
        <w:t>烟波路</w:t>
      </w:r>
      <w:r>
        <w:rPr>
          <w:rFonts w:hint="default" w:ascii="Times New Roman" w:hAnsi="Times New Roman" w:eastAsia="宋体" w:cs="Times New Roman"/>
          <w:color w:val="000000" w:themeColor="text1"/>
          <w:sz w:val="24"/>
          <w:szCs w:val="24"/>
          <w14:textFill>
            <w14:solidFill>
              <w14:schemeClr w14:val="tx1"/>
            </w14:solidFill>
          </w14:textFill>
        </w:rPr>
        <w:t>。</w:t>
      </w:r>
    </w:p>
    <w:p w14:paraId="281BAB26">
      <w:pPr>
        <w:spacing w:before="78" w:line="360" w:lineRule="auto"/>
        <w:ind w:firstLine="472"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由以上分析可知，拟建项目平面布置较合理。</w:t>
      </w:r>
    </w:p>
    <w:p w14:paraId="494369C4">
      <w:pPr>
        <w:pStyle w:val="3159"/>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eastAsia="黑体" w:cs="Times New Roman"/>
          <w:b w:val="0"/>
          <w:color w:val="000000" w:themeColor="text1"/>
          <w14:textFill>
            <w14:solidFill>
              <w14:schemeClr w14:val="tx1"/>
            </w14:solidFill>
          </w14:textFill>
        </w:rPr>
        <w:t>3.1.</w:t>
      </w:r>
      <w:r>
        <w:rPr>
          <w:rFonts w:hint="default" w:ascii="Times New Roman" w:hAnsi="Times New Roman" w:eastAsia="黑体" w:cs="Times New Roman"/>
          <w:b w:val="0"/>
          <w:color w:val="000000" w:themeColor="text1"/>
          <w:lang w:val="en-US" w:eastAsia="zh-CN"/>
          <w14:textFill>
            <w14:solidFill>
              <w14:schemeClr w14:val="tx1"/>
            </w14:solidFill>
          </w14:textFill>
        </w:rPr>
        <w:t>3</w:t>
      </w:r>
      <w:r>
        <w:rPr>
          <w:rFonts w:hint="default" w:ascii="Times New Roman" w:hAnsi="Times New Roman" w:eastAsia="黑体" w:cs="Times New Roman"/>
          <w:b w:val="0"/>
          <w:color w:val="000000" w:themeColor="text1"/>
          <w14:textFill>
            <w14:solidFill>
              <w14:schemeClr w14:val="tx1"/>
            </w14:solidFill>
          </w14:textFill>
        </w:rPr>
        <w:t xml:space="preserve"> 产品方案</w:t>
      </w:r>
    </w:p>
    <w:p w14:paraId="7FAC5852">
      <w:pPr>
        <w:spacing w:before="78" w:line="219" w:lineRule="auto"/>
        <w:jc w:val="center"/>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表3.1-</w:t>
      </w:r>
      <w:r>
        <w:rPr>
          <w:rFonts w:hint="default" w:ascii="Times New Roman" w:hAnsi="Times New Roman" w:eastAsia="黑体" w:cs="Times New Roman"/>
          <w:color w:val="000000" w:themeColor="text1"/>
          <w:sz w:val="24"/>
          <w:lang w:val="en-US" w:eastAsia="zh-CN"/>
          <w14:textFill>
            <w14:solidFill>
              <w14:schemeClr w14:val="tx1"/>
            </w14:solidFill>
          </w14:textFill>
        </w:rPr>
        <w:t>2</w:t>
      </w:r>
      <w:r>
        <w:rPr>
          <w:rFonts w:hint="default" w:ascii="Times New Roman" w:hAnsi="Times New Roman" w:eastAsia="黑体" w:cs="Times New Roman"/>
          <w:color w:val="000000" w:themeColor="text1"/>
          <w:sz w:val="24"/>
          <w14:textFill>
            <w14:solidFill>
              <w14:schemeClr w14:val="tx1"/>
            </w14:solidFill>
          </w14:textFill>
        </w:rPr>
        <w:t>项目产品方案</w:t>
      </w:r>
    </w:p>
    <w:tbl>
      <w:tblPr>
        <w:tblStyle w:val="4092"/>
        <w:tblW w:w="4998"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774"/>
        <w:gridCol w:w="1819"/>
        <w:gridCol w:w="927"/>
        <w:gridCol w:w="2433"/>
        <w:gridCol w:w="2350"/>
      </w:tblGrid>
      <w:tr w14:paraId="500B9B8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66" w:type="pct"/>
            <w:tcBorders>
              <w:tl2br w:val="nil"/>
              <w:tr2bl w:val="nil"/>
            </w:tcBorders>
            <w:vAlign w:val="center"/>
          </w:tcPr>
          <w:p w14:paraId="2C82DDC2">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1095" w:type="pct"/>
            <w:tcBorders>
              <w:tl2br w:val="nil"/>
              <w:tr2bl w:val="nil"/>
            </w:tcBorders>
            <w:vAlign w:val="center"/>
          </w:tcPr>
          <w:p w14:paraId="04000E0D">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产品名称</w:t>
            </w:r>
          </w:p>
        </w:tc>
        <w:tc>
          <w:tcPr>
            <w:tcW w:w="2023" w:type="pct"/>
            <w:gridSpan w:val="2"/>
            <w:tcBorders>
              <w:tl2br w:val="nil"/>
              <w:tr2bl w:val="nil"/>
            </w:tcBorders>
            <w:vAlign w:val="center"/>
          </w:tcPr>
          <w:p w14:paraId="334086DB">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设计生产能力（吨）</w:t>
            </w:r>
          </w:p>
        </w:tc>
        <w:tc>
          <w:tcPr>
            <w:tcW w:w="1415" w:type="pct"/>
            <w:tcBorders>
              <w:tl2br w:val="nil"/>
              <w:tr2bl w:val="nil"/>
            </w:tcBorders>
            <w:vAlign w:val="center"/>
          </w:tcPr>
          <w:p w14:paraId="1D31BFB5">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备注</w:t>
            </w:r>
          </w:p>
        </w:tc>
      </w:tr>
      <w:tr w14:paraId="4FE450E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66" w:type="pct"/>
            <w:tcBorders>
              <w:tl2br w:val="nil"/>
              <w:tr2bl w:val="nil"/>
            </w:tcBorders>
            <w:vAlign w:val="center"/>
          </w:tcPr>
          <w:p w14:paraId="74595B7C">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095" w:type="pct"/>
            <w:tcBorders>
              <w:tl2br w:val="nil"/>
              <w:tr2bl w:val="nil"/>
            </w:tcBorders>
            <w:shd w:val="clear" w:color="auto" w:fill="auto"/>
            <w:vAlign w:val="center"/>
          </w:tcPr>
          <w:p w14:paraId="0F8217A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PET</w:t>
            </w:r>
            <w:r>
              <w:rPr>
                <w:rFonts w:hint="default" w:ascii="Times New Roman" w:hAnsi="Times New Roman" w:eastAsia="宋体" w:cs="Times New Roman"/>
                <w:color w:val="000000" w:themeColor="text1"/>
                <w:sz w:val="21"/>
                <w:szCs w:val="21"/>
                <w14:textFill>
                  <w14:solidFill>
                    <w14:schemeClr w14:val="tx1"/>
                  </w14:solidFill>
                </w14:textFill>
              </w:rPr>
              <w:t>瓶片</w:t>
            </w:r>
          </w:p>
        </w:tc>
        <w:tc>
          <w:tcPr>
            <w:tcW w:w="2023" w:type="pct"/>
            <w:gridSpan w:val="2"/>
            <w:tcBorders>
              <w:tl2br w:val="nil"/>
              <w:tr2bl w:val="nil"/>
            </w:tcBorders>
            <w:shd w:val="clear" w:color="auto" w:fill="auto"/>
            <w:vAlign w:val="center"/>
          </w:tcPr>
          <w:p w14:paraId="0C93DDBD">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63</w:t>
            </w:r>
            <w:r>
              <w:rPr>
                <w:rFonts w:hint="default" w:ascii="Times New Roman" w:hAnsi="Times New Roman" w:eastAsia="宋体" w:cs="Times New Roman"/>
                <w:color w:val="000000" w:themeColor="text1"/>
                <w:sz w:val="21"/>
                <w:szCs w:val="21"/>
                <w14:textFill>
                  <w14:solidFill>
                    <w14:schemeClr w14:val="tx1"/>
                  </w14:solidFill>
                </w14:textFill>
              </w:rPr>
              <w:t>000</w:t>
            </w:r>
          </w:p>
        </w:tc>
        <w:tc>
          <w:tcPr>
            <w:tcW w:w="1415" w:type="pct"/>
            <w:tcBorders>
              <w:tl2br w:val="nil"/>
              <w:tr2bl w:val="nil"/>
            </w:tcBorders>
            <w:shd w:val="clear" w:color="auto" w:fill="auto"/>
            <w:vAlign w:val="center"/>
          </w:tcPr>
          <w:p w14:paraId="2D37CF5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外售</w:t>
            </w:r>
          </w:p>
        </w:tc>
      </w:tr>
      <w:tr w14:paraId="45CEAE4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66" w:type="pct"/>
            <w:tcBorders>
              <w:tl2br w:val="nil"/>
              <w:tr2bl w:val="nil"/>
            </w:tcBorders>
            <w:vAlign w:val="center"/>
          </w:tcPr>
          <w:p w14:paraId="2E574788">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095" w:type="pct"/>
            <w:tcBorders>
              <w:tl2br w:val="nil"/>
              <w:tr2bl w:val="nil"/>
            </w:tcBorders>
            <w:vAlign w:val="center"/>
          </w:tcPr>
          <w:p w14:paraId="7F374B6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瓶沫</w:t>
            </w:r>
          </w:p>
        </w:tc>
        <w:tc>
          <w:tcPr>
            <w:tcW w:w="2023" w:type="pct"/>
            <w:gridSpan w:val="2"/>
            <w:tcBorders>
              <w:tl2br w:val="nil"/>
              <w:tr2bl w:val="nil"/>
            </w:tcBorders>
            <w:vAlign w:val="center"/>
          </w:tcPr>
          <w:p w14:paraId="5B995FDF">
            <w:pPr>
              <w:spacing w:line="276" w:lineRule="auto"/>
              <w:ind w:left="14" w:leftChars="7"/>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3000</w:t>
            </w:r>
          </w:p>
        </w:tc>
        <w:tc>
          <w:tcPr>
            <w:tcW w:w="1415" w:type="pct"/>
            <w:tcBorders>
              <w:tl2br w:val="nil"/>
              <w:tr2bl w:val="nil"/>
            </w:tcBorders>
            <w:vAlign w:val="center"/>
          </w:tcPr>
          <w:p w14:paraId="492C883B">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外售</w:t>
            </w:r>
          </w:p>
        </w:tc>
      </w:tr>
      <w:tr w14:paraId="7C47B50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76" w:hRule="atLeast"/>
        </w:trPr>
        <w:tc>
          <w:tcPr>
            <w:tcW w:w="466" w:type="pct"/>
            <w:vMerge w:val="restart"/>
            <w:tcBorders>
              <w:tl2br w:val="nil"/>
              <w:tr2bl w:val="nil"/>
            </w:tcBorders>
            <w:vAlign w:val="center"/>
          </w:tcPr>
          <w:p w14:paraId="25F0780E">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1095" w:type="pct"/>
            <w:vMerge w:val="restart"/>
            <w:tcBorders>
              <w:tl2br w:val="nil"/>
              <w:tr2bl w:val="nil"/>
            </w:tcBorders>
            <w:vAlign w:val="center"/>
          </w:tcPr>
          <w:p w14:paraId="4C701C2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标签纸</w:t>
            </w:r>
          </w:p>
        </w:tc>
        <w:tc>
          <w:tcPr>
            <w:tcW w:w="558" w:type="pct"/>
            <w:vMerge w:val="restart"/>
            <w:tcBorders>
              <w:tl2br w:val="nil"/>
              <w:tr2bl w:val="nil"/>
            </w:tcBorders>
            <w:vAlign w:val="center"/>
          </w:tcPr>
          <w:p w14:paraId="524EF540">
            <w:pPr>
              <w:spacing w:line="276" w:lineRule="auto"/>
              <w:ind w:left="14" w:leftChars="7"/>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7000</w:t>
            </w:r>
          </w:p>
        </w:tc>
        <w:tc>
          <w:tcPr>
            <w:tcW w:w="1465" w:type="pct"/>
            <w:tcBorders>
              <w:tl2br w:val="nil"/>
              <w:tr2bl w:val="nil"/>
            </w:tcBorders>
            <w:vAlign w:val="center"/>
          </w:tcPr>
          <w:p w14:paraId="2E2F7980">
            <w:pPr>
              <w:spacing w:line="276" w:lineRule="auto"/>
              <w:ind w:left="14" w:leftChars="7"/>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PP材质：2100</w:t>
            </w:r>
          </w:p>
        </w:tc>
        <w:tc>
          <w:tcPr>
            <w:tcW w:w="1415" w:type="pct"/>
            <w:vMerge w:val="restart"/>
            <w:tcBorders>
              <w:tl2br w:val="nil"/>
              <w:tr2bl w:val="nil"/>
            </w:tcBorders>
            <w:vAlign w:val="center"/>
          </w:tcPr>
          <w:p w14:paraId="6B1021E8">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外售</w:t>
            </w:r>
          </w:p>
        </w:tc>
      </w:tr>
      <w:tr w14:paraId="10F46B7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76" w:hRule="atLeast"/>
        </w:trPr>
        <w:tc>
          <w:tcPr>
            <w:tcW w:w="466" w:type="pct"/>
            <w:vMerge w:val="continue"/>
            <w:tcBorders>
              <w:tl2br w:val="nil"/>
              <w:tr2bl w:val="nil"/>
            </w:tcBorders>
            <w:vAlign w:val="center"/>
          </w:tcPr>
          <w:p w14:paraId="11B59367">
            <w:pPr>
              <w:spacing w:line="276" w:lineRule="auto"/>
              <w:ind w:left="14" w:leftChars="7"/>
              <w:jc w:val="center"/>
              <w:rPr>
                <w:color w:val="000000" w:themeColor="text1"/>
                <w14:textFill>
                  <w14:solidFill>
                    <w14:schemeClr w14:val="tx1"/>
                  </w14:solidFill>
                </w14:textFill>
              </w:rPr>
            </w:pPr>
          </w:p>
        </w:tc>
        <w:tc>
          <w:tcPr>
            <w:tcW w:w="1095" w:type="pct"/>
            <w:vMerge w:val="continue"/>
            <w:tcBorders>
              <w:tl2br w:val="nil"/>
              <w:tr2bl w:val="nil"/>
            </w:tcBorders>
            <w:vAlign w:val="center"/>
          </w:tcPr>
          <w:p w14:paraId="56368AE8">
            <w:pPr>
              <w:spacing w:line="276" w:lineRule="auto"/>
              <w:ind w:left="14" w:leftChars="7"/>
              <w:jc w:val="center"/>
              <w:rPr>
                <w:color w:val="000000" w:themeColor="text1"/>
                <w14:textFill>
                  <w14:solidFill>
                    <w14:schemeClr w14:val="tx1"/>
                  </w14:solidFill>
                </w14:textFill>
              </w:rPr>
            </w:pPr>
          </w:p>
        </w:tc>
        <w:tc>
          <w:tcPr>
            <w:tcW w:w="558" w:type="pct"/>
            <w:vMerge w:val="continue"/>
            <w:tcBorders>
              <w:tl2br w:val="nil"/>
              <w:tr2bl w:val="nil"/>
            </w:tcBorders>
            <w:vAlign w:val="center"/>
          </w:tcPr>
          <w:p w14:paraId="180EFCFE">
            <w:pPr>
              <w:spacing w:line="276" w:lineRule="auto"/>
              <w:ind w:left="14" w:leftChars="7"/>
              <w:jc w:val="center"/>
              <w:rPr>
                <w:color w:val="000000" w:themeColor="text1"/>
                <w:highlight w:val="none"/>
                <w14:textFill>
                  <w14:solidFill>
                    <w14:schemeClr w14:val="tx1"/>
                  </w14:solidFill>
                </w14:textFill>
              </w:rPr>
            </w:pPr>
          </w:p>
        </w:tc>
        <w:tc>
          <w:tcPr>
            <w:tcW w:w="1465" w:type="pct"/>
            <w:tcBorders>
              <w:tl2br w:val="nil"/>
              <w:tr2bl w:val="nil"/>
            </w:tcBorders>
            <w:vAlign w:val="center"/>
          </w:tcPr>
          <w:p w14:paraId="3B156887">
            <w:pPr>
              <w:spacing w:line="276" w:lineRule="auto"/>
              <w:ind w:left="14" w:leftChars="7"/>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PVC材质：4900</w:t>
            </w:r>
          </w:p>
        </w:tc>
        <w:tc>
          <w:tcPr>
            <w:tcW w:w="1415" w:type="pct"/>
            <w:vMerge w:val="continue"/>
            <w:tcBorders>
              <w:tl2br w:val="nil"/>
              <w:tr2bl w:val="nil"/>
            </w:tcBorders>
            <w:vAlign w:val="center"/>
          </w:tcPr>
          <w:p w14:paraId="21564467">
            <w:pPr>
              <w:spacing w:line="276" w:lineRule="auto"/>
              <w:ind w:left="14" w:leftChars="7"/>
              <w:jc w:val="center"/>
              <w:rPr>
                <w:rFonts w:hint="default" w:ascii="Times New Roman" w:hAnsi="Times New Roman" w:cs="Times New Roman"/>
                <w:color w:val="000000" w:themeColor="text1"/>
                <w:sz w:val="21"/>
                <w:szCs w:val="21"/>
                <w:highlight w:val="yellow"/>
                <w:lang w:val="en-US" w:eastAsia="zh-CN"/>
                <w14:textFill>
                  <w14:solidFill>
                    <w14:schemeClr w14:val="tx1"/>
                  </w14:solidFill>
                </w14:textFill>
              </w:rPr>
            </w:pPr>
          </w:p>
        </w:tc>
      </w:tr>
      <w:tr w14:paraId="0B0594B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66" w:type="pct"/>
            <w:tcBorders>
              <w:tl2br w:val="nil"/>
              <w:tr2bl w:val="nil"/>
            </w:tcBorders>
            <w:vAlign w:val="center"/>
          </w:tcPr>
          <w:p w14:paraId="7B81B5EB">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w:t>
            </w:r>
          </w:p>
        </w:tc>
        <w:tc>
          <w:tcPr>
            <w:tcW w:w="1095" w:type="pct"/>
            <w:tcBorders>
              <w:tl2br w:val="nil"/>
              <w:tr2bl w:val="nil"/>
            </w:tcBorders>
            <w:vAlign w:val="center"/>
          </w:tcPr>
          <w:p w14:paraId="0A8EB3B9">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瓶盖</w:t>
            </w:r>
          </w:p>
        </w:tc>
        <w:tc>
          <w:tcPr>
            <w:tcW w:w="2023" w:type="pct"/>
            <w:gridSpan w:val="2"/>
            <w:tcBorders>
              <w:tl2br w:val="nil"/>
              <w:tr2bl w:val="nil"/>
            </w:tcBorders>
            <w:vAlign w:val="center"/>
          </w:tcPr>
          <w:p w14:paraId="3EF4BB4E">
            <w:pPr>
              <w:spacing w:line="276" w:lineRule="auto"/>
              <w:ind w:left="14" w:leftChars="7"/>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7000</w:t>
            </w:r>
          </w:p>
        </w:tc>
        <w:tc>
          <w:tcPr>
            <w:tcW w:w="1415" w:type="pct"/>
            <w:tcBorders>
              <w:tl2br w:val="nil"/>
              <w:tr2bl w:val="nil"/>
            </w:tcBorders>
            <w:vAlign w:val="center"/>
          </w:tcPr>
          <w:p w14:paraId="21A833C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外售</w:t>
            </w:r>
          </w:p>
        </w:tc>
      </w:tr>
      <w:tr w14:paraId="3D0D925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66" w:type="pct"/>
            <w:tcBorders>
              <w:tl2br w:val="nil"/>
              <w:tr2bl w:val="nil"/>
            </w:tcBorders>
            <w:vAlign w:val="center"/>
          </w:tcPr>
          <w:p w14:paraId="6FA3A3D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w:t>
            </w:r>
          </w:p>
        </w:tc>
        <w:tc>
          <w:tcPr>
            <w:tcW w:w="1095" w:type="pct"/>
            <w:tcBorders>
              <w:tl2br w:val="nil"/>
              <w:tr2bl w:val="nil"/>
            </w:tcBorders>
            <w:shd w:val="clear" w:color="auto" w:fill="auto"/>
            <w:vAlign w:val="center"/>
          </w:tcPr>
          <w:p w14:paraId="3994DF3F">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改性</w:t>
            </w:r>
            <w:r>
              <w:rPr>
                <w:rFonts w:hint="eastAsia" w:cs="Times New Roman"/>
                <w:color w:val="000000" w:themeColor="text1"/>
                <w:sz w:val="21"/>
                <w:szCs w:val="21"/>
                <w:lang w:val="en-US" w:eastAsia="zh-CN"/>
                <w14:textFill>
                  <w14:solidFill>
                    <w14:schemeClr w14:val="tx1"/>
                  </w14:solidFill>
                </w14:textFill>
              </w:rPr>
              <w:t>塑料</w:t>
            </w:r>
            <w:r>
              <w:rPr>
                <w:rFonts w:hint="default" w:ascii="Times New Roman" w:hAnsi="Times New Roman" w:eastAsia="宋体" w:cs="Times New Roman"/>
                <w:color w:val="000000" w:themeColor="text1"/>
                <w:sz w:val="21"/>
                <w:szCs w:val="21"/>
                <w14:textFill>
                  <w14:solidFill>
                    <w14:schemeClr w14:val="tx1"/>
                  </w14:solidFill>
                </w14:textFill>
              </w:rPr>
              <w:t>粒子</w:t>
            </w:r>
          </w:p>
        </w:tc>
        <w:tc>
          <w:tcPr>
            <w:tcW w:w="2023" w:type="pct"/>
            <w:gridSpan w:val="2"/>
            <w:tcBorders>
              <w:tl2br w:val="nil"/>
              <w:tr2bl w:val="nil"/>
            </w:tcBorders>
            <w:shd w:val="clear" w:color="auto" w:fill="auto"/>
            <w:vAlign w:val="center"/>
          </w:tcPr>
          <w:p w14:paraId="51164A18">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20000</w:t>
            </w:r>
          </w:p>
        </w:tc>
        <w:tc>
          <w:tcPr>
            <w:tcW w:w="1415" w:type="pct"/>
            <w:tcBorders>
              <w:tl2br w:val="nil"/>
              <w:tr2bl w:val="nil"/>
            </w:tcBorders>
            <w:vAlign w:val="center"/>
          </w:tcPr>
          <w:p w14:paraId="1B79089B">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外售</w:t>
            </w:r>
          </w:p>
        </w:tc>
      </w:tr>
    </w:tbl>
    <w:p w14:paraId="56532F0D">
      <w:pPr>
        <w:spacing w:before="78" w:line="219" w:lineRule="auto"/>
        <w:jc w:val="center"/>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表3.1-</w:t>
      </w:r>
      <w:r>
        <w:rPr>
          <w:rFonts w:hint="default" w:ascii="Times New Roman" w:hAnsi="Times New Roman" w:eastAsia="黑体" w:cs="Times New Roman"/>
          <w:color w:val="000000" w:themeColor="text1"/>
          <w:sz w:val="24"/>
          <w:lang w:val="en-US" w:eastAsia="zh-CN"/>
          <w14:textFill>
            <w14:solidFill>
              <w14:schemeClr w14:val="tx1"/>
            </w14:solidFill>
          </w14:textFill>
        </w:rPr>
        <w:t>3</w:t>
      </w:r>
      <w:r>
        <w:rPr>
          <w:rFonts w:hint="default" w:ascii="Times New Roman" w:hAnsi="Times New Roman" w:eastAsia="黑体" w:cs="Times New Roman"/>
          <w:color w:val="000000" w:themeColor="text1"/>
          <w:sz w:val="24"/>
          <w14:textFill>
            <w14:solidFill>
              <w14:schemeClr w14:val="tx1"/>
            </w14:solidFill>
          </w14:textFill>
        </w:rPr>
        <w:t>改性粒子质量标准</w:t>
      </w:r>
    </w:p>
    <w:p w14:paraId="093AF5BF">
      <w:pPr>
        <w:spacing w:line="143" w:lineRule="exact"/>
        <w:rPr>
          <w:rFonts w:hint="default" w:ascii="Times New Roman" w:hAnsi="Times New Roman" w:cs="Times New Roman"/>
          <w:color w:val="000000" w:themeColor="text1"/>
          <w14:textFill>
            <w14:solidFill>
              <w14:schemeClr w14:val="tx1"/>
            </w14:solidFill>
          </w14:textFill>
        </w:rPr>
      </w:pPr>
    </w:p>
    <w:tbl>
      <w:tblPr>
        <w:tblStyle w:val="4092"/>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459"/>
        <w:gridCol w:w="3389"/>
        <w:gridCol w:w="3455"/>
      </w:tblGrid>
      <w:tr w14:paraId="5B51BB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78" w:type="pct"/>
            <w:tcBorders>
              <w:top w:val="single" w:color="000000" w:sz="10" w:space="0"/>
              <w:left w:val="nil"/>
            </w:tcBorders>
            <w:vAlign w:val="center"/>
          </w:tcPr>
          <w:p w14:paraId="029B6FA8">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序号</w:t>
            </w:r>
          </w:p>
        </w:tc>
        <w:tc>
          <w:tcPr>
            <w:tcW w:w="2040" w:type="pct"/>
            <w:tcBorders>
              <w:top w:val="single" w:color="000000" w:sz="10" w:space="0"/>
            </w:tcBorders>
            <w:vAlign w:val="center"/>
          </w:tcPr>
          <w:p w14:paraId="644CE99B">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检验项目</w:t>
            </w:r>
          </w:p>
        </w:tc>
        <w:tc>
          <w:tcPr>
            <w:tcW w:w="2080" w:type="pct"/>
            <w:tcBorders>
              <w:top w:val="single" w:color="000000" w:sz="10" w:space="0"/>
              <w:right w:val="nil"/>
            </w:tcBorders>
            <w:vAlign w:val="center"/>
          </w:tcPr>
          <w:p w14:paraId="361BA798">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技术要求</w:t>
            </w:r>
          </w:p>
        </w:tc>
      </w:tr>
      <w:tr w14:paraId="1722A6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78" w:type="pct"/>
            <w:tcBorders>
              <w:left w:val="nil"/>
            </w:tcBorders>
            <w:vAlign w:val="center"/>
          </w:tcPr>
          <w:p w14:paraId="291F06D0">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2040" w:type="pct"/>
            <w:vAlign w:val="center"/>
          </w:tcPr>
          <w:p w14:paraId="32B97AE1">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外包装</w:t>
            </w:r>
          </w:p>
        </w:tc>
        <w:tc>
          <w:tcPr>
            <w:tcW w:w="2080" w:type="pct"/>
            <w:tcBorders>
              <w:right w:val="nil"/>
            </w:tcBorders>
            <w:vAlign w:val="center"/>
          </w:tcPr>
          <w:p w14:paraId="18A41C7F">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标识清晰可见与原料一致，包装严密未打口、无破裂</w:t>
            </w:r>
          </w:p>
        </w:tc>
      </w:tr>
      <w:tr w14:paraId="2D7CC7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78" w:type="pct"/>
            <w:tcBorders>
              <w:left w:val="nil"/>
            </w:tcBorders>
            <w:vAlign w:val="center"/>
          </w:tcPr>
          <w:p w14:paraId="063C075C">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2040" w:type="pct"/>
            <w:vAlign w:val="center"/>
          </w:tcPr>
          <w:p w14:paraId="3DB62A22">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颜色</w:t>
            </w:r>
          </w:p>
        </w:tc>
        <w:tc>
          <w:tcPr>
            <w:tcW w:w="2080" w:type="pct"/>
            <w:tcBorders>
              <w:right w:val="nil"/>
            </w:tcBorders>
            <w:vAlign w:val="center"/>
          </w:tcPr>
          <w:p w14:paraId="261BB500">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色泽应均匀一致，无色差</w:t>
            </w:r>
          </w:p>
        </w:tc>
      </w:tr>
      <w:tr w14:paraId="1125EB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78" w:type="pct"/>
            <w:tcBorders>
              <w:left w:val="nil"/>
            </w:tcBorders>
            <w:vAlign w:val="center"/>
          </w:tcPr>
          <w:p w14:paraId="246A2BFB">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2040" w:type="pct"/>
            <w:vAlign w:val="center"/>
          </w:tcPr>
          <w:p w14:paraId="6DEDE7B8">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颗粒大小</w:t>
            </w:r>
          </w:p>
        </w:tc>
        <w:tc>
          <w:tcPr>
            <w:tcW w:w="2080" w:type="pct"/>
            <w:tcBorders>
              <w:right w:val="nil"/>
            </w:tcBorders>
            <w:vAlign w:val="center"/>
          </w:tcPr>
          <w:p w14:paraId="40790AAA">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颗粒大小基本一致，无明显差异</w:t>
            </w:r>
          </w:p>
        </w:tc>
      </w:tr>
      <w:tr w14:paraId="3F1EAC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78" w:type="pct"/>
            <w:tcBorders>
              <w:left w:val="nil"/>
            </w:tcBorders>
            <w:vAlign w:val="center"/>
          </w:tcPr>
          <w:p w14:paraId="71286E07">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w:t>
            </w:r>
          </w:p>
        </w:tc>
        <w:tc>
          <w:tcPr>
            <w:tcW w:w="2040" w:type="pct"/>
            <w:vAlign w:val="center"/>
          </w:tcPr>
          <w:p w14:paraId="045C85D8">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连切料</w:t>
            </w:r>
          </w:p>
        </w:tc>
        <w:tc>
          <w:tcPr>
            <w:tcW w:w="2080" w:type="pct"/>
            <w:tcBorders>
              <w:right w:val="nil"/>
            </w:tcBorders>
            <w:vAlign w:val="center"/>
          </w:tcPr>
          <w:p w14:paraId="603990FC">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均匀无连切料或少量连切料</w:t>
            </w:r>
          </w:p>
        </w:tc>
      </w:tr>
      <w:tr w14:paraId="24C0EB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78" w:type="pct"/>
            <w:tcBorders>
              <w:left w:val="nil"/>
            </w:tcBorders>
            <w:vAlign w:val="center"/>
          </w:tcPr>
          <w:p w14:paraId="39B6EB0F">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w:t>
            </w:r>
          </w:p>
        </w:tc>
        <w:tc>
          <w:tcPr>
            <w:tcW w:w="2040" w:type="pct"/>
            <w:vAlign w:val="center"/>
          </w:tcPr>
          <w:p w14:paraId="302D4533">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光泽度</w:t>
            </w:r>
          </w:p>
        </w:tc>
        <w:tc>
          <w:tcPr>
            <w:tcW w:w="2080" w:type="pct"/>
            <w:tcBorders>
              <w:right w:val="nil"/>
            </w:tcBorders>
            <w:vAlign w:val="center"/>
          </w:tcPr>
          <w:p w14:paraId="79A467C0">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优质再生料的表面光洁润滑</w:t>
            </w:r>
          </w:p>
        </w:tc>
      </w:tr>
      <w:tr w14:paraId="1B81BB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78" w:type="pct"/>
            <w:tcBorders>
              <w:left w:val="nil"/>
            </w:tcBorders>
            <w:vAlign w:val="center"/>
          </w:tcPr>
          <w:p w14:paraId="488A14D3">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6</w:t>
            </w:r>
          </w:p>
        </w:tc>
        <w:tc>
          <w:tcPr>
            <w:tcW w:w="2040" w:type="pct"/>
            <w:vAlign w:val="center"/>
          </w:tcPr>
          <w:p w14:paraId="7F902181">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密实度</w:t>
            </w:r>
          </w:p>
        </w:tc>
        <w:tc>
          <w:tcPr>
            <w:tcW w:w="2080" w:type="pct"/>
            <w:tcBorders>
              <w:right w:val="nil"/>
            </w:tcBorders>
            <w:vAlign w:val="center"/>
          </w:tcPr>
          <w:p w14:paraId="0CEF83B1">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颗粒密实</w:t>
            </w:r>
          </w:p>
        </w:tc>
      </w:tr>
      <w:tr w14:paraId="7FB223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78" w:type="pct"/>
            <w:tcBorders>
              <w:left w:val="nil"/>
            </w:tcBorders>
            <w:vAlign w:val="center"/>
          </w:tcPr>
          <w:p w14:paraId="553F9D32">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w:t>
            </w:r>
          </w:p>
        </w:tc>
        <w:tc>
          <w:tcPr>
            <w:tcW w:w="2040" w:type="pct"/>
            <w:vAlign w:val="center"/>
          </w:tcPr>
          <w:p w14:paraId="4BDE475C">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浮水</w:t>
            </w:r>
          </w:p>
        </w:tc>
        <w:tc>
          <w:tcPr>
            <w:tcW w:w="2080" w:type="pct"/>
            <w:tcBorders>
              <w:right w:val="nil"/>
            </w:tcBorders>
            <w:vAlign w:val="center"/>
          </w:tcPr>
          <w:p w14:paraId="5A453FFE">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料粒沉水判定不合格</w:t>
            </w:r>
          </w:p>
        </w:tc>
      </w:tr>
      <w:tr w14:paraId="6ED3D4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78" w:type="pct"/>
            <w:tcBorders>
              <w:left w:val="nil"/>
            </w:tcBorders>
            <w:vAlign w:val="center"/>
          </w:tcPr>
          <w:p w14:paraId="0E252FEA">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8</w:t>
            </w:r>
          </w:p>
        </w:tc>
        <w:tc>
          <w:tcPr>
            <w:tcW w:w="2040" w:type="pct"/>
            <w:vAlign w:val="center"/>
          </w:tcPr>
          <w:p w14:paraId="34C9DDF3">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熔体流动速率（g/10min）</w:t>
            </w:r>
          </w:p>
        </w:tc>
        <w:tc>
          <w:tcPr>
            <w:tcW w:w="2080" w:type="pct"/>
            <w:tcBorders>
              <w:right w:val="nil"/>
            </w:tcBorders>
            <w:vAlign w:val="center"/>
          </w:tcPr>
          <w:p w14:paraId="300E3B54">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符合工艺要求，一般熔指数2左右</w:t>
            </w:r>
          </w:p>
        </w:tc>
      </w:tr>
      <w:tr w14:paraId="361BD3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78" w:type="pct"/>
            <w:tcBorders>
              <w:left w:val="nil"/>
            </w:tcBorders>
            <w:vAlign w:val="center"/>
          </w:tcPr>
          <w:p w14:paraId="01350AD0">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9</w:t>
            </w:r>
          </w:p>
        </w:tc>
        <w:tc>
          <w:tcPr>
            <w:tcW w:w="2040" w:type="pct"/>
            <w:vAlign w:val="center"/>
          </w:tcPr>
          <w:p w14:paraId="6751E9B5">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溶指样条切口对折实验</w:t>
            </w:r>
          </w:p>
        </w:tc>
        <w:tc>
          <w:tcPr>
            <w:tcW w:w="2080" w:type="pct"/>
            <w:tcBorders>
              <w:right w:val="nil"/>
            </w:tcBorders>
            <w:vAlign w:val="center"/>
          </w:tcPr>
          <w:p w14:paraId="5D6A27EE">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韧性好，切口未断裂，成拉伸</w:t>
            </w:r>
          </w:p>
        </w:tc>
      </w:tr>
      <w:tr w14:paraId="5E679D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878" w:type="pct"/>
            <w:tcBorders>
              <w:left w:val="nil"/>
              <w:bottom w:val="single" w:color="000000" w:sz="10" w:space="0"/>
            </w:tcBorders>
            <w:vAlign w:val="center"/>
          </w:tcPr>
          <w:p w14:paraId="3C2F6647">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10</w:t>
            </w:r>
          </w:p>
        </w:tc>
        <w:tc>
          <w:tcPr>
            <w:tcW w:w="2040" w:type="pct"/>
            <w:tcBorders>
              <w:bottom w:val="single" w:color="000000" w:sz="10" w:space="0"/>
            </w:tcBorders>
            <w:vAlign w:val="center"/>
          </w:tcPr>
          <w:p w14:paraId="67E5BC53">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溶指样条切口对折实验</w:t>
            </w:r>
          </w:p>
        </w:tc>
        <w:tc>
          <w:tcPr>
            <w:tcW w:w="2080" w:type="pct"/>
            <w:tcBorders>
              <w:bottom w:val="single" w:color="000000" w:sz="10" w:space="0"/>
              <w:right w:val="nil"/>
            </w:tcBorders>
            <w:vAlign w:val="center"/>
          </w:tcPr>
          <w:p w14:paraId="6D4B08ED">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断面平滑有光泽</w:t>
            </w:r>
          </w:p>
        </w:tc>
      </w:tr>
    </w:tbl>
    <w:p w14:paraId="301FFDE7">
      <w:pPr>
        <w:spacing w:before="78" w:line="219" w:lineRule="auto"/>
        <w:jc w:val="center"/>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表3.1-</w:t>
      </w:r>
      <w:r>
        <w:rPr>
          <w:rFonts w:hint="default" w:ascii="Times New Roman" w:hAnsi="Times New Roman" w:eastAsia="黑体" w:cs="Times New Roman"/>
          <w:color w:val="000000" w:themeColor="text1"/>
          <w:sz w:val="24"/>
          <w:lang w:val="en-US" w:eastAsia="zh-CN"/>
          <w14:textFill>
            <w14:solidFill>
              <w14:schemeClr w14:val="tx1"/>
            </w14:solidFill>
          </w14:textFill>
        </w:rPr>
        <w:t>4</w:t>
      </w:r>
      <w:r>
        <w:rPr>
          <w:rFonts w:hint="eastAsia" w:eastAsia="黑体" w:cs="Times New Roman"/>
          <w:color w:val="000000" w:themeColor="text1"/>
          <w:sz w:val="24"/>
          <w:lang w:val="en-US" w:eastAsia="zh-CN"/>
          <w14:textFill>
            <w14:solidFill>
              <w14:schemeClr w14:val="tx1"/>
            </w14:solidFill>
          </w14:textFill>
        </w:rPr>
        <w:t>废PET</w:t>
      </w:r>
      <w:r>
        <w:rPr>
          <w:rFonts w:hint="default" w:ascii="Times New Roman" w:hAnsi="Times New Roman" w:eastAsia="黑体" w:cs="Times New Roman"/>
          <w:color w:val="000000" w:themeColor="text1"/>
          <w:sz w:val="24"/>
          <w14:textFill>
            <w14:solidFill>
              <w14:schemeClr w14:val="tx1"/>
            </w14:solidFill>
          </w14:textFill>
        </w:rPr>
        <w:t>瓶片</w:t>
      </w:r>
      <w:r>
        <w:rPr>
          <w:rFonts w:hint="eastAsia" w:eastAsia="黑体" w:cs="Times New Roman"/>
          <w:color w:val="000000" w:themeColor="text1"/>
          <w:sz w:val="24"/>
          <w:lang w:eastAsia="zh-CN"/>
          <w14:textFill>
            <w14:solidFill>
              <w14:schemeClr w14:val="tx1"/>
            </w14:solidFill>
          </w14:textFill>
        </w:rPr>
        <w:t>分级指标要求</w:t>
      </w:r>
    </w:p>
    <w:p w14:paraId="5DE8BF6C">
      <w:pPr>
        <w:spacing w:line="143" w:lineRule="exact"/>
        <w:rPr>
          <w:rFonts w:hint="default" w:ascii="Times New Roman" w:hAnsi="Times New Roman" w:cs="Times New Roman"/>
          <w:color w:val="000000" w:themeColor="text1"/>
          <w14:textFill>
            <w14:solidFill>
              <w14:schemeClr w14:val="tx1"/>
            </w14:solidFill>
          </w14:textFill>
        </w:rPr>
      </w:pPr>
    </w:p>
    <w:tbl>
      <w:tblPr>
        <w:tblStyle w:val="409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15"/>
        <w:gridCol w:w="1305"/>
        <w:gridCol w:w="1297"/>
        <w:gridCol w:w="1630"/>
        <w:gridCol w:w="1630"/>
        <w:gridCol w:w="1636"/>
      </w:tblGrid>
      <w:tr w14:paraId="75E73A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3" w:hRule="atLeast"/>
        </w:trPr>
        <w:tc>
          <w:tcPr>
            <w:tcW w:w="490" w:type="pct"/>
            <w:vMerge w:val="restart"/>
            <w:tcBorders>
              <w:bottom w:val="nil"/>
            </w:tcBorders>
            <w:vAlign w:val="center"/>
          </w:tcPr>
          <w:p w14:paraId="698086C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序号</w:t>
            </w:r>
          </w:p>
        </w:tc>
        <w:tc>
          <w:tcPr>
            <w:tcW w:w="785" w:type="pct"/>
            <w:vMerge w:val="restart"/>
            <w:tcBorders>
              <w:bottom w:val="nil"/>
            </w:tcBorders>
            <w:vAlign w:val="center"/>
          </w:tcPr>
          <w:p w14:paraId="1C98516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指标</w:t>
            </w:r>
          </w:p>
        </w:tc>
        <w:tc>
          <w:tcPr>
            <w:tcW w:w="780" w:type="pct"/>
            <w:vMerge w:val="restart"/>
            <w:tcBorders>
              <w:bottom w:val="nil"/>
            </w:tcBorders>
            <w:vAlign w:val="center"/>
          </w:tcPr>
          <w:p w14:paraId="444B6B26">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单位</w:t>
            </w:r>
          </w:p>
        </w:tc>
        <w:tc>
          <w:tcPr>
            <w:tcW w:w="2944" w:type="pct"/>
            <w:gridSpan w:val="3"/>
            <w:vAlign w:val="center"/>
          </w:tcPr>
          <w:p w14:paraId="6857AF9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质量要求</w:t>
            </w:r>
          </w:p>
        </w:tc>
      </w:tr>
      <w:tr w14:paraId="7C4E17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trPr>
        <w:tc>
          <w:tcPr>
            <w:tcW w:w="490" w:type="pct"/>
            <w:vMerge w:val="continue"/>
            <w:tcBorders>
              <w:top w:val="nil"/>
            </w:tcBorders>
            <w:vAlign w:val="center"/>
          </w:tcPr>
          <w:p w14:paraId="2F9745A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785" w:type="pct"/>
            <w:vMerge w:val="continue"/>
            <w:tcBorders>
              <w:top w:val="nil"/>
            </w:tcBorders>
            <w:vAlign w:val="center"/>
          </w:tcPr>
          <w:p w14:paraId="0A222A3B">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780" w:type="pct"/>
            <w:vMerge w:val="continue"/>
            <w:tcBorders>
              <w:top w:val="nil"/>
            </w:tcBorders>
            <w:vAlign w:val="center"/>
          </w:tcPr>
          <w:p w14:paraId="6E37A89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980" w:type="pct"/>
            <w:shd w:val="clear" w:color="auto" w:fill="CFCECE" w:themeFill="background2" w:themeFillShade="E5"/>
            <w:vAlign w:val="center"/>
          </w:tcPr>
          <w:p w14:paraId="48B81BC7">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A类(06010101)</w:t>
            </w:r>
          </w:p>
        </w:tc>
        <w:tc>
          <w:tcPr>
            <w:tcW w:w="980" w:type="pct"/>
            <w:vAlign w:val="center"/>
          </w:tcPr>
          <w:p w14:paraId="4EAE836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B类(06010102)</w:t>
            </w:r>
          </w:p>
        </w:tc>
        <w:tc>
          <w:tcPr>
            <w:tcW w:w="983" w:type="pct"/>
            <w:vAlign w:val="center"/>
          </w:tcPr>
          <w:p w14:paraId="2C10222C">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C类(06010103)</w:t>
            </w:r>
          </w:p>
        </w:tc>
      </w:tr>
      <w:tr w14:paraId="1D1393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8" w:hRule="atLeast"/>
        </w:trPr>
        <w:tc>
          <w:tcPr>
            <w:tcW w:w="490" w:type="pct"/>
            <w:vAlign w:val="center"/>
          </w:tcPr>
          <w:p w14:paraId="5E272351">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85" w:type="pct"/>
            <w:vAlign w:val="center"/>
          </w:tcPr>
          <w:p w14:paraId="60B177B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本色瓶片含量</w:t>
            </w:r>
          </w:p>
        </w:tc>
        <w:tc>
          <w:tcPr>
            <w:tcW w:w="780" w:type="pct"/>
            <w:vAlign w:val="center"/>
          </w:tcPr>
          <w:p w14:paraId="2EE8172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980" w:type="pct"/>
            <w:shd w:val="clear" w:color="auto" w:fill="CFCECE" w:themeFill="background2" w:themeFillShade="E5"/>
            <w:vAlign w:val="center"/>
          </w:tcPr>
          <w:p w14:paraId="68BA72F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≥99.95</w:t>
            </w:r>
          </w:p>
        </w:tc>
        <w:tc>
          <w:tcPr>
            <w:tcW w:w="980" w:type="pct"/>
            <w:vAlign w:val="center"/>
          </w:tcPr>
          <w:p w14:paraId="4A6E713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≥98</w:t>
            </w:r>
          </w:p>
        </w:tc>
        <w:tc>
          <w:tcPr>
            <w:tcW w:w="983" w:type="pct"/>
            <w:vAlign w:val="center"/>
          </w:tcPr>
          <w:p w14:paraId="732269F9">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≥90</w:t>
            </w:r>
          </w:p>
        </w:tc>
      </w:tr>
      <w:tr w14:paraId="5B6673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490" w:type="pct"/>
            <w:vAlign w:val="center"/>
          </w:tcPr>
          <w:p w14:paraId="2A0B655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785" w:type="pct"/>
            <w:vAlign w:val="center"/>
          </w:tcPr>
          <w:p w14:paraId="33BEAD7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含水率</w:t>
            </w:r>
          </w:p>
        </w:tc>
        <w:tc>
          <w:tcPr>
            <w:tcW w:w="780" w:type="pct"/>
            <w:vAlign w:val="center"/>
          </w:tcPr>
          <w:p w14:paraId="6B50E9B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980" w:type="pct"/>
            <w:shd w:val="clear" w:color="auto" w:fill="CFCECE" w:themeFill="background2" w:themeFillShade="E5"/>
            <w:vAlign w:val="center"/>
          </w:tcPr>
          <w:p w14:paraId="4D1C5A89">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≤1.5</w:t>
            </w:r>
          </w:p>
        </w:tc>
        <w:tc>
          <w:tcPr>
            <w:tcW w:w="980" w:type="pct"/>
            <w:vAlign w:val="center"/>
          </w:tcPr>
          <w:p w14:paraId="4ECFE5E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w:t>
            </w:r>
          </w:p>
        </w:tc>
        <w:tc>
          <w:tcPr>
            <w:tcW w:w="983" w:type="pct"/>
            <w:vAlign w:val="center"/>
          </w:tcPr>
          <w:p w14:paraId="6BFE1AE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≤3.0</w:t>
            </w:r>
          </w:p>
        </w:tc>
      </w:tr>
      <w:tr w14:paraId="1D03B7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8" w:hRule="atLeast"/>
        </w:trPr>
        <w:tc>
          <w:tcPr>
            <w:tcW w:w="490" w:type="pct"/>
            <w:vAlign w:val="center"/>
          </w:tcPr>
          <w:p w14:paraId="7F603A3F">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785" w:type="pct"/>
            <w:vAlign w:val="center"/>
          </w:tcPr>
          <w:p w14:paraId="6F63C185">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特性黏度</w:t>
            </w:r>
          </w:p>
        </w:tc>
        <w:tc>
          <w:tcPr>
            <w:tcW w:w="780" w:type="pct"/>
            <w:vAlign w:val="center"/>
          </w:tcPr>
          <w:p w14:paraId="2E1073C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dL/g</w:t>
            </w:r>
          </w:p>
        </w:tc>
        <w:tc>
          <w:tcPr>
            <w:tcW w:w="2944" w:type="pct"/>
            <w:gridSpan w:val="3"/>
            <w:shd w:val="clear" w:color="auto" w:fill="CFCECE" w:themeFill="background2" w:themeFillShade="E5"/>
            <w:vAlign w:val="center"/>
          </w:tcPr>
          <w:p w14:paraId="37BCF3E6">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0.66～0.85</w:t>
            </w:r>
          </w:p>
        </w:tc>
      </w:tr>
      <w:tr w14:paraId="0D63B6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490" w:type="pct"/>
            <w:vAlign w:val="center"/>
          </w:tcPr>
          <w:p w14:paraId="618C4BF6">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p>
        </w:tc>
        <w:tc>
          <w:tcPr>
            <w:tcW w:w="785" w:type="pct"/>
            <w:vAlign w:val="center"/>
          </w:tcPr>
          <w:p w14:paraId="330AB6E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聚烯烃含量</w:t>
            </w:r>
          </w:p>
        </w:tc>
        <w:tc>
          <w:tcPr>
            <w:tcW w:w="780" w:type="pct"/>
            <w:vAlign w:val="center"/>
          </w:tcPr>
          <w:p w14:paraId="0BBB9EE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mg/kg</w:t>
            </w:r>
          </w:p>
        </w:tc>
        <w:tc>
          <w:tcPr>
            <w:tcW w:w="980" w:type="pct"/>
            <w:shd w:val="clear" w:color="auto" w:fill="CFCECE" w:themeFill="background2" w:themeFillShade="E5"/>
            <w:vAlign w:val="center"/>
          </w:tcPr>
          <w:p w14:paraId="1FC75A31">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≤200</w:t>
            </w:r>
          </w:p>
        </w:tc>
        <w:tc>
          <w:tcPr>
            <w:tcW w:w="980" w:type="pct"/>
            <w:vAlign w:val="center"/>
          </w:tcPr>
          <w:p w14:paraId="1210082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≤300</w:t>
            </w:r>
          </w:p>
        </w:tc>
        <w:tc>
          <w:tcPr>
            <w:tcW w:w="983" w:type="pct"/>
            <w:vAlign w:val="center"/>
          </w:tcPr>
          <w:p w14:paraId="5B75A176">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≤800</w:t>
            </w:r>
          </w:p>
        </w:tc>
      </w:tr>
      <w:tr w14:paraId="528AFB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9" w:hRule="atLeast"/>
        </w:trPr>
        <w:tc>
          <w:tcPr>
            <w:tcW w:w="490" w:type="pct"/>
            <w:vAlign w:val="center"/>
          </w:tcPr>
          <w:p w14:paraId="4D88353F">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p>
        </w:tc>
        <w:tc>
          <w:tcPr>
            <w:tcW w:w="785" w:type="pct"/>
            <w:vAlign w:val="center"/>
          </w:tcPr>
          <w:p w14:paraId="685D6289">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聚氯乙烯含量</w:t>
            </w:r>
          </w:p>
        </w:tc>
        <w:tc>
          <w:tcPr>
            <w:tcW w:w="780" w:type="pct"/>
            <w:vAlign w:val="center"/>
          </w:tcPr>
          <w:p w14:paraId="1A17C44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mg/kg</w:t>
            </w:r>
          </w:p>
        </w:tc>
        <w:tc>
          <w:tcPr>
            <w:tcW w:w="980" w:type="pct"/>
            <w:shd w:val="clear" w:color="auto" w:fill="CFCECE" w:themeFill="background2" w:themeFillShade="E5"/>
            <w:vAlign w:val="center"/>
          </w:tcPr>
          <w:p w14:paraId="01C0CBA9">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≤100</w:t>
            </w:r>
          </w:p>
        </w:tc>
        <w:tc>
          <w:tcPr>
            <w:tcW w:w="980" w:type="pct"/>
            <w:vAlign w:val="center"/>
          </w:tcPr>
          <w:p w14:paraId="745A58E7">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≤300</w:t>
            </w:r>
          </w:p>
        </w:tc>
        <w:tc>
          <w:tcPr>
            <w:tcW w:w="983" w:type="pct"/>
            <w:vAlign w:val="center"/>
          </w:tcPr>
          <w:p w14:paraId="4717D73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≤500</w:t>
            </w:r>
          </w:p>
        </w:tc>
      </w:tr>
      <w:tr w14:paraId="0DD78E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4" w:hRule="atLeast"/>
        </w:trPr>
        <w:tc>
          <w:tcPr>
            <w:tcW w:w="490" w:type="pct"/>
            <w:vAlign w:val="center"/>
          </w:tcPr>
          <w:p w14:paraId="41DB05F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w:t>
            </w:r>
          </w:p>
        </w:tc>
        <w:tc>
          <w:tcPr>
            <w:tcW w:w="785" w:type="pct"/>
            <w:vAlign w:val="center"/>
          </w:tcPr>
          <w:p w14:paraId="01D9006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杂质含量</w:t>
            </w:r>
          </w:p>
        </w:tc>
        <w:tc>
          <w:tcPr>
            <w:tcW w:w="780" w:type="pct"/>
            <w:vAlign w:val="center"/>
          </w:tcPr>
          <w:p w14:paraId="75FA470F">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mg/kg</w:t>
            </w:r>
          </w:p>
        </w:tc>
        <w:tc>
          <w:tcPr>
            <w:tcW w:w="980" w:type="pct"/>
            <w:shd w:val="clear" w:color="auto" w:fill="CFCECE" w:themeFill="background2" w:themeFillShade="E5"/>
            <w:vAlign w:val="center"/>
          </w:tcPr>
          <w:p w14:paraId="1C499E35">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≤300</w:t>
            </w:r>
          </w:p>
        </w:tc>
        <w:tc>
          <w:tcPr>
            <w:tcW w:w="980" w:type="pct"/>
            <w:vAlign w:val="center"/>
          </w:tcPr>
          <w:p w14:paraId="4E75DFB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≤500</w:t>
            </w:r>
          </w:p>
        </w:tc>
        <w:tc>
          <w:tcPr>
            <w:tcW w:w="983" w:type="pct"/>
            <w:vAlign w:val="center"/>
          </w:tcPr>
          <w:p w14:paraId="6BE435C5">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≤800</w:t>
            </w:r>
          </w:p>
        </w:tc>
      </w:tr>
    </w:tbl>
    <w:p w14:paraId="4CDA4E3A">
      <w:pPr>
        <w:pStyle w:val="3159"/>
        <w:rPr>
          <w:rFonts w:hint="default" w:ascii="Times New Roman" w:hAnsi="Times New Roman" w:eastAsia="黑体" w:cs="Times New Roman"/>
          <w:b w:val="0"/>
          <w:color w:val="000000" w:themeColor="text1"/>
          <w14:textFill>
            <w14:solidFill>
              <w14:schemeClr w14:val="tx1"/>
            </w14:solidFill>
          </w14:textFill>
        </w:rPr>
      </w:pPr>
      <w:r>
        <w:rPr>
          <w:rFonts w:hint="default" w:ascii="Times New Roman" w:hAnsi="Times New Roman" w:eastAsia="黑体" w:cs="Times New Roman"/>
          <w:b w:val="0"/>
          <w:color w:val="000000" w:themeColor="text1"/>
          <w14:textFill>
            <w14:solidFill>
              <w14:schemeClr w14:val="tx1"/>
            </w14:solidFill>
          </w14:textFill>
        </w:rPr>
        <w:t>3.1.5 主要原辅材料及能耗</w:t>
      </w:r>
    </w:p>
    <w:p w14:paraId="5EF323E3">
      <w:pPr>
        <w:spacing w:before="78" w:line="219" w:lineRule="auto"/>
        <w:ind w:left="599"/>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1"/>
          <w:sz w:val="24"/>
          <w:szCs w:val="24"/>
          <w14:textFill>
            <w14:solidFill>
              <w14:schemeClr w14:val="tx1"/>
            </w14:solidFill>
          </w14:textFill>
        </w:rPr>
        <w:t>本项目主要原辅材料与能耗见下表</w:t>
      </w:r>
      <w:r>
        <w:rPr>
          <w:rFonts w:hint="default" w:ascii="Times New Roman" w:hAnsi="Times New Roman" w:eastAsia="宋体" w:cs="Times New Roman"/>
          <w:color w:val="000000" w:themeColor="text1"/>
          <w:spacing w:val="-51"/>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pacing w:val="-1"/>
          <w:sz w:val="24"/>
          <w:szCs w:val="24"/>
          <w14:textFill>
            <w14:solidFill>
              <w14:schemeClr w14:val="tx1"/>
            </w14:solidFill>
          </w14:textFill>
        </w:rPr>
        <w:t>3.1-</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6</w:t>
      </w:r>
      <w:r>
        <w:rPr>
          <w:rFonts w:hint="default" w:ascii="Times New Roman" w:hAnsi="Times New Roman" w:eastAsia="宋体" w:cs="Times New Roman"/>
          <w:color w:val="000000" w:themeColor="text1"/>
          <w:spacing w:val="-1"/>
          <w:sz w:val="24"/>
          <w:szCs w:val="24"/>
          <w14:textFill>
            <w14:solidFill>
              <w14:schemeClr w14:val="tx1"/>
            </w14:solidFill>
          </w14:textFill>
        </w:rPr>
        <w:t>。</w:t>
      </w:r>
    </w:p>
    <w:p w14:paraId="79211E7D">
      <w:pPr>
        <w:spacing w:before="78" w:line="219"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 3.1-</w:t>
      </w:r>
      <w:r>
        <w:rPr>
          <w:rFonts w:hint="default" w:ascii="Times New Roman" w:hAnsi="Times New Roman" w:eastAsia="黑体" w:cs="Times New Roman"/>
          <w:color w:val="000000" w:themeColor="text1"/>
          <w:sz w:val="24"/>
          <w:lang w:val="en-US" w:eastAsia="zh-CN"/>
          <w14:textFill>
            <w14:solidFill>
              <w14:schemeClr w14:val="tx1"/>
            </w14:solidFill>
          </w14:textFill>
        </w:rPr>
        <w:t>6</w:t>
      </w:r>
      <w:r>
        <w:rPr>
          <w:rFonts w:hint="default" w:ascii="Times New Roman" w:hAnsi="Times New Roman" w:eastAsia="黑体" w:cs="Times New Roman"/>
          <w:color w:val="000000" w:themeColor="text1"/>
          <w:sz w:val="24"/>
          <w14:textFill>
            <w14:solidFill>
              <w14:schemeClr w14:val="tx1"/>
            </w14:solidFill>
          </w14:textFill>
        </w:rPr>
        <w:t>主要原辅材料消耗</w:t>
      </w:r>
    </w:p>
    <w:tbl>
      <w:tblPr>
        <w:tblStyle w:val="4092"/>
        <w:tblW w:w="4998"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836"/>
        <w:gridCol w:w="1319"/>
        <w:gridCol w:w="1231"/>
        <w:gridCol w:w="1275"/>
        <w:gridCol w:w="3642"/>
      </w:tblGrid>
      <w:tr w14:paraId="4D14AB8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tcBorders>
              <w:tl2br w:val="nil"/>
              <w:tr2bl w:val="nil"/>
            </w:tcBorders>
            <w:vAlign w:val="center"/>
          </w:tcPr>
          <w:p w14:paraId="7AB63465">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编号</w:t>
            </w:r>
          </w:p>
        </w:tc>
        <w:tc>
          <w:tcPr>
            <w:tcW w:w="794" w:type="pct"/>
            <w:tcBorders>
              <w:tl2br w:val="nil"/>
              <w:tr2bl w:val="nil"/>
            </w:tcBorders>
            <w:vAlign w:val="center"/>
          </w:tcPr>
          <w:p w14:paraId="1A64526B">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名称</w:t>
            </w:r>
          </w:p>
        </w:tc>
        <w:tc>
          <w:tcPr>
            <w:tcW w:w="741" w:type="pct"/>
            <w:tcBorders>
              <w:tl2br w:val="nil"/>
              <w:tr2bl w:val="nil"/>
            </w:tcBorders>
            <w:vAlign w:val="center"/>
          </w:tcPr>
          <w:p w14:paraId="66888A8E">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单位</w:t>
            </w:r>
          </w:p>
        </w:tc>
        <w:tc>
          <w:tcPr>
            <w:tcW w:w="768" w:type="pct"/>
            <w:tcBorders>
              <w:tl2br w:val="nil"/>
              <w:tr2bl w:val="nil"/>
            </w:tcBorders>
            <w:vAlign w:val="center"/>
          </w:tcPr>
          <w:p w14:paraId="009C9A56">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消耗量</w:t>
            </w:r>
          </w:p>
        </w:tc>
        <w:tc>
          <w:tcPr>
            <w:tcW w:w="2190" w:type="pct"/>
            <w:tcBorders>
              <w:tl2br w:val="nil"/>
              <w:tr2bl w:val="nil"/>
            </w:tcBorders>
            <w:vAlign w:val="center"/>
          </w:tcPr>
          <w:p w14:paraId="03BBA47C">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备注</w:t>
            </w:r>
          </w:p>
        </w:tc>
      </w:tr>
      <w:tr w14:paraId="33CC79B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000" w:type="pct"/>
            <w:gridSpan w:val="5"/>
            <w:tcBorders>
              <w:tl2br w:val="nil"/>
              <w:tr2bl w:val="nil"/>
            </w:tcBorders>
            <w:vAlign w:val="center"/>
          </w:tcPr>
          <w:p w14:paraId="78C23F8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原辅料消耗</w:t>
            </w:r>
          </w:p>
        </w:tc>
      </w:tr>
      <w:tr w14:paraId="755DA5B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04" w:type="pct"/>
            <w:tcBorders>
              <w:tl2br w:val="nil"/>
              <w:tr2bl w:val="nil"/>
            </w:tcBorders>
            <w:vAlign w:val="center"/>
          </w:tcPr>
          <w:p w14:paraId="4C41EE12">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794" w:type="pct"/>
            <w:tcBorders>
              <w:tl2br w:val="nil"/>
              <w:tr2bl w:val="nil"/>
            </w:tcBorders>
            <w:vAlign w:val="center"/>
          </w:tcPr>
          <w:p w14:paraId="69B2C11C">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PET瓶砖</w:t>
            </w:r>
          </w:p>
        </w:tc>
        <w:tc>
          <w:tcPr>
            <w:tcW w:w="741" w:type="pct"/>
            <w:tcBorders>
              <w:tl2br w:val="nil"/>
              <w:tr2bl w:val="nil"/>
            </w:tcBorders>
            <w:vAlign w:val="center"/>
          </w:tcPr>
          <w:p w14:paraId="5AD05A2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t/a</w:t>
            </w:r>
          </w:p>
        </w:tc>
        <w:tc>
          <w:tcPr>
            <w:tcW w:w="768" w:type="pct"/>
            <w:tcBorders>
              <w:tl2br w:val="nil"/>
              <w:tr2bl w:val="nil"/>
            </w:tcBorders>
            <w:vAlign w:val="center"/>
          </w:tcPr>
          <w:p w14:paraId="156BA5F9">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100</w:t>
            </w:r>
            <w:r>
              <w:rPr>
                <w:rFonts w:hint="eastAsia" w:cs="Times New Roman"/>
                <w:color w:val="000000" w:themeColor="text1"/>
                <w:sz w:val="21"/>
                <w:szCs w:val="21"/>
                <w:lang w:val="en-US" w:eastAsia="zh-CN"/>
                <w14:textFill>
                  <w14:solidFill>
                    <w14:schemeClr w14:val="tx1"/>
                  </w14:solidFill>
                </w14:textFill>
              </w:rPr>
              <w:t>0</w:t>
            </w:r>
            <w:r>
              <w:rPr>
                <w:rFonts w:hint="default" w:ascii="Times New Roman" w:hAnsi="Times New Roman" w:cs="Times New Roman"/>
                <w:color w:val="000000" w:themeColor="text1"/>
                <w:sz w:val="21"/>
                <w:szCs w:val="21"/>
                <w:lang w:val="en-US" w:eastAsia="zh-CN"/>
                <w14:textFill>
                  <w14:solidFill>
                    <w14:schemeClr w14:val="tx1"/>
                  </w14:solidFill>
                </w14:textFill>
              </w:rPr>
              <w:t>00</w:t>
            </w:r>
          </w:p>
        </w:tc>
        <w:tc>
          <w:tcPr>
            <w:tcW w:w="2190" w:type="pct"/>
            <w:tcBorders>
              <w:tl2br w:val="nil"/>
              <w:tr2bl w:val="nil"/>
            </w:tcBorders>
            <w:vAlign w:val="center"/>
          </w:tcPr>
          <w:p w14:paraId="753216AD">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外购（</w:t>
            </w:r>
            <w:r>
              <w:rPr>
                <w:rFonts w:hint="default" w:ascii="Times New Roman" w:hAnsi="Times New Roman" w:eastAsia="宋体" w:cs="Times New Roman"/>
                <w:color w:val="000000" w:themeColor="text1"/>
                <w:sz w:val="21"/>
                <w:szCs w:val="21"/>
                <w:highlight w:val="yellow"/>
                <w:lang w:val="en-US" w:eastAsia="zh-CN"/>
                <w14:textFill>
                  <w14:solidFill>
                    <w14:schemeClr w14:val="tx1"/>
                  </w14:solidFill>
                </w14:textFill>
              </w:rPr>
              <w:t>仅限饮料瓶</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，符合《废塑料综合利用行业规范条件》要求，不使用受到危险化学品、农药等污染的废弃塑料包装物，不回收和再生利用医疗废物和危险废物的废塑料以及</w:t>
            </w:r>
            <w:r>
              <w:rPr>
                <w:rFonts w:hint="default" w:ascii="Times New Roman" w:hAnsi="Times New Roman" w:eastAsia="宋体" w:cs="Times New Roman"/>
                <w:color w:val="000000" w:themeColor="text1"/>
                <w:sz w:val="21"/>
                <w:szCs w:val="21"/>
                <w:highlight w:val="yellow"/>
                <w:lang w:val="en-US" w:eastAsia="zh-CN"/>
                <w14:textFill>
                  <w14:solidFill>
                    <w14:schemeClr w14:val="tx1"/>
                  </w14:solidFill>
                </w14:textFill>
              </w:rPr>
              <w:t>氟塑</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料等特种工程塑料。本项目仅限饮料瓶瓶砖），成捆堆放</w:t>
            </w:r>
            <w:r>
              <w:rPr>
                <w:rFonts w:hint="eastAsia" w:cs="Times New Roman"/>
                <w:color w:val="000000" w:themeColor="text1"/>
                <w:sz w:val="21"/>
                <w:szCs w:val="21"/>
                <w:lang w:val="en-US" w:eastAsia="zh-CN"/>
                <w14:textFill>
                  <w14:solidFill>
                    <w14:schemeClr w14:val="tx1"/>
                  </w14:solidFill>
                </w14:textFill>
              </w:rPr>
              <w:t>，1t/捆，存放于原料库</w:t>
            </w:r>
          </w:p>
        </w:tc>
      </w:tr>
      <w:tr w14:paraId="4619523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tcBorders>
              <w:tl2br w:val="nil"/>
              <w:tr2bl w:val="nil"/>
            </w:tcBorders>
            <w:shd w:val="clear" w:color="auto" w:fill="auto"/>
            <w:vAlign w:val="center"/>
          </w:tcPr>
          <w:p w14:paraId="6BB52F3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794" w:type="pct"/>
            <w:tcBorders>
              <w:tl2br w:val="nil"/>
              <w:tr2bl w:val="nil"/>
            </w:tcBorders>
            <w:vAlign w:val="center"/>
          </w:tcPr>
          <w:p w14:paraId="13528094">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PET颗粒</w:t>
            </w:r>
          </w:p>
        </w:tc>
        <w:tc>
          <w:tcPr>
            <w:tcW w:w="741" w:type="pct"/>
            <w:tcBorders>
              <w:tl2br w:val="nil"/>
              <w:tr2bl w:val="nil"/>
            </w:tcBorders>
            <w:vAlign w:val="center"/>
          </w:tcPr>
          <w:p w14:paraId="33C18B1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t/a</w:t>
            </w:r>
          </w:p>
        </w:tc>
        <w:tc>
          <w:tcPr>
            <w:tcW w:w="768" w:type="pct"/>
            <w:tcBorders>
              <w:tl2br w:val="nil"/>
              <w:tr2bl w:val="nil"/>
            </w:tcBorders>
            <w:vAlign w:val="center"/>
          </w:tcPr>
          <w:p w14:paraId="56E70AFD">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200</w:t>
            </w:r>
          </w:p>
        </w:tc>
        <w:tc>
          <w:tcPr>
            <w:tcW w:w="2190" w:type="pct"/>
            <w:tcBorders>
              <w:tl2br w:val="nil"/>
              <w:tr2bl w:val="nil"/>
            </w:tcBorders>
            <w:vAlign w:val="center"/>
          </w:tcPr>
          <w:p w14:paraId="6F38E506">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外购</w:t>
            </w:r>
            <w:r>
              <w:rPr>
                <w:rFonts w:hint="eastAsia" w:cs="Times New Roman"/>
                <w:color w:val="000000" w:themeColor="text1"/>
                <w:sz w:val="21"/>
                <w:szCs w:val="21"/>
                <w:highlight w:val="yellow"/>
                <w:lang w:val="en-US" w:eastAsia="zh-CN"/>
                <w14:textFill>
                  <w14:solidFill>
                    <w14:schemeClr w14:val="tx1"/>
                  </w14:solidFill>
                </w14:textFill>
              </w:rPr>
              <w:t>新料，50kg/袋，</w:t>
            </w:r>
            <w:r>
              <w:rPr>
                <w:rFonts w:hint="eastAsia" w:cs="Times New Roman"/>
                <w:color w:val="000000" w:themeColor="text1"/>
                <w:sz w:val="21"/>
                <w:szCs w:val="21"/>
                <w:lang w:val="en-US" w:eastAsia="zh-CN"/>
                <w14:textFill>
                  <w14:solidFill>
                    <w14:schemeClr w14:val="tx1"/>
                  </w14:solidFill>
                </w14:textFill>
              </w:rPr>
              <w:t>存放于原料库</w:t>
            </w:r>
          </w:p>
        </w:tc>
      </w:tr>
      <w:tr w14:paraId="3C4DE4E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tcBorders>
              <w:tl2br w:val="nil"/>
              <w:tr2bl w:val="nil"/>
            </w:tcBorders>
            <w:shd w:val="clear" w:color="auto" w:fill="auto"/>
            <w:vAlign w:val="center"/>
          </w:tcPr>
          <w:p w14:paraId="3D344FF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794" w:type="pct"/>
            <w:tcBorders>
              <w:tl2br w:val="nil"/>
              <w:tr2bl w:val="nil"/>
            </w:tcBorders>
            <w:vAlign w:val="center"/>
          </w:tcPr>
          <w:p w14:paraId="36267E72">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片碱</w:t>
            </w:r>
          </w:p>
        </w:tc>
        <w:tc>
          <w:tcPr>
            <w:tcW w:w="741" w:type="pct"/>
            <w:tcBorders>
              <w:tl2br w:val="nil"/>
              <w:tr2bl w:val="nil"/>
            </w:tcBorders>
            <w:vAlign w:val="center"/>
          </w:tcPr>
          <w:p w14:paraId="604F8117">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t/a</w:t>
            </w:r>
          </w:p>
        </w:tc>
        <w:tc>
          <w:tcPr>
            <w:tcW w:w="768" w:type="pct"/>
            <w:tcBorders>
              <w:tl2br w:val="nil"/>
              <w:tr2bl w:val="nil"/>
            </w:tcBorders>
            <w:vAlign w:val="center"/>
          </w:tcPr>
          <w:p w14:paraId="19DA48D6">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10</w:t>
            </w:r>
          </w:p>
        </w:tc>
        <w:tc>
          <w:tcPr>
            <w:tcW w:w="2190" w:type="pct"/>
            <w:tcBorders>
              <w:tl2br w:val="nil"/>
              <w:tr2bl w:val="nil"/>
            </w:tcBorders>
            <w:vAlign w:val="center"/>
          </w:tcPr>
          <w:p w14:paraId="61B173E4">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清洗剂</w:t>
            </w:r>
            <w:r>
              <w:rPr>
                <w:rFonts w:hint="eastAsia" w:cs="Times New Roman"/>
                <w:color w:val="000000" w:themeColor="text1"/>
                <w:sz w:val="21"/>
                <w:szCs w:val="21"/>
                <w:lang w:val="en-US" w:eastAsia="zh-CN"/>
                <w14:textFill>
                  <w14:solidFill>
                    <w14:schemeClr w14:val="tx1"/>
                  </w14:solidFill>
                </w14:textFill>
              </w:rPr>
              <w:t>，</w:t>
            </w:r>
            <w:r>
              <w:rPr>
                <w:rFonts w:hint="eastAsia" w:cs="Times New Roman"/>
                <w:color w:val="000000" w:themeColor="text1"/>
                <w:sz w:val="21"/>
                <w:szCs w:val="21"/>
                <w:highlight w:val="yellow"/>
                <w:lang w:val="en-US" w:eastAsia="zh-CN"/>
                <w14:textFill>
                  <w14:solidFill>
                    <w14:schemeClr w14:val="tx1"/>
                  </w14:solidFill>
                </w14:textFill>
              </w:rPr>
              <w:t>20kg/袋，</w:t>
            </w:r>
            <w:r>
              <w:rPr>
                <w:rFonts w:hint="eastAsia" w:cs="Times New Roman"/>
                <w:color w:val="000000" w:themeColor="text1"/>
                <w:sz w:val="21"/>
                <w:szCs w:val="21"/>
                <w:lang w:val="en-US" w:eastAsia="zh-CN"/>
                <w14:textFill>
                  <w14:solidFill>
                    <w14:schemeClr w14:val="tx1"/>
                  </w14:solidFill>
                </w14:textFill>
              </w:rPr>
              <w:t>存放于原料库</w:t>
            </w:r>
          </w:p>
        </w:tc>
      </w:tr>
      <w:tr w14:paraId="2FFA8E3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tcBorders>
              <w:tl2br w:val="nil"/>
              <w:tr2bl w:val="nil"/>
            </w:tcBorders>
            <w:shd w:val="clear" w:color="auto" w:fill="auto"/>
            <w:vAlign w:val="center"/>
          </w:tcPr>
          <w:p w14:paraId="0F721A91">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p>
        </w:tc>
        <w:tc>
          <w:tcPr>
            <w:tcW w:w="794" w:type="pct"/>
            <w:tcBorders>
              <w:tl2br w:val="nil"/>
              <w:tr2bl w:val="nil"/>
            </w:tcBorders>
            <w:vAlign w:val="center"/>
          </w:tcPr>
          <w:p w14:paraId="24E40E55">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黄沙</w:t>
            </w:r>
          </w:p>
        </w:tc>
        <w:tc>
          <w:tcPr>
            <w:tcW w:w="741" w:type="pct"/>
            <w:tcBorders>
              <w:tl2br w:val="nil"/>
              <w:tr2bl w:val="nil"/>
            </w:tcBorders>
            <w:vAlign w:val="center"/>
          </w:tcPr>
          <w:p w14:paraId="437E3F45">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t/a</w:t>
            </w:r>
          </w:p>
        </w:tc>
        <w:tc>
          <w:tcPr>
            <w:tcW w:w="768" w:type="pct"/>
            <w:tcBorders>
              <w:tl2br w:val="nil"/>
              <w:tr2bl w:val="nil"/>
            </w:tcBorders>
            <w:vAlign w:val="center"/>
          </w:tcPr>
          <w:p w14:paraId="147A8B75">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w:t>
            </w:r>
          </w:p>
        </w:tc>
        <w:tc>
          <w:tcPr>
            <w:tcW w:w="2190" w:type="pct"/>
            <w:tcBorders>
              <w:tl2br w:val="nil"/>
              <w:tr2bl w:val="nil"/>
            </w:tcBorders>
            <w:vAlign w:val="center"/>
          </w:tcPr>
          <w:p w14:paraId="3C96EAAC">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瓶盖过滤净化</w:t>
            </w:r>
            <w:r>
              <w:rPr>
                <w:rFonts w:hint="eastAsia" w:cs="Times New Roman"/>
                <w:color w:val="000000" w:themeColor="text1"/>
                <w:sz w:val="21"/>
                <w:szCs w:val="21"/>
                <w:lang w:val="en-US" w:eastAsia="zh-CN"/>
                <w14:textFill>
                  <w14:solidFill>
                    <w14:schemeClr w14:val="tx1"/>
                  </w14:solidFill>
                </w14:textFill>
              </w:rPr>
              <w:t>，存放于圆筒转沙池</w:t>
            </w:r>
          </w:p>
        </w:tc>
      </w:tr>
      <w:tr w14:paraId="53A0778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tcBorders>
              <w:tl2br w:val="nil"/>
              <w:tr2bl w:val="nil"/>
            </w:tcBorders>
            <w:shd w:val="clear" w:color="auto" w:fill="auto"/>
            <w:vAlign w:val="center"/>
          </w:tcPr>
          <w:p w14:paraId="5EACF7AF">
            <w:pPr>
              <w:spacing w:line="276" w:lineRule="auto"/>
              <w:ind w:left="14" w:leftChars="7"/>
              <w:jc w:val="center"/>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eastAsia" w:cs="Times New Roman"/>
                <w:color w:val="000000" w:themeColor="text1"/>
                <w:sz w:val="21"/>
                <w:szCs w:val="21"/>
                <w:highlight w:val="yellow"/>
                <w:lang w:val="en-US" w:eastAsia="zh-CN"/>
                <w14:textFill>
                  <w14:solidFill>
                    <w14:schemeClr w14:val="tx1"/>
                  </w14:solidFill>
                </w14:textFill>
              </w:rPr>
              <w:t>5</w:t>
            </w:r>
          </w:p>
        </w:tc>
        <w:tc>
          <w:tcPr>
            <w:tcW w:w="794" w:type="pct"/>
            <w:tcBorders>
              <w:tl2br w:val="nil"/>
              <w:tr2bl w:val="nil"/>
            </w:tcBorders>
            <w:vAlign w:val="center"/>
          </w:tcPr>
          <w:p w14:paraId="771D0DEB">
            <w:pPr>
              <w:spacing w:line="276" w:lineRule="auto"/>
              <w:ind w:left="14" w:leftChars="7"/>
              <w:jc w:val="center"/>
              <w:rPr>
                <w:rFonts w:hint="default" w:ascii="Times New Roman" w:hAnsi="Times New Roman" w:cs="Times New Roman"/>
                <w:color w:val="000000" w:themeColor="text1"/>
                <w:sz w:val="21"/>
                <w:szCs w:val="21"/>
                <w:highlight w:val="yellow"/>
                <w:lang w:val="en-US" w:eastAsia="zh-CN"/>
                <w14:textFill>
                  <w14:solidFill>
                    <w14:schemeClr w14:val="tx1"/>
                  </w14:solidFill>
                </w14:textFill>
              </w:rPr>
            </w:pPr>
            <w:r>
              <w:rPr>
                <w:rFonts w:hint="eastAsia" w:cs="Times New Roman"/>
                <w:color w:val="000000" w:themeColor="text1"/>
                <w:sz w:val="21"/>
                <w:szCs w:val="21"/>
                <w:highlight w:val="yellow"/>
                <w:lang w:val="en-US" w:eastAsia="zh-CN"/>
                <w14:textFill>
                  <w14:solidFill>
                    <w14:schemeClr w14:val="tx1"/>
                  </w14:solidFill>
                </w14:textFill>
              </w:rPr>
              <w:t>润滑油</w:t>
            </w:r>
          </w:p>
        </w:tc>
        <w:tc>
          <w:tcPr>
            <w:tcW w:w="741" w:type="pct"/>
            <w:tcBorders>
              <w:tl2br w:val="nil"/>
              <w:tr2bl w:val="nil"/>
            </w:tcBorders>
            <w:vAlign w:val="center"/>
          </w:tcPr>
          <w:p w14:paraId="0386E0B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t/a</w:t>
            </w:r>
          </w:p>
        </w:tc>
        <w:tc>
          <w:tcPr>
            <w:tcW w:w="768" w:type="pct"/>
            <w:tcBorders>
              <w:tl2br w:val="nil"/>
              <w:tr2bl w:val="nil"/>
            </w:tcBorders>
            <w:vAlign w:val="center"/>
          </w:tcPr>
          <w:p w14:paraId="6F1AF17E">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p>
        </w:tc>
        <w:tc>
          <w:tcPr>
            <w:tcW w:w="2190" w:type="pct"/>
            <w:tcBorders>
              <w:tl2br w:val="nil"/>
              <w:tr2bl w:val="nil"/>
            </w:tcBorders>
            <w:vAlign w:val="center"/>
          </w:tcPr>
          <w:p w14:paraId="4C7DF7C3">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07A793C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tcBorders>
              <w:tl2br w:val="nil"/>
              <w:tr2bl w:val="nil"/>
            </w:tcBorders>
            <w:shd w:val="clear" w:color="auto" w:fill="auto"/>
            <w:vAlign w:val="center"/>
          </w:tcPr>
          <w:p w14:paraId="2E7681D6">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bidi="ar-SA"/>
                <w14:textFill>
                  <w14:solidFill>
                    <w14:schemeClr w14:val="tx1"/>
                  </w14:solidFill>
                </w14:textFill>
              </w:rPr>
              <w:t>6</w:t>
            </w:r>
          </w:p>
        </w:tc>
        <w:tc>
          <w:tcPr>
            <w:tcW w:w="794" w:type="pct"/>
            <w:tcBorders>
              <w:tl2br w:val="nil"/>
              <w:tr2bl w:val="nil"/>
            </w:tcBorders>
            <w:vAlign w:val="center"/>
          </w:tcPr>
          <w:p w14:paraId="1CE9F9AA">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PAC</w:t>
            </w:r>
          </w:p>
        </w:tc>
        <w:tc>
          <w:tcPr>
            <w:tcW w:w="741" w:type="pct"/>
            <w:tcBorders>
              <w:tl2br w:val="nil"/>
              <w:tr2bl w:val="nil"/>
            </w:tcBorders>
            <w:shd w:val="clear" w:color="auto" w:fill="auto"/>
            <w:vAlign w:val="center"/>
          </w:tcPr>
          <w:p w14:paraId="77250FC6">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t/a</w:t>
            </w:r>
          </w:p>
        </w:tc>
        <w:tc>
          <w:tcPr>
            <w:tcW w:w="768" w:type="pct"/>
            <w:tcBorders>
              <w:tl2br w:val="nil"/>
              <w:tr2bl w:val="nil"/>
            </w:tcBorders>
            <w:shd w:val="clear" w:color="auto" w:fill="auto"/>
            <w:vAlign w:val="center"/>
          </w:tcPr>
          <w:p w14:paraId="6D91CBAE">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p>
        </w:tc>
        <w:tc>
          <w:tcPr>
            <w:tcW w:w="2190" w:type="pct"/>
            <w:vMerge w:val="restart"/>
            <w:tcBorders>
              <w:tl2br w:val="nil"/>
              <w:tr2bl w:val="nil"/>
            </w:tcBorders>
            <w:vAlign w:val="center"/>
          </w:tcPr>
          <w:p w14:paraId="1C5347FF">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絮凝剂，污水处理使用</w:t>
            </w:r>
          </w:p>
        </w:tc>
      </w:tr>
      <w:tr w14:paraId="7561197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tcBorders>
              <w:tl2br w:val="nil"/>
              <w:tr2bl w:val="nil"/>
            </w:tcBorders>
            <w:shd w:val="clear" w:color="auto" w:fill="auto"/>
            <w:vAlign w:val="center"/>
          </w:tcPr>
          <w:p w14:paraId="37034AA3">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bidi="ar-SA"/>
                <w14:textFill>
                  <w14:solidFill>
                    <w14:schemeClr w14:val="tx1"/>
                  </w14:solidFill>
                </w14:textFill>
              </w:rPr>
              <w:t>7</w:t>
            </w:r>
          </w:p>
        </w:tc>
        <w:tc>
          <w:tcPr>
            <w:tcW w:w="794" w:type="pct"/>
            <w:tcBorders>
              <w:tl2br w:val="nil"/>
              <w:tr2bl w:val="nil"/>
            </w:tcBorders>
            <w:vAlign w:val="center"/>
          </w:tcPr>
          <w:p w14:paraId="0E902BBC">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PAM</w:t>
            </w:r>
          </w:p>
        </w:tc>
        <w:tc>
          <w:tcPr>
            <w:tcW w:w="741" w:type="pct"/>
            <w:tcBorders>
              <w:tl2br w:val="nil"/>
              <w:tr2bl w:val="nil"/>
            </w:tcBorders>
            <w:shd w:val="clear" w:color="auto" w:fill="auto"/>
            <w:vAlign w:val="center"/>
          </w:tcPr>
          <w:p w14:paraId="065C8C1D">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t/a</w:t>
            </w:r>
          </w:p>
        </w:tc>
        <w:tc>
          <w:tcPr>
            <w:tcW w:w="768" w:type="pct"/>
            <w:tcBorders>
              <w:tl2br w:val="nil"/>
              <w:tr2bl w:val="nil"/>
            </w:tcBorders>
            <w:shd w:val="clear" w:color="auto" w:fill="auto"/>
            <w:vAlign w:val="center"/>
          </w:tcPr>
          <w:p w14:paraId="7988F02B">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p>
        </w:tc>
        <w:tc>
          <w:tcPr>
            <w:tcW w:w="2190" w:type="pct"/>
            <w:vMerge w:val="continue"/>
            <w:tcBorders>
              <w:tl2br w:val="nil"/>
              <w:tr2bl w:val="nil"/>
            </w:tcBorders>
            <w:vAlign w:val="center"/>
          </w:tcPr>
          <w:p w14:paraId="4D5D1302">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0C1950B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tcBorders>
              <w:tl2br w:val="nil"/>
              <w:tr2bl w:val="nil"/>
            </w:tcBorders>
            <w:shd w:val="clear" w:color="auto" w:fill="auto"/>
            <w:vAlign w:val="center"/>
          </w:tcPr>
          <w:p w14:paraId="1D201592">
            <w:pPr>
              <w:spacing w:line="276" w:lineRule="auto"/>
              <w:ind w:left="14" w:leftChars="7"/>
              <w:jc w:val="center"/>
              <w:rPr>
                <w:rFonts w:hint="default"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bidi="ar-SA"/>
                <w14:textFill>
                  <w14:solidFill>
                    <w14:schemeClr w14:val="tx1"/>
                  </w14:solidFill>
                </w14:textFill>
              </w:rPr>
              <w:t>8</w:t>
            </w:r>
          </w:p>
        </w:tc>
        <w:tc>
          <w:tcPr>
            <w:tcW w:w="794" w:type="pct"/>
            <w:tcBorders>
              <w:tl2br w:val="nil"/>
              <w:tr2bl w:val="nil"/>
            </w:tcBorders>
            <w:vAlign w:val="center"/>
          </w:tcPr>
          <w:p w14:paraId="6FB5A810">
            <w:pPr>
              <w:spacing w:line="276" w:lineRule="auto"/>
              <w:ind w:left="14" w:leftChars="7"/>
              <w:jc w:val="center"/>
              <w:rPr>
                <w:rFonts w:hint="eastAsia"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活性炭</w:t>
            </w:r>
          </w:p>
        </w:tc>
        <w:tc>
          <w:tcPr>
            <w:tcW w:w="741" w:type="pct"/>
            <w:tcBorders>
              <w:tl2br w:val="nil"/>
              <w:tr2bl w:val="nil"/>
            </w:tcBorders>
            <w:shd w:val="clear" w:color="auto" w:fill="auto"/>
            <w:vAlign w:val="center"/>
          </w:tcPr>
          <w:p w14:paraId="5269F54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t/a</w:t>
            </w:r>
          </w:p>
        </w:tc>
        <w:tc>
          <w:tcPr>
            <w:tcW w:w="768" w:type="pct"/>
            <w:tcBorders>
              <w:tl2br w:val="nil"/>
              <w:tr2bl w:val="nil"/>
            </w:tcBorders>
            <w:shd w:val="clear" w:color="auto" w:fill="auto"/>
            <w:vAlign w:val="center"/>
          </w:tcPr>
          <w:p w14:paraId="5F06D874">
            <w:pPr>
              <w:spacing w:line="276" w:lineRule="auto"/>
              <w:ind w:left="14" w:leftChars="7"/>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5.32</w:t>
            </w:r>
          </w:p>
        </w:tc>
        <w:tc>
          <w:tcPr>
            <w:tcW w:w="2190" w:type="pct"/>
            <w:tcBorders>
              <w:tl2br w:val="nil"/>
              <w:tr2bl w:val="nil"/>
            </w:tcBorders>
            <w:vAlign w:val="center"/>
          </w:tcPr>
          <w:p w14:paraId="70DE0165">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废气治理使用</w:t>
            </w:r>
          </w:p>
        </w:tc>
      </w:tr>
      <w:tr w14:paraId="05808C3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00" w:type="pct"/>
            <w:gridSpan w:val="5"/>
            <w:tcBorders>
              <w:tl2br w:val="nil"/>
              <w:tr2bl w:val="nil"/>
            </w:tcBorders>
            <w:vAlign w:val="center"/>
          </w:tcPr>
          <w:p w14:paraId="6450DE7C">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能源消耗</w:t>
            </w:r>
          </w:p>
        </w:tc>
      </w:tr>
      <w:tr w14:paraId="46D8CCC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tcBorders>
              <w:tl2br w:val="nil"/>
              <w:tr2bl w:val="nil"/>
            </w:tcBorders>
            <w:shd w:val="clear" w:color="auto" w:fill="auto"/>
            <w:vAlign w:val="center"/>
          </w:tcPr>
          <w:p w14:paraId="69E1D478">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794" w:type="pct"/>
            <w:tcBorders>
              <w:tl2br w:val="nil"/>
              <w:tr2bl w:val="nil"/>
            </w:tcBorders>
            <w:shd w:val="clear" w:color="auto" w:fill="auto"/>
            <w:vAlign w:val="center"/>
          </w:tcPr>
          <w:p w14:paraId="6E623A82">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水</w:t>
            </w:r>
          </w:p>
        </w:tc>
        <w:tc>
          <w:tcPr>
            <w:tcW w:w="741" w:type="pct"/>
            <w:tcBorders>
              <w:tl2br w:val="nil"/>
              <w:tr2bl w:val="nil"/>
            </w:tcBorders>
            <w:shd w:val="clear" w:color="auto" w:fill="auto"/>
            <w:vAlign w:val="center"/>
          </w:tcPr>
          <w:p w14:paraId="534F869E">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t/a</w:t>
            </w:r>
          </w:p>
        </w:tc>
        <w:tc>
          <w:tcPr>
            <w:tcW w:w="768" w:type="pct"/>
            <w:tcBorders>
              <w:tl2br w:val="nil"/>
              <w:tr2bl w:val="nil"/>
            </w:tcBorders>
            <w:shd w:val="clear" w:color="auto" w:fill="auto"/>
            <w:vAlign w:val="center"/>
          </w:tcPr>
          <w:p w14:paraId="5814E5AD">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3200</w:t>
            </w:r>
          </w:p>
        </w:tc>
        <w:tc>
          <w:tcPr>
            <w:tcW w:w="2190" w:type="pct"/>
            <w:tcBorders>
              <w:tl2br w:val="nil"/>
              <w:tr2bl w:val="nil"/>
            </w:tcBorders>
            <w:shd w:val="clear" w:color="auto" w:fill="auto"/>
            <w:vAlign w:val="center"/>
          </w:tcPr>
          <w:p w14:paraId="18562FD9">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园区供水</w:t>
            </w:r>
          </w:p>
        </w:tc>
      </w:tr>
      <w:tr w14:paraId="17686FC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tcBorders>
              <w:tl2br w:val="nil"/>
              <w:tr2bl w:val="nil"/>
            </w:tcBorders>
            <w:shd w:val="clear" w:color="auto" w:fill="auto"/>
            <w:vAlign w:val="center"/>
          </w:tcPr>
          <w:p w14:paraId="05F164DE">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794" w:type="pct"/>
            <w:tcBorders>
              <w:tl2br w:val="nil"/>
              <w:tr2bl w:val="nil"/>
            </w:tcBorders>
            <w:shd w:val="clear" w:color="auto" w:fill="auto"/>
            <w:vAlign w:val="center"/>
          </w:tcPr>
          <w:p w14:paraId="00DFDC29">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电</w:t>
            </w:r>
          </w:p>
        </w:tc>
        <w:tc>
          <w:tcPr>
            <w:tcW w:w="741" w:type="pct"/>
            <w:tcBorders>
              <w:tl2br w:val="nil"/>
              <w:tr2bl w:val="nil"/>
            </w:tcBorders>
            <w:shd w:val="clear" w:color="auto" w:fill="auto"/>
            <w:vAlign w:val="center"/>
          </w:tcPr>
          <w:p w14:paraId="32D7B83D">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万kWh</w:t>
            </w:r>
          </w:p>
        </w:tc>
        <w:tc>
          <w:tcPr>
            <w:tcW w:w="768" w:type="pct"/>
            <w:tcBorders>
              <w:tl2br w:val="nil"/>
              <w:tr2bl w:val="nil"/>
            </w:tcBorders>
            <w:shd w:val="clear" w:color="auto" w:fill="auto"/>
            <w:vAlign w:val="center"/>
          </w:tcPr>
          <w:p w14:paraId="66572D4A">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120</w:t>
            </w:r>
          </w:p>
        </w:tc>
        <w:tc>
          <w:tcPr>
            <w:tcW w:w="2190" w:type="pct"/>
            <w:tcBorders>
              <w:tl2br w:val="nil"/>
              <w:tr2bl w:val="nil"/>
            </w:tcBorders>
            <w:shd w:val="clear" w:color="auto" w:fill="auto"/>
            <w:vAlign w:val="center"/>
          </w:tcPr>
          <w:p w14:paraId="41BEB433">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园区供电</w:t>
            </w:r>
          </w:p>
        </w:tc>
      </w:tr>
      <w:tr w14:paraId="3FBF6B1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4" w:type="pct"/>
            <w:tcBorders>
              <w:tl2br w:val="nil"/>
              <w:tr2bl w:val="nil"/>
            </w:tcBorders>
            <w:shd w:val="clear" w:color="auto" w:fill="auto"/>
            <w:vAlign w:val="center"/>
          </w:tcPr>
          <w:p w14:paraId="4715A490">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794" w:type="pct"/>
            <w:tcBorders>
              <w:tl2br w:val="nil"/>
              <w:tr2bl w:val="nil"/>
            </w:tcBorders>
            <w:shd w:val="clear" w:color="auto" w:fill="auto"/>
            <w:vAlign w:val="center"/>
          </w:tcPr>
          <w:p w14:paraId="54D3A94F">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蒸汽</w:t>
            </w:r>
          </w:p>
        </w:tc>
        <w:tc>
          <w:tcPr>
            <w:tcW w:w="741" w:type="pct"/>
            <w:tcBorders>
              <w:tl2br w:val="nil"/>
              <w:tr2bl w:val="nil"/>
            </w:tcBorders>
            <w:shd w:val="clear" w:color="auto" w:fill="auto"/>
            <w:vAlign w:val="center"/>
          </w:tcPr>
          <w:p w14:paraId="74C4F2B1">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万m</w:t>
            </w:r>
            <w:r>
              <w:rPr>
                <w:rFonts w:hint="default" w:ascii="Times New Roman" w:hAnsi="Times New Roman" w:cs="Times New Roman"/>
                <w:color w:val="000000" w:themeColor="text1"/>
                <w:sz w:val="21"/>
                <w:szCs w:val="21"/>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1"/>
                <w:szCs w:val="21"/>
                <w:lang w:val="en-US" w:eastAsia="zh-CN"/>
                <w14:textFill>
                  <w14:solidFill>
                    <w14:schemeClr w14:val="tx1"/>
                  </w14:solidFill>
                </w14:textFill>
              </w:rPr>
              <w:t>/a</w:t>
            </w:r>
          </w:p>
        </w:tc>
        <w:tc>
          <w:tcPr>
            <w:tcW w:w="768" w:type="pct"/>
            <w:tcBorders>
              <w:tl2br w:val="nil"/>
              <w:tr2bl w:val="nil"/>
            </w:tcBorders>
            <w:shd w:val="clear" w:color="auto" w:fill="auto"/>
            <w:vAlign w:val="center"/>
          </w:tcPr>
          <w:p w14:paraId="6834C24E">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2190" w:type="pct"/>
            <w:tcBorders>
              <w:tl2br w:val="nil"/>
              <w:tr2bl w:val="nil"/>
            </w:tcBorders>
            <w:shd w:val="clear" w:color="auto" w:fill="auto"/>
            <w:vAlign w:val="center"/>
          </w:tcPr>
          <w:p w14:paraId="0AB6606F">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highlight w:val="yellow"/>
                <w:lang w:val="en-US" w:eastAsia="zh-CN"/>
                <w14:textFill>
                  <w14:solidFill>
                    <w14:schemeClr w14:val="tx1"/>
                  </w14:solidFill>
                </w14:textFill>
              </w:rPr>
              <w:t>园区供气</w:t>
            </w:r>
          </w:p>
        </w:tc>
      </w:tr>
    </w:tbl>
    <w:p w14:paraId="0B10250C">
      <w:pPr>
        <w:spacing w:line="29" w:lineRule="exact"/>
        <w:rPr>
          <w:rFonts w:hint="default" w:ascii="Times New Roman" w:hAnsi="Times New Roman" w:cs="Times New Roman"/>
          <w:color w:val="000000" w:themeColor="text1"/>
          <w14:textFill>
            <w14:solidFill>
              <w14:schemeClr w14:val="tx1"/>
            </w14:solidFill>
          </w14:textFill>
        </w:rPr>
      </w:pPr>
    </w:p>
    <w:p w14:paraId="784BB769">
      <w:pPr>
        <w:keepNext w:val="0"/>
        <w:keepLines w:val="0"/>
        <w:pageBreakBefore w:val="0"/>
        <w:kinsoku/>
        <w:wordWrap/>
        <w:overflowPunct/>
        <w:topLinePunct w:val="0"/>
        <w:bidi w:val="0"/>
        <w:spacing w:line="360" w:lineRule="auto"/>
        <w:ind w:firstLine="482"/>
        <w:textAlignment w:val="auto"/>
        <w:rPr>
          <w:rFonts w:hint="default" w:ascii="Times New Roman" w:hAnsi="Times New Roman" w:eastAsia="宋体"/>
          <w:b/>
          <w:bCs/>
          <w:color w:val="000000" w:themeColor="text1"/>
          <w:sz w:val="24"/>
          <w:szCs w:val="24"/>
          <w:lang w:val="en-US" w:eastAsia="zh-CN"/>
          <w14:textFill>
            <w14:solidFill>
              <w14:schemeClr w14:val="tx1"/>
            </w14:solidFill>
          </w14:textFill>
        </w:rPr>
      </w:pPr>
      <w:r>
        <w:rPr>
          <w:rFonts w:hint="eastAsia" w:ascii="Times New Roman" w:hAnsi="Times New Roman"/>
          <w:b/>
          <w:bCs/>
          <w:color w:val="000000" w:themeColor="text1"/>
          <w:sz w:val="24"/>
          <w:szCs w:val="24"/>
          <w14:textFill>
            <w14:solidFill>
              <w14:schemeClr w14:val="tx1"/>
            </w14:solidFill>
          </w14:textFill>
        </w:rPr>
        <w:t>PET进场控制要求：</w:t>
      </w:r>
      <w:r>
        <w:rPr>
          <w:rFonts w:hint="eastAsia" w:ascii="Times New Roman" w:hAnsi="Times New Roman"/>
          <w:b/>
          <w:bCs/>
          <w:color w:val="000000" w:themeColor="text1"/>
          <w:sz w:val="24"/>
          <w:szCs w:val="24"/>
          <w:lang w:val="en-US" w:eastAsia="zh-CN"/>
          <w14:textFill>
            <w14:solidFill>
              <w14:schemeClr w14:val="tx1"/>
            </w14:solidFill>
          </w14:textFill>
        </w:rPr>
        <w:t xml:space="preserve">    意向来源</w:t>
      </w:r>
    </w:p>
    <w:p w14:paraId="152D1D4C">
      <w:pPr>
        <w:keepNext w:val="0"/>
        <w:keepLines w:val="0"/>
        <w:pageBreakBefore w:val="0"/>
        <w:kinsoku/>
        <w:wordWrap/>
        <w:overflowPunct/>
        <w:topLinePunct w:val="0"/>
        <w:bidi w:val="0"/>
        <w:spacing w:line="360" w:lineRule="auto"/>
        <w:ind w:firstLine="480"/>
        <w:textAlignment w:val="auto"/>
        <w:rPr>
          <w:rFonts w:hint="eastAsia"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本项目主要生产</w:t>
      </w:r>
      <w:r>
        <w:rPr>
          <w:rFonts w:hint="eastAsia" w:ascii="Times New Roman" w:hAnsi="Times New Roman"/>
          <w:color w:val="000000" w:themeColor="text1"/>
          <w:sz w:val="24"/>
          <w:szCs w:val="24"/>
          <w:lang w:val="en-US" w:eastAsia="zh-CN"/>
          <w14:textFill>
            <w14:solidFill>
              <w14:schemeClr w14:val="tx1"/>
            </w14:solidFill>
          </w14:textFill>
        </w:rPr>
        <w:t>PET瓶片</w:t>
      </w:r>
      <w:r>
        <w:rPr>
          <w:rFonts w:hint="eastAsia" w:ascii="Times New Roman" w:hAnsi="Times New Roman"/>
          <w:color w:val="000000" w:themeColor="text1"/>
          <w:sz w:val="24"/>
          <w:szCs w:val="24"/>
          <w:highlight w:val="none"/>
          <w:shd w:val="clear"/>
          <w14:textFill>
            <w14:solidFill>
              <w14:schemeClr w14:val="tx1"/>
            </w14:solidFill>
          </w14:textFill>
        </w:rPr>
        <w:t>，再生供应商对这些原料进行分拣、清洗等加工成</w:t>
      </w:r>
      <w:r>
        <w:rPr>
          <w:rFonts w:hint="eastAsia" w:ascii="Times New Roman" w:hAnsi="Times New Roman"/>
          <w:color w:val="000000" w:themeColor="text1"/>
          <w:sz w:val="24"/>
          <w:szCs w:val="24"/>
          <w:highlight w:val="none"/>
          <w:shd w:val="clear"/>
          <w:lang w:eastAsia="zh-CN"/>
          <w14:textFill>
            <w14:solidFill>
              <w14:schemeClr w14:val="tx1"/>
            </w14:solidFill>
          </w14:textFill>
        </w:rPr>
        <w:t>瓶砖</w:t>
      </w:r>
      <w:r>
        <w:rPr>
          <w:rFonts w:hint="eastAsia" w:ascii="Times New Roman" w:hAnsi="Times New Roman"/>
          <w:color w:val="000000" w:themeColor="text1"/>
          <w:sz w:val="24"/>
          <w:szCs w:val="24"/>
          <w:highlight w:val="none"/>
          <w:shd w:val="clear"/>
          <w:lang w:val="en-US" w:eastAsia="zh-CN"/>
          <w14:textFill>
            <w14:solidFill>
              <w14:schemeClr w14:val="tx1"/>
            </w14:solidFill>
          </w14:textFill>
        </w:rPr>
        <w:t>等形式</w:t>
      </w:r>
      <w:r>
        <w:rPr>
          <w:rFonts w:hint="eastAsia" w:ascii="Times New Roman" w:hAnsi="Times New Roman"/>
          <w:color w:val="000000" w:themeColor="text1"/>
          <w:sz w:val="24"/>
          <w:szCs w:val="24"/>
          <w:highlight w:val="none"/>
          <w:shd w:val="clear"/>
          <w14:textFill>
            <w14:solidFill>
              <w14:schemeClr w14:val="tx1"/>
            </w14:solidFill>
          </w14:textFill>
        </w:rPr>
        <w:t>售卖给本企业</w:t>
      </w:r>
      <w:r>
        <w:rPr>
          <w:rFonts w:hint="eastAsia" w:ascii="Times New Roman" w:hAnsi="Times New Roman"/>
          <w:color w:val="000000" w:themeColor="text1"/>
          <w:sz w:val="24"/>
          <w:szCs w:val="24"/>
          <w:highlight w:val="none"/>
          <w14:textFill>
            <w14:solidFill>
              <w14:schemeClr w14:val="tx1"/>
            </w14:solidFill>
          </w14:textFill>
        </w:rPr>
        <w:t>。本项目不</w:t>
      </w:r>
      <w:r>
        <w:rPr>
          <w:rFonts w:hint="eastAsia" w:ascii="Times New Roman" w:hAnsi="Times New Roman"/>
          <w:color w:val="000000" w:themeColor="text1"/>
          <w:sz w:val="24"/>
          <w:szCs w:val="24"/>
          <w14:textFill>
            <w14:solidFill>
              <w14:schemeClr w14:val="tx1"/>
            </w14:solidFill>
          </w14:textFill>
        </w:rPr>
        <w:t>接收含卤素等有毒有害物质的废塑料，不使用受到危险化学品、农药等污染的废弃塑料包装物，不回收和再生利用医疗废物和危险废物的废塑料以及氟塑料等特种工程塑料</w:t>
      </w:r>
      <w:r>
        <w:rPr>
          <w:rFonts w:hint="eastAsia" w:ascii="Times New Roman" w:hAnsi="Times New Roman"/>
          <w:color w:val="000000" w:themeColor="text1"/>
          <w:sz w:val="24"/>
          <w:szCs w:val="24"/>
          <w:lang w:eastAsia="zh-CN"/>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符合《废塑料回收与再生利用污染控制技术规范》、《废塑料加工利用污染防治管理规定》等文件要求。</w:t>
      </w:r>
    </w:p>
    <w:p w14:paraId="5A39B364">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2"/>
          <w:sz w:val="24"/>
          <w:szCs w:val="24"/>
          <w14:textFill>
            <w14:solidFill>
              <w14:schemeClr w14:val="tx1"/>
            </w14:solidFill>
          </w14:textFill>
        </w:rPr>
        <w:t>主要原辅材料理化性质，见</w:t>
      </w:r>
      <w:r>
        <w:rPr>
          <w:rFonts w:hint="default" w:ascii="Times New Roman" w:hAnsi="Times New Roman" w:eastAsia="宋体" w:cs="Times New Roman"/>
          <w:color w:val="000000" w:themeColor="text1"/>
          <w:spacing w:val="-40"/>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pacing w:val="-2"/>
          <w:sz w:val="24"/>
          <w:szCs w:val="24"/>
          <w14:textFill>
            <w14:solidFill>
              <w14:schemeClr w14:val="tx1"/>
            </w14:solidFill>
          </w14:textFill>
        </w:rPr>
        <w:t>3.1-</w:t>
      </w:r>
      <w:r>
        <w:rPr>
          <w:rFonts w:hint="default" w:ascii="Times New Roman" w:hAnsi="Times New Roman" w:eastAsia="宋体" w:cs="Times New Roman"/>
          <w:color w:val="000000" w:themeColor="text1"/>
          <w:spacing w:val="-2"/>
          <w:sz w:val="24"/>
          <w:szCs w:val="24"/>
          <w:lang w:val="en-US" w:eastAsia="zh-CN"/>
          <w14:textFill>
            <w14:solidFill>
              <w14:schemeClr w14:val="tx1"/>
            </w14:solidFill>
          </w14:textFill>
        </w:rPr>
        <w:t>7</w:t>
      </w:r>
      <w:r>
        <w:rPr>
          <w:rFonts w:hint="default" w:ascii="Times New Roman" w:hAnsi="Times New Roman" w:eastAsia="宋体" w:cs="Times New Roman"/>
          <w:color w:val="000000" w:themeColor="text1"/>
          <w:spacing w:val="-2"/>
          <w:sz w:val="24"/>
          <w:szCs w:val="24"/>
          <w14:textFill>
            <w14:solidFill>
              <w14:schemeClr w14:val="tx1"/>
            </w14:solidFill>
          </w14:textFill>
        </w:rPr>
        <w:t>。</w:t>
      </w:r>
    </w:p>
    <w:p w14:paraId="0087E44D">
      <w:pPr>
        <w:spacing w:before="78" w:line="219" w:lineRule="auto"/>
        <w:jc w:val="center"/>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 3.1-</w:t>
      </w:r>
      <w:r>
        <w:rPr>
          <w:rFonts w:hint="default" w:ascii="Times New Roman" w:hAnsi="Times New Roman" w:eastAsia="黑体" w:cs="Times New Roman"/>
          <w:color w:val="000000" w:themeColor="text1"/>
          <w:sz w:val="24"/>
          <w:lang w:val="en-US" w:eastAsia="zh-CN"/>
          <w14:textFill>
            <w14:solidFill>
              <w14:schemeClr w14:val="tx1"/>
            </w14:solidFill>
          </w14:textFill>
        </w:rPr>
        <w:t>7</w:t>
      </w:r>
      <w:r>
        <w:rPr>
          <w:rFonts w:hint="default" w:ascii="Times New Roman" w:hAnsi="Times New Roman" w:eastAsia="黑体" w:cs="Times New Roman"/>
          <w:color w:val="000000" w:themeColor="text1"/>
          <w:sz w:val="24"/>
          <w14:textFill>
            <w14:solidFill>
              <w14:schemeClr w14:val="tx1"/>
            </w14:solidFill>
          </w14:textFill>
        </w:rPr>
        <w:t>主要原辅材料理化性质</w:t>
      </w:r>
    </w:p>
    <w:tbl>
      <w:tblPr>
        <w:tblStyle w:val="4092"/>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27"/>
        <w:gridCol w:w="5335"/>
        <w:gridCol w:w="1129"/>
        <w:gridCol w:w="1012"/>
      </w:tblGrid>
      <w:tr w14:paraId="10300F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498" w:type="pct"/>
            <w:tcBorders>
              <w:top w:val="single" w:color="000000" w:sz="10" w:space="0"/>
              <w:left w:val="nil"/>
            </w:tcBorders>
            <w:vAlign w:val="center"/>
          </w:tcPr>
          <w:p w14:paraId="69B0ED3B">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名称</w:t>
            </w:r>
          </w:p>
        </w:tc>
        <w:tc>
          <w:tcPr>
            <w:tcW w:w="3212" w:type="pct"/>
            <w:tcBorders>
              <w:top w:val="single" w:color="000000" w:sz="10" w:space="0"/>
            </w:tcBorders>
            <w:vAlign w:val="center"/>
          </w:tcPr>
          <w:p w14:paraId="638FAEC0">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理化性质</w:t>
            </w:r>
          </w:p>
        </w:tc>
        <w:tc>
          <w:tcPr>
            <w:tcW w:w="680" w:type="pct"/>
            <w:tcBorders>
              <w:top w:val="single" w:color="000000" w:sz="10" w:space="0"/>
            </w:tcBorders>
            <w:vAlign w:val="center"/>
          </w:tcPr>
          <w:p w14:paraId="6EC58220">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危险特性</w:t>
            </w:r>
          </w:p>
        </w:tc>
        <w:tc>
          <w:tcPr>
            <w:tcW w:w="609" w:type="pct"/>
            <w:tcBorders>
              <w:top w:val="single" w:color="000000" w:sz="10" w:space="0"/>
              <w:right w:val="nil"/>
            </w:tcBorders>
            <w:vAlign w:val="center"/>
          </w:tcPr>
          <w:p w14:paraId="02ED8B60">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毒性毒理</w:t>
            </w:r>
          </w:p>
        </w:tc>
      </w:tr>
      <w:tr w14:paraId="7AC366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498" w:type="pct"/>
            <w:tcBorders>
              <w:left w:val="nil"/>
            </w:tcBorders>
            <w:vAlign w:val="center"/>
          </w:tcPr>
          <w:p w14:paraId="0C73DB4D">
            <w:pPr>
              <w:spacing w:line="276" w:lineRule="auto"/>
              <w:jc w:val="center"/>
              <w:rPr>
                <w:rFonts w:hint="default" w:ascii="Times New Roman" w:hAnsi="Times New Roman" w:cs="Times New Roman"/>
                <w:color w:val="000000" w:themeColor="text1"/>
                <w:sz w:val="21"/>
                <w:szCs w:val="21"/>
                <w:highlight w:val="yellow"/>
                <w:lang w:val="en-US" w:eastAsia="zh-CN"/>
                <w14:textFill>
                  <w14:solidFill>
                    <w14:schemeClr w14:val="tx1"/>
                  </w14:solidFill>
                </w14:textFill>
              </w:rPr>
            </w:pPr>
            <w:r>
              <w:rPr>
                <w:rFonts w:hint="default" w:ascii="Times New Roman" w:hAnsi="Times New Roman" w:cs="Times New Roman"/>
                <w:color w:val="000000" w:themeColor="text1"/>
                <w:sz w:val="21"/>
                <w:szCs w:val="21"/>
                <w:highlight w:val="yellow"/>
                <w:lang w:val="en-US" w:eastAsia="zh-CN"/>
                <w14:textFill>
                  <w14:solidFill>
                    <w14:schemeClr w14:val="tx1"/>
                  </w14:solidFill>
                </w14:textFill>
              </w:rPr>
              <w:t>PET</w:t>
            </w:r>
          </w:p>
        </w:tc>
        <w:tc>
          <w:tcPr>
            <w:tcW w:w="3212" w:type="pct"/>
            <w:vAlign w:val="center"/>
          </w:tcPr>
          <w:p w14:paraId="209E50B0">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由对苯二甲酸二甲酯与乙二醇酯交换或以对苯二甲酸与乙二醇酯化先合成对苯二甲酸双羟乙酯，然后再进行缩聚反应制得。属结晶型饱和聚酯，为乳白色或浅黄色、高度结晶的聚合物，表面平滑有光泽。是生活中常见的一种树脂。在较宽的温度范围内具有优良的物理机械性能，长期使用温度可达120℃ , 电绝缘性优良，甚至在高温高频下，其电性能仍较好，但耐电晕性较差，抗蠕变性，耐疲劳性，耐摩擦性、尺寸稳定性都很好。</w:t>
            </w:r>
          </w:p>
        </w:tc>
        <w:tc>
          <w:tcPr>
            <w:tcW w:w="680" w:type="pct"/>
            <w:vAlign w:val="center"/>
          </w:tcPr>
          <w:p w14:paraId="18E3BCB4">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可燃</w:t>
            </w:r>
          </w:p>
        </w:tc>
        <w:tc>
          <w:tcPr>
            <w:tcW w:w="609" w:type="pct"/>
            <w:tcBorders>
              <w:right w:val="nil"/>
            </w:tcBorders>
            <w:vAlign w:val="center"/>
          </w:tcPr>
          <w:p w14:paraId="1F31EF17">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无毒</w:t>
            </w:r>
          </w:p>
        </w:tc>
      </w:tr>
      <w:tr w14:paraId="5084C4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498" w:type="pct"/>
            <w:tcBorders>
              <w:left w:val="nil"/>
            </w:tcBorders>
            <w:vAlign w:val="center"/>
          </w:tcPr>
          <w:p w14:paraId="50A85C17">
            <w:pPr>
              <w:spacing w:line="276" w:lineRule="auto"/>
              <w:jc w:val="center"/>
              <w:rPr>
                <w:rFonts w:hint="eastAsia" w:ascii="Times New Roman" w:hAnsi="Times New Roman" w:eastAsia="宋体" w:cs="Times New Roman"/>
                <w:color w:val="000000" w:themeColor="text1"/>
                <w:sz w:val="21"/>
                <w:szCs w:val="21"/>
                <w:highlight w:val="yellow"/>
                <w:lang w:val="en-US" w:eastAsia="zh-CN"/>
                <w14:textFill>
                  <w14:solidFill>
                    <w14:schemeClr w14:val="tx1"/>
                  </w14:solidFill>
                </w14:textFill>
              </w:rPr>
            </w:pPr>
            <w:r>
              <w:rPr>
                <w:rFonts w:hint="default" w:ascii="Times New Roman" w:hAnsi="Times New Roman" w:cs="Times New Roman"/>
                <w:color w:val="000000" w:themeColor="text1"/>
                <w:sz w:val="21"/>
                <w:szCs w:val="21"/>
                <w:highlight w:val="yellow"/>
                <w:lang w:val="en-US" w:eastAsia="zh-CN"/>
                <w14:textFill>
                  <w14:solidFill>
                    <w14:schemeClr w14:val="tx1"/>
                  </w14:solidFill>
                </w14:textFill>
              </w:rPr>
              <w:t>PP</w:t>
            </w:r>
            <w:r>
              <w:rPr>
                <w:rFonts w:hint="eastAsia"/>
                <w:color w:val="000000" w:themeColor="text1"/>
                <w:lang w:eastAsia="zh-CN"/>
                <w14:textFill>
                  <w14:solidFill>
                    <w14:schemeClr w14:val="tx1"/>
                  </w14:solidFill>
                </w14:textFill>
              </w:rPr>
              <w:t>（标签纸）</w:t>
            </w:r>
          </w:p>
        </w:tc>
        <w:tc>
          <w:tcPr>
            <w:tcW w:w="3212" w:type="pct"/>
            <w:vAlign w:val="center"/>
          </w:tcPr>
          <w:p w14:paraId="771264F1">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系白色蜡状材料，外观透明而轻。密度为0.89～0.91g/cm</w:t>
            </w:r>
            <w:r>
              <w:rPr>
                <w:rFonts w:hint="default" w:ascii="Times New Roman" w:hAnsi="Times New Roman" w:cs="Times New Roman"/>
                <w:color w:val="000000" w:themeColor="text1"/>
                <w:sz w:val="21"/>
                <w:szCs w:val="21"/>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1"/>
                <w:szCs w:val="21"/>
                <w:lang w:val="en-US" w:eastAsia="zh-CN"/>
                <w14:textFill>
                  <w14:solidFill>
                    <w14:schemeClr w14:val="tx1"/>
                  </w14:solidFill>
                </w14:textFill>
              </w:rPr>
              <w:t>，易燃，熔点165℃，在155℃左右软化，使用温度范围为-30～140℃。在80℃以下能耐酸、碱、盐液及多种有机溶剂的腐蚀，能在高温和氧化作用下分解。聚丙烯广泛应用于服装、毛毯等纤维制品、医疗器械、汽车、 自行车、零件、输送管道、化工容器等生产，也用于食品、药品包装。</w:t>
            </w:r>
          </w:p>
        </w:tc>
        <w:tc>
          <w:tcPr>
            <w:tcW w:w="680" w:type="pct"/>
            <w:vAlign w:val="center"/>
          </w:tcPr>
          <w:p w14:paraId="46E6D02D">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可燃</w:t>
            </w:r>
          </w:p>
        </w:tc>
        <w:tc>
          <w:tcPr>
            <w:tcW w:w="609" w:type="pct"/>
            <w:tcBorders>
              <w:right w:val="nil"/>
            </w:tcBorders>
            <w:vAlign w:val="center"/>
          </w:tcPr>
          <w:p w14:paraId="723DD999">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无毒</w:t>
            </w:r>
          </w:p>
        </w:tc>
      </w:tr>
      <w:tr w14:paraId="64D6A0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498" w:type="pct"/>
            <w:tcBorders>
              <w:left w:val="nil"/>
            </w:tcBorders>
            <w:vAlign w:val="center"/>
          </w:tcPr>
          <w:p w14:paraId="2E648E1C">
            <w:pPr>
              <w:spacing w:line="276" w:lineRule="auto"/>
              <w:jc w:val="center"/>
              <w:rPr>
                <w:rFonts w:hint="default" w:ascii="Times New Roman" w:hAnsi="Times New Roman" w:cs="Times New Roman"/>
                <w:color w:val="000000" w:themeColor="text1"/>
                <w:sz w:val="21"/>
                <w:szCs w:val="21"/>
                <w:highlight w:val="yellow"/>
                <w:lang w:val="en-US" w:eastAsia="zh-CN"/>
                <w14:textFill>
                  <w14:solidFill>
                    <w14:schemeClr w14:val="tx1"/>
                  </w14:solidFill>
                </w14:textFill>
              </w:rPr>
            </w:pPr>
            <w:r>
              <w:rPr>
                <w:rFonts w:hint="default" w:ascii="Times New Roman" w:hAnsi="Times New Roman" w:cs="Times New Roman"/>
                <w:color w:val="000000" w:themeColor="text1"/>
                <w:sz w:val="21"/>
                <w:szCs w:val="21"/>
                <w:highlight w:val="yellow"/>
                <w:lang w:val="en-US" w:eastAsia="zh-CN"/>
                <w14:textFill>
                  <w14:solidFill>
                    <w14:schemeClr w14:val="tx1"/>
                  </w14:solidFill>
                </w14:textFill>
              </w:rPr>
              <w:t>PVC</w:t>
            </w:r>
            <w:r>
              <w:rPr>
                <w:rFonts w:hint="eastAsia" w:cs="Times New Roman"/>
                <w:color w:val="000000" w:themeColor="text1"/>
                <w:sz w:val="21"/>
                <w:szCs w:val="21"/>
                <w:highlight w:val="yellow"/>
                <w:lang w:val="en-US" w:eastAsia="zh-CN"/>
                <w14:textFill>
                  <w14:solidFill>
                    <w14:schemeClr w14:val="tx1"/>
                  </w14:solidFill>
                </w14:textFill>
              </w:rPr>
              <w:t>（标签纸）</w:t>
            </w:r>
          </w:p>
        </w:tc>
        <w:tc>
          <w:tcPr>
            <w:tcW w:w="3212" w:type="pct"/>
            <w:vAlign w:val="center"/>
          </w:tcPr>
          <w:p w14:paraId="01D63EFC">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由氯乙烯在引发剂作用下聚合而成的热塑性树脂，是氯乙烯的均聚物，氯乙烯均聚物和氯乙烯共聚物统称为氯乙烯树脂。PVC为无定形结构的白色粉末，支化度较小。工业生产的PVC分子量一般在5万～12万范围内，具有较大的多分散性，分子量随聚合温度的降低而增加；无固定熔点，80～85℃开始软化，130℃变为粘弹态，160～180℃开始转变为粘流态；有较好的机械性能，抗张强度60MPa左右，冲击强度5～10kJ/m²；有优异的介电性能。但对光和热的稳定性差，在100℃以上或经长时间阳光曝晒，就会分解而产生氯化氢，并进一步自动催化分解，引起变色，物理机械性能也迅速下降，在实际应用中必须加入稳定剂以提高对热和光的稳定性。PVC很坚硬，溶解性也很差，只能溶于环己酮、二氯乙烷和四氢呋喃等少数溶剂中，对有机和无机酸、碱、盐均稳定，化学稳定性随使用温度的升高而降低。PVC溶解在丙酮-二硫化碳或丙酮－苯混合溶剂中，用于干法纺丝或湿法纺丝而成纤维，称氯纶。具有难燃、耐酸碱、抗微生物、耐磨并具有较好的保暖性和弹性。</w:t>
            </w:r>
          </w:p>
        </w:tc>
        <w:tc>
          <w:tcPr>
            <w:tcW w:w="680" w:type="pct"/>
            <w:vAlign w:val="center"/>
          </w:tcPr>
          <w:p w14:paraId="79029FB0">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可燃</w:t>
            </w:r>
          </w:p>
        </w:tc>
        <w:tc>
          <w:tcPr>
            <w:tcW w:w="609" w:type="pct"/>
            <w:tcBorders>
              <w:right w:val="nil"/>
            </w:tcBorders>
            <w:vAlign w:val="center"/>
          </w:tcPr>
          <w:p w14:paraId="42183758">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无毒</w:t>
            </w:r>
          </w:p>
        </w:tc>
      </w:tr>
      <w:tr w14:paraId="12071F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498" w:type="pct"/>
            <w:tcBorders>
              <w:left w:val="nil"/>
            </w:tcBorders>
            <w:vAlign w:val="center"/>
          </w:tcPr>
          <w:p w14:paraId="78FB28BE">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PAC（</w:t>
            </w:r>
            <w:r>
              <w:rPr>
                <w:rFonts w:hint="default" w:ascii="Times New Roman" w:hAnsi="Times New Roman" w:eastAsia="宋体" w:cs="Times New Roman"/>
                <w:color w:val="000000" w:themeColor="text1"/>
                <w:sz w:val="21"/>
                <w:szCs w:val="21"/>
                <w14:textFill>
                  <w14:solidFill>
                    <w14:schemeClr w14:val="tx1"/>
                  </w14:solidFill>
                </w14:textFill>
              </w:rPr>
              <w:t>聚合氯化铝</w:t>
            </w:r>
            <w:r>
              <w:rPr>
                <w:rFonts w:hint="eastAsia" w:cs="Times New Roman"/>
                <w:color w:val="000000" w:themeColor="text1"/>
                <w:sz w:val="21"/>
                <w:szCs w:val="21"/>
                <w:lang w:val="en-US" w:eastAsia="zh-CN"/>
                <w14:textFill>
                  <w14:solidFill>
                    <w14:schemeClr w14:val="tx1"/>
                  </w14:solidFill>
                </w14:textFill>
              </w:rPr>
              <w:t>）</w:t>
            </w:r>
          </w:p>
        </w:tc>
        <w:tc>
          <w:tcPr>
            <w:tcW w:w="3212" w:type="pct"/>
            <w:shd w:val="clear" w:color="auto" w:fill="auto"/>
            <w:vAlign w:val="center"/>
          </w:tcPr>
          <w:p w14:paraId="7EF4C4A3">
            <w:pPr>
              <w:spacing w:line="240" w:lineRule="atLeast"/>
              <w:ind w:firstLine="0" w:firstLineChars="0"/>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是一种净水材料，无机高分子混凝剂，又被简称为聚铝，英文缩写为PAC，由于氢氧根离子的架桥作用和多价阴离子的聚合作用而生产的分子量较大、电荷较高的无机高分子水处理药剂。在形态上又可以分为固体和液体两种。固体按颜色不同又分为棕褐色、米黄色、金黄色和白色，液体可以呈现为无色透明、微黄色、浅黄色至黄褐色。易溶于水及稀酒精，不溶于无水酒精及甘油。不同颜色的聚合氯化铝在应用及生产技术上也有较大的区别。</w:t>
            </w:r>
          </w:p>
        </w:tc>
        <w:tc>
          <w:tcPr>
            <w:tcW w:w="680" w:type="pct"/>
            <w:vAlign w:val="center"/>
          </w:tcPr>
          <w:p w14:paraId="201D2980">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609" w:type="pct"/>
            <w:tcBorders>
              <w:right w:val="nil"/>
            </w:tcBorders>
            <w:vAlign w:val="center"/>
          </w:tcPr>
          <w:p w14:paraId="7A3DCA02">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无毒</w:t>
            </w:r>
          </w:p>
        </w:tc>
      </w:tr>
      <w:tr w14:paraId="186D9D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498" w:type="pct"/>
            <w:tcBorders>
              <w:left w:val="nil"/>
            </w:tcBorders>
            <w:vAlign w:val="center"/>
          </w:tcPr>
          <w:p w14:paraId="2ABE8FA6">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PAM（</w:t>
            </w:r>
            <w:r>
              <w:rPr>
                <w:rFonts w:hint="default" w:ascii="Times New Roman" w:hAnsi="Times New Roman" w:eastAsia="宋体" w:cs="Times New Roman"/>
                <w:color w:val="000000" w:themeColor="text1"/>
                <w:sz w:val="21"/>
                <w:szCs w:val="21"/>
                <w14:textFill>
                  <w14:solidFill>
                    <w14:schemeClr w14:val="tx1"/>
                  </w14:solidFill>
                </w14:textFill>
              </w:rPr>
              <w:t>聚丙烯酰胺</w:t>
            </w:r>
            <w:r>
              <w:rPr>
                <w:rFonts w:hint="eastAsia" w:cs="Times New Roman"/>
                <w:color w:val="000000" w:themeColor="text1"/>
                <w:sz w:val="21"/>
                <w:szCs w:val="21"/>
                <w:lang w:val="en-US" w:eastAsia="zh-CN"/>
                <w14:textFill>
                  <w14:solidFill>
                    <w14:schemeClr w14:val="tx1"/>
                  </w14:solidFill>
                </w14:textFill>
              </w:rPr>
              <w:t>）</w:t>
            </w:r>
          </w:p>
        </w:tc>
        <w:tc>
          <w:tcPr>
            <w:tcW w:w="3212" w:type="pct"/>
            <w:shd w:val="clear" w:color="auto" w:fill="auto"/>
            <w:vAlign w:val="center"/>
          </w:tcPr>
          <w:p w14:paraId="3F3BDB5A">
            <w:pPr>
              <w:spacing w:line="240" w:lineRule="atLeast"/>
              <w:ind w:firstLine="0" w:firstLineChars="0"/>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英文名称为Poly(acrylamide)，CAS号为9003-05-8，分子式为(C</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H</w:t>
            </w:r>
            <w:r>
              <w:rPr>
                <w:rFonts w:hint="default" w:ascii="Times New Roman" w:hAnsi="Times New Roman" w:eastAsia="宋体" w:cs="Times New Roman"/>
                <w:color w:val="000000" w:themeColor="text1"/>
                <w:sz w:val="21"/>
                <w:szCs w:val="21"/>
                <w:vertAlign w:val="subscript"/>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NO)n，聚丙烯酰胺是一种线状的有机高分子聚合物，同时也是一种高分子水处理絮凝剂产品，专门可以吸附水中的悬浮颗粒，在颗粒之间起链接架桥作用，使细颗粒形成比较大的絮团，并且加快了沉淀的速度。这一过程称之为絮凝，因其中良好的絮凝效果PAM作为水处理的絮凝剂并且被广泛用于污水处理。PAM能使悬浮物质通过电中和，起到絮凝作用，可以通过物理的化学作用等起到粘合作用，在中性和酸性条件下都有增稠作用，如果PH值在10以上PAM容易水解，可溶于水。</w:t>
            </w:r>
          </w:p>
        </w:tc>
        <w:tc>
          <w:tcPr>
            <w:tcW w:w="680" w:type="pct"/>
            <w:vAlign w:val="center"/>
          </w:tcPr>
          <w:p w14:paraId="368FD095">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609" w:type="pct"/>
            <w:tcBorders>
              <w:right w:val="nil"/>
            </w:tcBorders>
            <w:vAlign w:val="center"/>
          </w:tcPr>
          <w:p w14:paraId="54A6F52C">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无毒</w:t>
            </w:r>
          </w:p>
        </w:tc>
      </w:tr>
      <w:tr w14:paraId="16E42F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498" w:type="pct"/>
            <w:tcBorders>
              <w:left w:val="nil"/>
            </w:tcBorders>
            <w:vAlign w:val="center"/>
          </w:tcPr>
          <w:p w14:paraId="7B22FFF0">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NaOH（片碱）</w:t>
            </w:r>
          </w:p>
        </w:tc>
        <w:tc>
          <w:tcPr>
            <w:tcW w:w="3212" w:type="pct"/>
            <w:vAlign w:val="center"/>
          </w:tcPr>
          <w:p w14:paraId="53ABB10A">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氢氧化钠（烧碱）</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CAS号：1310-73-2</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分子量：40.01</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白色不透明固体，易潮解</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易溶于水、乙醇、甘油，不溶于丙酮</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熔点(℃)：318.4</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沸点(℃)：1390</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相对密度(水=1)：2.12</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饱和蒸气压(kPa)：0.13(739℃)</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主要用途：用于肥皂工业、石油精炼、造纸、人造丝、染色、制革、医药、有机合成等</w:t>
            </w:r>
            <w:r>
              <w:rPr>
                <w:rFonts w:hint="eastAsia" w:cs="Times New Roman"/>
                <w:color w:val="000000" w:themeColor="text1"/>
                <w:sz w:val="21"/>
                <w:szCs w:val="21"/>
                <w:lang w:val="en-US" w:eastAsia="zh-CN"/>
                <w14:textFill>
                  <w14:solidFill>
                    <w14:schemeClr w14:val="tx1"/>
                  </w14:solidFill>
                </w14:textFill>
              </w:rPr>
              <w:t>。</w:t>
            </w:r>
          </w:p>
        </w:tc>
        <w:tc>
          <w:tcPr>
            <w:tcW w:w="680" w:type="pct"/>
            <w:vAlign w:val="center"/>
          </w:tcPr>
          <w:p w14:paraId="54A37D02">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腐蚀性</w:t>
            </w:r>
          </w:p>
        </w:tc>
        <w:tc>
          <w:tcPr>
            <w:tcW w:w="609" w:type="pct"/>
            <w:tcBorders>
              <w:right w:val="nil"/>
            </w:tcBorders>
            <w:vAlign w:val="center"/>
          </w:tcPr>
          <w:p w14:paraId="6E72F67A">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无毒</w:t>
            </w:r>
          </w:p>
        </w:tc>
      </w:tr>
    </w:tbl>
    <w:p w14:paraId="25442A48">
      <w:pPr>
        <w:pStyle w:val="3159"/>
        <w:rPr>
          <w:rFonts w:hint="default" w:ascii="Times New Roman" w:hAnsi="Times New Roman" w:eastAsia="黑体" w:cs="Times New Roman"/>
          <w:color w:val="000000" w:themeColor="text1"/>
          <w:sz w:val="28"/>
          <w:szCs w:val="28"/>
          <w14:textFill>
            <w14:solidFill>
              <w14:schemeClr w14:val="tx1"/>
            </w14:solidFill>
          </w14:textFill>
        </w:rPr>
      </w:pPr>
      <w:r>
        <w:rPr>
          <w:rFonts w:hint="default" w:ascii="Times New Roman" w:hAnsi="Times New Roman" w:eastAsia="黑体" w:cs="Times New Roman"/>
          <w:b w:val="0"/>
          <w:color w:val="000000" w:themeColor="text1"/>
          <w14:textFill>
            <w14:solidFill>
              <w14:schemeClr w14:val="tx1"/>
            </w14:solidFill>
          </w14:textFill>
        </w:rPr>
        <w:t>3.1.4 主要生产设备</w:t>
      </w:r>
    </w:p>
    <w:p w14:paraId="72FE6FA4">
      <w:pPr>
        <w:spacing w:before="78" w:line="219" w:lineRule="auto"/>
        <w:ind w:firstLine="472" w:firstLineChars="200"/>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pacing w:val="-2"/>
          <w:sz w:val="24"/>
          <w:szCs w:val="24"/>
          <w14:textFill>
            <w14:solidFill>
              <w14:schemeClr w14:val="tx1"/>
            </w14:solidFill>
          </w14:textFill>
        </w:rPr>
        <w:t>该项目厂内主要生产设备见表</w:t>
      </w:r>
      <w:r>
        <w:rPr>
          <w:rFonts w:hint="default" w:ascii="Times New Roman" w:hAnsi="Times New Roman" w:eastAsia="宋体" w:cs="Times New Roman"/>
          <w:color w:val="000000" w:themeColor="text1"/>
          <w:spacing w:val="-40"/>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pacing w:val="-2"/>
          <w:sz w:val="24"/>
          <w:szCs w:val="24"/>
          <w14:textFill>
            <w14:solidFill>
              <w14:schemeClr w14:val="tx1"/>
            </w14:solidFill>
          </w14:textFill>
        </w:rPr>
        <w:t>3.1-</w:t>
      </w:r>
      <w:r>
        <w:rPr>
          <w:rFonts w:hint="default" w:ascii="Times New Roman" w:hAnsi="Times New Roman" w:eastAsia="宋体" w:cs="Times New Roman"/>
          <w:color w:val="000000" w:themeColor="text1"/>
          <w:spacing w:val="-2"/>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pacing w:val="-2"/>
          <w:sz w:val="24"/>
          <w:szCs w:val="24"/>
          <w14:textFill>
            <w14:solidFill>
              <w14:schemeClr w14:val="tx1"/>
            </w14:solidFill>
          </w14:textFill>
        </w:rPr>
        <w:t>。</w:t>
      </w:r>
    </w:p>
    <w:p w14:paraId="7F582EE7">
      <w:pPr>
        <w:spacing w:before="78" w:line="219"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表3.1-</w:t>
      </w:r>
      <w:r>
        <w:rPr>
          <w:rFonts w:hint="default" w:ascii="Times New Roman" w:hAnsi="Times New Roman" w:eastAsia="黑体" w:cs="Times New Roman"/>
          <w:color w:val="000000" w:themeColor="text1"/>
          <w:sz w:val="24"/>
          <w:lang w:val="en-US" w:eastAsia="zh-CN"/>
          <w14:textFill>
            <w14:solidFill>
              <w14:schemeClr w14:val="tx1"/>
            </w14:solidFill>
          </w14:textFill>
        </w:rPr>
        <w:t>5</w:t>
      </w:r>
      <w:r>
        <w:rPr>
          <w:rFonts w:hint="default" w:ascii="Times New Roman" w:hAnsi="Times New Roman" w:eastAsia="黑体" w:cs="Times New Roman"/>
          <w:color w:val="000000" w:themeColor="text1"/>
          <w:sz w:val="24"/>
          <w14:textFill>
            <w14:solidFill>
              <w14:schemeClr w14:val="tx1"/>
            </w14:solidFill>
          </w14:textFill>
        </w:rPr>
        <w:t>主要生产设备一览表</w:t>
      </w:r>
    </w:p>
    <w:tbl>
      <w:tblPr>
        <w:tblStyle w:val="4092"/>
        <w:tblW w:w="4995"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180"/>
        <w:gridCol w:w="1756"/>
        <w:gridCol w:w="1669"/>
        <w:gridCol w:w="1190"/>
        <w:gridCol w:w="1225"/>
        <w:gridCol w:w="1278"/>
      </w:tblGrid>
      <w:tr w14:paraId="4CD15E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top w:val="single" w:color="000000" w:sz="10" w:space="0"/>
              <w:left w:val="nil"/>
            </w:tcBorders>
            <w:vAlign w:val="center"/>
          </w:tcPr>
          <w:p w14:paraId="34D9B6F1">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1058" w:type="pct"/>
            <w:tcBorders>
              <w:top w:val="single" w:color="000000" w:sz="10" w:space="0"/>
            </w:tcBorders>
            <w:vAlign w:val="center"/>
          </w:tcPr>
          <w:p w14:paraId="6E880E72">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设备名称</w:t>
            </w:r>
          </w:p>
        </w:tc>
        <w:tc>
          <w:tcPr>
            <w:tcW w:w="1005" w:type="pct"/>
            <w:tcBorders>
              <w:top w:val="single" w:color="000000" w:sz="10" w:space="0"/>
            </w:tcBorders>
            <w:vAlign w:val="center"/>
          </w:tcPr>
          <w:p w14:paraId="29EF83FA">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规格</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型号</w:t>
            </w:r>
          </w:p>
        </w:tc>
        <w:tc>
          <w:tcPr>
            <w:tcW w:w="717" w:type="pct"/>
            <w:tcBorders>
              <w:top w:val="single" w:color="000000" w:sz="10" w:space="0"/>
            </w:tcBorders>
            <w:vAlign w:val="center"/>
          </w:tcPr>
          <w:p w14:paraId="38879D93">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单位</w:t>
            </w:r>
          </w:p>
        </w:tc>
        <w:tc>
          <w:tcPr>
            <w:tcW w:w="738" w:type="pct"/>
            <w:tcBorders>
              <w:top w:val="single" w:color="000000" w:sz="10" w:space="0"/>
              <w:right w:val="nil"/>
            </w:tcBorders>
            <w:vAlign w:val="center"/>
          </w:tcPr>
          <w:p w14:paraId="3BD07ACC">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设备数量</w:t>
            </w:r>
          </w:p>
        </w:tc>
        <w:tc>
          <w:tcPr>
            <w:tcW w:w="768" w:type="pct"/>
            <w:tcBorders>
              <w:top w:val="single" w:color="000000" w:sz="10" w:space="0"/>
              <w:right w:val="nil"/>
            </w:tcBorders>
            <w:vAlign w:val="center"/>
          </w:tcPr>
          <w:p w14:paraId="7047DC08">
            <w:pPr>
              <w:spacing w:line="276" w:lineRule="auto"/>
              <w:ind w:left="14" w:leftChars="7"/>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所在位置</w:t>
            </w:r>
          </w:p>
        </w:tc>
      </w:tr>
      <w:tr w14:paraId="1E61F4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2040FC9C">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w:t>
            </w:r>
          </w:p>
        </w:tc>
        <w:tc>
          <w:tcPr>
            <w:tcW w:w="4288" w:type="pct"/>
            <w:gridSpan w:val="5"/>
            <w:tcBorders>
              <w:right w:val="nil"/>
            </w:tcBorders>
            <w:vAlign w:val="center"/>
          </w:tcPr>
          <w:p w14:paraId="1615A71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PET</w:t>
            </w:r>
            <w:r>
              <w:rPr>
                <w:rFonts w:hint="default" w:ascii="Times New Roman" w:hAnsi="Times New Roman" w:eastAsia="宋体" w:cs="Times New Roman"/>
                <w:color w:val="000000" w:themeColor="text1"/>
                <w:sz w:val="21"/>
                <w:szCs w:val="21"/>
                <w14:textFill>
                  <w14:solidFill>
                    <w14:schemeClr w14:val="tx1"/>
                  </w14:solidFill>
                </w14:textFill>
              </w:rPr>
              <w:t>瓶片</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破碎</w:t>
            </w:r>
            <w:r>
              <w:rPr>
                <w:rFonts w:hint="default" w:ascii="Times New Roman" w:hAnsi="Times New Roman" w:eastAsia="宋体" w:cs="Times New Roman"/>
                <w:color w:val="000000" w:themeColor="text1"/>
                <w:sz w:val="21"/>
                <w:szCs w:val="21"/>
                <w14:textFill>
                  <w14:solidFill>
                    <w14:schemeClr w14:val="tx1"/>
                  </w14:solidFill>
                </w14:textFill>
              </w:rPr>
              <w:t>清洗生产线</w:t>
            </w:r>
          </w:p>
        </w:tc>
      </w:tr>
      <w:tr w14:paraId="280555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0C302A8B">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058" w:type="pct"/>
            <w:vAlign w:val="center"/>
          </w:tcPr>
          <w:p w14:paraId="01186913">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卧式开包机</w:t>
            </w:r>
          </w:p>
        </w:tc>
        <w:tc>
          <w:tcPr>
            <w:tcW w:w="1005" w:type="pct"/>
            <w:vAlign w:val="center"/>
          </w:tcPr>
          <w:p w14:paraId="325F0251">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717" w:type="pct"/>
            <w:vAlign w:val="center"/>
          </w:tcPr>
          <w:p w14:paraId="69811089">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vAlign w:val="center"/>
          </w:tcPr>
          <w:p w14:paraId="3A2CB0D6">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768" w:type="pct"/>
            <w:tcBorders>
              <w:right w:val="nil"/>
            </w:tcBorders>
            <w:vAlign w:val="center"/>
          </w:tcPr>
          <w:p w14:paraId="360E57B5">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2#厂房</w:t>
            </w:r>
          </w:p>
        </w:tc>
      </w:tr>
      <w:tr w14:paraId="5CDAA61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restart"/>
            <w:tcBorders>
              <w:left w:val="nil"/>
            </w:tcBorders>
            <w:vAlign w:val="center"/>
          </w:tcPr>
          <w:p w14:paraId="3E85F54B">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058" w:type="pct"/>
            <w:vMerge w:val="restart"/>
            <w:vAlign w:val="center"/>
          </w:tcPr>
          <w:p w14:paraId="0D9F7DC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绞龙机</w:t>
            </w:r>
          </w:p>
        </w:tc>
        <w:tc>
          <w:tcPr>
            <w:tcW w:w="1005" w:type="pct"/>
            <w:vAlign w:val="center"/>
          </w:tcPr>
          <w:p w14:paraId="55B93CFD">
            <w:pPr>
              <w:spacing w:line="276" w:lineRule="auto"/>
              <w:ind w:left="14" w:leftChars="7"/>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U1200*9000</w:t>
            </w:r>
          </w:p>
        </w:tc>
        <w:tc>
          <w:tcPr>
            <w:tcW w:w="717" w:type="pct"/>
            <w:vAlign w:val="center"/>
          </w:tcPr>
          <w:p w14:paraId="1365CF58">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vAlign w:val="center"/>
          </w:tcPr>
          <w:p w14:paraId="7C4E2804">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w:t>
            </w:r>
          </w:p>
        </w:tc>
        <w:tc>
          <w:tcPr>
            <w:tcW w:w="768" w:type="pct"/>
            <w:vMerge w:val="restart"/>
            <w:tcBorders>
              <w:right w:val="nil"/>
            </w:tcBorders>
            <w:vAlign w:val="center"/>
          </w:tcPr>
          <w:p w14:paraId="36FC4DD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1#厂房和2#厂房</w:t>
            </w:r>
          </w:p>
        </w:tc>
      </w:tr>
      <w:tr w14:paraId="7E1EF4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1ED2A87E">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4947386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vAlign w:val="center"/>
          </w:tcPr>
          <w:p w14:paraId="5E33A116">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U600*6000</w:t>
            </w:r>
          </w:p>
        </w:tc>
        <w:tc>
          <w:tcPr>
            <w:tcW w:w="717" w:type="pct"/>
            <w:vAlign w:val="center"/>
          </w:tcPr>
          <w:p w14:paraId="7A91D59D">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vAlign w:val="center"/>
          </w:tcPr>
          <w:p w14:paraId="6B7695F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p>
        </w:tc>
        <w:tc>
          <w:tcPr>
            <w:tcW w:w="768" w:type="pct"/>
            <w:vMerge w:val="continue"/>
            <w:tcBorders>
              <w:right w:val="nil"/>
            </w:tcBorders>
            <w:vAlign w:val="center"/>
          </w:tcPr>
          <w:p w14:paraId="6383840C">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77FAC43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13F98A3F">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2B25687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vAlign w:val="center"/>
          </w:tcPr>
          <w:p w14:paraId="4752A0F5">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U800*9000</w:t>
            </w:r>
          </w:p>
        </w:tc>
        <w:tc>
          <w:tcPr>
            <w:tcW w:w="717" w:type="pct"/>
            <w:vAlign w:val="center"/>
          </w:tcPr>
          <w:p w14:paraId="43D0DED0">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vAlign w:val="center"/>
          </w:tcPr>
          <w:p w14:paraId="2E10747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p>
        </w:tc>
        <w:tc>
          <w:tcPr>
            <w:tcW w:w="768" w:type="pct"/>
            <w:vMerge w:val="continue"/>
            <w:tcBorders>
              <w:right w:val="nil"/>
            </w:tcBorders>
            <w:vAlign w:val="center"/>
          </w:tcPr>
          <w:p w14:paraId="25D48DBC">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5CFF84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5E93CA5A">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0AFCEF46">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shd w:val="clear" w:color="auto" w:fill="auto"/>
            <w:vAlign w:val="center"/>
          </w:tcPr>
          <w:p w14:paraId="1629DCB7">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U300*</w:t>
            </w:r>
            <w:r>
              <w:rPr>
                <w:rFonts w:hint="default" w:ascii="Times New Roman" w:hAnsi="Times New Roman"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w:t>
            </w:r>
          </w:p>
        </w:tc>
        <w:tc>
          <w:tcPr>
            <w:tcW w:w="717" w:type="pct"/>
            <w:shd w:val="clear" w:color="auto" w:fill="auto"/>
            <w:vAlign w:val="center"/>
          </w:tcPr>
          <w:p w14:paraId="685FBF58">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shd w:val="clear" w:color="auto" w:fill="auto"/>
            <w:vAlign w:val="center"/>
          </w:tcPr>
          <w:p w14:paraId="27097034">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768" w:type="pct"/>
            <w:vMerge w:val="continue"/>
            <w:tcBorders>
              <w:right w:val="nil"/>
            </w:tcBorders>
            <w:shd w:val="clear" w:color="auto" w:fill="auto"/>
            <w:vAlign w:val="center"/>
          </w:tcPr>
          <w:p w14:paraId="1F347731">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2A474F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0D24A982">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13C5CB0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shd w:val="clear" w:color="auto" w:fill="auto"/>
            <w:vAlign w:val="center"/>
          </w:tcPr>
          <w:p w14:paraId="5B380B90">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U300*</w:t>
            </w:r>
            <w:r>
              <w:rPr>
                <w:rFonts w:hint="default" w:ascii="Times New Roman" w:hAnsi="Times New Roman"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w:t>
            </w:r>
          </w:p>
        </w:tc>
        <w:tc>
          <w:tcPr>
            <w:tcW w:w="717" w:type="pct"/>
            <w:shd w:val="clear" w:color="auto" w:fill="auto"/>
            <w:vAlign w:val="center"/>
          </w:tcPr>
          <w:p w14:paraId="4F7D909E">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shd w:val="clear" w:color="auto" w:fill="auto"/>
            <w:vAlign w:val="center"/>
          </w:tcPr>
          <w:p w14:paraId="1EAC5C9A">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768" w:type="pct"/>
            <w:vMerge w:val="continue"/>
            <w:tcBorders>
              <w:right w:val="nil"/>
            </w:tcBorders>
            <w:shd w:val="clear" w:color="auto" w:fill="auto"/>
            <w:vAlign w:val="center"/>
          </w:tcPr>
          <w:p w14:paraId="2BCD4118">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402776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1E9401E2">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2BB3A094">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vAlign w:val="center"/>
          </w:tcPr>
          <w:p w14:paraId="525AABF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U300*6000</w:t>
            </w:r>
          </w:p>
        </w:tc>
        <w:tc>
          <w:tcPr>
            <w:tcW w:w="717" w:type="pct"/>
            <w:vAlign w:val="center"/>
          </w:tcPr>
          <w:p w14:paraId="13F4154E">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vAlign w:val="center"/>
          </w:tcPr>
          <w:p w14:paraId="4BD8CA1C">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768" w:type="pct"/>
            <w:vMerge w:val="continue"/>
            <w:tcBorders>
              <w:right w:val="nil"/>
            </w:tcBorders>
            <w:vAlign w:val="center"/>
          </w:tcPr>
          <w:p w14:paraId="6BBB96A3">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396A5D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33C4C971">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0356165C">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shd w:val="clear" w:color="auto" w:fill="auto"/>
            <w:vAlign w:val="center"/>
          </w:tcPr>
          <w:p w14:paraId="177EAC6B">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U300*</w:t>
            </w:r>
            <w:r>
              <w:rPr>
                <w:rFonts w:hint="default" w:ascii="Times New Roman" w:hAnsi="Times New Roman" w:cs="Times New Roman"/>
                <w:color w:val="000000" w:themeColor="text1"/>
                <w:sz w:val="21"/>
                <w:szCs w:val="21"/>
                <w:lang w:val="en-US" w:eastAsia="zh-CN"/>
                <w14:textFill>
                  <w14:solidFill>
                    <w14:schemeClr w14:val="tx1"/>
                  </w14:solidFill>
                </w14:textFill>
              </w:rPr>
              <w:t>75</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w:t>
            </w:r>
          </w:p>
        </w:tc>
        <w:tc>
          <w:tcPr>
            <w:tcW w:w="717" w:type="pct"/>
            <w:shd w:val="clear" w:color="auto" w:fill="auto"/>
            <w:vAlign w:val="center"/>
          </w:tcPr>
          <w:p w14:paraId="547029AD">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shd w:val="clear" w:color="auto" w:fill="auto"/>
            <w:vAlign w:val="center"/>
          </w:tcPr>
          <w:p w14:paraId="62FAF5D0">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768" w:type="pct"/>
            <w:vMerge w:val="continue"/>
            <w:tcBorders>
              <w:right w:val="nil"/>
            </w:tcBorders>
            <w:shd w:val="clear" w:color="auto" w:fill="auto"/>
            <w:vAlign w:val="center"/>
          </w:tcPr>
          <w:p w14:paraId="20AA8CDD">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3023A6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6EF41583">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24935C14">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vAlign w:val="center"/>
          </w:tcPr>
          <w:p w14:paraId="0732C3E6">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U400*6000</w:t>
            </w:r>
          </w:p>
        </w:tc>
        <w:tc>
          <w:tcPr>
            <w:tcW w:w="717" w:type="pct"/>
            <w:vAlign w:val="center"/>
          </w:tcPr>
          <w:p w14:paraId="02F0750D">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vAlign w:val="center"/>
          </w:tcPr>
          <w:p w14:paraId="27C8BC3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w:t>
            </w:r>
          </w:p>
        </w:tc>
        <w:tc>
          <w:tcPr>
            <w:tcW w:w="768" w:type="pct"/>
            <w:vMerge w:val="continue"/>
            <w:tcBorders>
              <w:right w:val="nil"/>
            </w:tcBorders>
            <w:vAlign w:val="center"/>
          </w:tcPr>
          <w:p w14:paraId="17580CA9">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3BCFA6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3B70C445">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60C08936">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shd w:val="clear" w:color="auto" w:fill="auto"/>
            <w:vAlign w:val="center"/>
          </w:tcPr>
          <w:p w14:paraId="692F57D8">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U400*</w:t>
            </w:r>
            <w:r>
              <w:rPr>
                <w:rFonts w:hint="default" w:ascii="Times New Roman" w:hAnsi="Times New Roman" w:cs="Times New Roman"/>
                <w:color w:val="000000" w:themeColor="text1"/>
                <w:sz w:val="21"/>
                <w:szCs w:val="21"/>
                <w:lang w:val="en-US" w:eastAsia="zh-CN"/>
                <w14:textFill>
                  <w14:solidFill>
                    <w14:schemeClr w14:val="tx1"/>
                  </w14:solidFill>
                </w14:textFill>
              </w:rPr>
              <w:t>75</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w:t>
            </w:r>
          </w:p>
        </w:tc>
        <w:tc>
          <w:tcPr>
            <w:tcW w:w="717" w:type="pct"/>
            <w:shd w:val="clear" w:color="auto" w:fill="auto"/>
            <w:vAlign w:val="center"/>
          </w:tcPr>
          <w:p w14:paraId="268C60E2">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shd w:val="clear" w:color="auto" w:fill="auto"/>
            <w:vAlign w:val="center"/>
          </w:tcPr>
          <w:p w14:paraId="2DB140C9">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768" w:type="pct"/>
            <w:vMerge w:val="continue"/>
            <w:tcBorders>
              <w:right w:val="nil"/>
            </w:tcBorders>
            <w:shd w:val="clear" w:color="auto" w:fill="auto"/>
            <w:vAlign w:val="center"/>
          </w:tcPr>
          <w:p w14:paraId="137F1BBE">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2F7860E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17F1CDF6">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404FD7B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shd w:val="clear" w:color="auto" w:fill="auto"/>
            <w:vAlign w:val="center"/>
          </w:tcPr>
          <w:p w14:paraId="78C26B97">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U400*</w:t>
            </w:r>
            <w:r>
              <w:rPr>
                <w:rFonts w:hint="default" w:ascii="Times New Roman" w:hAnsi="Times New Roman" w:cs="Times New Roman"/>
                <w:color w:val="000000" w:themeColor="text1"/>
                <w:sz w:val="21"/>
                <w:szCs w:val="21"/>
                <w:lang w:val="en-US" w:eastAsia="zh-CN"/>
                <w14:textFill>
                  <w14:solidFill>
                    <w14:schemeClr w14:val="tx1"/>
                  </w14:solidFill>
                </w14:textFill>
              </w:rPr>
              <w:t>50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w:t>
            </w:r>
          </w:p>
        </w:tc>
        <w:tc>
          <w:tcPr>
            <w:tcW w:w="717" w:type="pct"/>
            <w:shd w:val="clear" w:color="auto" w:fill="auto"/>
            <w:vAlign w:val="center"/>
          </w:tcPr>
          <w:p w14:paraId="15C8065A">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shd w:val="clear" w:color="auto" w:fill="auto"/>
            <w:vAlign w:val="center"/>
          </w:tcPr>
          <w:p w14:paraId="6CA74BAF">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768" w:type="pct"/>
            <w:vMerge w:val="continue"/>
            <w:tcBorders>
              <w:right w:val="nil"/>
            </w:tcBorders>
            <w:shd w:val="clear" w:color="auto" w:fill="auto"/>
            <w:vAlign w:val="center"/>
          </w:tcPr>
          <w:p w14:paraId="07F02A74">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0069B4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4E93C4A0">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1B43677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shd w:val="clear" w:color="auto" w:fill="auto"/>
            <w:vAlign w:val="center"/>
          </w:tcPr>
          <w:p w14:paraId="545B1028">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U400*</w:t>
            </w:r>
            <w:r>
              <w:rPr>
                <w:rFonts w:hint="default" w:ascii="Times New Roman" w:hAnsi="Times New Roman" w:cs="Times New Roman"/>
                <w:color w:val="000000" w:themeColor="text1"/>
                <w:sz w:val="21"/>
                <w:szCs w:val="21"/>
                <w:lang w:val="en-US" w:eastAsia="zh-CN"/>
                <w14:textFill>
                  <w14:solidFill>
                    <w14:schemeClr w14:val="tx1"/>
                  </w14:solidFill>
                </w14:textFill>
              </w:rPr>
              <w:t>30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w:t>
            </w:r>
          </w:p>
        </w:tc>
        <w:tc>
          <w:tcPr>
            <w:tcW w:w="717" w:type="pct"/>
            <w:shd w:val="clear" w:color="auto" w:fill="auto"/>
            <w:vAlign w:val="center"/>
          </w:tcPr>
          <w:p w14:paraId="67B9C9A5">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shd w:val="clear" w:color="auto" w:fill="auto"/>
            <w:vAlign w:val="center"/>
          </w:tcPr>
          <w:p w14:paraId="009029E6">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768" w:type="pct"/>
            <w:vMerge w:val="continue"/>
            <w:tcBorders>
              <w:right w:val="nil"/>
            </w:tcBorders>
            <w:shd w:val="clear" w:color="auto" w:fill="auto"/>
            <w:vAlign w:val="center"/>
          </w:tcPr>
          <w:p w14:paraId="2FB7BB34">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27FD8B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1AC67388">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7D564B4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vAlign w:val="center"/>
          </w:tcPr>
          <w:p w14:paraId="79A8CA0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U500*6000</w:t>
            </w:r>
          </w:p>
        </w:tc>
        <w:tc>
          <w:tcPr>
            <w:tcW w:w="717" w:type="pct"/>
            <w:vAlign w:val="center"/>
          </w:tcPr>
          <w:p w14:paraId="060BC5DC">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vAlign w:val="center"/>
          </w:tcPr>
          <w:p w14:paraId="107BB4BB">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w:t>
            </w:r>
          </w:p>
        </w:tc>
        <w:tc>
          <w:tcPr>
            <w:tcW w:w="768" w:type="pct"/>
            <w:vMerge w:val="continue"/>
            <w:tcBorders>
              <w:right w:val="nil"/>
            </w:tcBorders>
            <w:vAlign w:val="center"/>
          </w:tcPr>
          <w:p w14:paraId="0140D1DD">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2DB975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32DE7E2D">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7CFA4CA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shd w:val="clear" w:color="auto" w:fill="auto"/>
            <w:vAlign w:val="center"/>
          </w:tcPr>
          <w:p w14:paraId="7A5D3DC4">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U500*</w:t>
            </w:r>
            <w:r>
              <w:rPr>
                <w:rFonts w:hint="default" w:ascii="Times New Roman" w:hAnsi="Times New Roman"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w:t>
            </w:r>
          </w:p>
        </w:tc>
        <w:tc>
          <w:tcPr>
            <w:tcW w:w="717" w:type="pct"/>
            <w:shd w:val="clear" w:color="auto" w:fill="auto"/>
            <w:vAlign w:val="center"/>
          </w:tcPr>
          <w:p w14:paraId="4D9753CB">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shd w:val="clear" w:color="auto" w:fill="auto"/>
            <w:vAlign w:val="center"/>
          </w:tcPr>
          <w:p w14:paraId="02698834">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768" w:type="pct"/>
            <w:vMerge w:val="continue"/>
            <w:tcBorders>
              <w:right w:val="nil"/>
            </w:tcBorders>
            <w:shd w:val="clear" w:color="auto" w:fill="auto"/>
            <w:vAlign w:val="center"/>
          </w:tcPr>
          <w:p w14:paraId="238B9307">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359934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4F67C5B2">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0E7A0F7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vAlign w:val="center"/>
          </w:tcPr>
          <w:p w14:paraId="1C2E929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U500*3000</w:t>
            </w:r>
          </w:p>
        </w:tc>
        <w:tc>
          <w:tcPr>
            <w:tcW w:w="717" w:type="pct"/>
            <w:vAlign w:val="center"/>
          </w:tcPr>
          <w:p w14:paraId="4D6095DB">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vAlign w:val="center"/>
          </w:tcPr>
          <w:p w14:paraId="7F7533CD">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w:t>
            </w:r>
          </w:p>
        </w:tc>
        <w:tc>
          <w:tcPr>
            <w:tcW w:w="768" w:type="pct"/>
            <w:vMerge w:val="continue"/>
            <w:tcBorders>
              <w:right w:val="nil"/>
            </w:tcBorders>
            <w:vAlign w:val="center"/>
          </w:tcPr>
          <w:p w14:paraId="35CAC31F">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6BF5DE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1BB23E71">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2EEA8AFD">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shd w:val="clear" w:color="auto" w:fill="auto"/>
            <w:vAlign w:val="center"/>
          </w:tcPr>
          <w:p w14:paraId="4F4ED13F">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U500*</w:t>
            </w:r>
            <w:r>
              <w:rPr>
                <w:rFonts w:hint="default" w:ascii="Times New Roman" w:hAnsi="Times New Roman" w:cs="Times New Roman"/>
                <w:color w:val="000000" w:themeColor="text1"/>
                <w:sz w:val="21"/>
                <w:szCs w:val="21"/>
                <w:lang w:val="en-US" w:eastAsia="zh-CN"/>
                <w14:textFill>
                  <w14:solidFill>
                    <w14:schemeClr w14:val="tx1"/>
                  </w14:solidFill>
                </w14:textFill>
              </w:rPr>
              <w:t>75</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w:t>
            </w:r>
          </w:p>
        </w:tc>
        <w:tc>
          <w:tcPr>
            <w:tcW w:w="717" w:type="pct"/>
            <w:shd w:val="clear" w:color="auto" w:fill="auto"/>
            <w:vAlign w:val="center"/>
          </w:tcPr>
          <w:p w14:paraId="7C22DA2E">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shd w:val="clear" w:color="auto" w:fill="auto"/>
            <w:vAlign w:val="center"/>
          </w:tcPr>
          <w:p w14:paraId="05263745">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w:t>
            </w:r>
          </w:p>
        </w:tc>
        <w:tc>
          <w:tcPr>
            <w:tcW w:w="768" w:type="pct"/>
            <w:vMerge w:val="continue"/>
            <w:tcBorders>
              <w:right w:val="nil"/>
            </w:tcBorders>
            <w:shd w:val="clear" w:color="auto" w:fill="auto"/>
            <w:vAlign w:val="center"/>
          </w:tcPr>
          <w:p w14:paraId="53955E12">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478B94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621B9033">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00DD7E7B">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vAlign w:val="center"/>
          </w:tcPr>
          <w:p w14:paraId="002E4B24">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U500*9000</w:t>
            </w:r>
          </w:p>
        </w:tc>
        <w:tc>
          <w:tcPr>
            <w:tcW w:w="717" w:type="pct"/>
            <w:vAlign w:val="center"/>
          </w:tcPr>
          <w:p w14:paraId="175129A1">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vAlign w:val="center"/>
          </w:tcPr>
          <w:p w14:paraId="76EA09B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768" w:type="pct"/>
            <w:vMerge w:val="continue"/>
            <w:tcBorders>
              <w:right w:val="nil"/>
            </w:tcBorders>
            <w:vAlign w:val="center"/>
          </w:tcPr>
          <w:p w14:paraId="05E7BDB7">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3EEA00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3825C204">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1058" w:type="pct"/>
            <w:vAlign w:val="center"/>
          </w:tcPr>
          <w:p w14:paraId="6B7B6E8C">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筛分机</w:t>
            </w:r>
          </w:p>
        </w:tc>
        <w:tc>
          <w:tcPr>
            <w:tcW w:w="1005" w:type="pct"/>
            <w:vAlign w:val="center"/>
          </w:tcPr>
          <w:p w14:paraId="5DB5258D">
            <w:pPr>
              <w:spacing w:line="276" w:lineRule="auto"/>
              <w:ind w:left="14" w:leftChars="7"/>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GT2000-8M</w:t>
            </w:r>
          </w:p>
        </w:tc>
        <w:tc>
          <w:tcPr>
            <w:tcW w:w="717" w:type="pct"/>
            <w:vAlign w:val="center"/>
          </w:tcPr>
          <w:p w14:paraId="16BE2789">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vAlign w:val="center"/>
          </w:tcPr>
          <w:p w14:paraId="7771B943">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768" w:type="pct"/>
            <w:tcBorders>
              <w:right w:val="nil"/>
            </w:tcBorders>
            <w:vAlign w:val="center"/>
          </w:tcPr>
          <w:p w14:paraId="734DE8E9">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2#厂房</w:t>
            </w:r>
          </w:p>
        </w:tc>
      </w:tr>
      <w:tr w14:paraId="7D5AE6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09D97F66">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w:t>
            </w:r>
          </w:p>
        </w:tc>
        <w:tc>
          <w:tcPr>
            <w:tcW w:w="1058" w:type="pct"/>
            <w:vAlign w:val="center"/>
          </w:tcPr>
          <w:p w14:paraId="60A8DD34">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震动筛分机</w:t>
            </w:r>
          </w:p>
        </w:tc>
        <w:tc>
          <w:tcPr>
            <w:tcW w:w="1005" w:type="pct"/>
            <w:vAlign w:val="center"/>
          </w:tcPr>
          <w:p w14:paraId="0CCDE22E">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717" w:type="pct"/>
            <w:vAlign w:val="center"/>
          </w:tcPr>
          <w:p w14:paraId="44DA6238">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vAlign w:val="center"/>
          </w:tcPr>
          <w:p w14:paraId="44F23206">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w:t>
            </w:r>
          </w:p>
        </w:tc>
        <w:tc>
          <w:tcPr>
            <w:tcW w:w="768" w:type="pct"/>
            <w:tcBorders>
              <w:right w:val="nil"/>
            </w:tcBorders>
            <w:vAlign w:val="center"/>
          </w:tcPr>
          <w:p w14:paraId="2B57A51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2#厂房</w:t>
            </w:r>
          </w:p>
        </w:tc>
      </w:tr>
      <w:tr w14:paraId="525690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restart"/>
            <w:tcBorders>
              <w:left w:val="nil"/>
            </w:tcBorders>
            <w:vAlign w:val="center"/>
          </w:tcPr>
          <w:p w14:paraId="0A4920C7">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1058" w:type="pct"/>
            <w:vMerge w:val="restart"/>
            <w:vAlign w:val="center"/>
          </w:tcPr>
          <w:p w14:paraId="108120A4">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yellow"/>
                <w:lang w:val="en-US" w:eastAsia="zh-CN"/>
                <w14:textFill>
                  <w14:solidFill>
                    <w14:schemeClr w14:val="tx1"/>
                  </w14:solidFill>
                </w14:textFill>
              </w:rPr>
              <w:t>脱标机</w:t>
            </w:r>
          </w:p>
        </w:tc>
        <w:tc>
          <w:tcPr>
            <w:tcW w:w="1005" w:type="pct"/>
            <w:vAlign w:val="center"/>
          </w:tcPr>
          <w:p w14:paraId="73F65DED">
            <w:pPr>
              <w:spacing w:line="276" w:lineRule="auto"/>
              <w:ind w:left="14" w:leftChars="7"/>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720型</w:t>
            </w:r>
          </w:p>
        </w:tc>
        <w:tc>
          <w:tcPr>
            <w:tcW w:w="717" w:type="pct"/>
            <w:vAlign w:val="center"/>
          </w:tcPr>
          <w:p w14:paraId="6A8E3448">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vAlign w:val="center"/>
          </w:tcPr>
          <w:p w14:paraId="03933A21">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68" w:type="pct"/>
            <w:vMerge w:val="restart"/>
            <w:tcBorders>
              <w:right w:val="nil"/>
            </w:tcBorders>
            <w:vAlign w:val="center"/>
          </w:tcPr>
          <w:p w14:paraId="6A9B2664">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2#厂房</w:t>
            </w:r>
          </w:p>
        </w:tc>
      </w:tr>
      <w:tr w14:paraId="5C08FE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396497AB">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4E0005E6">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shd w:val="clear" w:color="auto" w:fill="auto"/>
            <w:vAlign w:val="center"/>
          </w:tcPr>
          <w:p w14:paraId="4E219185">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800型</w:t>
            </w:r>
          </w:p>
        </w:tc>
        <w:tc>
          <w:tcPr>
            <w:tcW w:w="717" w:type="pct"/>
            <w:shd w:val="clear" w:color="auto" w:fill="auto"/>
            <w:vAlign w:val="center"/>
          </w:tcPr>
          <w:p w14:paraId="0A884872">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shd w:val="clear" w:color="auto" w:fill="auto"/>
            <w:vAlign w:val="center"/>
          </w:tcPr>
          <w:p w14:paraId="548074A6">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6</w:t>
            </w:r>
          </w:p>
        </w:tc>
        <w:tc>
          <w:tcPr>
            <w:tcW w:w="768" w:type="pct"/>
            <w:vMerge w:val="continue"/>
            <w:tcBorders>
              <w:right w:val="nil"/>
            </w:tcBorders>
            <w:shd w:val="clear" w:color="auto" w:fill="auto"/>
            <w:vAlign w:val="center"/>
          </w:tcPr>
          <w:p w14:paraId="702BA32D">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5478EA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340" w:hRule="atLeast"/>
        </w:trPr>
        <w:tc>
          <w:tcPr>
            <w:tcW w:w="711" w:type="pct"/>
            <w:vMerge w:val="continue"/>
            <w:tcBorders>
              <w:left w:val="nil"/>
            </w:tcBorders>
            <w:vAlign w:val="center"/>
          </w:tcPr>
          <w:p w14:paraId="66110C46">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58" w:type="pct"/>
            <w:vMerge w:val="continue"/>
            <w:vAlign w:val="center"/>
          </w:tcPr>
          <w:p w14:paraId="0725375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vAlign w:val="center"/>
          </w:tcPr>
          <w:p w14:paraId="79192BF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1000型</w:t>
            </w:r>
          </w:p>
        </w:tc>
        <w:tc>
          <w:tcPr>
            <w:tcW w:w="717" w:type="pct"/>
            <w:vAlign w:val="center"/>
          </w:tcPr>
          <w:p w14:paraId="54F345E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7A9DA32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768" w:type="pct"/>
            <w:vMerge w:val="continue"/>
            <w:tcBorders>
              <w:right w:val="nil"/>
            </w:tcBorders>
            <w:vAlign w:val="center"/>
          </w:tcPr>
          <w:p w14:paraId="4ADD0889">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3F6E3B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restart"/>
            <w:tcBorders>
              <w:left w:val="nil"/>
            </w:tcBorders>
            <w:vAlign w:val="center"/>
          </w:tcPr>
          <w:p w14:paraId="7C199B9E">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w:t>
            </w:r>
          </w:p>
        </w:tc>
        <w:tc>
          <w:tcPr>
            <w:tcW w:w="1058" w:type="pct"/>
            <w:vMerge w:val="restart"/>
            <w:vAlign w:val="center"/>
          </w:tcPr>
          <w:p w14:paraId="0A0AE2AC">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斗式提升机</w:t>
            </w:r>
          </w:p>
        </w:tc>
        <w:tc>
          <w:tcPr>
            <w:tcW w:w="1005" w:type="pct"/>
            <w:vAlign w:val="center"/>
          </w:tcPr>
          <w:p w14:paraId="769BE7BB">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W30*7500</w:t>
            </w:r>
          </w:p>
        </w:tc>
        <w:tc>
          <w:tcPr>
            <w:tcW w:w="717" w:type="pct"/>
            <w:vAlign w:val="center"/>
          </w:tcPr>
          <w:p w14:paraId="4C71BD1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33D4C607">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768" w:type="pct"/>
            <w:vMerge w:val="restart"/>
            <w:tcBorders>
              <w:right w:val="nil"/>
            </w:tcBorders>
            <w:vAlign w:val="center"/>
          </w:tcPr>
          <w:p w14:paraId="2923E63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1#厂房和2#厂房</w:t>
            </w:r>
          </w:p>
        </w:tc>
      </w:tr>
      <w:tr w14:paraId="3D0981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087738FD">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58" w:type="pct"/>
            <w:vMerge w:val="continue"/>
            <w:vAlign w:val="center"/>
          </w:tcPr>
          <w:p w14:paraId="342CF50E">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shd w:val="clear" w:color="auto" w:fill="auto"/>
            <w:vAlign w:val="center"/>
          </w:tcPr>
          <w:p w14:paraId="7F64FB63">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W40*8500</w:t>
            </w:r>
          </w:p>
        </w:tc>
        <w:tc>
          <w:tcPr>
            <w:tcW w:w="717" w:type="pct"/>
            <w:shd w:val="clear" w:color="auto" w:fill="auto"/>
            <w:vAlign w:val="center"/>
          </w:tcPr>
          <w:p w14:paraId="22BF03D7">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台</w:t>
            </w:r>
          </w:p>
        </w:tc>
        <w:tc>
          <w:tcPr>
            <w:tcW w:w="738" w:type="pct"/>
            <w:tcBorders>
              <w:right w:val="nil"/>
            </w:tcBorders>
            <w:shd w:val="clear" w:color="auto" w:fill="auto"/>
            <w:vAlign w:val="center"/>
          </w:tcPr>
          <w:p w14:paraId="1E4B3FCA">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6</w:t>
            </w:r>
          </w:p>
        </w:tc>
        <w:tc>
          <w:tcPr>
            <w:tcW w:w="768" w:type="pct"/>
            <w:vMerge w:val="continue"/>
            <w:tcBorders>
              <w:right w:val="nil"/>
            </w:tcBorders>
            <w:shd w:val="clear" w:color="auto" w:fill="auto"/>
            <w:vAlign w:val="center"/>
          </w:tcPr>
          <w:p w14:paraId="163E8776">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71ADA0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2E056B9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58" w:type="pct"/>
            <w:vMerge w:val="continue"/>
            <w:vAlign w:val="center"/>
          </w:tcPr>
          <w:p w14:paraId="42B35CBD">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shd w:val="clear" w:color="auto" w:fill="auto"/>
            <w:vAlign w:val="center"/>
          </w:tcPr>
          <w:p w14:paraId="4D0E8BC1">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W40*7500</w:t>
            </w:r>
          </w:p>
        </w:tc>
        <w:tc>
          <w:tcPr>
            <w:tcW w:w="717" w:type="pct"/>
            <w:shd w:val="clear" w:color="auto" w:fill="auto"/>
            <w:vAlign w:val="center"/>
          </w:tcPr>
          <w:p w14:paraId="2D5CF867">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台</w:t>
            </w:r>
          </w:p>
        </w:tc>
        <w:tc>
          <w:tcPr>
            <w:tcW w:w="738" w:type="pct"/>
            <w:tcBorders>
              <w:right w:val="nil"/>
            </w:tcBorders>
            <w:shd w:val="clear" w:color="auto" w:fill="auto"/>
            <w:vAlign w:val="center"/>
          </w:tcPr>
          <w:p w14:paraId="645022A7">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8</w:t>
            </w:r>
          </w:p>
        </w:tc>
        <w:tc>
          <w:tcPr>
            <w:tcW w:w="768" w:type="pct"/>
            <w:vMerge w:val="continue"/>
            <w:tcBorders>
              <w:right w:val="nil"/>
            </w:tcBorders>
            <w:shd w:val="clear" w:color="auto" w:fill="auto"/>
            <w:vAlign w:val="center"/>
          </w:tcPr>
          <w:p w14:paraId="499A6980">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694C99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73346A6B">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w:t>
            </w:r>
          </w:p>
        </w:tc>
        <w:tc>
          <w:tcPr>
            <w:tcW w:w="1058" w:type="pct"/>
            <w:vAlign w:val="center"/>
          </w:tcPr>
          <w:p w14:paraId="522933F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四吸风选机</w:t>
            </w:r>
          </w:p>
        </w:tc>
        <w:tc>
          <w:tcPr>
            <w:tcW w:w="1005" w:type="pct"/>
            <w:vAlign w:val="center"/>
          </w:tcPr>
          <w:p w14:paraId="4997771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717" w:type="pct"/>
            <w:vAlign w:val="center"/>
          </w:tcPr>
          <w:p w14:paraId="262E84D4">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vAlign w:val="center"/>
          </w:tcPr>
          <w:p w14:paraId="1BAA2CB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15</w:t>
            </w:r>
          </w:p>
        </w:tc>
        <w:tc>
          <w:tcPr>
            <w:tcW w:w="768" w:type="pct"/>
            <w:tcBorders>
              <w:right w:val="nil"/>
            </w:tcBorders>
            <w:vAlign w:val="center"/>
          </w:tcPr>
          <w:p w14:paraId="3BF7351F">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1#厂房和2#厂房</w:t>
            </w:r>
          </w:p>
        </w:tc>
      </w:tr>
      <w:tr w14:paraId="13C1C8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1D4B1246">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w:t>
            </w:r>
          </w:p>
        </w:tc>
        <w:tc>
          <w:tcPr>
            <w:tcW w:w="1058" w:type="pct"/>
            <w:vAlign w:val="center"/>
          </w:tcPr>
          <w:p w14:paraId="3FD5E8A9">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yellow"/>
                <w:lang w:val="en-US" w:eastAsia="zh-CN"/>
                <w14:textFill>
                  <w14:solidFill>
                    <w14:schemeClr w14:val="tx1"/>
                  </w14:solidFill>
                </w14:textFill>
              </w:rPr>
              <w:t>粉碎机</w:t>
            </w:r>
          </w:p>
        </w:tc>
        <w:tc>
          <w:tcPr>
            <w:tcW w:w="1005" w:type="pct"/>
            <w:vAlign w:val="center"/>
          </w:tcPr>
          <w:p w14:paraId="10285D47">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717" w:type="pct"/>
            <w:vAlign w:val="center"/>
          </w:tcPr>
          <w:p w14:paraId="155126D4">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vAlign w:val="center"/>
          </w:tcPr>
          <w:p w14:paraId="3776EF56">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p>
        </w:tc>
        <w:tc>
          <w:tcPr>
            <w:tcW w:w="768" w:type="pct"/>
            <w:tcBorders>
              <w:right w:val="nil"/>
            </w:tcBorders>
            <w:vAlign w:val="center"/>
          </w:tcPr>
          <w:p w14:paraId="12F5542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2#厂房</w:t>
            </w:r>
          </w:p>
        </w:tc>
      </w:tr>
      <w:tr w14:paraId="364F7B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68E148F5">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p>
        </w:tc>
        <w:tc>
          <w:tcPr>
            <w:tcW w:w="1058" w:type="pct"/>
            <w:vAlign w:val="center"/>
          </w:tcPr>
          <w:p w14:paraId="584975EC">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浸泡桶</w:t>
            </w:r>
          </w:p>
        </w:tc>
        <w:tc>
          <w:tcPr>
            <w:tcW w:w="1005" w:type="pct"/>
            <w:vAlign w:val="center"/>
          </w:tcPr>
          <w:p w14:paraId="4D016EC5">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Φ4500*6000</w:t>
            </w:r>
          </w:p>
        </w:tc>
        <w:tc>
          <w:tcPr>
            <w:tcW w:w="717" w:type="pct"/>
            <w:vAlign w:val="center"/>
          </w:tcPr>
          <w:p w14:paraId="42CD563E">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套</w:t>
            </w:r>
          </w:p>
        </w:tc>
        <w:tc>
          <w:tcPr>
            <w:tcW w:w="738" w:type="pct"/>
            <w:tcBorders>
              <w:right w:val="nil"/>
            </w:tcBorders>
            <w:vAlign w:val="center"/>
          </w:tcPr>
          <w:p w14:paraId="41DA9018">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768" w:type="pct"/>
            <w:tcBorders>
              <w:right w:val="nil"/>
            </w:tcBorders>
            <w:vAlign w:val="center"/>
          </w:tcPr>
          <w:p w14:paraId="4FD3E97E">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2#厂房</w:t>
            </w:r>
          </w:p>
        </w:tc>
      </w:tr>
      <w:tr w14:paraId="4A4ABB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43BDDB4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w:t>
            </w:r>
          </w:p>
        </w:tc>
        <w:tc>
          <w:tcPr>
            <w:tcW w:w="1058" w:type="pct"/>
            <w:vAlign w:val="center"/>
          </w:tcPr>
          <w:p w14:paraId="3E405409">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双轴摩擦机</w:t>
            </w:r>
          </w:p>
        </w:tc>
        <w:tc>
          <w:tcPr>
            <w:tcW w:w="1005" w:type="pct"/>
            <w:vAlign w:val="center"/>
          </w:tcPr>
          <w:p w14:paraId="28B1F3BC">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717" w:type="pct"/>
            <w:vAlign w:val="center"/>
          </w:tcPr>
          <w:p w14:paraId="768C6B08">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台</w:t>
            </w:r>
          </w:p>
        </w:tc>
        <w:tc>
          <w:tcPr>
            <w:tcW w:w="738" w:type="pct"/>
            <w:tcBorders>
              <w:right w:val="nil"/>
            </w:tcBorders>
            <w:vAlign w:val="center"/>
          </w:tcPr>
          <w:p w14:paraId="3210A010">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768" w:type="pct"/>
            <w:tcBorders>
              <w:right w:val="nil"/>
            </w:tcBorders>
            <w:vAlign w:val="center"/>
          </w:tcPr>
          <w:p w14:paraId="67B8F1E6">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2#厂房</w:t>
            </w:r>
          </w:p>
        </w:tc>
      </w:tr>
      <w:tr w14:paraId="1D7CFEB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restart"/>
            <w:tcBorders>
              <w:left w:val="nil"/>
            </w:tcBorders>
            <w:vAlign w:val="center"/>
          </w:tcPr>
          <w:p w14:paraId="7BD73B3C">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11</w:t>
            </w:r>
          </w:p>
        </w:tc>
        <w:tc>
          <w:tcPr>
            <w:tcW w:w="1058" w:type="pct"/>
            <w:vMerge w:val="restart"/>
            <w:vAlign w:val="center"/>
          </w:tcPr>
          <w:p w14:paraId="0DE1A45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浮洗槽</w:t>
            </w:r>
          </w:p>
        </w:tc>
        <w:tc>
          <w:tcPr>
            <w:tcW w:w="1005" w:type="pct"/>
            <w:shd w:val="clear" w:color="auto" w:fill="auto"/>
            <w:vAlign w:val="center"/>
          </w:tcPr>
          <w:p w14:paraId="59A212E9">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4.5m*1.7m*2.4m</w:t>
            </w:r>
          </w:p>
        </w:tc>
        <w:tc>
          <w:tcPr>
            <w:tcW w:w="717" w:type="pct"/>
            <w:shd w:val="clear" w:color="auto" w:fill="auto"/>
            <w:vAlign w:val="center"/>
          </w:tcPr>
          <w:p w14:paraId="1E3C5863">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套</w:t>
            </w:r>
          </w:p>
        </w:tc>
        <w:tc>
          <w:tcPr>
            <w:tcW w:w="738" w:type="pct"/>
            <w:tcBorders>
              <w:right w:val="nil"/>
            </w:tcBorders>
            <w:shd w:val="clear" w:color="auto" w:fill="auto"/>
            <w:vAlign w:val="center"/>
          </w:tcPr>
          <w:p w14:paraId="1B47DA9D">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6</w:t>
            </w:r>
          </w:p>
        </w:tc>
        <w:tc>
          <w:tcPr>
            <w:tcW w:w="768" w:type="pct"/>
            <w:vMerge w:val="restart"/>
            <w:tcBorders>
              <w:right w:val="nil"/>
            </w:tcBorders>
            <w:shd w:val="clear" w:color="auto" w:fill="auto"/>
            <w:vAlign w:val="center"/>
          </w:tcPr>
          <w:p w14:paraId="34771BE8">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1#厂房和2#厂房</w:t>
            </w:r>
          </w:p>
        </w:tc>
      </w:tr>
      <w:tr w14:paraId="290B16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4BD61CC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58" w:type="pct"/>
            <w:vMerge w:val="continue"/>
            <w:vAlign w:val="center"/>
          </w:tcPr>
          <w:p w14:paraId="29A07FBD">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vAlign w:val="center"/>
          </w:tcPr>
          <w:p w14:paraId="7101CCF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6m*1.7m*2.9m</w:t>
            </w:r>
          </w:p>
        </w:tc>
        <w:tc>
          <w:tcPr>
            <w:tcW w:w="717" w:type="pct"/>
            <w:vAlign w:val="center"/>
          </w:tcPr>
          <w:p w14:paraId="523C5FA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套</w:t>
            </w:r>
          </w:p>
        </w:tc>
        <w:tc>
          <w:tcPr>
            <w:tcW w:w="738" w:type="pct"/>
            <w:tcBorders>
              <w:right w:val="nil"/>
            </w:tcBorders>
            <w:vAlign w:val="center"/>
          </w:tcPr>
          <w:p w14:paraId="6C8DD8C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p>
        </w:tc>
        <w:tc>
          <w:tcPr>
            <w:tcW w:w="768" w:type="pct"/>
            <w:vMerge w:val="continue"/>
            <w:tcBorders>
              <w:right w:val="nil"/>
            </w:tcBorders>
            <w:vAlign w:val="center"/>
          </w:tcPr>
          <w:p w14:paraId="2917BC5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469A3A1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restart"/>
            <w:tcBorders>
              <w:left w:val="nil"/>
            </w:tcBorders>
            <w:vAlign w:val="center"/>
          </w:tcPr>
          <w:p w14:paraId="038EF3F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12</w:t>
            </w:r>
          </w:p>
        </w:tc>
        <w:tc>
          <w:tcPr>
            <w:tcW w:w="1058" w:type="pct"/>
            <w:vMerge w:val="restart"/>
            <w:vAlign w:val="center"/>
          </w:tcPr>
          <w:p w14:paraId="3A1BA887">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脱水机</w:t>
            </w:r>
          </w:p>
        </w:tc>
        <w:tc>
          <w:tcPr>
            <w:tcW w:w="1005" w:type="pct"/>
            <w:vAlign w:val="center"/>
          </w:tcPr>
          <w:p w14:paraId="123FD2B4">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600型</w:t>
            </w:r>
          </w:p>
        </w:tc>
        <w:tc>
          <w:tcPr>
            <w:tcW w:w="717" w:type="pct"/>
            <w:vAlign w:val="center"/>
          </w:tcPr>
          <w:p w14:paraId="6404D2F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0AE1D99B">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w:t>
            </w:r>
          </w:p>
        </w:tc>
        <w:tc>
          <w:tcPr>
            <w:tcW w:w="768" w:type="pct"/>
            <w:vMerge w:val="restart"/>
            <w:tcBorders>
              <w:right w:val="nil"/>
            </w:tcBorders>
            <w:vAlign w:val="center"/>
          </w:tcPr>
          <w:p w14:paraId="07709485">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1#厂房和2#厂房</w:t>
            </w:r>
          </w:p>
        </w:tc>
      </w:tr>
      <w:tr w14:paraId="60186D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0DB44C8D">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58" w:type="pct"/>
            <w:vMerge w:val="continue"/>
            <w:vAlign w:val="center"/>
          </w:tcPr>
          <w:p w14:paraId="251A07D4">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vAlign w:val="center"/>
          </w:tcPr>
          <w:p w14:paraId="29BE71E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800型</w:t>
            </w:r>
          </w:p>
        </w:tc>
        <w:tc>
          <w:tcPr>
            <w:tcW w:w="717" w:type="pct"/>
            <w:vAlign w:val="center"/>
          </w:tcPr>
          <w:p w14:paraId="697E44F8">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64137F4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w:t>
            </w:r>
          </w:p>
        </w:tc>
        <w:tc>
          <w:tcPr>
            <w:tcW w:w="768" w:type="pct"/>
            <w:vMerge w:val="continue"/>
            <w:tcBorders>
              <w:right w:val="nil"/>
            </w:tcBorders>
            <w:vAlign w:val="center"/>
          </w:tcPr>
          <w:p w14:paraId="04E57A5F">
            <w:pPr>
              <w:spacing w:line="276" w:lineRule="auto"/>
              <w:ind w:left="14" w:leftChars="7"/>
              <w:jc w:val="center"/>
              <w:rPr>
                <w:rFonts w:hint="eastAsia" w:cs="Times New Roman"/>
                <w:color w:val="000000" w:themeColor="text1"/>
                <w:sz w:val="21"/>
                <w:szCs w:val="21"/>
                <w:lang w:val="en-US" w:eastAsia="zh-CN"/>
                <w14:textFill>
                  <w14:solidFill>
                    <w14:schemeClr w14:val="tx1"/>
                  </w14:solidFill>
                </w14:textFill>
              </w:rPr>
            </w:pPr>
          </w:p>
        </w:tc>
      </w:tr>
      <w:tr w14:paraId="50F09F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23C1092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58" w:type="pct"/>
            <w:vMerge w:val="continue"/>
            <w:vAlign w:val="center"/>
          </w:tcPr>
          <w:p w14:paraId="1192EC1B">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05" w:type="pct"/>
            <w:vAlign w:val="center"/>
          </w:tcPr>
          <w:p w14:paraId="6A7D1E6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1000型</w:t>
            </w:r>
          </w:p>
        </w:tc>
        <w:tc>
          <w:tcPr>
            <w:tcW w:w="717" w:type="pct"/>
            <w:vAlign w:val="center"/>
          </w:tcPr>
          <w:p w14:paraId="31E908F9">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22031BE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w:t>
            </w:r>
          </w:p>
        </w:tc>
        <w:tc>
          <w:tcPr>
            <w:tcW w:w="768" w:type="pct"/>
            <w:vMerge w:val="continue"/>
            <w:tcBorders>
              <w:right w:val="nil"/>
            </w:tcBorders>
            <w:vAlign w:val="center"/>
          </w:tcPr>
          <w:p w14:paraId="4F669227">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69EEF1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13" w:hRule="atLeast"/>
        </w:trPr>
        <w:tc>
          <w:tcPr>
            <w:tcW w:w="711" w:type="pct"/>
            <w:tcBorders>
              <w:left w:val="nil"/>
            </w:tcBorders>
            <w:vAlign w:val="center"/>
          </w:tcPr>
          <w:p w14:paraId="2E9A062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13</w:t>
            </w:r>
          </w:p>
        </w:tc>
        <w:tc>
          <w:tcPr>
            <w:tcW w:w="1058" w:type="pct"/>
            <w:vAlign w:val="center"/>
          </w:tcPr>
          <w:p w14:paraId="7E09687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高温清洗</w:t>
            </w:r>
            <w:r>
              <w:rPr>
                <w:rFonts w:hint="eastAsia" w:cs="Times New Roman"/>
                <w:color w:val="000000" w:themeColor="text1"/>
                <w:sz w:val="21"/>
                <w:szCs w:val="21"/>
                <w:lang w:val="en-US" w:eastAsia="zh-CN"/>
                <w14:textFill>
                  <w14:solidFill>
                    <w14:schemeClr w14:val="tx1"/>
                  </w14:solidFill>
                </w14:textFill>
              </w:rPr>
              <w:t>筒</w:t>
            </w:r>
          </w:p>
        </w:tc>
        <w:tc>
          <w:tcPr>
            <w:tcW w:w="1005" w:type="pct"/>
            <w:vAlign w:val="center"/>
          </w:tcPr>
          <w:p w14:paraId="0EF2B23E">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Φ</w:t>
            </w:r>
            <w:r>
              <w:rPr>
                <w:rFonts w:hint="default" w:ascii="Times New Roman" w:hAnsi="Times New Roman" w:cs="Times New Roman"/>
                <w:color w:val="000000" w:themeColor="text1"/>
                <w:sz w:val="21"/>
                <w:szCs w:val="21"/>
                <w:lang w:val="en-US" w:eastAsia="zh-CN"/>
                <w14:textFill>
                  <w14:solidFill>
                    <w14:schemeClr w14:val="tx1"/>
                  </w14:solidFill>
                </w14:textFill>
              </w:rPr>
              <w:t>24</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w:t>
            </w:r>
            <w:r>
              <w:rPr>
                <w:rFonts w:hint="default" w:ascii="Times New Roman" w:hAnsi="Times New Roman" w:cs="Times New Roman"/>
                <w:color w:val="000000" w:themeColor="text1"/>
                <w:sz w:val="21"/>
                <w:szCs w:val="21"/>
                <w:lang w:val="en-US" w:eastAsia="zh-CN"/>
                <w14:textFill>
                  <w14:solidFill>
                    <w14:schemeClr w14:val="tx1"/>
                  </w14:solidFill>
                </w14:textFill>
              </w:rPr>
              <w:t>43</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w:t>
            </w:r>
          </w:p>
        </w:tc>
        <w:tc>
          <w:tcPr>
            <w:tcW w:w="717" w:type="pct"/>
            <w:vAlign w:val="center"/>
          </w:tcPr>
          <w:p w14:paraId="55DA41B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套</w:t>
            </w:r>
          </w:p>
        </w:tc>
        <w:tc>
          <w:tcPr>
            <w:tcW w:w="738" w:type="pct"/>
            <w:tcBorders>
              <w:right w:val="nil"/>
            </w:tcBorders>
            <w:vAlign w:val="center"/>
          </w:tcPr>
          <w:p w14:paraId="00BF5F4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9</w:t>
            </w:r>
          </w:p>
        </w:tc>
        <w:tc>
          <w:tcPr>
            <w:tcW w:w="768" w:type="pct"/>
            <w:tcBorders>
              <w:right w:val="nil"/>
            </w:tcBorders>
            <w:vAlign w:val="center"/>
          </w:tcPr>
          <w:p w14:paraId="7E858CB0">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1#厂房</w:t>
            </w:r>
          </w:p>
        </w:tc>
      </w:tr>
      <w:tr w14:paraId="0156C2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restart"/>
            <w:tcBorders>
              <w:left w:val="nil"/>
            </w:tcBorders>
            <w:vAlign w:val="center"/>
          </w:tcPr>
          <w:p w14:paraId="03C9DDDB">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14</w:t>
            </w:r>
          </w:p>
        </w:tc>
        <w:tc>
          <w:tcPr>
            <w:tcW w:w="1058" w:type="pct"/>
            <w:vMerge w:val="restart"/>
            <w:vAlign w:val="center"/>
          </w:tcPr>
          <w:p w14:paraId="2D08A817">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马头槽</w:t>
            </w:r>
          </w:p>
        </w:tc>
        <w:tc>
          <w:tcPr>
            <w:tcW w:w="1005" w:type="pct"/>
            <w:shd w:val="clear" w:color="auto" w:fill="auto"/>
            <w:vAlign w:val="center"/>
          </w:tcPr>
          <w:p w14:paraId="40E684A5">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4.5m*1.</w:t>
            </w:r>
            <w:r>
              <w:rPr>
                <w:rFonts w:hint="default" w:ascii="Times New Roman" w:hAnsi="Times New Roman" w:cs="Times New Roman"/>
                <w:color w:val="000000" w:themeColor="text1"/>
                <w:sz w:val="21"/>
                <w:szCs w:val="21"/>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r>
              <w:rPr>
                <w:rFonts w:hint="default" w:ascii="Times New Roman" w:hAnsi="Times New Roman" w:cs="Times New Roman"/>
                <w:color w:val="000000" w:themeColor="text1"/>
                <w:sz w:val="21"/>
                <w:szCs w:val="21"/>
                <w:lang w:val="en-US" w:eastAsia="zh-CN"/>
                <w14:textFill>
                  <w14:solidFill>
                    <w14:schemeClr w14:val="tx1"/>
                  </w14:solidFill>
                </w14:textFill>
              </w:rPr>
              <w:t>1.8</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p>
        </w:tc>
        <w:tc>
          <w:tcPr>
            <w:tcW w:w="717" w:type="pct"/>
            <w:shd w:val="clear" w:color="auto" w:fill="auto"/>
            <w:vAlign w:val="center"/>
          </w:tcPr>
          <w:p w14:paraId="1D14E003">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套</w:t>
            </w:r>
          </w:p>
        </w:tc>
        <w:tc>
          <w:tcPr>
            <w:tcW w:w="738" w:type="pct"/>
            <w:tcBorders>
              <w:right w:val="nil"/>
            </w:tcBorders>
            <w:shd w:val="clear" w:color="auto" w:fill="auto"/>
            <w:vAlign w:val="center"/>
          </w:tcPr>
          <w:p w14:paraId="67ADD5FA">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768" w:type="pct"/>
            <w:vMerge w:val="restart"/>
            <w:tcBorders>
              <w:right w:val="nil"/>
            </w:tcBorders>
            <w:shd w:val="clear" w:color="auto" w:fill="auto"/>
            <w:vAlign w:val="center"/>
          </w:tcPr>
          <w:p w14:paraId="61C99F3A">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1#厂房</w:t>
            </w:r>
          </w:p>
        </w:tc>
      </w:tr>
      <w:tr w14:paraId="462BE99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695DE7A9">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c>
          <w:tcPr>
            <w:tcW w:w="1058" w:type="pct"/>
            <w:vMerge w:val="continue"/>
            <w:vAlign w:val="center"/>
          </w:tcPr>
          <w:p w14:paraId="781CFD08">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c>
          <w:tcPr>
            <w:tcW w:w="1005" w:type="pct"/>
            <w:shd w:val="clear" w:color="auto" w:fill="auto"/>
            <w:vAlign w:val="center"/>
          </w:tcPr>
          <w:p w14:paraId="431EBFBF">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4.5m*1.</w:t>
            </w: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r>
              <w:rPr>
                <w:rFonts w:hint="default" w:ascii="Times New Roman" w:hAnsi="Times New Roman" w:cs="Times New Roman"/>
                <w:color w:val="000000" w:themeColor="text1"/>
                <w:sz w:val="21"/>
                <w:szCs w:val="21"/>
                <w:lang w:val="en-US" w:eastAsia="zh-CN"/>
                <w14:textFill>
                  <w14:solidFill>
                    <w14:schemeClr w14:val="tx1"/>
                  </w14:solidFill>
                </w14:textFill>
              </w:rPr>
              <w:t>1.4</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p>
        </w:tc>
        <w:tc>
          <w:tcPr>
            <w:tcW w:w="717" w:type="pct"/>
            <w:shd w:val="clear" w:color="auto" w:fill="auto"/>
            <w:vAlign w:val="center"/>
          </w:tcPr>
          <w:p w14:paraId="12363CB6">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套</w:t>
            </w:r>
          </w:p>
        </w:tc>
        <w:tc>
          <w:tcPr>
            <w:tcW w:w="738" w:type="pct"/>
            <w:tcBorders>
              <w:right w:val="nil"/>
            </w:tcBorders>
            <w:shd w:val="clear" w:color="auto" w:fill="auto"/>
            <w:vAlign w:val="center"/>
          </w:tcPr>
          <w:p w14:paraId="024E4E21">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768" w:type="pct"/>
            <w:vMerge w:val="continue"/>
            <w:tcBorders>
              <w:right w:val="nil"/>
            </w:tcBorders>
            <w:shd w:val="clear" w:color="auto" w:fill="auto"/>
            <w:vAlign w:val="center"/>
          </w:tcPr>
          <w:p w14:paraId="52BF9017">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15B7FA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vMerge w:val="continue"/>
            <w:tcBorders>
              <w:left w:val="nil"/>
            </w:tcBorders>
            <w:vAlign w:val="center"/>
          </w:tcPr>
          <w:p w14:paraId="36740BC2">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c>
          <w:tcPr>
            <w:tcW w:w="1058" w:type="pct"/>
            <w:vMerge w:val="continue"/>
            <w:vAlign w:val="center"/>
          </w:tcPr>
          <w:p w14:paraId="0F576E80">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c>
          <w:tcPr>
            <w:tcW w:w="1005" w:type="pct"/>
            <w:shd w:val="clear" w:color="auto" w:fill="auto"/>
            <w:vAlign w:val="center"/>
          </w:tcPr>
          <w:p w14:paraId="4FCEA200">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4.5m*1.</w:t>
            </w:r>
            <w:r>
              <w:rPr>
                <w:rFonts w:hint="default" w:ascii="Times New Roman" w:hAnsi="Times New Roman" w:cs="Times New Roman"/>
                <w:color w:val="000000" w:themeColor="text1"/>
                <w:sz w:val="21"/>
                <w:szCs w:val="21"/>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r>
              <w:rPr>
                <w:rFonts w:hint="default" w:ascii="Times New Roman" w:hAnsi="Times New Roman" w:cs="Times New Roman"/>
                <w:color w:val="000000" w:themeColor="text1"/>
                <w:sz w:val="21"/>
                <w:szCs w:val="21"/>
                <w:lang w:val="en-US" w:eastAsia="zh-CN"/>
                <w14:textFill>
                  <w14:solidFill>
                    <w14:schemeClr w14:val="tx1"/>
                  </w14:solidFill>
                </w14:textFill>
              </w:rPr>
              <w:t>1.8</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w:t>
            </w:r>
          </w:p>
        </w:tc>
        <w:tc>
          <w:tcPr>
            <w:tcW w:w="717" w:type="pct"/>
            <w:shd w:val="clear" w:color="auto" w:fill="auto"/>
            <w:vAlign w:val="center"/>
          </w:tcPr>
          <w:p w14:paraId="67EEC476">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套</w:t>
            </w:r>
          </w:p>
        </w:tc>
        <w:tc>
          <w:tcPr>
            <w:tcW w:w="738" w:type="pct"/>
            <w:tcBorders>
              <w:right w:val="nil"/>
            </w:tcBorders>
            <w:shd w:val="clear" w:color="auto" w:fill="auto"/>
            <w:vAlign w:val="center"/>
          </w:tcPr>
          <w:p w14:paraId="0BDD7F26">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768" w:type="pct"/>
            <w:vMerge w:val="continue"/>
            <w:tcBorders>
              <w:right w:val="nil"/>
            </w:tcBorders>
            <w:shd w:val="clear" w:color="auto" w:fill="auto"/>
            <w:vAlign w:val="center"/>
          </w:tcPr>
          <w:p w14:paraId="1DC177B6">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r>
      <w:tr w14:paraId="57CF68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32AAD076">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15</w:t>
            </w:r>
          </w:p>
        </w:tc>
        <w:tc>
          <w:tcPr>
            <w:tcW w:w="1058" w:type="pct"/>
            <w:vAlign w:val="center"/>
          </w:tcPr>
          <w:p w14:paraId="6638336E">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涡电流分选一体机</w:t>
            </w:r>
          </w:p>
        </w:tc>
        <w:tc>
          <w:tcPr>
            <w:tcW w:w="1005" w:type="pct"/>
            <w:vAlign w:val="center"/>
          </w:tcPr>
          <w:p w14:paraId="0D73C29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7336EC87">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1347454E">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768" w:type="pct"/>
            <w:tcBorders>
              <w:right w:val="nil"/>
            </w:tcBorders>
            <w:vAlign w:val="center"/>
          </w:tcPr>
          <w:p w14:paraId="3B120364">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1#厂房</w:t>
            </w:r>
          </w:p>
        </w:tc>
      </w:tr>
      <w:tr w14:paraId="25797F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13EF987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16</w:t>
            </w:r>
          </w:p>
        </w:tc>
        <w:tc>
          <w:tcPr>
            <w:tcW w:w="1058" w:type="pct"/>
            <w:vAlign w:val="center"/>
          </w:tcPr>
          <w:p w14:paraId="18CD743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回料式提升机</w:t>
            </w:r>
          </w:p>
        </w:tc>
        <w:tc>
          <w:tcPr>
            <w:tcW w:w="1005" w:type="pct"/>
            <w:shd w:val="clear" w:color="auto" w:fill="auto"/>
            <w:vAlign w:val="center"/>
          </w:tcPr>
          <w:p w14:paraId="5EFB40E0">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w:t>
            </w:r>
            <w:r>
              <w:rPr>
                <w:rFonts w:hint="default" w:ascii="Times New Roman" w:hAnsi="Times New Roman" w:cs="Times New Roman"/>
                <w:color w:val="000000" w:themeColor="text1"/>
                <w:sz w:val="21"/>
                <w:szCs w:val="21"/>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*7500</w:t>
            </w:r>
          </w:p>
        </w:tc>
        <w:tc>
          <w:tcPr>
            <w:tcW w:w="717" w:type="pct"/>
            <w:shd w:val="clear" w:color="auto" w:fill="auto"/>
            <w:vAlign w:val="center"/>
          </w:tcPr>
          <w:p w14:paraId="63EBAEC6">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台</w:t>
            </w:r>
          </w:p>
        </w:tc>
        <w:tc>
          <w:tcPr>
            <w:tcW w:w="738" w:type="pct"/>
            <w:tcBorders>
              <w:right w:val="nil"/>
            </w:tcBorders>
            <w:shd w:val="clear" w:color="auto" w:fill="auto"/>
            <w:vAlign w:val="center"/>
          </w:tcPr>
          <w:p w14:paraId="75184217">
            <w:pPr>
              <w:spacing w:line="276" w:lineRule="auto"/>
              <w:ind w:left="14" w:leftChars="7"/>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w:t>
            </w:r>
          </w:p>
        </w:tc>
        <w:tc>
          <w:tcPr>
            <w:tcW w:w="768" w:type="pct"/>
            <w:tcBorders>
              <w:right w:val="nil"/>
            </w:tcBorders>
            <w:shd w:val="clear" w:color="auto" w:fill="auto"/>
            <w:vAlign w:val="center"/>
          </w:tcPr>
          <w:p w14:paraId="611278F5">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1#厂房</w:t>
            </w:r>
          </w:p>
        </w:tc>
      </w:tr>
      <w:tr w14:paraId="3DE313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2B97C3C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17</w:t>
            </w:r>
          </w:p>
        </w:tc>
        <w:tc>
          <w:tcPr>
            <w:tcW w:w="1058" w:type="pct"/>
            <w:vAlign w:val="center"/>
          </w:tcPr>
          <w:p w14:paraId="5040E774">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自动打包机</w:t>
            </w:r>
          </w:p>
        </w:tc>
        <w:tc>
          <w:tcPr>
            <w:tcW w:w="1005" w:type="pct"/>
            <w:vAlign w:val="center"/>
          </w:tcPr>
          <w:p w14:paraId="2BCA4EDC">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717" w:type="pct"/>
            <w:vAlign w:val="center"/>
          </w:tcPr>
          <w:p w14:paraId="1F08720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38" w:type="pct"/>
            <w:tcBorders>
              <w:right w:val="nil"/>
            </w:tcBorders>
            <w:vAlign w:val="center"/>
          </w:tcPr>
          <w:p w14:paraId="4187381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w:t>
            </w:r>
          </w:p>
        </w:tc>
        <w:tc>
          <w:tcPr>
            <w:tcW w:w="768" w:type="pct"/>
            <w:tcBorders>
              <w:right w:val="nil"/>
            </w:tcBorders>
            <w:vAlign w:val="center"/>
          </w:tcPr>
          <w:p w14:paraId="38B44EDB">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1#厂房</w:t>
            </w:r>
          </w:p>
        </w:tc>
      </w:tr>
      <w:tr w14:paraId="4C068FD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 w:hRule="atLeast"/>
        </w:trPr>
        <w:tc>
          <w:tcPr>
            <w:tcW w:w="711" w:type="pct"/>
            <w:tcBorders>
              <w:left w:val="nil"/>
            </w:tcBorders>
            <w:vAlign w:val="center"/>
          </w:tcPr>
          <w:p w14:paraId="1D409204">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18</w:t>
            </w:r>
          </w:p>
        </w:tc>
        <w:tc>
          <w:tcPr>
            <w:tcW w:w="1058" w:type="pct"/>
            <w:vAlign w:val="center"/>
          </w:tcPr>
          <w:p w14:paraId="451FE507">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材质机</w:t>
            </w:r>
          </w:p>
        </w:tc>
        <w:tc>
          <w:tcPr>
            <w:tcW w:w="1005" w:type="pct"/>
            <w:vAlign w:val="center"/>
          </w:tcPr>
          <w:p w14:paraId="54FB9BC5">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124CF71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558B878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6</w:t>
            </w:r>
          </w:p>
        </w:tc>
        <w:tc>
          <w:tcPr>
            <w:tcW w:w="768" w:type="pct"/>
            <w:tcBorders>
              <w:right w:val="nil"/>
            </w:tcBorders>
            <w:vAlign w:val="center"/>
          </w:tcPr>
          <w:p w14:paraId="6667668D">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1#厂房</w:t>
            </w:r>
          </w:p>
        </w:tc>
      </w:tr>
      <w:tr w14:paraId="77EE40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51BF5925">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19</w:t>
            </w:r>
          </w:p>
        </w:tc>
        <w:tc>
          <w:tcPr>
            <w:tcW w:w="1058" w:type="pct"/>
            <w:vAlign w:val="center"/>
          </w:tcPr>
          <w:p w14:paraId="3B1CA6E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色选机</w:t>
            </w:r>
          </w:p>
        </w:tc>
        <w:tc>
          <w:tcPr>
            <w:tcW w:w="1005" w:type="pct"/>
            <w:vAlign w:val="center"/>
          </w:tcPr>
          <w:p w14:paraId="62BF6FC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3383E18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01D1CB6C">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768" w:type="pct"/>
            <w:tcBorders>
              <w:right w:val="nil"/>
            </w:tcBorders>
            <w:vAlign w:val="center"/>
          </w:tcPr>
          <w:p w14:paraId="2C39A1C7">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1#厂房</w:t>
            </w:r>
          </w:p>
        </w:tc>
      </w:tr>
      <w:tr w14:paraId="7169CF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0315683E">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w:t>
            </w:r>
          </w:p>
        </w:tc>
        <w:tc>
          <w:tcPr>
            <w:tcW w:w="1058" w:type="pct"/>
            <w:vAlign w:val="center"/>
          </w:tcPr>
          <w:p w14:paraId="70954ED5">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储料仓</w:t>
            </w:r>
          </w:p>
        </w:tc>
        <w:tc>
          <w:tcPr>
            <w:tcW w:w="1005" w:type="pct"/>
            <w:vAlign w:val="center"/>
          </w:tcPr>
          <w:p w14:paraId="13229707">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717" w:type="pct"/>
            <w:vAlign w:val="center"/>
          </w:tcPr>
          <w:p w14:paraId="0EA793D1">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套</w:t>
            </w:r>
          </w:p>
        </w:tc>
        <w:tc>
          <w:tcPr>
            <w:tcW w:w="738" w:type="pct"/>
            <w:tcBorders>
              <w:right w:val="nil"/>
            </w:tcBorders>
            <w:vAlign w:val="center"/>
          </w:tcPr>
          <w:p w14:paraId="27D1BF7D">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w:t>
            </w:r>
          </w:p>
        </w:tc>
        <w:tc>
          <w:tcPr>
            <w:tcW w:w="768" w:type="pct"/>
            <w:tcBorders>
              <w:right w:val="nil"/>
            </w:tcBorders>
            <w:vAlign w:val="center"/>
          </w:tcPr>
          <w:p w14:paraId="54B70374">
            <w:pPr>
              <w:spacing w:line="276" w:lineRule="auto"/>
              <w:ind w:left="14" w:leftChars="7"/>
              <w:jc w:val="center"/>
              <w:rPr>
                <w:rFonts w:hint="eastAsia"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1#厂房和2#厂房</w:t>
            </w:r>
          </w:p>
        </w:tc>
      </w:tr>
      <w:tr w14:paraId="7C4C4C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340" w:hRule="atLeast"/>
        </w:trPr>
        <w:tc>
          <w:tcPr>
            <w:tcW w:w="711" w:type="pct"/>
            <w:tcBorders>
              <w:left w:val="nil"/>
            </w:tcBorders>
            <w:vAlign w:val="center"/>
          </w:tcPr>
          <w:p w14:paraId="3CF9E9B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二</w:t>
            </w:r>
          </w:p>
        </w:tc>
        <w:tc>
          <w:tcPr>
            <w:tcW w:w="4288" w:type="pct"/>
            <w:gridSpan w:val="5"/>
            <w:tcBorders>
              <w:right w:val="nil"/>
            </w:tcBorders>
            <w:vAlign w:val="center"/>
          </w:tcPr>
          <w:p w14:paraId="0F721924">
            <w:pPr>
              <w:spacing w:line="276" w:lineRule="auto"/>
              <w:ind w:left="14" w:leftChars="7"/>
              <w:jc w:val="center"/>
              <w:rPr>
                <w:rFonts w:hint="eastAsia" w:cs="Times New Roman"/>
                <w:color w:val="000000" w:themeColor="text1"/>
                <w:sz w:val="21"/>
                <w:szCs w:val="21"/>
                <w:highlight w:val="yellow"/>
                <w:lang w:val="en-US" w:eastAsia="zh-CN"/>
                <w14:textFill>
                  <w14:solidFill>
                    <w14:schemeClr w14:val="tx1"/>
                  </w14:solidFill>
                </w14:textFill>
              </w:rPr>
            </w:pPr>
            <w:r>
              <w:rPr>
                <w:rFonts w:hint="eastAsia" w:cs="Times New Roman"/>
                <w:color w:val="000000" w:themeColor="text1"/>
                <w:sz w:val="21"/>
                <w:szCs w:val="21"/>
                <w:highlight w:val="yellow"/>
                <w:lang w:val="en-US" w:eastAsia="zh-CN"/>
                <w14:textFill>
                  <w14:solidFill>
                    <w14:schemeClr w14:val="tx1"/>
                  </w14:solidFill>
                </w14:textFill>
              </w:rPr>
              <w:t>废</w:t>
            </w:r>
            <w:r>
              <w:rPr>
                <w:rFonts w:hint="default" w:ascii="Times New Roman" w:hAnsi="Times New Roman" w:eastAsia="宋体" w:cs="Times New Roman"/>
                <w:color w:val="000000" w:themeColor="text1"/>
                <w:sz w:val="21"/>
                <w:szCs w:val="21"/>
                <w:highlight w:val="yellow"/>
                <w:lang w:val="en-US" w:eastAsia="zh-CN"/>
                <w14:textFill>
                  <w14:solidFill>
                    <w14:schemeClr w14:val="tx1"/>
                  </w14:solidFill>
                </w14:textFill>
              </w:rPr>
              <w:t>标签纸生产线</w:t>
            </w:r>
          </w:p>
        </w:tc>
      </w:tr>
      <w:tr w14:paraId="778C0A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5DE2448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058" w:type="pct"/>
            <w:vAlign w:val="center"/>
          </w:tcPr>
          <w:p w14:paraId="70BF0AF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卧式</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开包机</w:t>
            </w:r>
          </w:p>
        </w:tc>
        <w:tc>
          <w:tcPr>
            <w:tcW w:w="1005" w:type="pct"/>
            <w:vAlign w:val="center"/>
          </w:tcPr>
          <w:p w14:paraId="4C46AF64">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3A36EDFD">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73078A6B">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68" w:type="pct"/>
            <w:vMerge w:val="restart"/>
            <w:tcBorders>
              <w:right w:val="nil"/>
            </w:tcBorders>
            <w:vAlign w:val="center"/>
          </w:tcPr>
          <w:p w14:paraId="601954F6">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2#厂房</w:t>
            </w:r>
          </w:p>
        </w:tc>
      </w:tr>
      <w:tr w14:paraId="122358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691F37E5">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058" w:type="pct"/>
            <w:vAlign w:val="center"/>
          </w:tcPr>
          <w:p w14:paraId="6BCC764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打散分离机</w:t>
            </w:r>
          </w:p>
        </w:tc>
        <w:tc>
          <w:tcPr>
            <w:tcW w:w="1005" w:type="pct"/>
            <w:vAlign w:val="center"/>
          </w:tcPr>
          <w:p w14:paraId="274A5F2E">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55DAE88A">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0F0E409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68" w:type="pct"/>
            <w:vMerge w:val="continue"/>
            <w:tcBorders>
              <w:right w:val="nil"/>
            </w:tcBorders>
            <w:vAlign w:val="center"/>
          </w:tcPr>
          <w:p w14:paraId="13474EF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7F2258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5700CDB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058" w:type="pct"/>
            <w:vAlign w:val="center"/>
          </w:tcPr>
          <w:p w14:paraId="77FE30E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yellow"/>
                <w:lang w:val="en-US" w:eastAsia="zh-CN"/>
                <w14:textFill>
                  <w14:solidFill>
                    <w14:schemeClr w14:val="tx1"/>
                  </w14:solidFill>
                </w14:textFill>
              </w:rPr>
              <w:t>破碎机</w:t>
            </w:r>
          </w:p>
        </w:tc>
        <w:tc>
          <w:tcPr>
            <w:tcW w:w="1005" w:type="pct"/>
            <w:vAlign w:val="center"/>
          </w:tcPr>
          <w:p w14:paraId="6AC15EA3">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1FDBCC71">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701A0CCD">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68" w:type="pct"/>
            <w:vMerge w:val="continue"/>
            <w:tcBorders>
              <w:right w:val="nil"/>
            </w:tcBorders>
            <w:vAlign w:val="center"/>
          </w:tcPr>
          <w:p w14:paraId="50EEB25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2F6728A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45312675">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058" w:type="pct"/>
            <w:vAlign w:val="center"/>
          </w:tcPr>
          <w:p w14:paraId="036BE1F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摩擦清洗机</w:t>
            </w:r>
          </w:p>
        </w:tc>
        <w:tc>
          <w:tcPr>
            <w:tcW w:w="1005" w:type="pct"/>
            <w:vAlign w:val="center"/>
          </w:tcPr>
          <w:p w14:paraId="391CA7F5">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7FAE78BE">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41530F0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68" w:type="pct"/>
            <w:vMerge w:val="continue"/>
            <w:tcBorders>
              <w:right w:val="nil"/>
            </w:tcBorders>
            <w:vAlign w:val="center"/>
          </w:tcPr>
          <w:p w14:paraId="5EECCEE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6BBDF1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3FEAEEB7">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p>
        </w:tc>
        <w:tc>
          <w:tcPr>
            <w:tcW w:w="1058" w:type="pct"/>
            <w:vAlign w:val="center"/>
          </w:tcPr>
          <w:p w14:paraId="62A1F80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清洗水槽</w:t>
            </w:r>
          </w:p>
        </w:tc>
        <w:tc>
          <w:tcPr>
            <w:tcW w:w="1005" w:type="pct"/>
            <w:vAlign w:val="center"/>
          </w:tcPr>
          <w:p w14:paraId="2BAFBA66">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1767B117">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套</w:t>
            </w:r>
          </w:p>
        </w:tc>
        <w:tc>
          <w:tcPr>
            <w:tcW w:w="738" w:type="pct"/>
            <w:tcBorders>
              <w:right w:val="nil"/>
            </w:tcBorders>
            <w:vAlign w:val="center"/>
          </w:tcPr>
          <w:p w14:paraId="2504A44B">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w:t>
            </w:r>
          </w:p>
        </w:tc>
        <w:tc>
          <w:tcPr>
            <w:tcW w:w="768" w:type="pct"/>
            <w:vMerge w:val="continue"/>
            <w:tcBorders>
              <w:right w:val="nil"/>
            </w:tcBorders>
            <w:vAlign w:val="center"/>
          </w:tcPr>
          <w:p w14:paraId="2854E56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6ADF963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29811D2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w:t>
            </w:r>
          </w:p>
        </w:tc>
        <w:tc>
          <w:tcPr>
            <w:tcW w:w="1058" w:type="pct"/>
            <w:vAlign w:val="center"/>
          </w:tcPr>
          <w:p w14:paraId="5709DF5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甩干机</w:t>
            </w:r>
          </w:p>
        </w:tc>
        <w:tc>
          <w:tcPr>
            <w:tcW w:w="1005" w:type="pct"/>
            <w:vAlign w:val="center"/>
          </w:tcPr>
          <w:p w14:paraId="4323AC0F">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24B86D63">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1CD3009D">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68" w:type="pct"/>
            <w:vMerge w:val="continue"/>
            <w:tcBorders>
              <w:right w:val="nil"/>
            </w:tcBorders>
            <w:vAlign w:val="center"/>
          </w:tcPr>
          <w:p w14:paraId="6684ED6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0AEE06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5F344E3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w:t>
            </w:r>
          </w:p>
        </w:tc>
        <w:tc>
          <w:tcPr>
            <w:tcW w:w="1058" w:type="pct"/>
            <w:vAlign w:val="center"/>
          </w:tcPr>
          <w:p w14:paraId="0E3CB17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挤干机</w:t>
            </w:r>
          </w:p>
        </w:tc>
        <w:tc>
          <w:tcPr>
            <w:tcW w:w="1005" w:type="pct"/>
            <w:vAlign w:val="center"/>
          </w:tcPr>
          <w:p w14:paraId="74990B73">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43BF2C8A">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04BB13E6">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68" w:type="pct"/>
            <w:vMerge w:val="continue"/>
            <w:tcBorders>
              <w:right w:val="nil"/>
            </w:tcBorders>
            <w:vAlign w:val="center"/>
          </w:tcPr>
          <w:p w14:paraId="212AA60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400BBB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514415C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w:t>
            </w:r>
          </w:p>
        </w:tc>
        <w:tc>
          <w:tcPr>
            <w:tcW w:w="1058" w:type="pct"/>
            <w:vAlign w:val="center"/>
          </w:tcPr>
          <w:p w14:paraId="112B344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团粒机</w:t>
            </w:r>
          </w:p>
        </w:tc>
        <w:tc>
          <w:tcPr>
            <w:tcW w:w="1005" w:type="pct"/>
            <w:vAlign w:val="center"/>
          </w:tcPr>
          <w:p w14:paraId="2F3A019F">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55D1AFA6">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5435717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68" w:type="pct"/>
            <w:vMerge w:val="continue"/>
            <w:tcBorders>
              <w:right w:val="nil"/>
            </w:tcBorders>
            <w:vAlign w:val="center"/>
          </w:tcPr>
          <w:p w14:paraId="4A19BADD">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384B99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4C04548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p>
        </w:tc>
        <w:tc>
          <w:tcPr>
            <w:tcW w:w="1058" w:type="pct"/>
            <w:vAlign w:val="center"/>
          </w:tcPr>
          <w:p w14:paraId="17C337A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磨粉机</w:t>
            </w:r>
          </w:p>
        </w:tc>
        <w:tc>
          <w:tcPr>
            <w:tcW w:w="1005" w:type="pct"/>
            <w:vAlign w:val="center"/>
          </w:tcPr>
          <w:p w14:paraId="5914752A">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6D16A793">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429BB48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68" w:type="pct"/>
            <w:vMerge w:val="continue"/>
            <w:tcBorders>
              <w:right w:val="nil"/>
            </w:tcBorders>
            <w:vAlign w:val="center"/>
          </w:tcPr>
          <w:p w14:paraId="52338E3E">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0C4083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25D333D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三</w:t>
            </w:r>
          </w:p>
        </w:tc>
        <w:tc>
          <w:tcPr>
            <w:tcW w:w="4288" w:type="pct"/>
            <w:gridSpan w:val="5"/>
            <w:tcBorders>
              <w:right w:val="nil"/>
            </w:tcBorders>
            <w:vAlign w:val="center"/>
          </w:tcPr>
          <w:p w14:paraId="350843F2">
            <w:pPr>
              <w:spacing w:line="276" w:lineRule="auto"/>
              <w:ind w:left="14" w:leftChars="7"/>
              <w:jc w:val="center"/>
              <w:rPr>
                <w:rFonts w:hint="eastAsia"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废</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瓶盖清洗线</w:t>
            </w:r>
          </w:p>
        </w:tc>
      </w:tr>
      <w:tr w14:paraId="49A74E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43A93FA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058" w:type="pct"/>
            <w:vAlign w:val="center"/>
          </w:tcPr>
          <w:p w14:paraId="5319AC2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yellow"/>
                <w:lang w:val="en-US" w:eastAsia="zh-CN"/>
                <w14:textFill>
                  <w14:solidFill>
                    <w14:schemeClr w14:val="tx1"/>
                  </w14:solidFill>
                </w14:textFill>
              </w:rPr>
              <w:t>蒸锅</w:t>
            </w:r>
          </w:p>
        </w:tc>
        <w:tc>
          <w:tcPr>
            <w:tcW w:w="1005" w:type="pct"/>
            <w:vAlign w:val="center"/>
          </w:tcPr>
          <w:p w14:paraId="2C477E7C">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751A3AE7">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套</w:t>
            </w:r>
          </w:p>
        </w:tc>
        <w:tc>
          <w:tcPr>
            <w:tcW w:w="738" w:type="pct"/>
            <w:tcBorders>
              <w:right w:val="nil"/>
            </w:tcBorders>
            <w:vAlign w:val="center"/>
          </w:tcPr>
          <w:p w14:paraId="24AA9E9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768" w:type="pct"/>
            <w:vMerge w:val="restart"/>
            <w:tcBorders>
              <w:right w:val="nil"/>
            </w:tcBorders>
            <w:vAlign w:val="center"/>
          </w:tcPr>
          <w:p w14:paraId="7383A71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2#厂房</w:t>
            </w:r>
          </w:p>
        </w:tc>
      </w:tr>
      <w:tr w14:paraId="101571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3E88DDD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058" w:type="pct"/>
            <w:vAlign w:val="center"/>
          </w:tcPr>
          <w:p w14:paraId="7F25C29E">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圆筒转沙池</w:t>
            </w:r>
          </w:p>
        </w:tc>
        <w:tc>
          <w:tcPr>
            <w:tcW w:w="1005" w:type="pct"/>
            <w:vAlign w:val="center"/>
          </w:tcPr>
          <w:p w14:paraId="55541EB8">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7011982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套</w:t>
            </w:r>
          </w:p>
        </w:tc>
        <w:tc>
          <w:tcPr>
            <w:tcW w:w="738" w:type="pct"/>
            <w:tcBorders>
              <w:right w:val="nil"/>
            </w:tcBorders>
            <w:vAlign w:val="center"/>
          </w:tcPr>
          <w:p w14:paraId="0674E49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768" w:type="pct"/>
            <w:vMerge w:val="continue"/>
            <w:tcBorders>
              <w:right w:val="nil"/>
            </w:tcBorders>
            <w:vAlign w:val="center"/>
          </w:tcPr>
          <w:p w14:paraId="4BD124C6">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75EEFD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1F3968CC">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058" w:type="pct"/>
            <w:vAlign w:val="center"/>
          </w:tcPr>
          <w:p w14:paraId="47293334">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清洗水槽</w:t>
            </w:r>
          </w:p>
        </w:tc>
        <w:tc>
          <w:tcPr>
            <w:tcW w:w="1005" w:type="pct"/>
            <w:vAlign w:val="center"/>
          </w:tcPr>
          <w:p w14:paraId="2B13A35D">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12BC2D8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套</w:t>
            </w:r>
          </w:p>
        </w:tc>
        <w:tc>
          <w:tcPr>
            <w:tcW w:w="738" w:type="pct"/>
            <w:tcBorders>
              <w:right w:val="nil"/>
            </w:tcBorders>
            <w:vAlign w:val="center"/>
          </w:tcPr>
          <w:p w14:paraId="2A2E7FAB">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768" w:type="pct"/>
            <w:vMerge w:val="continue"/>
            <w:tcBorders>
              <w:right w:val="nil"/>
            </w:tcBorders>
            <w:vAlign w:val="center"/>
          </w:tcPr>
          <w:p w14:paraId="4F7923CE">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260675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6417352D">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058" w:type="pct"/>
            <w:vAlign w:val="center"/>
          </w:tcPr>
          <w:p w14:paraId="35A5F4E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去沙池</w:t>
            </w:r>
          </w:p>
        </w:tc>
        <w:tc>
          <w:tcPr>
            <w:tcW w:w="1005" w:type="pct"/>
            <w:vAlign w:val="center"/>
          </w:tcPr>
          <w:p w14:paraId="32791C9A">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5FB89D07">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套</w:t>
            </w:r>
          </w:p>
        </w:tc>
        <w:tc>
          <w:tcPr>
            <w:tcW w:w="738" w:type="pct"/>
            <w:tcBorders>
              <w:right w:val="nil"/>
            </w:tcBorders>
            <w:vAlign w:val="center"/>
          </w:tcPr>
          <w:p w14:paraId="1D6803C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68" w:type="pct"/>
            <w:vMerge w:val="continue"/>
            <w:tcBorders>
              <w:right w:val="nil"/>
            </w:tcBorders>
            <w:vAlign w:val="center"/>
          </w:tcPr>
          <w:p w14:paraId="057F88BE">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5191B34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5828012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p>
        </w:tc>
        <w:tc>
          <w:tcPr>
            <w:tcW w:w="1058" w:type="pct"/>
            <w:vAlign w:val="center"/>
          </w:tcPr>
          <w:p w14:paraId="0182ED5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甩干机</w:t>
            </w:r>
          </w:p>
        </w:tc>
        <w:tc>
          <w:tcPr>
            <w:tcW w:w="1005" w:type="pct"/>
            <w:vAlign w:val="center"/>
          </w:tcPr>
          <w:p w14:paraId="15CEF194">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186AF40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3298B2E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68" w:type="pct"/>
            <w:vMerge w:val="continue"/>
            <w:tcBorders>
              <w:right w:val="nil"/>
            </w:tcBorders>
            <w:vAlign w:val="center"/>
          </w:tcPr>
          <w:p w14:paraId="5FA4EF9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68B058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4762518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w:t>
            </w:r>
          </w:p>
        </w:tc>
        <w:tc>
          <w:tcPr>
            <w:tcW w:w="1058" w:type="pct"/>
            <w:vAlign w:val="center"/>
          </w:tcPr>
          <w:p w14:paraId="5E7A82A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烘干机</w:t>
            </w:r>
          </w:p>
        </w:tc>
        <w:tc>
          <w:tcPr>
            <w:tcW w:w="1005" w:type="pct"/>
            <w:vAlign w:val="center"/>
          </w:tcPr>
          <w:p w14:paraId="00074090">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61E8548D">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025053B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68" w:type="pct"/>
            <w:vMerge w:val="continue"/>
            <w:tcBorders>
              <w:right w:val="nil"/>
            </w:tcBorders>
            <w:vAlign w:val="center"/>
          </w:tcPr>
          <w:p w14:paraId="7514F01E">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6515AC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03C2F905">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四</w:t>
            </w:r>
          </w:p>
        </w:tc>
        <w:tc>
          <w:tcPr>
            <w:tcW w:w="4288" w:type="pct"/>
            <w:gridSpan w:val="5"/>
            <w:tcBorders>
              <w:right w:val="nil"/>
            </w:tcBorders>
            <w:vAlign w:val="center"/>
          </w:tcPr>
          <w:p w14:paraId="1A46C98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废</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瓶盖生产线</w:t>
            </w:r>
          </w:p>
        </w:tc>
      </w:tr>
      <w:tr w14:paraId="36D7BE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00E3F14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058" w:type="pct"/>
            <w:vAlign w:val="center"/>
          </w:tcPr>
          <w:p w14:paraId="0053CA6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瓶盖料仓</w:t>
            </w:r>
          </w:p>
        </w:tc>
        <w:tc>
          <w:tcPr>
            <w:tcW w:w="1005" w:type="pct"/>
            <w:vAlign w:val="center"/>
          </w:tcPr>
          <w:p w14:paraId="7768C09C">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717" w:type="pct"/>
            <w:vAlign w:val="center"/>
          </w:tcPr>
          <w:p w14:paraId="1F059856">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套</w:t>
            </w:r>
          </w:p>
        </w:tc>
        <w:tc>
          <w:tcPr>
            <w:tcW w:w="738" w:type="pct"/>
            <w:tcBorders>
              <w:right w:val="nil"/>
            </w:tcBorders>
            <w:vAlign w:val="center"/>
          </w:tcPr>
          <w:p w14:paraId="624EA527">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68" w:type="pct"/>
            <w:vMerge w:val="restart"/>
            <w:tcBorders>
              <w:right w:val="nil"/>
            </w:tcBorders>
            <w:vAlign w:val="center"/>
          </w:tcPr>
          <w:p w14:paraId="47F6B470">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2#厂房</w:t>
            </w:r>
          </w:p>
        </w:tc>
      </w:tr>
      <w:tr w14:paraId="0AAAB6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6879C6B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058" w:type="pct"/>
            <w:vAlign w:val="center"/>
          </w:tcPr>
          <w:p w14:paraId="097F555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绞龙机</w:t>
            </w:r>
          </w:p>
        </w:tc>
        <w:tc>
          <w:tcPr>
            <w:tcW w:w="1005" w:type="pct"/>
            <w:vAlign w:val="center"/>
          </w:tcPr>
          <w:p w14:paraId="1E473857">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U300*6000</w:t>
            </w:r>
          </w:p>
        </w:tc>
        <w:tc>
          <w:tcPr>
            <w:tcW w:w="717" w:type="pct"/>
            <w:vAlign w:val="center"/>
          </w:tcPr>
          <w:p w14:paraId="498410DD">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37AB001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768" w:type="pct"/>
            <w:vMerge w:val="continue"/>
            <w:tcBorders>
              <w:right w:val="nil"/>
            </w:tcBorders>
            <w:vAlign w:val="center"/>
          </w:tcPr>
          <w:p w14:paraId="2155D40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5728EE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17FE1357">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058" w:type="pct"/>
            <w:vAlign w:val="center"/>
          </w:tcPr>
          <w:p w14:paraId="45DD6065">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浮选槽</w:t>
            </w:r>
          </w:p>
        </w:tc>
        <w:tc>
          <w:tcPr>
            <w:tcW w:w="1005" w:type="pct"/>
            <w:vAlign w:val="center"/>
          </w:tcPr>
          <w:p w14:paraId="358153D4">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4.5m</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1.7m</w:t>
            </w:r>
            <w:r>
              <w:rPr>
                <w:rFonts w:hint="eastAsia"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2.4m</w:t>
            </w:r>
          </w:p>
        </w:tc>
        <w:tc>
          <w:tcPr>
            <w:tcW w:w="717" w:type="pct"/>
            <w:vAlign w:val="center"/>
          </w:tcPr>
          <w:p w14:paraId="7463B29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套</w:t>
            </w:r>
          </w:p>
        </w:tc>
        <w:tc>
          <w:tcPr>
            <w:tcW w:w="738" w:type="pct"/>
            <w:tcBorders>
              <w:right w:val="nil"/>
            </w:tcBorders>
            <w:vAlign w:val="center"/>
          </w:tcPr>
          <w:p w14:paraId="0042805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768" w:type="pct"/>
            <w:vMerge w:val="continue"/>
            <w:tcBorders>
              <w:right w:val="nil"/>
            </w:tcBorders>
            <w:vAlign w:val="center"/>
          </w:tcPr>
          <w:p w14:paraId="0345856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25F278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34DE03A7">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058" w:type="pct"/>
            <w:vAlign w:val="center"/>
          </w:tcPr>
          <w:p w14:paraId="1F72627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脱水机</w:t>
            </w:r>
          </w:p>
        </w:tc>
        <w:tc>
          <w:tcPr>
            <w:tcW w:w="1005" w:type="pct"/>
            <w:vAlign w:val="center"/>
          </w:tcPr>
          <w:p w14:paraId="782BE94D">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600型</w:t>
            </w:r>
          </w:p>
        </w:tc>
        <w:tc>
          <w:tcPr>
            <w:tcW w:w="717" w:type="pct"/>
            <w:vAlign w:val="center"/>
          </w:tcPr>
          <w:p w14:paraId="05D740A2">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36EC262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68" w:type="pct"/>
            <w:vMerge w:val="continue"/>
            <w:tcBorders>
              <w:right w:val="nil"/>
            </w:tcBorders>
            <w:vAlign w:val="center"/>
          </w:tcPr>
          <w:p w14:paraId="64C1593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0C7589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30773F14">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w:t>
            </w:r>
          </w:p>
        </w:tc>
        <w:tc>
          <w:tcPr>
            <w:tcW w:w="1058" w:type="pct"/>
            <w:vAlign w:val="center"/>
          </w:tcPr>
          <w:p w14:paraId="4CE23196">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斗式提升机</w:t>
            </w:r>
          </w:p>
        </w:tc>
        <w:tc>
          <w:tcPr>
            <w:tcW w:w="1005" w:type="pct"/>
            <w:vAlign w:val="center"/>
          </w:tcPr>
          <w:p w14:paraId="3AA07F9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W40*7500</w:t>
            </w:r>
          </w:p>
        </w:tc>
        <w:tc>
          <w:tcPr>
            <w:tcW w:w="717" w:type="pct"/>
            <w:vAlign w:val="center"/>
          </w:tcPr>
          <w:p w14:paraId="48769297">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5A223E0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768" w:type="pct"/>
            <w:vMerge w:val="continue"/>
            <w:tcBorders>
              <w:right w:val="nil"/>
            </w:tcBorders>
            <w:vAlign w:val="center"/>
          </w:tcPr>
          <w:p w14:paraId="713D168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2F7312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tcBorders>
            <w:vAlign w:val="center"/>
          </w:tcPr>
          <w:p w14:paraId="1C2BD6E6">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w:t>
            </w:r>
          </w:p>
        </w:tc>
        <w:tc>
          <w:tcPr>
            <w:tcW w:w="1058" w:type="pct"/>
            <w:vAlign w:val="center"/>
          </w:tcPr>
          <w:p w14:paraId="5623CA9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四吸风选机</w:t>
            </w:r>
          </w:p>
        </w:tc>
        <w:tc>
          <w:tcPr>
            <w:tcW w:w="1005" w:type="pct"/>
            <w:vAlign w:val="center"/>
          </w:tcPr>
          <w:p w14:paraId="2A71B55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6000*1200</w:t>
            </w:r>
          </w:p>
        </w:tc>
        <w:tc>
          <w:tcPr>
            <w:tcW w:w="717" w:type="pct"/>
            <w:vAlign w:val="center"/>
          </w:tcPr>
          <w:p w14:paraId="684EEFC3">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right w:val="nil"/>
            </w:tcBorders>
            <w:vAlign w:val="center"/>
          </w:tcPr>
          <w:p w14:paraId="1AB84026">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68" w:type="pct"/>
            <w:vMerge w:val="continue"/>
            <w:tcBorders>
              <w:right w:val="nil"/>
            </w:tcBorders>
            <w:vAlign w:val="center"/>
          </w:tcPr>
          <w:p w14:paraId="7433B675">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3BFA1C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left w:val="nil"/>
              <w:bottom w:val="single" w:color="000000" w:sz="4" w:space="0"/>
            </w:tcBorders>
            <w:vAlign w:val="center"/>
          </w:tcPr>
          <w:p w14:paraId="1898723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w:t>
            </w:r>
          </w:p>
        </w:tc>
        <w:tc>
          <w:tcPr>
            <w:tcW w:w="1058" w:type="pct"/>
            <w:tcBorders>
              <w:bottom w:val="single" w:color="000000" w:sz="4" w:space="0"/>
            </w:tcBorders>
            <w:vAlign w:val="center"/>
          </w:tcPr>
          <w:p w14:paraId="420AEC8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自动打包机</w:t>
            </w:r>
          </w:p>
        </w:tc>
        <w:tc>
          <w:tcPr>
            <w:tcW w:w="1005" w:type="pct"/>
            <w:tcBorders>
              <w:bottom w:val="single" w:color="000000" w:sz="4" w:space="0"/>
            </w:tcBorders>
            <w:vAlign w:val="center"/>
          </w:tcPr>
          <w:p w14:paraId="1961275A">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717" w:type="pct"/>
            <w:tcBorders>
              <w:bottom w:val="single" w:color="000000" w:sz="4" w:space="0"/>
            </w:tcBorders>
            <w:vAlign w:val="center"/>
          </w:tcPr>
          <w:p w14:paraId="64DE739B">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台</w:t>
            </w:r>
          </w:p>
        </w:tc>
        <w:tc>
          <w:tcPr>
            <w:tcW w:w="738" w:type="pct"/>
            <w:tcBorders>
              <w:bottom w:val="single" w:color="000000" w:sz="4" w:space="0"/>
              <w:right w:val="nil"/>
            </w:tcBorders>
            <w:vAlign w:val="center"/>
          </w:tcPr>
          <w:p w14:paraId="3BBFFDB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768" w:type="pct"/>
            <w:vMerge w:val="continue"/>
            <w:tcBorders>
              <w:bottom w:val="single" w:color="000000" w:sz="4" w:space="0"/>
              <w:right w:val="nil"/>
            </w:tcBorders>
            <w:vAlign w:val="center"/>
          </w:tcPr>
          <w:p w14:paraId="53556A27">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40C517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top w:val="single" w:color="000000" w:sz="4" w:space="0"/>
              <w:left w:val="nil"/>
              <w:bottom w:val="single" w:color="000000" w:sz="4" w:space="0"/>
              <w:right w:val="single" w:color="000000" w:sz="4" w:space="0"/>
            </w:tcBorders>
            <w:vAlign w:val="center"/>
          </w:tcPr>
          <w:p w14:paraId="4322E4C7">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五</w:t>
            </w:r>
          </w:p>
        </w:tc>
        <w:tc>
          <w:tcPr>
            <w:tcW w:w="4288" w:type="pct"/>
            <w:gridSpan w:val="5"/>
            <w:tcBorders>
              <w:top w:val="single" w:color="000000" w:sz="4" w:space="0"/>
              <w:left w:val="single" w:color="000000" w:sz="4" w:space="0"/>
              <w:bottom w:val="single" w:color="000000" w:sz="4" w:space="0"/>
              <w:right w:val="nil"/>
            </w:tcBorders>
            <w:vAlign w:val="center"/>
          </w:tcPr>
          <w:p w14:paraId="36D8872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改性造粒生产线</w:t>
            </w:r>
          </w:p>
        </w:tc>
      </w:tr>
      <w:tr w14:paraId="25C1C0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top w:val="single" w:color="000000" w:sz="4" w:space="0"/>
              <w:left w:val="nil"/>
              <w:bottom w:val="single" w:color="000000" w:sz="4" w:space="0"/>
              <w:right w:val="single" w:color="000000" w:sz="4" w:space="0"/>
            </w:tcBorders>
            <w:vAlign w:val="center"/>
          </w:tcPr>
          <w:p w14:paraId="08F400E9">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058" w:type="pct"/>
            <w:tcBorders>
              <w:top w:val="single" w:color="000000" w:sz="4" w:space="0"/>
              <w:left w:val="single" w:color="000000" w:sz="4" w:space="0"/>
              <w:bottom w:val="single" w:color="000000" w:sz="4" w:space="0"/>
              <w:right w:val="single" w:color="000000" w:sz="4" w:space="0"/>
            </w:tcBorders>
            <w:vAlign w:val="center"/>
          </w:tcPr>
          <w:p w14:paraId="5EC8293A">
            <w:pPr>
              <w:spacing w:line="276" w:lineRule="auto"/>
              <w:ind w:left="14" w:leftChars="7"/>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混料釜</w:t>
            </w:r>
          </w:p>
        </w:tc>
        <w:tc>
          <w:tcPr>
            <w:tcW w:w="1005" w:type="pct"/>
            <w:tcBorders>
              <w:top w:val="single" w:color="000000" w:sz="4" w:space="0"/>
              <w:left w:val="single" w:color="000000" w:sz="4" w:space="0"/>
              <w:bottom w:val="single" w:color="000000" w:sz="4" w:space="0"/>
              <w:right w:val="single" w:color="000000" w:sz="4" w:space="0"/>
            </w:tcBorders>
            <w:vAlign w:val="center"/>
          </w:tcPr>
          <w:p w14:paraId="015F2623">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717" w:type="pct"/>
            <w:tcBorders>
              <w:top w:val="single" w:color="000000" w:sz="4" w:space="0"/>
              <w:left w:val="single" w:color="000000" w:sz="4" w:space="0"/>
              <w:bottom w:val="single" w:color="000000" w:sz="4" w:space="0"/>
              <w:right w:val="single" w:color="000000" w:sz="4" w:space="0"/>
            </w:tcBorders>
            <w:vAlign w:val="center"/>
          </w:tcPr>
          <w:p w14:paraId="6FFF7739">
            <w:pPr>
              <w:spacing w:line="276"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台</w:t>
            </w:r>
          </w:p>
        </w:tc>
        <w:tc>
          <w:tcPr>
            <w:tcW w:w="738" w:type="pct"/>
            <w:tcBorders>
              <w:top w:val="single" w:color="000000" w:sz="4" w:space="0"/>
              <w:left w:val="single" w:color="000000" w:sz="4" w:space="0"/>
              <w:bottom w:val="single" w:color="000000" w:sz="4" w:space="0"/>
              <w:right w:val="nil"/>
            </w:tcBorders>
            <w:vAlign w:val="center"/>
          </w:tcPr>
          <w:p w14:paraId="5AB91447">
            <w:pPr>
              <w:spacing w:line="276" w:lineRule="auto"/>
              <w:ind w:left="14" w:leftChars="7"/>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768" w:type="pct"/>
            <w:vMerge w:val="restart"/>
            <w:tcBorders>
              <w:top w:val="single" w:color="000000" w:sz="4" w:space="0"/>
              <w:left w:val="single" w:color="000000" w:sz="4" w:space="0"/>
              <w:right w:val="nil"/>
            </w:tcBorders>
            <w:vAlign w:val="center"/>
          </w:tcPr>
          <w:p w14:paraId="00CD1A46">
            <w:pPr>
              <w:spacing w:line="276" w:lineRule="auto"/>
              <w:ind w:left="14" w:leftChars="7"/>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1#厂房</w:t>
            </w:r>
          </w:p>
        </w:tc>
      </w:tr>
      <w:tr w14:paraId="2A3F91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top w:val="single" w:color="000000" w:sz="4" w:space="0"/>
              <w:left w:val="nil"/>
              <w:bottom w:val="single" w:color="000000" w:sz="4" w:space="0"/>
              <w:right w:val="single" w:color="000000" w:sz="4" w:space="0"/>
            </w:tcBorders>
            <w:vAlign w:val="center"/>
          </w:tcPr>
          <w:p w14:paraId="043EE6A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bookmarkStart w:id="49" w:name="_Toc173837644"/>
            <w:r>
              <w:rPr>
                <w:rFonts w:hint="eastAsia" w:cs="Times New Roman"/>
                <w:color w:val="000000" w:themeColor="text1"/>
                <w:sz w:val="21"/>
                <w:szCs w:val="21"/>
                <w:lang w:val="en-US" w:eastAsia="zh-CN"/>
                <w14:textFill>
                  <w14:solidFill>
                    <w14:schemeClr w14:val="tx1"/>
                  </w14:solidFill>
                </w14:textFill>
              </w:rPr>
              <w:t>2</w:t>
            </w:r>
          </w:p>
        </w:tc>
        <w:tc>
          <w:tcPr>
            <w:tcW w:w="1058" w:type="pct"/>
            <w:tcBorders>
              <w:top w:val="single" w:color="000000" w:sz="4" w:space="0"/>
              <w:left w:val="single" w:color="000000" w:sz="4" w:space="0"/>
              <w:bottom w:val="single" w:color="000000" w:sz="4" w:space="0"/>
              <w:right w:val="single" w:color="000000" w:sz="4" w:space="0"/>
            </w:tcBorders>
            <w:vAlign w:val="center"/>
          </w:tcPr>
          <w:p w14:paraId="0317064A">
            <w:pPr>
              <w:spacing w:line="276" w:lineRule="auto"/>
              <w:ind w:left="14" w:leftChars="7"/>
              <w:jc w:val="center"/>
              <w:rPr>
                <w:rFonts w:hint="eastAsia"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挤出机</w:t>
            </w:r>
          </w:p>
        </w:tc>
        <w:tc>
          <w:tcPr>
            <w:tcW w:w="1005" w:type="pct"/>
            <w:tcBorders>
              <w:top w:val="single" w:color="000000" w:sz="4" w:space="0"/>
              <w:left w:val="single" w:color="000000" w:sz="4" w:space="0"/>
              <w:bottom w:val="single" w:color="000000" w:sz="4" w:space="0"/>
              <w:right w:val="single" w:color="000000" w:sz="4" w:space="0"/>
            </w:tcBorders>
            <w:vAlign w:val="center"/>
          </w:tcPr>
          <w:p w14:paraId="39E45D84">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717" w:type="pct"/>
            <w:tcBorders>
              <w:top w:val="single" w:color="000000" w:sz="4" w:space="0"/>
              <w:left w:val="single" w:color="000000" w:sz="4" w:space="0"/>
              <w:bottom w:val="single" w:color="000000" w:sz="4" w:space="0"/>
              <w:right w:val="single" w:color="000000" w:sz="4" w:space="0"/>
            </w:tcBorders>
            <w:vAlign w:val="center"/>
          </w:tcPr>
          <w:p w14:paraId="09CB6556">
            <w:pPr>
              <w:spacing w:line="276" w:lineRule="auto"/>
              <w:ind w:left="14" w:leftChars="7"/>
              <w:jc w:val="center"/>
              <w:rPr>
                <w:rFonts w:hint="eastAsia"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台</w:t>
            </w:r>
          </w:p>
        </w:tc>
        <w:tc>
          <w:tcPr>
            <w:tcW w:w="738" w:type="pct"/>
            <w:tcBorders>
              <w:top w:val="single" w:color="000000" w:sz="4" w:space="0"/>
              <w:left w:val="single" w:color="000000" w:sz="4" w:space="0"/>
              <w:bottom w:val="single" w:color="000000" w:sz="4" w:space="0"/>
              <w:right w:val="nil"/>
            </w:tcBorders>
            <w:vAlign w:val="center"/>
          </w:tcPr>
          <w:p w14:paraId="22DC5055">
            <w:pPr>
              <w:spacing w:line="276" w:lineRule="auto"/>
              <w:ind w:left="14" w:leftChars="7"/>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768" w:type="pct"/>
            <w:vMerge w:val="continue"/>
            <w:tcBorders>
              <w:left w:val="single" w:color="000000" w:sz="4" w:space="0"/>
              <w:right w:val="nil"/>
            </w:tcBorders>
            <w:vAlign w:val="center"/>
          </w:tcPr>
          <w:p w14:paraId="0A97295A">
            <w:pPr>
              <w:spacing w:line="276" w:lineRule="auto"/>
              <w:ind w:left="14" w:leftChars="7"/>
              <w:jc w:val="center"/>
              <w:rPr>
                <w:rFonts w:hint="eastAsia"/>
                <w:color w:val="000000" w:themeColor="text1"/>
                <w:lang w:val="en-US" w:eastAsia="zh-CN"/>
                <w14:textFill>
                  <w14:solidFill>
                    <w14:schemeClr w14:val="tx1"/>
                  </w14:solidFill>
                </w14:textFill>
              </w:rPr>
            </w:pPr>
          </w:p>
        </w:tc>
      </w:tr>
      <w:tr w14:paraId="1C634D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top w:val="single" w:color="000000" w:sz="4" w:space="0"/>
              <w:left w:val="nil"/>
              <w:bottom w:val="single" w:color="000000" w:sz="4" w:space="0"/>
              <w:right w:val="single" w:color="000000" w:sz="4" w:space="0"/>
            </w:tcBorders>
            <w:vAlign w:val="center"/>
          </w:tcPr>
          <w:p w14:paraId="381A8FE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p>
        </w:tc>
        <w:tc>
          <w:tcPr>
            <w:tcW w:w="1058" w:type="pct"/>
            <w:tcBorders>
              <w:top w:val="single" w:color="000000" w:sz="4" w:space="0"/>
              <w:left w:val="single" w:color="000000" w:sz="4" w:space="0"/>
              <w:bottom w:val="single" w:color="000000" w:sz="4" w:space="0"/>
              <w:right w:val="single" w:color="000000" w:sz="4" w:space="0"/>
            </w:tcBorders>
            <w:vAlign w:val="center"/>
          </w:tcPr>
          <w:p w14:paraId="7FA66634">
            <w:pPr>
              <w:spacing w:line="276" w:lineRule="auto"/>
              <w:ind w:left="14" w:leftChars="7"/>
              <w:jc w:val="center"/>
              <w:rPr>
                <w:rFonts w:hint="eastAsia"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冷却水槽</w:t>
            </w:r>
          </w:p>
        </w:tc>
        <w:tc>
          <w:tcPr>
            <w:tcW w:w="1005" w:type="pct"/>
            <w:tcBorders>
              <w:top w:val="single" w:color="000000" w:sz="4" w:space="0"/>
              <w:left w:val="single" w:color="000000" w:sz="4" w:space="0"/>
              <w:bottom w:val="single" w:color="000000" w:sz="4" w:space="0"/>
              <w:right w:val="single" w:color="000000" w:sz="4" w:space="0"/>
            </w:tcBorders>
            <w:vAlign w:val="center"/>
          </w:tcPr>
          <w:p w14:paraId="4CBAEC2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10m×0.4m×0.4m</w:t>
            </w:r>
          </w:p>
        </w:tc>
        <w:tc>
          <w:tcPr>
            <w:tcW w:w="717" w:type="pct"/>
            <w:tcBorders>
              <w:top w:val="single" w:color="000000" w:sz="4" w:space="0"/>
              <w:left w:val="single" w:color="000000" w:sz="4" w:space="0"/>
              <w:bottom w:val="single" w:color="000000" w:sz="4" w:space="0"/>
              <w:right w:val="single" w:color="000000" w:sz="4" w:space="0"/>
            </w:tcBorders>
            <w:vAlign w:val="center"/>
          </w:tcPr>
          <w:p w14:paraId="1FED5282">
            <w:pPr>
              <w:spacing w:line="276" w:lineRule="auto"/>
              <w:ind w:left="14" w:leftChars="7"/>
              <w:jc w:val="center"/>
              <w:rPr>
                <w:rFonts w:hint="eastAsia"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套</w:t>
            </w:r>
          </w:p>
        </w:tc>
        <w:tc>
          <w:tcPr>
            <w:tcW w:w="738" w:type="pct"/>
            <w:tcBorders>
              <w:top w:val="single" w:color="000000" w:sz="4" w:space="0"/>
              <w:left w:val="single" w:color="000000" w:sz="4" w:space="0"/>
              <w:bottom w:val="single" w:color="000000" w:sz="4" w:space="0"/>
              <w:right w:val="nil"/>
            </w:tcBorders>
            <w:vAlign w:val="center"/>
          </w:tcPr>
          <w:p w14:paraId="454E9F5C">
            <w:pPr>
              <w:spacing w:line="276" w:lineRule="auto"/>
              <w:ind w:left="14" w:leftChars="7"/>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768" w:type="pct"/>
            <w:vMerge w:val="continue"/>
            <w:tcBorders>
              <w:left w:val="single" w:color="000000" w:sz="4" w:space="0"/>
              <w:right w:val="nil"/>
            </w:tcBorders>
            <w:vAlign w:val="center"/>
          </w:tcPr>
          <w:p w14:paraId="2F3C7A21">
            <w:pPr>
              <w:spacing w:line="276" w:lineRule="auto"/>
              <w:ind w:left="14" w:leftChars="7"/>
              <w:jc w:val="center"/>
              <w:rPr>
                <w:rFonts w:hint="eastAsia"/>
                <w:color w:val="000000" w:themeColor="text1"/>
                <w:lang w:val="en-US" w:eastAsia="zh-CN"/>
                <w14:textFill>
                  <w14:solidFill>
                    <w14:schemeClr w14:val="tx1"/>
                  </w14:solidFill>
                </w14:textFill>
              </w:rPr>
            </w:pPr>
          </w:p>
        </w:tc>
      </w:tr>
      <w:tr w14:paraId="0AE895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top w:val="single" w:color="000000" w:sz="4" w:space="0"/>
              <w:left w:val="nil"/>
              <w:bottom w:val="single" w:color="000000" w:sz="4" w:space="0"/>
              <w:right w:val="single" w:color="000000" w:sz="4" w:space="0"/>
            </w:tcBorders>
            <w:vAlign w:val="center"/>
          </w:tcPr>
          <w:p w14:paraId="24446778">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p>
        </w:tc>
        <w:tc>
          <w:tcPr>
            <w:tcW w:w="1058" w:type="pct"/>
            <w:tcBorders>
              <w:top w:val="single" w:color="000000" w:sz="4" w:space="0"/>
              <w:left w:val="single" w:color="000000" w:sz="4" w:space="0"/>
              <w:bottom w:val="single" w:color="000000" w:sz="4" w:space="0"/>
              <w:right w:val="single" w:color="000000" w:sz="4" w:space="0"/>
            </w:tcBorders>
            <w:vAlign w:val="center"/>
          </w:tcPr>
          <w:p w14:paraId="0084C579">
            <w:pPr>
              <w:spacing w:line="276" w:lineRule="auto"/>
              <w:ind w:left="14" w:leftChars="7"/>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切粒机</w:t>
            </w:r>
          </w:p>
        </w:tc>
        <w:tc>
          <w:tcPr>
            <w:tcW w:w="1005" w:type="pct"/>
            <w:tcBorders>
              <w:top w:val="single" w:color="000000" w:sz="4" w:space="0"/>
              <w:left w:val="single" w:color="000000" w:sz="4" w:space="0"/>
              <w:bottom w:val="single" w:color="000000" w:sz="4" w:space="0"/>
              <w:right w:val="single" w:color="000000" w:sz="4" w:space="0"/>
            </w:tcBorders>
            <w:vAlign w:val="center"/>
          </w:tcPr>
          <w:p w14:paraId="37387DBF">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717" w:type="pct"/>
            <w:tcBorders>
              <w:top w:val="single" w:color="000000" w:sz="4" w:space="0"/>
              <w:left w:val="single" w:color="000000" w:sz="4" w:space="0"/>
              <w:bottom w:val="single" w:color="000000" w:sz="4" w:space="0"/>
              <w:right w:val="single" w:color="000000" w:sz="4" w:space="0"/>
            </w:tcBorders>
            <w:vAlign w:val="center"/>
          </w:tcPr>
          <w:p w14:paraId="3A5E4839">
            <w:pPr>
              <w:spacing w:line="276" w:lineRule="auto"/>
              <w:ind w:left="14" w:leftChars="7"/>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台</w:t>
            </w:r>
          </w:p>
        </w:tc>
        <w:tc>
          <w:tcPr>
            <w:tcW w:w="738" w:type="pct"/>
            <w:tcBorders>
              <w:top w:val="single" w:color="000000" w:sz="4" w:space="0"/>
              <w:left w:val="single" w:color="000000" w:sz="4" w:space="0"/>
              <w:bottom w:val="single" w:color="000000" w:sz="4" w:space="0"/>
              <w:right w:val="nil"/>
            </w:tcBorders>
            <w:vAlign w:val="center"/>
          </w:tcPr>
          <w:p w14:paraId="2F113B23">
            <w:pPr>
              <w:spacing w:line="276" w:lineRule="auto"/>
              <w:ind w:left="14" w:leftChars="7"/>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768" w:type="pct"/>
            <w:vMerge w:val="continue"/>
            <w:tcBorders>
              <w:left w:val="single" w:color="000000" w:sz="4" w:space="0"/>
              <w:right w:val="nil"/>
            </w:tcBorders>
            <w:vAlign w:val="center"/>
          </w:tcPr>
          <w:p w14:paraId="64931674">
            <w:pPr>
              <w:spacing w:line="276" w:lineRule="auto"/>
              <w:ind w:left="14" w:leftChars="7"/>
              <w:jc w:val="center"/>
              <w:rPr>
                <w:rFonts w:hint="eastAsia"/>
                <w:color w:val="000000" w:themeColor="text1"/>
                <w:lang w:val="en-US" w:eastAsia="zh-CN"/>
                <w14:textFill>
                  <w14:solidFill>
                    <w14:schemeClr w14:val="tx1"/>
                  </w14:solidFill>
                </w14:textFill>
              </w:rPr>
            </w:pPr>
          </w:p>
        </w:tc>
      </w:tr>
      <w:tr w14:paraId="12F73F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top w:val="single" w:color="000000" w:sz="4" w:space="0"/>
              <w:left w:val="nil"/>
              <w:bottom w:val="single" w:color="000000" w:sz="4" w:space="0"/>
              <w:right w:val="single" w:color="000000" w:sz="4" w:space="0"/>
            </w:tcBorders>
            <w:vAlign w:val="center"/>
          </w:tcPr>
          <w:p w14:paraId="4C52C1C3">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六</w:t>
            </w:r>
          </w:p>
        </w:tc>
        <w:tc>
          <w:tcPr>
            <w:tcW w:w="4288" w:type="pct"/>
            <w:gridSpan w:val="5"/>
            <w:tcBorders>
              <w:top w:val="single" w:color="000000" w:sz="4" w:space="0"/>
              <w:left w:val="single" w:color="000000" w:sz="4" w:space="0"/>
              <w:bottom w:val="single" w:color="000000" w:sz="4" w:space="0"/>
              <w:right w:val="nil"/>
            </w:tcBorders>
            <w:vAlign w:val="center"/>
          </w:tcPr>
          <w:p w14:paraId="43A10A76">
            <w:pPr>
              <w:spacing w:line="276" w:lineRule="auto"/>
              <w:ind w:left="14" w:leftChars="7"/>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公用工程</w:t>
            </w:r>
          </w:p>
        </w:tc>
      </w:tr>
      <w:tr w14:paraId="4284887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top w:val="single" w:color="000000" w:sz="4" w:space="0"/>
              <w:left w:val="nil"/>
              <w:bottom w:val="single" w:color="000000" w:sz="4" w:space="0"/>
              <w:right w:val="single" w:color="000000" w:sz="4" w:space="0"/>
            </w:tcBorders>
            <w:vAlign w:val="center"/>
          </w:tcPr>
          <w:p w14:paraId="25CD7804">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c>
          <w:tcPr>
            <w:tcW w:w="1058" w:type="pct"/>
            <w:tcBorders>
              <w:top w:val="single" w:color="000000" w:sz="4" w:space="0"/>
              <w:left w:val="single" w:color="000000" w:sz="4" w:space="0"/>
              <w:bottom w:val="single" w:color="000000" w:sz="4" w:space="0"/>
              <w:right w:val="single" w:color="000000" w:sz="4" w:space="0"/>
            </w:tcBorders>
            <w:vAlign w:val="center"/>
          </w:tcPr>
          <w:p w14:paraId="1AD1918C">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油烟净化器</w:t>
            </w:r>
            <w:r>
              <w:rPr>
                <w:rFonts w:hint="eastAsia" w:cs="Times New Roman"/>
                <w:color w:val="000000" w:themeColor="text1"/>
                <w:sz w:val="21"/>
                <w:szCs w:val="21"/>
                <w:lang w:val="en-US" w:eastAsia="zh-CN"/>
                <w14:textFill>
                  <w14:solidFill>
                    <w14:schemeClr w14:val="tx1"/>
                  </w14:solidFill>
                </w14:textFill>
              </w:rPr>
              <w:t>+两级活性炭吸附设施</w:t>
            </w:r>
          </w:p>
        </w:tc>
        <w:tc>
          <w:tcPr>
            <w:tcW w:w="1005" w:type="pct"/>
            <w:tcBorders>
              <w:top w:val="single" w:color="000000" w:sz="4" w:space="0"/>
              <w:left w:val="single" w:color="000000" w:sz="4" w:space="0"/>
              <w:bottom w:val="single" w:color="000000" w:sz="4" w:space="0"/>
              <w:right w:val="single" w:color="000000" w:sz="4" w:space="0"/>
            </w:tcBorders>
            <w:vAlign w:val="center"/>
          </w:tcPr>
          <w:p w14:paraId="21EBA50B">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717" w:type="pct"/>
            <w:tcBorders>
              <w:top w:val="single" w:color="000000" w:sz="4" w:space="0"/>
              <w:left w:val="single" w:color="000000" w:sz="4" w:space="0"/>
              <w:bottom w:val="single" w:color="000000" w:sz="4" w:space="0"/>
              <w:right w:val="single" w:color="000000" w:sz="4" w:space="0"/>
            </w:tcBorders>
            <w:vAlign w:val="center"/>
          </w:tcPr>
          <w:p w14:paraId="29FF1475">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套</w:t>
            </w:r>
          </w:p>
        </w:tc>
        <w:tc>
          <w:tcPr>
            <w:tcW w:w="738" w:type="pct"/>
            <w:tcBorders>
              <w:top w:val="single" w:color="000000" w:sz="4" w:space="0"/>
              <w:left w:val="single" w:color="000000" w:sz="4" w:space="0"/>
              <w:bottom w:val="single" w:color="000000" w:sz="4" w:space="0"/>
              <w:right w:val="nil"/>
            </w:tcBorders>
            <w:vAlign w:val="center"/>
          </w:tcPr>
          <w:p w14:paraId="0EB8BD5C">
            <w:pPr>
              <w:spacing w:line="276" w:lineRule="auto"/>
              <w:ind w:left="14" w:leftChars="7"/>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768" w:type="pct"/>
            <w:tcBorders>
              <w:top w:val="single" w:color="000000" w:sz="4" w:space="0"/>
              <w:left w:val="single" w:color="000000" w:sz="4" w:space="0"/>
              <w:bottom w:val="single" w:color="000000" w:sz="4" w:space="0"/>
              <w:right w:val="nil"/>
            </w:tcBorders>
            <w:vAlign w:val="center"/>
          </w:tcPr>
          <w:p w14:paraId="3DA1136A">
            <w:pPr>
              <w:spacing w:line="276" w:lineRule="auto"/>
              <w:ind w:left="14" w:leftChars="7"/>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r>
      <w:tr w14:paraId="0D5377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top w:val="single" w:color="000000" w:sz="4" w:space="0"/>
              <w:left w:val="nil"/>
              <w:bottom w:val="single" w:color="000000" w:sz="4" w:space="0"/>
              <w:right w:val="single" w:color="000000" w:sz="4" w:space="0"/>
            </w:tcBorders>
            <w:vAlign w:val="center"/>
          </w:tcPr>
          <w:p w14:paraId="16EB797C">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p>
        </w:tc>
        <w:tc>
          <w:tcPr>
            <w:tcW w:w="1058" w:type="pct"/>
            <w:tcBorders>
              <w:top w:val="single" w:color="000000" w:sz="4" w:space="0"/>
              <w:left w:val="single" w:color="000000" w:sz="4" w:space="0"/>
              <w:bottom w:val="single" w:color="000000" w:sz="4" w:space="0"/>
              <w:right w:val="single" w:color="000000" w:sz="4" w:space="0"/>
            </w:tcBorders>
            <w:vAlign w:val="center"/>
          </w:tcPr>
          <w:p w14:paraId="6E1A94DE">
            <w:pPr>
              <w:spacing w:line="276" w:lineRule="auto"/>
              <w:ind w:left="14" w:leftChars="7"/>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脉冲布袋除尘器</w:t>
            </w:r>
          </w:p>
        </w:tc>
        <w:tc>
          <w:tcPr>
            <w:tcW w:w="1005" w:type="pct"/>
            <w:tcBorders>
              <w:top w:val="single" w:color="000000" w:sz="4" w:space="0"/>
              <w:left w:val="single" w:color="000000" w:sz="4" w:space="0"/>
              <w:bottom w:val="single" w:color="000000" w:sz="4" w:space="0"/>
              <w:right w:val="single" w:color="000000" w:sz="4" w:space="0"/>
            </w:tcBorders>
            <w:vAlign w:val="center"/>
          </w:tcPr>
          <w:p w14:paraId="2C8D9C52">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717" w:type="pct"/>
            <w:tcBorders>
              <w:top w:val="single" w:color="000000" w:sz="4" w:space="0"/>
              <w:left w:val="single" w:color="000000" w:sz="4" w:space="0"/>
              <w:bottom w:val="single" w:color="000000" w:sz="4" w:space="0"/>
              <w:right w:val="single" w:color="000000" w:sz="4" w:space="0"/>
            </w:tcBorders>
            <w:vAlign w:val="center"/>
          </w:tcPr>
          <w:p w14:paraId="0739B969">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套</w:t>
            </w:r>
          </w:p>
        </w:tc>
        <w:tc>
          <w:tcPr>
            <w:tcW w:w="738" w:type="pct"/>
            <w:tcBorders>
              <w:top w:val="single" w:color="000000" w:sz="4" w:space="0"/>
              <w:left w:val="single" w:color="000000" w:sz="4" w:space="0"/>
              <w:bottom w:val="single" w:color="000000" w:sz="4" w:space="0"/>
              <w:right w:val="single" w:color="000000" w:sz="4" w:space="0"/>
            </w:tcBorders>
            <w:vAlign w:val="center"/>
          </w:tcPr>
          <w:p w14:paraId="319D1A2F">
            <w:pPr>
              <w:spacing w:line="276" w:lineRule="auto"/>
              <w:ind w:left="14" w:leftChars="7"/>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768" w:type="pct"/>
            <w:tcBorders>
              <w:top w:val="single" w:color="000000" w:sz="4" w:space="0"/>
              <w:left w:val="single" w:color="000000" w:sz="4" w:space="0"/>
              <w:bottom w:val="single" w:color="000000" w:sz="4" w:space="0"/>
              <w:right w:val="nil"/>
            </w:tcBorders>
            <w:vAlign w:val="center"/>
          </w:tcPr>
          <w:p w14:paraId="5D6AC01B">
            <w:pPr>
              <w:spacing w:line="276" w:lineRule="auto"/>
              <w:ind w:left="14" w:leftChars="7"/>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r>
      <w:tr w14:paraId="0E097F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top w:val="single" w:color="000000" w:sz="4" w:space="0"/>
              <w:left w:val="nil"/>
              <w:bottom w:val="single" w:color="000000" w:sz="4" w:space="0"/>
              <w:right w:val="single" w:color="000000" w:sz="4" w:space="0"/>
            </w:tcBorders>
            <w:vAlign w:val="center"/>
          </w:tcPr>
          <w:p w14:paraId="5F43D3C1">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p>
        </w:tc>
        <w:tc>
          <w:tcPr>
            <w:tcW w:w="1058" w:type="pct"/>
            <w:tcBorders>
              <w:top w:val="single" w:color="000000" w:sz="4" w:space="0"/>
              <w:left w:val="single" w:color="000000" w:sz="4" w:space="0"/>
              <w:bottom w:val="single" w:color="000000" w:sz="4" w:space="0"/>
              <w:right w:val="single" w:color="000000" w:sz="4" w:space="0"/>
            </w:tcBorders>
            <w:vAlign w:val="center"/>
          </w:tcPr>
          <w:p w14:paraId="6917F1C1">
            <w:pPr>
              <w:spacing w:line="276" w:lineRule="auto"/>
              <w:ind w:left="14" w:leftChars="7"/>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两级活性炭吸附装置</w:t>
            </w:r>
          </w:p>
        </w:tc>
        <w:tc>
          <w:tcPr>
            <w:tcW w:w="1005" w:type="pct"/>
            <w:tcBorders>
              <w:top w:val="single" w:color="000000" w:sz="4" w:space="0"/>
              <w:left w:val="single" w:color="000000" w:sz="4" w:space="0"/>
              <w:bottom w:val="single" w:color="000000" w:sz="4" w:space="0"/>
              <w:right w:val="single" w:color="000000" w:sz="4" w:space="0"/>
            </w:tcBorders>
            <w:vAlign w:val="center"/>
          </w:tcPr>
          <w:p w14:paraId="00D27E35">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3m</w:t>
            </w:r>
            <w:r>
              <w:rPr>
                <w:rFonts w:hint="eastAsia" w:cs="Times New Roman"/>
                <w:color w:val="000000" w:themeColor="text1"/>
                <w:sz w:val="21"/>
                <w:szCs w:val="21"/>
                <w:vertAlign w:val="superscript"/>
                <w:lang w:val="en-US" w:eastAsia="zh-CN"/>
                <w14:textFill>
                  <w14:solidFill>
                    <w14:schemeClr w14:val="tx1"/>
                  </w14:solidFill>
                </w14:textFill>
              </w:rPr>
              <w:t>3</w:t>
            </w:r>
          </w:p>
        </w:tc>
        <w:tc>
          <w:tcPr>
            <w:tcW w:w="717" w:type="pct"/>
            <w:tcBorders>
              <w:top w:val="single" w:color="000000" w:sz="4" w:space="0"/>
              <w:left w:val="single" w:color="000000" w:sz="4" w:space="0"/>
              <w:bottom w:val="single" w:color="000000" w:sz="4" w:space="0"/>
              <w:right w:val="single" w:color="000000" w:sz="4" w:space="0"/>
            </w:tcBorders>
            <w:vAlign w:val="center"/>
          </w:tcPr>
          <w:p w14:paraId="3F9353DD">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套</w:t>
            </w:r>
          </w:p>
        </w:tc>
        <w:tc>
          <w:tcPr>
            <w:tcW w:w="738" w:type="pct"/>
            <w:tcBorders>
              <w:top w:val="single" w:color="000000" w:sz="4" w:space="0"/>
              <w:left w:val="single" w:color="000000" w:sz="4" w:space="0"/>
              <w:bottom w:val="single" w:color="000000" w:sz="4" w:space="0"/>
              <w:right w:val="single" w:color="000000" w:sz="4" w:space="0"/>
            </w:tcBorders>
            <w:vAlign w:val="center"/>
          </w:tcPr>
          <w:p w14:paraId="4DA0E75B">
            <w:pPr>
              <w:spacing w:line="276" w:lineRule="auto"/>
              <w:ind w:left="14" w:leftChars="7"/>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768" w:type="pct"/>
            <w:tcBorders>
              <w:top w:val="single" w:color="000000" w:sz="4" w:space="0"/>
              <w:left w:val="single" w:color="000000" w:sz="4" w:space="0"/>
              <w:bottom w:val="single" w:color="000000" w:sz="4" w:space="0"/>
              <w:right w:val="nil"/>
            </w:tcBorders>
            <w:vAlign w:val="center"/>
          </w:tcPr>
          <w:p w14:paraId="0E4B8163">
            <w:pPr>
              <w:spacing w:line="276" w:lineRule="auto"/>
              <w:ind w:left="14" w:leftChars="7"/>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r>
      <w:tr w14:paraId="74D237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711" w:type="pct"/>
            <w:tcBorders>
              <w:top w:val="single" w:color="000000" w:sz="4" w:space="0"/>
              <w:left w:val="nil"/>
              <w:bottom w:val="single" w:color="000000" w:sz="12" w:space="0"/>
              <w:right w:val="single" w:color="000000" w:sz="4" w:space="0"/>
            </w:tcBorders>
            <w:vAlign w:val="center"/>
          </w:tcPr>
          <w:p w14:paraId="7F276670">
            <w:pPr>
              <w:spacing w:line="276" w:lineRule="auto"/>
              <w:ind w:left="14" w:leftChars="7"/>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p>
        </w:tc>
        <w:tc>
          <w:tcPr>
            <w:tcW w:w="1058" w:type="pct"/>
            <w:tcBorders>
              <w:top w:val="single" w:color="000000" w:sz="4" w:space="0"/>
              <w:left w:val="single" w:color="000000" w:sz="4" w:space="0"/>
              <w:bottom w:val="single" w:color="000000" w:sz="12" w:space="0"/>
              <w:right w:val="single" w:color="000000" w:sz="4" w:space="0"/>
            </w:tcBorders>
            <w:vAlign w:val="center"/>
          </w:tcPr>
          <w:p w14:paraId="3D51B1F9">
            <w:pPr>
              <w:spacing w:line="276" w:lineRule="auto"/>
              <w:ind w:left="14" w:leftChars="7"/>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污水处理站</w:t>
            </w:r>
          </w:p>
        </w:tc>
        <w:tc>
          <w:tcPr>
            <w:tcW w:w="1005" w:type="pct"/>
            <w:tcBorders>
              <w:top w:val="single" w:color="000000" w:sz="4" w:space="0"/>
              <w:left w:val="single" w:color="000000" w:sz="4" w:space="0"/>
              <w:bottom w:val="single" w:color="000000" w:sz="12" w:space="0"/>
              <w:right w:val="single" w:color="000000" w:sz="4" w:space="0"/>
            </w:tcBorders>
            <w:vAlign w:val="center"/>
          </w:tcPr>
          <w:p w14:paraId="6E11200C">
            <w:pPr>
              <w:spacing w:line="276"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600t/d</w:t>
            </w:r>
          </w:p>
        </w:tc>
        <w:tc>
          <w:tcPr>
            <w:tcW w:w="717" w:type="pct"/>
            <w:tcBorders>
              <w:top w:val="single" w:color="000000" w:sz="4" w:space="0"/>
              <w:left w:val="single" w:color="000000" w:sz="4" w:space="0"/>
              <w:bottom w:val="single" w:color="000000" w:sz="12" w:space="0"/>
              <w:right w:val="single" w:color="000000" w:sz="4" w:space="0"/>
            </w:tcBorders>
            <w:vAlign w:val="center"/>
          </w:tcPr>
          <w:p w14:paraId="2949B585">
            <w:pPr>
              <w:spacing w:line="276"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座</w:t>
            </w:r>
          </w:p>
        </w:tc>
        <w:tc>
          <w:tcPr>
            <w:tcW w:w="738" w:type="pct"/>
            <w:tcBorders>
              <w:top w:val="single" w:color="000000" w:sz="4" w:space="0"/>
              <w:left w:val="single" w:color="000000" w:sz="4" w:space="0"/>
              <w:bottom w:val="single" w:color="000000" w:sz="12" w:space="0"/>
              <w:right w:val="single" w:color="000000" w:sz="4" w:space="0"/>
            </w:tcBorders>
            <w:vAlign w:val="center"/>
          </w:tcPr>
          <w:p w14:paraId="4EA50D67">
            <w:pPr>
              <w:spacing w:line="276" w:lineRule="auto"/>
              <w:ind w:left="14" w:leftChars="7"/>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768" w:type="pct"/>
            <w:tcBorders>
              <w:top w:val="single" w:color="000000" w:sz="4" w:space="0"/>
              <w:left w:val="single" w:color="000000" w:sz="4" w:space="0"/>
              <w:bottom w:val="single" w:color="000000" w:sz="12" w:space="0"/>
              <w:right w:val="nil"/>
            </w:tcBorders>
            <w:vAlign w:val="center"/>
          </w:tcPr>
          <w:p w14:paraId="77823398">
            <w:pPr>
              <w:spacing w:line="276" w:lineRule="auto"/>
              <w:ind w:left="14" w:leftChars="7"/>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r>
      <w:bookmarkEnd w:id="48"/>
    </w:tbl>
    <w:p w14:paraId="5FE3F398">
      <w:pPr>
        <w:pStyle w:val="3159"/>
        <w:rPr>
          <w:rFonts w:hint="default" w:ascii="Times New Roman" w:hAnsi="Times New Roman" w:eastAsia="黑体" w:cs="Times New Roman"/>
          <w:b w:val="0"/>
          <w:color w:val="000000" w:themeColor="text1"/>
          <w14:textFill>
            <w14:solidFill>
              <w14:schemeClr w14:val="tx1"/>
            </w14:solidFill>
          </w14:textFill>
        </w:rPr>
      </w:pPr>
      <w:r>
        <w:rPr>
          <w:rFonts w:hint="default" w:ascii="Times New Roman" w:hAnsi="Times New Roman" w:eastAsia="黑体" w:cs="Times New Roman"/>
          <w:b w:val="0"/>
          <w:color w:val="000000" w:themeColor="text1"/>
          <w14:textFill>
            <w14:solidFill>
              <w14:schemeClr w14:val="tx1"/>
            </w14:solidFill>
          </w14:textFill>
        </w:rPr>
        <w:t>3.1.</w:t>
      </w:r>
      <w:r>
        <w:rPr>
          <w:rFonts w:hint="default" w:ascii="Times New Roman" w:hAnsi="Times New Roman" w:eastAsia="黑体" w:cs="Times New Roman"/>
          <w:b w:val="0"/>
          <w:color w:val="000000" w:themeColor="text1"/>
          <w:lang w:val="en-US" w:eastAsia="zh-CN"/>
          <w14:textFill>
            <w14:solidFill>
              <w14:schemeClr w14:val="tx1"/>
            </w14:solidFill>
          </w14:textFill>
        </w:rPr>
        <w:t>6</w:t>
      </w:r>
      <w:r>
        <w:rPr>
          <w:rFonts w:hint="default" w:ascii="Times New Roman" w:hAnsi="Times New Roman" w:eastAsia="黑体" w:cs="Times New Roman"/>
          <w:b w:val="0"/>
          <w:color w:val="000000" w:themeColor="text1"/>
          <w14:textFill>
            <w14:solidFill>
              <w14:schemeClr w14:val="tx1"/>
            </w14:solidFill>
          </w14:textFill>
        </w:rPr>
        <w:t>设备与产能匹配性分析</w:t>
      </w:r>
      <w:bookmarkEnd w:id="49"/>
    </w:p>
    <w:p w14:paraId="2F3E7780">
      <w:pPr>
        <w:pStyle w:val="251"/>
        <w:ind w:firstLine="480"/>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拟建项目</w:t>
      </w:r>
      <w:r>
        <w:rPr>
          <w:rFonts w:hint="default" w:ascii="Times New Roman" w:hAnsi="Times New Roman" w:cs="Times New Roman"/>
          <w:color w:val="000000" w:themeColor="text1"/>
          <w:lang w:val="en-US" w:eastAsia="zh-CN"/>
          <w14:textFill>
            <w14:solidFill>
              <w14:schemeClr w14:val="tx1"/>
            </w14:solidFill>
          </w14:textFill>
        </w:rPr>
        <w:t>废塑料瓶</w:t>
      </w:r>
      <w:r>
        <w:rPr>
          <w:rFonts w:hint="default" w:ascii="Times New Roman" w:hAnsi="Times New Roman" w:cs="Times New Roman"/>
          <w:color w:val="000000" w:themeColor="text1"/>
          <w14:textFill>
            <w14:solidFill>
              <w14:schemeClr w14:val="tx1"/>
            </w14:solidFill>
          </w14:textFill>
        </w:rPr>
        <w:t>综合利用包括上料、</w:t>
      </w:r>
      <w:r>
        <w:rPr>
          <w:rFonts w:hint="default" w:ascii="Times New Roman" w:hAnsi="Times New Roman" w:cs="Times New Roman"/>
          <w:color w:val="000000" w:themeColor="text1"/>
          <w:lang w:val="en-US" w:eastAsia="zh-CN"/>
          <w14:textFill>
            <w14:solidFill>
              <w14:schemeClr w14:val="tx1"/>
            </w14:solidFill>
          </w14:textFill>
        </w:rPr>
        <w:t>筛分</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破碎</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清洗、脱水、造粒</w:t>
      </w:r>
      <w:r>
        <w:rPr>
          <w:rFonts w:hint="default" w:ascii="Times New Roman" w:hAnsi="Times New Roman" w:cs="Times New Roman"/>
          <w:color w:val="000000" w:themeColor="text1"/>
          <w14:textFill>
            <w14:solidFill>
              <w14:schemeClr w14:val="tx1"/>
            </w14:solidFill>
          </w14:textFill>
        </w:rPr>
        <w:t>等工序。决定产能的关键生产设备为</w:t>
      </w:r>
      <w:r>
        <w:rPr>
          <w:rFonts w:hint="default" w:ascii="Times New Roman" w:hAnsi="Times New Roman" w:cs="Times New Roman"/>
          <w:color w:val="000000" w:themeColor="text1"/>
          <w:lang w:val="en-US" w:eastAsia="zh-CN"/>
          <w14:textFill>
            <w14:solidFill>
              <w14:schemeClr w14:val="tx1"/>
            </w14:solidFill>
          </w14:textFill>
        </w:rPr>
        <w:t>破碎、清洗、造粒</w:t>
      </w:r>
      <w:r>
        <w:rPr>
          <w:rFonts w:hint="default" w:ascii="Times New Roman" w:hAnsi="Times New Roman" w:cs="Times New Roman"/>
          <w:color w:val="000000" w:themeColor="text1"/>
          <w14:textFill>
            <w14:solidFill>
              <w14:schemeClr w14:val="tx1"/>
            </w14:solidFill>
          </w14:textFill>
        </w:rPr>
        <w:t>。本项目各产品年工作时间见表3.1-</w:t>
      </w:r>
      <w:r>
        <w:rPr>
          <w:rFonts w:hint="default" w:ascii="Times New Roman" w:hAnsi="Times New Roman" w:cs="Times New Roman"/>
          <w:color w:val="000000" w:themeColor="text1"/>
          <w:lang w:val="en-US" w:eastAsia="zh-CN"/>
          <w14:textFill>
            <w14:solidFill>
              <w14:schemeClr w14:val="tx1"/>
            </w14:solidFill>
          </w14:textFill>
        </w:rPr>
        <w:t>8</w:t>
      </w:r>
      <w:r>
        <w:rPr>
          <w:rFonts w:hint="default" w:ascii="Times New Roman" w:hAnsi="Times New Roman" w:cs="Times New Roman"/>
          <w:color w:val="000000" w:themeColor="text1"/>
          <w14:textFill>
            <w14:solidFill>
              <w14:schemeClr w14:val="tx1"/>
            </w14:solidFill>
          </w14:textFill>
        </w:rPr>
        <w:t>。</w:t>
      </w:r>
    </w:p>
    <w:p w14:paraId="3999DE32">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表3.1-</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8</w:t>
      </w:r>
      <w:r>
        <w:rPr>
          <w:rFonts w:hint="default" w:ascii="Times New Roman" w:hAnsi="Times New Roman" w:eastAsia="黑体" w:cs="Times New Roman"/>
          <w:color w:val="000000" w:themeColor="text1"/>
          <w:sz w:val="24"/>
          <w:szCs w:val="24"/>
          <w14:textFill>
            <w14:solidFill>
              <w14:schemeClr w14:val="tx1"/>
            </w14:solidFill>
          </w14:textFill>
        </w:rPr>
        <w:t>各产品的生产周期和年工作时间表</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34"/>
        <w:gridCol w:w="1291"/>
        <w:gridCol w:w="1351"/>
        <w:gridCol w:w="1300"/>
        <w:gridCol w:w="1670"/>
        <w:gridCol w:w="1073"/>
        <w:gridCol w:w="1103"/>
      </w:tblGrid>
      <w:tr w14:paraId="70F7DF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Align w:val="center"/>
          </w:tcPr>
          <w:p w14:paraId="7E12E07D">
            <w:pPr>
              <w:spacing w:line="240"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序号</w:t>
            </w:r>
          </w:p>
        </w:tc>
        <w:tc>
          <w:tcPr>
            <w:tcW w:w="757" w:type="pct"/>
            <w:vAlign w:val="center"/>
          </w:tcPr>
          <w:p w14:paraId="5F66EF40">
            <w:pPr>
              <w:spacing w:line="240"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生产线名称</w:t>
            </w:r>
          </w:p>
        </w:tc>
        <w:tc>
          <w:tcPr>
            <w:tcW w:w="792" w:type="pct"/>
            <w:vAlign w:val="center"/>
          </w:tcPr>
          <w:p w14:paraId="6DDF1BF4">
            <w:pPr>
              <w:spacing w:line="240"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生产设备</w:t>
            </w:r>
          </w:p>
        </w:tc>
        <w:tc>
          <w:tcPr>
            <w:tcW w:w="762" w:type="pct"/>
            <w:vAlign w:val="center"/>
          </w:tcPr>
          <w:p w14:paraId="642DA16A">
            <w:pPr>
              <w:spacing w:line="240"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产能核算</w:t>
            </w:r>
          </w:p>
        </w:tc>
        <w:tc>
          <w:tcPr>
            <w:tcW w:w="979" w:type="pct"/>
            <w:vAlign w:val="center"/>
          </w:tcPr>
          <w:p w14:paraId="29BBCF78">
            <w:pPr>
              <w:spacing w:line="240"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年工作时间（h）</w:t>
            </w:r>
          </w:p>
        </w:tc>
        <w:tc>
          <w:tcPr>
            <w:tcW w:w="629" w:type="pct"/>
            <w:vAlign w:val="center"/>
          </w:tcPr>
          <w:p w14:paraId="186D0218">
            <w:pPr>
              <w:spacing w:line="240"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理论产能</w:t>
            </w:r>
          </w:p>
        </w:tc>
        <w:tc>
          <w:tcPr>
            <w:tcW w:w="647" w:type="pct"/>
            <w:vAlign w:val="center"/>
          </w:tcPr>
          <w:p w14:paraId="55232A67">
            <w:pPr>
              <w:spacing w:line="240"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eastAsia" w:cs="Times New Roman"/>
                <w:b/>
                <w:color w:val="000000" w:themeColor="text1"/>
                <w:sz w:val="21"/>
                <w:szCs w:val="21"/>
                <w:lang w:val="en-US" w:eastAsia="zh-CN"/>
                <w14:textFill>
                  <w14:solidFill>
                    <w14:schemeClr w14:val="tx1"/>
                  </w14:solidFill>
                </w14:textFill>
              </w:rPr>
              <w:t>设计</w:t>
            </w:r>
            <w:r>
              <w:rPr>
                <w:rFonts w:hint="default" w:ascii="Times New Roman" w:hAnsi="Times New Roman" w:cs="Times New Roman"/>
                <w:b/>
                <w:color w:val="000000" w:themeColor="text1"/>
                <w:sz w:val="21"/>
                <w:szCs w:val="21"/>
                <w14:textFill>
                  <w14:solidFill>
                    <w14:schemeClr w14:val="tx1"/>
                  </w14:solidFill>
                </w14:textFill>
              </w:rPr>
              <w:t>产能</w:t>
            </w:r>
          </w:p>
        </w:tc>
      </w:tr>
      <w:tr w14:paraId="121973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restart"/>
            <w:vAlign w:val="center"/>
          </w:tcPr>
          <w:p w14:paraId="001D8952">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757" w:type="pct"/>
            <w:vMerge w:val="restart"/>
            <w:vAlign w:val="center"/>
          </w:tcPr>
          <w:p w14:paraId="4E543285">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PET瓶片破碎清洗</w:t>
            </w:r>
            <w:r>
              <w:rPr>
                <w:rFonts w:hint="default" w:ascii="Times New Roman" w:hAnsi="Times New Roman" w:cs="Times New Roman"/>
                <w:color w:val="000000" w:themeColor="text1"/>
                <w:sz w:val="21"/>
                <w:szCs w:val="21"/>
                <w14:textFill>
                  <w14:solidFill>
                    <w14:schemeClr w14:val="tx1"/>
                  </w14:solidFill>
                </w14:textFill>
              </w:rPr>
              <w:t>生产线</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含瓶沫</w:t>
            </w:r>
            <w:r>
              <w:rPr>
                <w:rFonts w:hint="default" w:ascii="Times New Roman" w:hAnsi="Times New Roman" w:cs="Times New Roman"/>
                <w:color w:val="000000" w:themeColor="text1"/>
                <w:sz w:val="21"/>
                <w:szCs w:val="21"/>
                <w:lang w:eastAsia="zh-CN"/>
                <w14:textFill>
                  <w14:solidFill>
                    <w14:schemeClr w14:val="tx1"/>
                  </w14:solidFill>
                </w14:textFill>
              </w:rPr>
              <w:t>）</w:t>
            </w:r>
          </w:p>
        </w:tc>
        <w:tc>
          <w:tcPr>
            <w:tcW w:w="792" w:type="pct"/>
            <w:vAlign w:val="center"/>
          </w:tcPr>
          <w:p w14:paraId="7ED516A4">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破碎机</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5</w:t>
            </w:r>
          </w:p>
        </w:tc>
        <w:tc>
          <w:tcPr>
            <w:tcW w:w="762" w:type="pct"/>
            <w:vAlign w:val="center"/>
          </w:tcPr>
          <w:p w14:paraId="4EB49F0C">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r>
              <w:rPr>
                <w:rFonts w:hint="default" w:ascii="Times New Roman" w:hAnsi="Times New Roman" w:cs="Times New Roman"/>
                <w:color w:val="000000" w:themeColor="text1"/>
                <w:sz w:val="21"/>
                <w:szCs w:val="21"/>
                <w14:textFill>
                  <w14:solidFill>
                    <w14:schemeClr w14:val="tx1"/>
                  </w14:solidFill>
                </w14:textFill>
              </w:rPr>
              <w:t>t/h</w:t>
            </w:r>
          </w:p>
        </w:tc>
        <w:tc>
          <w:tcPr>
            <w:tcW w:w="979" w:type="pct"/>
            <w:vAlign w:val="center"/>
          </w:tcPr>
          <w:p w14:paraId="0A0CE4FE">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w:t>
            </w:r>
            <w:r>
              <w:rPr>
                <w:rFonts w:hint="default" w:ascii="Times New Roman" w:hAnsi="Times New Roman" w:cs="Times New Roman"/>
                <w:color w:val="000000" w:themeColor="text1"/>
                <w:sz w:val="21"/>
                <w:szCs w:val="21"/>
                <w14:textFill>
                  <w14:solidFill>
                    <w14:schemeClr w14:val="tx1"/>
                  </w14:solidFill>
                </w14:textFill>
              </w:rPr>
              <w:t>00</w:t>
            </w:r>
          </w:p>
        </w:tc>
        <w:tc>
          <w:tcPr>
            <w:tcW w:w="629" w:type="pct"/>
            <w:vAlign w:val="center"/>
          </w:tcPr>
          <w:p w14:paraId="1555D48E">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1008</w:t>
            </w:r>
            <w:r>
              <w:rPr>
                <w:rFonts w:hint="default" w:ascii="Times New Roman" w:hAnsi="Times New Roman" w:cs="Times New Roman"/>
                <w:color w:val="000000" w:themeColor="text1"/>
                <w:sz w:val="21"/>
                <w:szCs w:val="21"/>
                <w:lang w:val="en-US" w:eastAsia="zh-CN"/>
                <w14:textFill>
                  <w14:solidFill>
                    <w14:schemeClr w14:val="tx1"/>
                  </w14:solidFill>
                </w14:textFill>
              </w:rPr>
              <w:t>00</w:t>
            </w:r>
            <w:r>
              <w:rPr>
                <w:rFonts w:hint="default" w:ascii="Times New Roman" w:hAnsi="Times New Roman" w:cs="Times New Roman"/>
                <w:color w:val="000000" w:themeColor="text1"/>
                <w:sz w:val="21"/>
                <w:szCs w:val="21"/>
                <w14:textFill>
                  <w14:solidFill>
                    <w14:schemeClr w14:val="tx1"/>
                  </w14:solidFill>
                </w14:textFill>
              </w:rPr>
              <w:t>t/a</w:t>
            </w:r>
          </w:p>
        </w:tc>
        <w:tc>
          <w:tcPr>
            <w:tcW w:w="647" w:type="pct"/>
            <w:vAlign w:val="center"/>
          </w:tcPr>
          <w:p w14:paraId="30B18B13">
            <w:pPr>
              <w:spacing w:line="240" w:lineRule="auto"/>
              <w:jc w:val="center"/>
              <w:rPr>
                <w:rFonts w:hint="default" w:ascii="Times New Roman" w:hAnsi="Times New Roman" w:cs="Times New Roman"/>
                <w:color w:val="000000" w:themeColor="text1"/>
                <w:sz w:val="21"/>
                <w:szCs w:val="21"/>
                <w:highlight w:val="yellow"/>
                <w14:textFill>
                  <w14:solidFill>
                    <w14:schemeClr w14:val="tx1"/>
                  </w14:solidFill>
                </w14:textFill>
              </w:rPr>
            </w:pPr>
            <w:r>
              <w:rPr>
                <w:rFonts w:hint="eastAsia" w:cs="Times New Roman"/>
                <w:color w:val="000000" w:themeColor="text1"/>
                <w:sz w:val="21"/>
                <w:szCs w:val="21"/>
                <w:highlight w:val="yellow"/>
                <w:lang w:val="en-US" w:eastAsia="zh-CN"/>
                <w14:textFill>
                  <w14:solidFill>
                    <w14:schemeClr w14:val="tx1"/>
                  </w14:solidFill>
                </w14:textFill>
              </w:rPr>
              <w:t>100</w:t>
            </w:r>
            <w:r>
              <w:rPr>
                <w:rFonts w:hint="default" w:ascii="Times New Roman" w:hAnsi="Times New Roman" w:cs="Times New Roman"/>
                <w:color w:val="000000" w:themeColor="text1"/>
                <w:sz w:val="21"/>
                <w:szCs w:val="21"/>
                <w:highlight w:val="yellow"/>
                <w:lang w:val="en-US" w:eastAsia="zh-CN"/>
                <w14:textFill>
                  <w14:solidFill>
                    <w14:schemeClr w14:val="tx1"/>
                  </w14:solidFill>
                </w14:textFill>
              </w:rPr>
              <w:t>0</w:t>
            </w:r>
            <w:r>
              <w:rPr>
                <w:rFonts w:hint="default" w:ascii="Times New Roman" w:hAnsi="Times New Roman" w:cs="Times New Roman"/>
                <w:color w:val="000000" w:themeColor="text1"/>
                <w:sz w:val="21"/>
                <w:szCs w:val="21"/>
                <w:highlight w:val="yellow"/>
                <w14:textFill>
                  <w14:solidFill>
                    <w14:schemeClr w14:val="tx1"/>
                  </w14:solidFill>
                </w14:textFill>
              </w:rPr>
              <w:t>00t/a</w:t>
            </w:r>
          </w:p>
        </w:tc>
      </w:tr>
      <w:tr w14:paraId="7292C6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continue"/>
            <w:vAlign w:val="center"/>
          </w:tcPr>
          <w:p w14:paraId="5EB941B9">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757" w:type="pct"/>
            <w:vMerge w:val="continue"/>
            <w:vAlign w:val="center"/>
          </w:tcPr>
          <w:p w14:paraId="6D1EF23D">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792" w:type="pct"/>
            <w:vAlign w:val="center"/>
          </w:tcPr>
          <w:p w14:paraId="6772B3FC">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浮洗槽</w:t>
            </w: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10</w:t>
            </w:r>
          </w:p>
        </w:tc>
        <w:tc>
          <w:tcPr>
            <w:tcW w:w="762" w:type="pct"/>
            <w:vAlign w:val="center"/>
          </w:tcPr>
          <w:p w14:paraId="7281B870">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2.1</w:t>
            </w:r>
            <w:r>
              <w:rPr>
                <w:rFonts w:hint="default" w:ascii="Times New Roman" w:hAnsi="Times New Roman" w:cs="Times New Roman"/>
                <w:color w:val="000000" w:themeColor="text1"/>
                <w:sz w:val="21"/>
                <w:szCs w:val="21"/>
                <w:lang w:val="en-US" w:eastAsia="zh-CN"/>
                <w14:textFill>
                  <w14:solidFill>
                    <w14:schemeClr w14:val="tx1"/>
                  </w14:solidFill>
                </w14:textFill>
              </w:rPr>
              <w:t>t/h</w:t>
            </w:r>
          </w:p>
        </w:tc>
        <w:tc>
          <w:tcPr>
            <w:tcW w:w="979" w:type="pct"/>
            <w:vAlign w:val="center"/>
          </w:tcPr>
          <w:p w14:paraId="55EADD8D">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w:t>
            </w:r>
            <w:r>
              <w:rPr>
                <w:rFonts w:hint="default" w:ascii="Times New Roman" w:hAnsi="Times New Roman" w:cs="Times New Roman"/>
                <w:color w:val="000000" w:themeColor="text1"/>
                <w:sz w:val="21"/>
                <w:szCs w:val="21"/>
                <w14:textFill>
                  <w14:solidFill>
                    <w14:schemeClr w14:val="tx1"/>
                  </w14:solidFill>
                </w14:textFill>
              </w:rPr>
              <w:t>00</w:t>
            </w:r>
          </w:p>
        </w:tc>
        <w:tc>
          <w:tcPr>
            <w:tcW w:w="629" w:type="pct"/>
            <w:vAlign w:val="center"/>
          </w:tcPr>
          <w:p w14:paraId="3E66EA2B">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1008</w:t>
            </w: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default" w:ascii="Times New Roman" w:hAnsi="Times New Roman" w:cs="Times New Roman"/>
                <w:color w:val="000000" w:themeColor="text1"/>
                <w:sz w:val="21"/>
                <w:szCs w:val="21"/>
                <w14:textFill>
                  <w14:solidFill>
                    <w14:schemeClr w14:val="tx1"/>
                  </w14:solidFill>
                </w14:textFill>
              </w:rPr>
              <w:t>0t/a</w:t>
            </w:r>
          </w:p>
        </w:tc>
        <w:tc>
          <w:tcPr>
            <w:tcW w:w="647" w:type="pct"/>
            <w:vAlign w:val="center"/>
          </w:tcPr>
          <w:p w14:paraId="6B771B1F">
            <w:pPr>
              <w:spacing w:line="240" w:lineRule="auto"/>
              <w:jc w:val="center"/>
              <w:rPr>
                <w:rFonts w:hint="default" w:ascii="Times New Roman" w:hAnsi="Times New Roman" w:cs="Times New Roman"/>
                <w:b/>
                <w:color w:val="000000" w:themeColor="text1"/>
                <w:sz w:val="21"/>
                <w:szCs w:val="21"/>
                <w:highlight w:val="yellow"/>
                <w14:textFill>
                  <w14:solidFill>
                    <w14:schemeClr w14:val="tx1"/>
                  </w14:solidFill>
                </w14:textFill>
              </w:rPr>
            </w:pPr>
            <w:r>
              <w:rPr>
                <w:rFonts w:hint="eastAsia" w:cs="Times New Roman"/>
                <w:color w:val="000000" w:themeColor="text1"/>
                <w:sz w:val="21"/>
                <w:szCs w:val="21"/>
                <w:highlight w:val="yellow"/>
                <w:lang w:val="en-US" w:eastAsia="zh-CN"/>
                <w14:textFill>
                  <w14:solidFill>
                    <w14:schemeClr w14:val="tx1"/>
                  </w14:solidFill>
                </w14:textFill>
              </w:rPr>
              <w:t>100</w:t>
            </w:r>
            <w:r>
              <w:rPr>
                <w:rFonts w:hint="default" w:ascii="Times New Roman" w:hAnsi="Times New Roman" w:cs="Times New Roman"/>
                <w:color w:val="000000" w:themeColor="text1"/>
                <w:sz w:val="21"/>
                <w:szCs w:val="21"/>
                <w:highlight w:val="yellow"/>
                <w:lang w:val="en-US" w:eastAsia="zh-CN"/>
                <w14:textFill>
                  <w14:solidFill>
                    <w14:schemeClr w14:val="tx1"/>
                  </w14:solidFill>
                </w14:textFill>
              </w:rPr>
              <w:t>0</w:t>
            </w:r>
            <w:r>
              <w:rPr>
                <w:rFonts w:hint="default" w:ascii="Times New Roman" w:hAnsi="Times New Roman" w:cs="Times New Roman"/>
                <w:color w:val="000000" w:themeColor="text1"/>
                <w:sz w:val="21"/>
                <w:szCs w:val="21"/>
                <w:highlight w:val="yellow"/>
                <w14:textFill>
                  <w14:solidFill>
                    <w14:schemeClr w14:val="tx1"/>
                  </w14:solidFill>
                </w14:textFill>
              </w:rPr>
              <w:t>00t/a</w:t>
            </w:r>
          </w:p>
        </w:tc>
      </w:tr>
      <w:tr w14:paraId="6961B4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continue"/>
            <w:vAlign w:val="center"/>
          </w:tcPr>
          <w:p w14:paraId="6EFB7019">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757" w:type="pct"/>
            <w:vMerge w:val="continue"/>
            <w:vAlign w:val="center"/>
          </w:tcPr>
          <w:p w14:paraId="7ED5B4EE">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792" w:type="pct"/>
            <w:vAlign w:val="center"/>
          </w:tcPr>
          <w:p w14:paraId="2C3E874B">
            <w:pPr>
              <w:spacing w:line="240"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马头槽</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6</w:t>
            </w:r>
          </w:p>
        </w:tc>
        <w:tc>
          <w:tcPr>
            <w:tcW w:w="762" w:type="pct"/>
            <w:vAlign w:val="center"/>
          </w:tcPr>
          <w:p w14:paraId="2DD9EDCB">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3.5</w:t>
            </w:r>
            <w:r>
              <w:rPr>
                <w:rFonts w:hint="default" w:ascii="Times New Roman" w:hAnsi="Times New Roman" w:cs="Times New Roman"/>
                <w:color w:val="000000" w:themeColor="text1"/>
                <w:sz w:val="21"/>
                <w:szCs w:val="21"/>
                <w:lang w:val="en-US" w:eastAsia="zh-CN"/>
                <w14:textFill>
                  <w14:solidFill>
                    <w14:schemeClr w14:val="tx1"/>
                  </w14:solidFill>
                </w14:textFill>
              </w:rPr>
              <w:t>t/h</w:t>
            </w:r>
          </w:p>
        </w:tc>
        <w:tc>
          <w:tcPr>
            <w:tcW w:w="979" w:type="pct"/>
            <w:vAlign w:val="center"/>
          </w:tcPr>
          <w:p w14:paraId="747E4FAD">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w:t>
            </w:r>
            <w:r>
              <w:rPr>
                <w:rFonts w:hint="default" w:ascii="Times New Roman" w:hAnsi="Times New Roman" w:cs="Times New Roman"/>
                <w:color w:val="000000" w:themeColor="text1"/>
                <w:sz w:val="21"/>
                <w:szCs w:val="21"/>
                <w14:textFill>
                  <w14:solidFill>
                    <w14:schemeClr w14:val="tx1"/>
                  </w14:solidFill>
                </w14:textFill>
              </w:rPr>
              <w:t>00</w:t>
            </w:r>
          </w:p>
        </w:tc>
        <w:tc>
          <w:tcPr>
            <w:tcW w:w="629" w:type="pct"/>
            <w:vAlign w:val="center"/>
          </w:tcPr>
          <w:p w14:paraId="054F614F">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1008</w:t>
            </w: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default" w:ascii="Times New Roman" w:hAnsi="Times New Roman" w:cs="Times New Roman"/>
                <w:color w:val="000000" w:themeColor="text1"/>
                <w:sz w:val="21"/>
                <w:szCs w:val="21"/>
                <w14:textFill>
                  <w14:solidFill>
                    <w14:schemeClr w14:val="tx1"/>
                  </w14:solidFill>
                </w14:textFill>
              </w:rPr>
              <w:t>0t/a</w:t>
            </w:r>
          </w:p>
        </w:tc>
        <w:tc>
          <w:tcPr>
            <w:tcW w:w="647" w:type="pct"/>
            <w:vAlign w:val="center"/>
          </w:tcPr>
          <w:p w14:paraId="2DE3B380">
            <w:pPr>
              <w:spacing w:line="240" w:lineRule="auto"/>
              <w:jc w:val="center"/>
              <w:rPr>
                <w:rFonts w:hint="default" w:ascii="Times New Roman" w:hAnsi="Times New Roman" w:cs="Times New Roman"/>
                <w:color w:val="000000" w:themeColor="text1"/>
                <w:sz w:val="21"/>
                <w:szCs w:val="21"/>
                <w:highlight w:val="yellow"/>
                <w14:textFill>
                  <w14:solidFill>
                    <w14:schemeClr w14:val="tx1"/>
                  </w14:solidFill>
                </w14:textFill>
              </w:rPr>
            </w:pPr>
            <w:r>
              <w:rPr>
                <w:rFonts w:hint="eastAsia" w:cs="Times New Roman"/>
                <w:color w:val="000000" w:themeColor="text1"/>
                <w:sz w:val="21"/>
                <w:szCs w:val="21"/>
                <w:highlight w:val="yellow"/>
                <w:lang w:val="en-US" w:eastAsia="zh-CN"/>
                <w14:textFill>
                  <w14:solidFill>
                    <w14:schemeClr w14:val="tx1"/>
                  </w14:solidFill>
                </w14:textFill>
              </w:rPr>
              <w:t>100</w:t>
            </w:r>
            <w:r>
              <w:rPr>
                <w:rFonts w:hint="default" w:ascii="Times New Roman" w:hAnsi="Times New Roman" w:cs="Times New Roman"/>
                <w:color w:val="000000" w:themeColor="text1"/>
                <w:sz w:val="21"/>
                <w:szCs w:val="21"/>
                <w:highlight w:val="yellow"/>
                <w:lang w:val="en-US" w:eastAsia="zh-CN"/>
                <w14:textFill>
                  <w14:solidFill>
                    <w14:schemeClr w14:val="tx1"/>
                  </w14:solidFill>
                </w14:textFill>
              </w:rPr>
              <w:t>0</w:t>
            </w:r>
            <w:r>
              <w:rPr>
                <w:rFonts w:hint="default" w:ascii="Times New Roman" w:hAnsi="Times New Roman" w:cs="Times New Roman"/>
                <w:color w:val="000000" w:themeColor="text1"/>
                <w:sz w:val="21"/>
                <w:szCs w:val="21"/>
                <w:highlight w:val="yellow"/>
                <w14:textFill>
                  <w14:solidFill>
                    <w14:schemeClr w14:val="tx1"/>
                  </w14:solidFill>
                </w14:textFill>
              </w:rPr>
              <w:t>00t/a</w:t>
            </w:r>
          </w:p>
        </w:tc>
      </w:tr>
      <w:tr w14:paraId="760AD69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continue"/>
            <w:vAlign w:val="center"/>
          </w:tcPr>
          <w:p w14:paraId="1AC43605">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757" w:type="pct"/>
            <w:vMerge w:val="continue"/>
            <w:vAlign w:val="center"/>
          </w:tcPr>
          <w:p w14:paraId="3321BE90">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792" w:type="pct"/>
            <w:vAlign w:val="center"/>
          </w:tcPr>
          <w:p w14:paraId="0C16D274">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脱水机</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14</w:t>
            </w:r>
          </w:p>
        </w:tc>
        <w:tc>
          <w:tcPr>
            <w:tcW w:w="762" w:type="pct"/>
            <w:vAlign w:val="center"/>
          </w:tcPr>
          <w:p w14:paraId="76380790">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r>
              <w:rPr>
                <w:rFonts w:hint="default" w:ascii="Times New Roman" w:hAnsi="Times New Roman" w:cs="Times New Roman"/>
                <w:color w:val="000000" w:themeColor="text1"/>
                <w:sz w:val="21"/>
                <w:szCs w:val="21"/>
                <w:lang w:val="en-US" w:eastAsia="zh-CN"/>
                <w14:textFill>
                  <w14:solidFill>
                    <w14:schemeClr w14:val="tx1"/>
                  </w14:solidFill>
                </w14:textFill>
              </w:rPr>
              <w:t>t/h</w:t>
            </w:r>
          </w:p>
        </w:tc>
        <w:tc>
          <w:tcPr>
            <w:tcW w:w="979" w:type="pct"/>
            <w:vAlign w:val="center"/>
          </w:tcPr>
          <w:p w14:paraId="4AEE2CD6">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w:t>
            </w:r>
            <w:r>
              <w:rPr>
                <w:rFonts w:hint="default" w:ascii="Times New Roman" w:hAnsi="Times New Roman" w:cs="Times New Roman"/>
                <w:color w:val="000000" w:themeColor="text1"/>
                <w:sz w:val="21"/>
                <w:szCs w:val="21"/>
                <w14:textFill>
                  <w14:solidFill>
                    <w14:schemeClr w14:val="tx1"/>
                  </w14:solidFill>
                </w14:textFill>
              </w:rPr>
              <w:t>00</w:t>
            </w:r>
          </w:p>
        </w:tc>
        <w:tc>
          <w:tcPr>
            <w:tcW w:w="629" w:type="pct"/>
            <w:vAlign w:val="center"/>
          </w:tcPr>
          <w:p w14:paraId="324DBDDB">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1008</w:t>
            </w: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default" w:ascii="Times New Roman" w:hAnsi="Times New Roman" w:cs="Times New Roman"/>
                <w:color w:val="000000" w:themeColor="text1"/>
                <w:sz w:val="21"/>
                <w:szCs w:val="21"/>
                <w14:textFill>
                  <w14:solidFill>
                    <w14:schemeClr w14:val="tx1"/>
                  </w14:solidFill>
                </w14:textFill>
              </w:rPr>
              <w:t>0t/a</w:t>
            </w:r>
          </w:p>
        </w:tc>
        <w:tc>
          <w:tcPr>
            <w:tcW w:w="647" w:type="pct"/>
            <w:vAlign w:val="center"/>
          </w:tcPr>
          <w:p w14:paraId="01C40EF9">
            <w:pPr>
              <w:spacing w:line="240" w:lineRule="auto"/>
              <w:jc w:val="center"/>
              <w:rPr>
                <w:rFonts w:hint="default" w:ascii="Times New Roman" w:hAnsi="Times New Roman" w:cs="Times New Roman"/>
                <w:color w:val="000000" w:themeColor="text1"/>
                <w:sz w:val="21"/>
                <w:szCs w:val="21"/>
                <w:highlight w:val="yellow"/>
                <w14:textFill>
                  <w14:solidFill>
                    <w14:schemeClr w14:val="tx1"/>
                  </w14:solidFill>
                </w14:textFill>
              </w:rPr>
            </w:pPr>
            <w:r>
              <w:rPr>
                <w:rFonts w:hint="eastAsia" w:cs="Times New Roman"/>
                <w:color w:val="000000" w:themeColor="text1"/>
                <w:sz w:val="21"/>
                <w:szCs w:val="21"/>
                <w:highlight w:val="yellow"/>
                <w:lang w:val="en-US" w:eastAsia="zh-CN"/>
                <w14:textFill>
                  <w14:solidFill>
                    <w14:schemeClr w14:val="tx1"/>
                  </w14:solidFill>
                </w14:textFill>
              </w:rPr>
              <w:t>100</w:t>
            </w:r>
            <w:r>
              <w:rPr>
                <w:rFonts w:hint="default" w:ascii="Times New Roman" w:hAnsi="Times New Roman" w:cs="Times New Roman"/>
                <w:color w:val="000000" w:themeColor="text1"/>
                <w:sz w:val="21"/>
                <w:szCs w:val="21"/>
                <w:highlight w:val="yellow"/>
                <w:lang w:val="en-US" w:eastAsia="zh-CN"/>
                <w14:textFill>
                  <w14:solidFill>
                    <w14:schemeClr w14:val="tx1"/>
                  </w14:solidFill>
                </w14:textFill>
              </w:rPr>
              <w:t>0</w:t>
            </w:r>
            <w:r>
              <w:rPr>
                <w:rFonts w:hint="default" w:ascii="Times New Roman" w:hAnsi="Times New Roman" w:cs="Times New Roman"/>
                <w:color w:val="000000" w:themeColor="text1"/>
                <w:sz w:val="21"/>
                <w:szCs w:val="21"/>
                <w:highlight w:val="yellow"/>
                <w14:textFill>
                  <w14:solidFill>
                    <w14:schemeClr w14:val="tx1"/>
                  </w14:solidFill>
                </w14:textFill>
              </w:rPr>
              <w:t>00t/a</w:t>
            </w:r>
          </w:p>
        </w:tc>
      </w:tr>
      <w:tr w14:paraId="51AF6C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restart"/>
            <w:vAlign w:val="center"/>
          </w:tcPr>
          <w:p w14:paraId="6981B910">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757" w:type="pct"/>
            <w:vMerge w:val="restart"/>
            <w:vAlign w:val="center"/>
          </w:tcPr>
          <w:p w14:paraId="1B6E3979">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标签纸生产线</w:t>
            </w:r>
          </w:p>
        </w:tc>
        <w:tc>
          <w:tcPr>
            <w:tcW w:w="792" w:type="pct"/>
            <w:vAlign w:val="center"/>
          </w:tcPr>
          <w:p w14:paraId="7C493355">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破碎机</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762" w:type="pct"/>
            <w:vAlign w:val="center"/>
          </w:tcPr>
          <w:p w14:paraId="135C5FE7">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lang w:val="en-US" w:eastAsia="zh-CN"/>
                <w14:textFill>
                  <w14:solidFill>
                    <w14:schemeClr w14:val="tx1"/>
                  </w14:solidFill>
                </w14:textFill>
              </w:rPr>
              <w:t>t/h</w:t>
            </w:r>
          </w:p>
        </w:tc>
        <w:tc>
          <w:tcPr>
            <w:tcW w:w="979" w:type="pct"/>
            <w:vAlign w:val="center"/>
          </w:tcPr>
          <w:p w14:paraId="6DB79ED0">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w:t>
            </w:r>
            <w:r>
              <w:rPr>
                <w:rFonts w:hint="default" w:ascii="Times New Roman" w:hAnsi="Times New Roman" w:cs="Times New Roman"/>
                <w:color w:val="000000" w:themeColor="text1"/>
                <w:sz w:val="21"/>
                <w:szCs w:val="21"/>
                <w14:textFill>
                  <w14:solidFill>
                    <w14:schemeClr w14:val="tx1"/>
                  </w14:solidFill>
                </w14:textFill>
              </w:rPr>
              <w:t>00</w:t>
            </w:r>
          </w:p>
        </w:tc>
        <w:tc>
          <w:tcPr>
            <w:tcW w:w="629" w:type="pct"/>
            <w:vAlign w:val="center"/>
          </w:tcPr>
          <w:p w14:paraId="503E9D8B">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720</w:t>
            </w:r>
            <w:r>
              <w:rPr>
                <w:rFonts w:hint="default" w:ascii="Times New Roman" w:hAnsi="Times New Roman" w:cs="Times New Roman"/>
                <w:color w:val="000000" w:themeColor="text1"/>
                <w:sz w:val="21"/>
                <w:szCs w:val="21"/>
                <w14:textFill>
                  <w14:solidFill>
                    <w14:schemeClr w14:val="tx1"/>
                  </w14:solidFill>
                </w14:textFill>
              </w:rPr>
              <w:t>0t/a</w:t>
            </w:r>
          </w:p>
        </w:tc>
        <w:tc>
          <w:tcPr>
            <w:tcW w:w="647" w:type="pct"/>
            <w:vAlign w:val="center"/>
          </w:tcPr>
          <w:p w14:paraId="580697D9">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7002.95</w:t>
            </w:r>
            <w:r>
              <w:rPr>
                <w:rFonts w:hint="default" w:ascii="Times New Roman" w:hAnsi="Times New Roman" w:cs="Times New Roman"/>
                <w:color w:val="000000" w:themeColor="text1"/>
                <w:sz w:val="21"/>
                <w:szCs w:val="21"/>
                <w14:textFill>
                  <w14:solidFill>
                    <w14:schemeClr w14:val="tx1"/>
                  </w14:solidFill>
                </w14:textFill>
              </w:rPr>
              <w:t>t/a</w:t>
            </w:r>
          </w:p>
        </w:tc>
      </w:tr>
      <w:tr w14:paraId="436FAF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continue"/>
            <w:vAlign w:val="center"/>
          </w:tcPr>
          <w:p w14:paraId="22D74EEA">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757" w:type="pct"/>
            <w:vMerge w:val="continue"/>
            <w:vAlign w:val="center"/>
          </w:tcPr>
          <w:p w14:paraId="748D46EF">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792" w:type="pct"/>
            <w:vAlign w:val="center"/>
          </w:tcPr>
          <w:p w14:paraId="0C498024">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清洗水槽</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7</w:t>
            </w:r>
          </w:p>
        </w:tc>
        <w:tc>
          <w:tcPr>
            <w:tcW w:w="762" w:type="pct"/>
            <w:vAlign w:val="center"/>
          </w:tcPr>
          <w:p w14:paraId="55094B5C">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cs="Times New Roman"/>
                <w:color w:val="000000" w:themeColor="text1"/>
                <w:sz w:val="21"/>
                <w:szCs w:val="21"/>
                <w:lang w:val="en-US" w:eastAsia="zh-CN"/>
                <w14:textFill>
                  <w14:solidFill>
                    <w14:schemeClr w14:val="tx1"/>
                  </w14:solidFill>
                </w14:textFill>
              </w:rPr>
              <w:t>t/h</w:t>
            </w:r>
          </w:p>
        </w:tc>
        <w:tc>
          <w:tcPr>
            <w:tcW w:w="979" w:type="pct"/>
            <w:vAlign w:val="center"/>
          </w:tcPr>
          <w:p w14:paraId="09CD351F">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w:t>
            </w:r>
            <w:r>
              <w:rPr>
                <w:rFonts w:hint="default" w:ascii="Times New Roman" w:hAnsi="Times New Roman" w:cs="Times New Roman"/>
                <w:color w:val="000000" w:themeColor="text1"/>
                <w:sz w:val="21"/>
                <w:szCs w:val="21"/>
                <w14:textFill>
                  <w14:solidFill>
                    <w14:schemeClr w14:val="tx1"/>
                  </w14:solidFill>
                </w14:textFill>
              </w:rPr>
              <w:t>00</w:t>
            </w:r>
          </w:p>
        </w:tc>
        <w:tc>
          <w:tcPr>
            <w:tcW w:w="629" w:type="pct"/>
            <w:vAlign w:val="center"/>
          </w:tcPr>
          <w:p w14:paraId="0069CB91">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108</w:t>
            </w: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default" w:ascii="Times New Roman" w:hAnsi="Times New Roman" w:cs="Times New Roman"/>
                <w:color w:val="000000" w:themeColor="text1"/>
                <w:sz w:val="21"/>
                <w:szCs w:val="21"/>
                <w14:textFill>
                  <w14:solidFill>
                    <w14:schemeClr w14:val="tx1"/>
                  </w14:solidFill>
                </w14:textFill>
              </w:rPr>
              <w:t>0t/a</w:t>
            </w:r>
          </w:p>
        </w:tc>
        <w:tc>
          <w:tcPr>
            <w:tcW w:w="647" w:type="pct"/>
            <w:vAlign w:val="center"/>
          </w:tcPr>
          <w:p w14:paraId="318F9AD0">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7002.95</w:t>
            </w:r>
            <w:r>
              <w:rPr>
                <w:rFonts w:hint="default" w:ascii="Times New Roman" w:hAnsi="Times New Roman" w:cs="Times New Roman"/>
                <w:color w:val="000000" w:themeColor="text1"/>
                <w:sz w:val="21"/>
                <w:szCs w:val="21"/>
                <w14:textFill>
                  <w14:solidFill>
                    <w14:schemeClr w14:val="tx1"/>
                  </w14:solidFill>
                </w14:textFill>
              </w:rPr>
              <w:t>t/a</w:t>
            </w:r>
          </w:p>
        </w:tc>
      </w:tr>
      <w:tr w14:paraId="61B416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Align w:val="center"/>
          </w:tcPr>
          <w:p w14:paraId="5D9A11B3">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757" w:type="pct"/>
            <w:vAlign w:val="center"/>
          </w:tcPr>
          <w:p w14:paraId="5E91D6C3">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瓶盖清洗生产线</w:t>
            </w:r>
          </w:p>
        </w:tc>
        <w:tc>
          <w:tcPr>
            <w:tcW w:w="792" w:type="pct"/>
            <w:vAlign w:val="center"/>
          </w:tcPr>
          <w:p w14:paraId="7A98F887">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清洗水槽</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762" w:type="pct"/>
            <w:vAlign w:val="center"/>
          </w:tcPr>
          <w:p w14:paraId="3F8BDBDE">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8</w:t>
            </w:r>
            <w:r>
              <w:rPr>
                <w:rFonts w:hint="default" w:ascii="Times New Roman" w:hAnsi="Times New Roman" w:cs="Times New Roman"/>
                <w:color w:val="000000" w:themeColor="text1"/>
                <w:sz w:val="21"/>
                <w:szCs w:val="21"/>
                <w:lang w:val="en-US" w:eastAsia="zh-CN"/>
                <w14:textFill>
                  <w14:solidFill>
                    <w14:schemeClr w14:val="tx1"/>
                  </w14:solidFill>
                </w14:textFill>
              </w:rPr>
              <w:t>t/h</w:t>
            </w:r>
          </w:p>
        </w:tc>
        <w:tc>
          <w:tcPr>
            <w:tcW w:w="979" w:type="pct"/>
            <w:vAlign w:val="center"/>
          </w:tcPr>
          <w:p w14:paraId="0FC9EFAD">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w:t>
            </w:r>
            <w:r>
              <w:rPr>
                <w:rFonts w:hint="default" w:ascii="Times New Roman" w:hAnsi="Times New Roman" w:cs="Times New Roman"/>
                <w:color w:val="000000" w:themeColor="text1"/>
                <w:sz w:val="21"/>
                <w:szCs w:val="21"/>
                <w14:textFill>
                  <w14:solidFill>
                    <w14:schemeClr w14:val="tx1"/>
                  </w14:solidFill>
                </w14:textFill>
              </w:rPr>
              <w:t>00</w:t>
            </w:r>
          </w:p>
        </w:tc>
        <w:tc>
          <w:tcPr>
            <w:tcW w:w="629" w:type="pct"/>
            <w:vAlign w:val="center"/>
          </w:tcPr>
          <w:p w14:paraId="760348FA">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w:t>
            </w:r>
            <w:r>
              <w:rPr>
                <w:rFonts w:hint="eastAsia" w:cs="Times New Roman"/>
                <w:color w:val="000000" w:themeColor="text1"/>
                <w:sz w:val="21"/>
                <w:szCs w:val="21"/>
                <w:lang w:val="en-US" w:eastAsia="zh-CN"/>
                <w14:textFill>
                  <w14:solidFill>
                    <w14:schemeClr w14:val="tx1"/>
                  </w14:solidFill>
                </w14:textFill>
              </w:rPr>
              <w:t>68</w:t>
            </w:r>
            <w:r>
              <w:rPr>
                <w:rFonts w:hint="default" w:ascii="Times New Roman" w:hAnsi="Times New Roman" w:cs="Times New Roman"/>
                <w:color w:val="000000" w:themeColor="text1"/>
                <w:sz w:val="21"/>
                <w:szCs w:val="21"/>
                <w14:textFill>
                  <w14:solidFill>
                    <w14:schemeClr w14:val="tx1"/>
                  </w14:solidFill>
                </w14:textFill>
              </w:rPr>
              <w:t>0t/a</w:t>
            </w:r>
          </w:p>
        </w:tc>
        <w:tc>
          <w:tcPr>
            <w:tcW w:w="647" w:type="pct"/>
            <w:vAlign w:val="center"/>
          </w:tcPr>
          <w:p w14:paraId="01FF274B">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70</w:t>
            </w:r>
            <w:r>
              <w:rPr>
                <w:rFonts w:hint="eastAsia" w:cs="Times New Roman"/>
                <w:color w:val="000000" w:themeColor="text1"/>
                <w:sz w:val="21"/>
                <w:szCs w:val="21"/>
                <w:lang w:val="en-US" w:eastAsia="zh-CN"/>
                <w14:textFill>
                  <w14:solidFill>
                    <w14:schemeClr w14:val="tx1"/>
                  </w14:solidFill>
                </w14:textFill>
              </w:rPr>
              <w:t>14</w:t>
            </w:r>
            <w:r>
              <w:rPr>
                <w:rFonts w:hint="default" w:ascii="Times New Roman" w:hAnsi="Times New Roman" w:cs="Times New Roman"/>
                <w:color w:val="000000" w:themeColor="text1"/>
                <w:sz w:val="21"/>
                <w:szCs w:val="21"/>
                <w14:textFill>
                  <w14:solidFill>
                    <w14:schemeClr w14:val="tx1"/>
                  </w14:solidFill>
                </w14:textFill>
              </w:rPr>
              <w:t>t/a</w:t>
            </w:r>
          </w:p>
        </w:tc>
      </w:tr>
      <w:tr w14:paraId="55D341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restart"/>
            <w:vAlign w:val="center"/>
          </w:tcPr>
          <w:p w14:paraId="38F26DBA">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w:t>
            </w:r>
          </w:p>
        </w:tc>
        <w:tc>
          <w:tcPr>
            <w:tcW w:w="757" w:type="pct"/>
            <w:vMerge w:val="restart"/>
            <w:vAlign w:val="center"/>
          </w:tcPr>
          <w:p w14:paraId="3720C913">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瓶盖生产线</w:t>
            </w:r>
          </w:p>
        </w:tc>
        <w:tc>
          <w:tcPr>
            <w:tcW w:w="792" w:type="pct"/>
            <w:vAlign w:val="center"/>
          </w:tcPr>
          <w:p w14:paraId="56F8EB8E">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浮洗槽</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762" w:type="pct"/>
            <w:vAlign w:val="center"/>
          </w:tcPr>
          <w:p w14:paraId="3F851C87">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8</w:t>
            </w:r>
            <w:r>
              <w:rPr>
                <w:rFonts w:hint="default" w:ascii="Times New Roman" w:hAnsi="Times New Roman" w:cs="Times New Roman"/>
                <w:color w:val="000000" w:themeColor="text1"/>
                <w:sz w:val="21"/>
                <w:szCs w:val="21"/>
                <w:lang w:val="en-US" w:eastAsia="zh-CN"/>
                <w14:textFill>
                  <w14:solidFill>
                    <w14:schemeClr w14:val="tx1"/>
                  </w14:solidFill>
                </w14:textFill>
              </w:rPr>
              <w:t>t/h</w:t>
            </w:r>
          </w:p>
        </w:tc>
        <w:tc>
          <w:tcPr>
            <w:tcW w:w="979" w:type="pct"/>
            <w:vAlign w:val="center"/>
          </w:tcPr>
          <w:p w14:paraId="09883C0C">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w:t>
            </w:r>
            <w:r>
              <w:rPr>
                <w:rFonts w:hint="default" w:ascii="Times New Roman" w:hAnsi="Times New Roman" w:cs="Times New Roman"/>
                <w:color w:val="000000" w:themeColor="text1"/>
                <w:sz w:val="21"/>
                <w:szCs w:val="21"/>
                <w14:textFill>
                  <w14:solidFill>
                    <w14:schemeClr w14:val="tx1"/>
                  </w14:solidFill>
                </w14:textFill>
              </w:rPr>
              <w:t>00</w:t>
            </w:r>
          </w:p>
        </w:tc>
        <w:tc>
          <w:tcPr>
            <w:tcW w:w="629" w:type="pct"/>
            <w:vAlign w:val="center"/>
          </w:tcPr>
          <w:p w14:paraId="726489FA">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w:t>
            </w:r>
            <w:r>
              <w:rPr>
                <w:rFonts w:hint="eastAsia" w:cs="Times New Roman"/>
                <w:color w:val="000000" w:themeColor="text1"/>
                <w:sz w:val="21"/>
                <w:szCs w:val="21"/>
                <w:lang w:val="en-US" w:eastAsia="zh-CN"/>
                <w14:textFill>
                  <w14:solidFill>
                    <w14:schemeClr w14:val="tx1"/>
                  </w14:solidFill>
                </w14:textFill>
              </w:rPr>
              <w:t>68</w:t>
            </w:r>
            <w:r>
              <w:rPr>
                <w:rFonts w:hint="default" w:ascii="Times New Roman" w:hAnsi="Times New Roman" w:cs="Times New Roman"/>
                <w:color w:val="000000" w:themeColor="text1"/>
                <w:sz w:val="21"/>
                <w:szCs w:val="21"/>
                <w14:textFill>
                  <w14:solidFill>
                    <w14:schemeClr w14:val="tx1"/>
                  </w14:solidFill>
                </w14:textFill>
              </w:rPr>
              <w:t>0t/a</w:t>
            </w:r>
          </w:p>
        </w:tc>
        <w:tc>
          <w:tcPr>
            <w:tcW w:w="647" w:type="pct"/>
            <w:vAlign w:val="center"/>
          </w:tcPr>
          <w:p w14:paraId="71B1A6E6">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70</w:t>
            </w:r>
            <w:r>
              <w:rPr>
                <w:rFonts w:hint="eastAsia" w:cs="Times New Roman"/>
                <w:color w:val="000000" w:themeColor="text1"/>
                <w:sz w:val="21"/>
                <w:szCs w:val="21"/>
                <w:lang w:val="en-US" w:eastAsia="zh-CN"/>
                <w14:textFill>
                  <w14:solidFill>
                    <w14:schemeClr w14:val="tx1"/>
                  </w14:solidFill>
                </w14:textFill>
              </w:rPr>
              <w:t>14</w:t>
            </w:r>
            <w:r>
              <w:rPr>
                <w:rFonts w:hint="default" w:ascii="Times New Roman" w:hAnsi="Times New Roman" w:cs="Times New Roman"/>
                <w:color w:val="000000" w:themeColor="text1"/>
                <w:sz w:val="21"/>
                <w:szCs w:val="21"/>
                <w14:textFill>
                  <w14:solidFill>
                    <w14:schemeClr w14:val="tx1"/>
                  </w14:solidFill>
                </w14:textFill>
              </w:rPr>
              <w:t>t/a</w:t>
            </w:r>
          </w:p>
        </w:tc>
      </w:tr>
      <w:tr w14:paraId="1726ED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Merge w:val="continue"/>
            <w:vAlign w:val="center"/>
          </w:tcPr>
          <w:p w14:paraId="3DD1BD00">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757" w:type="pct"/>
            <w:vMerge w:val="continue"/>
            <w:vAlign w:val="center"/>
          </w:tcPr>
          <w:p w14:paraId="6EC335A5">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792" w:type="pct"/>
            <w:vAlign w:val="center"/>
          </w:tcPr>
          <w:p w14:paraId="1299F213">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脱水机</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762" w:type="pct"/>
            <w:vAlign w:val="center"/>
          </w:tcPr>
          <w:p w14:paraId="5119FAAB">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lang w:val="en-US" w:eastAsia="zh-CN"/>
                <w14:textFill>
                  <w14:solidFill>
                    <w14:schemeClr w14:val="tx1"/>
                  </w14:solidFill>
                </w14:textFill>
              </w:rPr>
              <w:t>t/h</w:t>
            </w:r>
          </w:p>
        </w:tc>
        <w:tc>
          <w:tcPr>
            <w:tcW w:w="979" w:type="pct"/>
            <w:vAlign w:val="center"/>
          </w:tcPr>
          <w:p w14:paraId="5C9EF521">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w:t>
            </w:r>
            <w:r>
              <w:rPr>
                <w:rFonts w:hint="default" w:ascii="Times New Roman" w:hAnsi="Times New Roman" w:cs="Times New Roman"/>
                <w:color w:val="000000" w:themeColor="text1"/>
                <w:sz w:val="21"/>
                <w:szCs w:val="21"/>
                <w14:textFill>
                  <w14:solidFill>
                    <w14:schemeClr w14:val="tx1"/>
                  </w14:solidFill>
                </w14:textFill>
              </w:rPr>
              <w:t>00</w:t>
            </w:r>
          </w:p>
        </w:tc>
        <w:tc>
          <w:tcPr>
            <w:tcW w:w="629" w:type="pct"/>
            <w:vAlign w:val="center"/>
          </w:tcPr>
          <w:p w14:paraId="74D1EE65">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720</w:t>
            </w:r>
            <w:r>
              <w:rPr>
                <w:rFonts w:hint="default" w:ascii="Times New Roman" w:hAnsi="Times New Roman" w:cs="Times New Roman"/>
                <w:color w:val="000000" w:themeColor="text1"/>
                <w:sz w:val="21"/>
                <w:szCs w:val="21"/>
                <w14:textFill>
                  <w14:solidFill>
                    <w14:schemeClr w14:val="tx1"/>
                  </w14:solidFill>
                </w14:textFill>
              </w:rPr>
              <w:t>0t/a</w:t>
            </w:r>
          </w:p>
        </w:tc>
        <w:tc>
          <w:tcPr>
            <w:tcW w:w="647" w:type="pct"/>
            <w:vAlign w:val="center"/>
          </w:tcPr>
          <w:p w14:paraId="0C4CBE2E">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70</w:t>
            </w:r>
            <w:r>
              <w:rPr>
                <w:rFonts w:hint="eastAsia" w:cs="Times New Roman"/>
                <w:color w:val="000000" w:themeColor="text1"/>
                <w:sz w:val="21"/>
                <w:szCs w:val="21"/>
                <w:lang w:val="en-US" w:eastAsia="zh-CN"/>
                <w14:textFill>
                  <w14:solidFill>
                    <w14:schemeClr w14:val="tx1"/>
                  </w14:solidFill>
                </w14:textFill>
              </w:rPr>
              <w:t>14</w:t>
            </w:r>
            <w:r>
              <w:rPr>
                <w:rFonts w:hint="default" w:ascii="Times New Roman" w:hAnsi="Times New Roman" w:cs="Times New Roman"/>
                <w:color w:val="000000" w:themeColor="text1"/>
                <w:sz w:val="21"/>
                <w:szCs w:val="21"/>
                <w14:textFill>
                  <w14:solidFill>
                    <w14:schemeClr w14:val="tx1"/>
                  </w14:solidFill>
                </w14:textFill>
              </w:rPr>
              <w:t>t/a</w:t>
            </w:r>
          </w:p>
        </w:tc>
      </w:tr>
      <w:tr w14:paraId="7F877C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1" w:type="pct"/>
            <w:vAlign w:val="center"/>
          </w:tcPr>
          <w:p w14:paraId="643C8D5E">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w:t>
            </w:r>
          </w:p>
        </w:tc>
        <w:tc>
          <w:tcPr>
            <w:tcW w:w="757" w:type="pct"/>
            <w:vAlign w:val="center"/>
          </w:tcPr>
          <w:p w14:paraId="42AE35F1">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改性粒子生产线</w:t>
            </w:r>
          </w:p>
        </w:tc>
        <w:tc>
          <w:tcPr>
            <w:tcW w:w="792" w:type="pct"/>
            <w:vAlign w:val="center"/>
          </w:tcPr>
          <w:p w14:paraId="0C377733">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高速PET造粒设备</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762" w:type="pct"/>
            <w:vAlign w:val="center"/>
          </w:tcPr>
          <w:p w14:paraId="6A8D7A9B">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2.1</w:t>
            </w:r>
            <w:r>
              <w:rPr>
                <w:rFonts w:hint="default" w:ascii="Times New Roman" w:hAnsi="Times New Roman" w:cs="Times New Roman"/>
                <w:color w:val="000000" w:themeColor="text1"/>
                <w:sz w:val="21"/>
                <w:szCs w:val="21"/>
                <w:lang w:val="en-US" w:eastAsia="zh-CN"/>
                <w14:textFill>
                  <w14:solidFill>
                    <w14:schemeClr w14:val="tx1"/>
                  </w14:solidFill>
                </w14:textFill>
              </w:rPr>
              <w:t>t/h</w:t>
            </w:r>
          </w:p>
        </w:tc>
        <w:tc>
          <w:tcPr>
            <w:tcW w:w="979" w:type="pct"/>
            <w:vAlign w:val="center"/>
          </w:tcPr>
          <w:p w14:paraId="181056D9">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w:t>
            </w:r>
            <w:r>
              <w:rPr>
                <w:rFonts w:hint="default" w:ascii="Times New Roman" w:hAnsi="Times New Roman" w:cs="Times New Roman"/>
                <w:color w:val="000000" w:themeColor="text1"/>
                <w:sz w:val="21"/>
                <w:szCs w:val="21"/>
                <w14:textFill>
                  <w14:solidFill>
                    <w14:schemeClr w14:val="tx1"/>
                  </w14:solidFill>
                </w14:textFill>
              </w:rPr>
              <w:t>00</w:t>
            </w:r>
          </w:p>
        </w:tc>
        <w:tc>
          <w:tcPr>
            <w:tcW w:w="629" w:type="pct"/>
            <w:vAlign w:val="center"/>
          </w:tcPr>
          <w:p w14:paraId="05EBE9C6">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20</w:t>
            </w:r>
            <w:r>
              <w:rPr>
                <w:rFonts w:hint="eastAsia" w:cs="Times New Roman"/>
                <w:color w:val="000000" w:themeColor="text1"/>
                <w:sz w:val="21"/>
                <w:szCs w:val="21"/>
                <w:lang w:val="en-US" w:eastAsia="zh-CN"/>
                <w14:textFill>
                  <w14:solidFill>
                    <w14:schemeClr w14:val="tx1"/>
                  </w14:solidFill>
                </w14:textFill>
              </w:rPr>
              <w:t>16</w:t>
            </w:r>
            <w:r>
              <w:rPr>
                <w:rFonts w:hint="default" w:ascii="Times New Roman" w:hAnsi="Times New Roman" w:cs="Times New Roman"/>
                <w:color w:val="000000" w:themeColor="text1"/>
                <w:sz w:val="21"/>
                <w:szCs w:val="21"/>
                <w14:textFill>
                  <w14:solidFill>
                    <w14:schemeClr w14:val="tx1"/>
                  </w14:solidFill>
                </w14:textFill>
              </w:rPr>
              <w:t>0t/a</w:t>
            </w:r>
          </w:p>
        </w:tc>
        <w:tc>
          <w:tcPr>
            <w:tcW w:w="647" w:type="pct"/>
            <w:vAlign w:val="center"/>
          </w:tcPr>
          <w:p w14:paraId="040391AA">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200</w:t>
            </w: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7</w:t>
            </w:r>
            <w:r>
              <w:rPr>
                <w:rFonts w:hint="default" w:ascii="Times New Roman" w:hAnsi="Times New Roman" w:cs="Times New Roman"/>
                <w:color w:val="000000" w:themeColor="text1"/>
                <w:sz w:val="21"/>
                <w:szCs w:val="21"/>
                <w14:textFill>
                  <w14:solidFill>
                    <w14:schemeClr w14:val="tx1"/>
                  </w14:solidFill>
                </w14:textFill>
              </w:rPr>
              <w:t>t/a</w:t>
            </w:r>
          </w:p>
        </w:tc>
      </w:tr>
    </w:tbl>
    <w:p w14:paraId="582A10C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本项目关键工序均选用国内外成熟先进的设备，自动化程度高，机器精密度好，且设备电机采用变频设备，降噪同时节能。</w:t>
      </w:r>
    </w:p>
    <w:p w14:paraId="02053BC7">
      <w:pPr>
        <w:pStyle w:val="3159"/>
        <w:rPr>
          <w:rFonts w:hint="default" w:ascii="Times New Roman" w:hAnsi="Times New Roman" w:eastAsia="黑体" w:cs="Times New Roman"/>
          <w:b w:val="0"/>
          <w:color w:val="000000" w:themeColor="text1"/>
          <w:lang w:val="en-US" w:eastAsia="zh-CN"/>
          <w14:textFill>
            <w14:solidFill>
              <w14:schemeClr w14:val="tx1"/>
            </w14:solidFill>
          </w14:textFill>
        </w:rPr>
      </w:pPr>
      <w:bookmarkStart w:id="50" w:name="_Toc173837645"/>
      <w:r>
        <w:rPr>
          <w:rFonts w:hint="default" w:ascii="Times New Roman" w:hAnsi="Times New Roman" w:eastAsia="黑体" w:cs="Times New Roman"/>
          <w:b w:val="0"/>
          <w:color w:val="000000" w:themeColor="text1"/>
          <w14:textFill>
            <w14:solidFill>
              <w14:schemeClr w14:val="tx1"/>
            </w14:solidFill>
          </w14:textFill>
        </w:rPr>
        <w:t>3.1.</w:t>
      </w:r>
      <w:r>
        <w:rPr>
          <w:rFonts w:hint="default" w:ascii="Times New Roman" w:hAnsi="Times New Roman" w:eastAsia="黑体" w:cs="Times New Roman"/>
          <w:b w:val="0"/>
          <w:color w:val="000000" w:themeColor="text1"/>
          <w:lang w:val="en-US" w:eastAsia="zh-CN"/>
          <w14:textFill>
            <w14:solidFill>
              <w14:schemeClr w14:val="tx1"/>
            </w14:solidFill>
          </w14:textFill>
        </w:rPr>
        <w:t>7</w:t>
      </w:r>
      <w:r>
        <w:rPr>
          <w:rFonts w:hint="eastAsia" w:ascii="Times New Roman" w:hAnsi="Times New Roman" w:eastAsia="黑体" w:cs="Times New Roman"/>
          <w:b w:val="0"/>
          <w:color w:val="000000" w:themeColor="text1"/>
          <w:lang w:val="en-US" w:eastAsia="zh-CN"/>
          <w14:textFill>
            <w14:solidFill>
              <w14:schemeClr w14:val="tx1"/>
            </w14:solidFill>
          </w14:textFill>
        </w:rPr>
        <w:t>劳动定员</w:t>
      </w:r>
    </w:p>
    <w:p w14:paraId="5C785C4F">
      <w:pPr>
        <w:pStyle w:val="3159"/>
        <w:ind w:firstLine="480" w:firstLineChars="200"/>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pacing w:val="0"/>
          <w:kern w:val="2"/>
          <w:sz w:val="24"/>
          <w:szCs w:val="28"/>
          <w:lang w:val="en-US" w:eastAsia="zh-CN" w:bidi="ar-SA"/>
          <w14:textFill>
            <w14:solidFill>
              <w14:schemeClr w14:val="tx1"/>
            </w14:solidFill>
          </w14:textFill>
        </w:rPr>
        <w:t>本</w:t>
      </w:r>
      <w:r>
        <w:rPr>
          <w:rFonts w:hint="default" w:ascii="Times New Roman" w:hAnsi="Times New Roman" w:eastAsia="宋体" w:cs="Times New Roman"/>
          <w:b w:val="0"/>
          <w:bCs w:val="0"/>
          <w:color w:val="000000" w:themeColor="text1"/>
          <w:spacing w:val="0"/>
          <w:kern w:val="2"/>
          <w:sz w:val="24"/>
          <w:szCs w:val="28"/>
          <w:lang w:val="en-US" w:eastAsia="zh-CN" w:bidi="ar-SA"/>
          <w14:textFill>
            <w14:solidFill>
              <w14:schemeClr w14:val="tx1"/>
            </w14:solidFill>
          </w14:textFill>
        </w:rPr>
        <w:t>项目劳动定员人数为</w:t>
      </w:r>
      <w:r>
        <w:rPr>
          <w:rFonts w:hint="eastAsia" w:ascii="Times New Roman" w:hAnsi="Times New Roman" w:eastAsia="宋体" w:cs="Times New Roman"/>
          <w:b w:val="0"/>
          <w:bCs w:val="0"/>
          <w:color w:val="000000" w:themeColor="text1"/>
          <w:spacing w:val="0"/>
          <w:kern w:val="2"/>
          <w:sz w:val="24"/>
          <w:szCs w:val="28"/>
          <w:lang w:val="en-US" w:eastAsia="zh-CN" w:bidi="ar-SA"/>
          <w14:textFill>
            <w14:solidFill>
              <w14:schemeClr w14:val="tx1"/>
            </w14:solidFill>
          </w14:textFill>
        </w:rPr>
        <w:t>5</w:t>
      </w:r>
      <w:r>
        <w:rPr>
          <w:rFonts w:hint="default" w:ascii="Times New Roman" w:hAnsi="Times New Roman" w:eastAsia="宋体" w:cs="Times New Roman"/>
          <w:b w:val="0"/>
          <w:bCs w:val="0"/>
          <w:color w:val="000000" w:themeColor="text1"/>
          <w:spacing w:val="0"/>
          <w:kern w:val="2"/>
          <w:sz w:val="24"/>
          <w:szCs w:val="28"/>
          <w:lang w:val="en-US" w:eastAsia="zh-CN" w:bidi="ar-SA"/>
          <w14:textFill>
            <w14:solidFill>
              <w14:schemeClr w14:val="tx1"/>
            </w14:solidFill>
          </w14:textFill>
        </w:rPr>
        <w:t>0人，项目运行后，每年工作时间300天，</w:t>
      </w:r>
      <w:r>
        <w:rPr>
          <w:rFonts w:hint="eastAsia" w:ascii="Times New Roman" w:hAnsi="Times New Roman" w:eastAsia="宋体" w:cs="Times New Roman"/>
          <w:b w:val="0"/>
          <w:bCs w:val="0"/>
          <w:color w:val="000000" w:themeColor="text1"/>
          <w:spacing w:val="0"/>
          <w:kern w:val="2"/>
          <w:sz w:val="24"/>
          <w:szCs w:val="28"/>
          <w:lang w:val="en-US" w:eastAsia="zh-CN" w:bidi="ar-SA"/>
          <w14:textFill>
            <w14:solidFill>
              <w14:schemeClr w14:val="tx1"/>
            </w14:solidFill>
          </w14:textFill>
        </w:rPr>
        <w:t>采用两班制，</w:t>
      </w:r>
      <w:r>
        <w:rPr>
          <w:rFonts w:hint="default" w:ascii="Times New Roman" w:hAnsi="Times New Roman" w:eastAsia="宋体" w:cs="Times New Roman"/>
          <w:b w:val="0"/>
          <w:bCs w:val="0"/>
          <w:color w:val="000000" w:themeColor="text1"/>
          <w:spacing w:val="0"/>
          <w:kern w:val="2"/>
          <w:sz w:val="24"/>
          <w:szCs w:val="28"/>
          <w:lang w:val="en-US" w:eastAsia="zh-CN" w:bidi="ar-SA"/>
          <w14:textFill>
            <w14:solidFill>
              <w14:schemeClr w14:val="tx1"/>
            </w14:solidFill>
          </w14:textFill>
        </w:rPr>
        <w:t>每</w:t>
      </w:r>
      <w:r>
        <w:rPr>
          <w:rFonts w:hint="eastAsia" w:ascii="Times New Roman" w:hAnsi="Times New Roman" w:eastAsia="宋体" w:cs="Times New Roman"/>
          <w:b w:val="0"/>
          <w:bCs w:val="0"/>
          <w:color w:val="000000" w:themeColor="text1"/>
          <w:spacing w:val="0"/>
          <w:kern w:val="2"/>
          <w:sz w:val="24"/>
          <w:szCs w:val="28"/>
          <w:lang w:val="en-US" w:eastAsia="zh-CN" w:bidi="ar-SA"/>
          <w14:textFill>
            <w14:solidFill>
              <w14:schemeClr w14:val="tx1"/>
            </w14:solidFill>
          </w14:textFill>
        </w:rPr>
        <w:t>班</w:t>
      </w:r>
      <w:r>
        <w:rPr>
          <w:rFonts w:hint="default" w:ascii="Times New Roman" w:hAnsi="Times New Roman" w:eastAsia="宋体" w:cs="Times New Roman"/>
          <w:b w:val="0"/>
          <w:bCs w:val="0"/>
          <w:color w:val="000000" w:themeColor="text1"/>
          <w:spacing w:val="0"/>
          <w:kern w:val="2"/>
          <w:sz w:val="24"/>
          <w:szCs w:val="28"/>
          <w:lang w:val="en-US" w:eastAsia="zh-CN" w:bidi="ar-SA"/>
          <w14:textFill>
            <w14:solidFill>
              <w14:schemeClr w14:val="tx1"/>
            </w14:solidFill>
          </w14:textFill>
        </w:rPr>
        <w:t>工作</w:t>
      </w:r>
      <w:r>
        <w:rPr>
          <w:rFonts w:hint="eastAsia" w:cs="Times New Roman"/>
          <w:b w:val="0"/>
          <w:bCs w:val="0"/>
          <w:color w:val="000000" w:themeColor="text1"/>
          <w:spacing w:val="0"/>
          <w:kern w:val="2"/>
          <w:sz w:val="24"/>
          <w:szCs w:val="28"/>
          <w:lang w:val="en-US" w:eastAsia="zh-CN" w:bidi="ar-SA"/>
          <w14:textFill>
            <w14:solidFill>
              <w14:schemeClr w14:val="tx1"/>
            </w14:solidFill>
          </w14:textFill>
        </w:rPr>
        <w:t>8</w:t>
      </w:r>
      <w:r>
        <w:rPr>
          <w:rFonts w:hint="default" w:ascii="Times New Roman" w:hAnsi="Times New Roman" w:eastAsia="宋体" w:cs="Times New Roman"/>
          <w:b w:val="0"/>
          <w:bCs w:val="0"/>
          <w:color w:val="000000" w:themeColor="text1"/>
          <w:spacing w:val="0"/>
          <w:kern w:val="2"/>
          <w:sz w:val="24"/>
          <w:szCs w:val="28"/>
          <w:lang w:val="en-US" w:eastAsia="zh-CN" w:bidi="ar-SA"/>
          <w14:textFill>
            <w14:solidFill>
              <w14:schemeClr w14:val="tx1"/>
            </w14:solidFill>
          </w14:textFill>
        </w:rPr>
        <w:t>小时</w:t>
      </w:r>
      <w:r>
        <w:rPr>
          <w:rFonts w:hint="eastAsia" w:ascii="Times New Roman" w:hAnsi="Times New Roman" w:eastAsia="宋体" w:cs="Times New Roman"/>
          <w:b w:val="0"/>
          <w:bCs w:val="0"/>
          <w:color w:val="000000" w:themeColor="text1"/>
          <w:spacing w:val="0"/>
          <w:kern w:val="2"/>
          <w:sz w:val="24"/>
          <w:szCs w:val="28"/>
          <w:lang w:val="en-US" w:eastAsia="zh-CN" w:bidi="ar-SA"/>
          <w14:textFill>
            <w14:solidFill>
              <w14:schemeClr w14:val="tx1"/>
            </w14:solidFill>
          </w14:textFill>
        </w:rPr>
        <w:t>，不设食堂宿舍</w:t>
      </w:r>
      <w:r>
        <w:rPr>
          <w:rFonts w:hint="default" w:ascii="Times New Roman" w:hAnsi="Times New Roman" w:eastAsia="宋体" w:cs="Times New Roman"/>
          <w:b w:val="0"/>
          <w:bCs w:val="0"/>
          <w:color w:val="000000" w:themeColor="text1"/>
          <w:spacing w:val="0"/>
          <w:kern w:val="2"/>
          <w:sz w:val="24"/>
          <w:szCs w:val="28"/>
          <w:lang w:val="en-US" w:eastAsia="zh-CN" w:bidi="ar-SA"/>
          <w14:textFill>
            <w14:solidFill>
              <w14:schemeClr w14:val="tx1"/>
            </w14:solidFill>
          </w14:textFill>
        </w:rPr>
        <w:t>。</w:t>
      </w:r>
    </w:p>
    <w:p w14:paraId="5DC56C4B">
      <w:pPr>
        <w:pStyle w:val="3159"/>
        <w:rPr>
          <w:rFonts w:hint="default" w:ascii="Times New Roman" w:hAnsi="Times New Roman" w:eastAsia="黑体" w:cs="Times New Roman"/>
          <w:b w:val="0"/>
          <w:color w:val="000000" w:themeColor="text1"/>
          <w14:textFill>
            <w14:solidFill>
              <w14:schemeClr w14:val="tx1"/>
            </w14:solidFill>
          </w14:textFill>
        </w:rPr>
      </w:pPr>
      <w:r>
        <w:rPr>
          <w:rFonts w:hint="default" w:ascii="Times New Roman" w:hAnsi="Times New Roman" w:eastAsia="黑体" w:cs="Times New Roman"/>
          <w:b w:val="0"/>
          <w:color w:val="000000" w:themeColor="text1"/>
          <w14:textFill>
            <w14:solidFill>
              <w14:schemeClr w14:val="tx1"/>
            </w14:solidFill>
          </w14:textFill>
        </w:rPr>
        <w:t>3.1.</w:t>
      </w:r>
      <w:r>
        <w:rPr>
          <w:rFonts w:hint="eastAsia"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公用工程</w:t>
      </w:r>
      <w:bookmarkEnd w:id="50"/>
    </w:p>
    <w:p w14:paraId="492BE38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（1）给排水系统</w:t>
      </w:r>
    </w:p>
    <w:p w14:paraId="61244B6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给水：本项目用水主要为生产用水和生活用水。生产用水主要为冷却水、软水制备废水、瓶片清洗废水。</w:t>
      </w:r>
    </w:p>
    <w:p w14:paraId="3FC3029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排水：项目实施“雨污分流，清污分流”。冷却水循环使用，但需定期补充新鲜水，</w:t>
      </w:r>
      <w:r>
        <w:rPr>
          <w:rFonts w:hint="eastAsia" w:cs="Times New Roman"/>
          <w:color w:val="000000" w:themeColor="text1"/>
          <w:sz w:val="24"/>
          <w:lang w:eastAsia="zh-CN"/>
          <w14:textFill>
            <w14:solidFill>
              <w14:schemeClr w14:val="tx1"/>
            </w14:solidFill>
          </w14:textFill>
        </w:rPr>
        <w:t>定期外排水用于物料清洗，</w:t>
      </w:r>
      <w:r>
        <w:rPr>
          <w:rFonts w:hint="default" w:ascii="Times New Roman" w:hAnsi="Times New Roman" w:cs="Times New Roman"/>
          <w:color w:val="000000" w:themeColor="text1"/>
          <w14:textFill>
            <w14:solidFill>
              <w14:schemeClr w14:val="tx1"/>
            </w14:solidFill>
          </w14:textFill>
        </w:rPr>
        <w:t>瓶片清洗废水经厂内污水处理系统处理后90%循环使用，10%经市政污水管网排入</w:t>
      </w:r>
      <w:r>
        <w:rPr>
          <w:rFonts w:hint="default" w:ascii="Times New Roman" w:hAnsi="Times New Roman" w:cs="Times New Roman"/>
          <w:color w:val="000000" w:themeColor="text1"/>
          <w:lang w:eastAsia="zh-CN"/>
          <w14:textFill>
            <w14:solidFill>
              <w14:schemeClr w14:val="tx1"/>
            </w14:solidFill>
          </w14:textFill>
        </w:rPr>
        <w:t>毛集实验区污水处理厂</w:t>
      </w:r>
      <w:r>
        <w:rPr>
          <w:rFonts w:hint="default" w:ascii="Times New Roman" w:hAnsi="Times New Roman" w:cs="Times New Roman"/>
          <w:color w:val="000000" w:themeColor="text1"/>
          <w14:textFill>
            <w14:solidFill>
              <w14:schemeClr w14:val="tx1"/>
            </w14:solidFill>
          </w14:textFill>
        </w:rPr>
        <w:t>深度处理，生活污水经化粪池处理后经市政污水管网排入</w:t>
      </w:r>
      <w:r>
        <w:rPr>
          <w:rFonts w:hint="default" w:ascii="Times New Roman" w:hAnsi="Times New Roman" w:cs="Times New Roman"/>
          <w:color w:val="000000" w:themeColor="text1"/>
          <w:lang w:eastAsia="zh-CN"/>
          <w14:textFill>
            <w14:solidFill>
              <w14:schemeClr w14:val="tx1"/>
            </w14:solidFill>
          </w14:textFill>
        </w:rPr>
        <w:t>毛集实验区污水处理厂</w:t>
      </w:r>
      <w:r>
        <w:rPr>
          <w:rFonts w:hint="default" w:ascii="Times New Roman" w:hAnsi="Times New Roman" w:cs="Times New Roman"/>
          <w:color w:val="000000" w:themeColor="text1"/>
          <w14:textFill>
            <w14:solidFill>
              <w14:schemeClr w14:val="tx1"/>
            </w14:solidFill>
          </w14:textFill>
        </w:rPr>
        <w:t>深度处理。</w:t>
      </w:r>
    </w:p>
    <w:p w14:paraId="0AFC4463">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（2）供电系统</w:t>
      </w:r>
    </w:p>
    <w:p w14:paraId="2F2FBAD3">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本项目的用电由</w:t>
      </w:r>
      <w:r>
        <w:rPr>
          <w:rFonts w:hint="default" w:ascii="Times New Roman" w:hAnsi="Times New Roman" w:cs="Times New Roman"/>
          <w:color w:val="000000" w:themeColor="text1"/>
          <w:lang w:val="en-US" w:eastAsia="zh-CN"/>
          <w14:textFill>
            <w14:solidFill>
              <w14:schemeClr w14:val="tx1"/>
            </w14:solidFill>
          </w14:textFill>
        </w:rPr>
        <w:t>园区</w:t>
      </w:r>
      <w:r>
        <w:rPr>
          <w:rFonts w:hint="default" w:ascii="Times New Roman" w:hAnsi="Times New Roman" w:cs="Times New Roman"/>
          <w:color w:val="000000" w:themeColor="text1"/>
          <w14:textFill>
            <w14:solidFill>
              <w14:schemeClr w14:val="tx1"/>
            </w14:solidFill>
          </w14:textFill>
        </w:rPr>
        <w:t>变电所10</w:t>
      </w:r>
      <w:r>
        <w:rPr>
          <w:rFonts w:hint="default" w:ascii="Times New Roman" w:hAnsi="Times New Roman" w:cs="Times New Roman"/>
          <w:color w:val="000000" w:themeColor="text1"/>
          <w:lang w:val="en-US" w:eastAsia="zh-CN"/>
          <w14:textFill>
            <w14:solidFill>
              <w14:schemeClr w14:val="tx1"/>
            </w14:solidFill>
          </w14:textFill>
        </w:rPr>
        <w:t>kv</w:t>
      </w:r>
      <w:r>
        <w:rPr>
          <w:rFonts w:hint="default" w:ascii="Times New Roman" w:hAnsi="Times New Roman" w:cs="Times New Roman"/>
          <w:color w:val="000000" w:themeColor="text1"/>
          <w14:textFill>
            <w14:solidFill>
              <w14:schemeClr w14:val="tx1"/>
            </w14:solidFill>
          </w14:textFill>
        </w:rPr>
        <w:t>进入厂区配电房。项目配电变压器及相应的高、低压配电柜，送电方式为放射式。车间内配备采用集中控制。</w:t>
      </w:r>
    </w:p>
    <w:p w14:paraId="6CBD16E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（3）供热系统</w:t>
      </w:r>
    </w:p>
    <w:p w14:paraId="5E64102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本项目加热主要采用电能及</w:t>
      </w:r>
      <w:r>
        <w:rPr>
          <w:rFonts w:hint="default" w:ascii="Times New Roman" w:hAnsi="Times New Roman" w:cs="Times New Roman"/>
          <w:color w:val="000000" w:themeColor="text1"/>
          <w:lang w:val="en-US" w:eastAsia="zh-CN"/>
          <w14:textFill>
            <w14:solidFill>
              <w14:schemeClr w14:val="tx1"/>
            </w14:solidFill>
          </w14:textFill>
        </w:rPr>
        <w:t>蒸汽，蒸汽由园区提供，年用量</w:t>
      </w:r>
      <w:r>
        <w:rPr>
          <w:rFonts w:hint="eastAsia"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lang w:val="en-US" w:eastAsia="zh-CN"/>
          <w14:textFill>
            <w14:solidFill>
              <w14:schemeClr w14:val="tx1"/>
            </w14:solidFill>
          </w14:textFill>
        </w:rPr>
        <w:t>0000m</w:t>
      </w:r>
      <w:r>
        <w:rPr>
          <w:rFonts w:hint="default" w:ascii="Times New Roman" w:hAnsi="Times New Roman" w:cs="Times New Roman"/>
          <w:color w:val="000000" w:themeColor="text1"/>
          <w:vertAlign w:val="superscript"/>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w:t>
      </w:r>
    </w:p>
    <w:p w14:paraId="00319FC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（4）消防</w:t>
      </w:r>
    </w:p>
    <w:p w14:paraId="66A2E82F">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本项目同一时间内的火灾处数按1处计；根据《建筑设计防火规范》（GB 50016-2014）及《消防给水及消火栓系统技术规范》（GB50974-2014）的规定，本项目消防用水量最大为车间，</w:t>
      </w:r>
      <w:r>
        <w:rPr>
          <w:rFonts w:hint="default" w:ascii="Times New Roman" w:hAnsi="Times New Roman" w:cs="Times New Roman"/>
          <w:color w:val="000000" w:themeColor="text1"/>
          <w14:textFill>
            <w14:solidFill>
              <w14:schemeClr w14:val="tx1"/>
            </w14:solidFill>
          </w14:textFill>
        </w:rPr>
        <w:t>用水量</w:t>
      </w:r>
      <w:r>
        <w:rPr>
          <w:rFonts w:hint="eastAsia"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0L/s ，火灾延续时间按</w:t>
      </w:r>
      <w:r>
        <w:rPr>
          <w:rFonts w:hint="eastAsia"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小时计</w:t>
      </w:r>
      <w:r>
        <w:rPr>
          <w:rFonts w:hint="default" w:ascii="Times New Roman" w:hAnsi="Times New Roman" w:cs="Times New Roman"/>
          <w:color w:val="000000" w:themeColor="text1"/>
          <w14:textFill>
            <w14:solidFill>
              <w14:schemeClr w14:val="tx1"/>
            </w14:solidFill>
          </w14:textFill>
        </w:rPr>
        <w:t>。厂区设环状消防水管网，管径DN200，管中心埋深-1.0m，消防管网上设SS100/65-1.6型地上式室外消火栓；生产装置区周围的消火栓间距不超过60米，其它辅助生产区周围的消火栓间距不超过100米。消防水泵一开一备，满足厂区消防用水流量和压力的要求。</w:t>
      </w:r>
      <w:bookmarkStart w:id="51" w:name="_Toc173837646"/>
    </w:p>
    <w:p w14:paraId="738EFA4D">
      <w:pPr>
        <w:pStyle w:val="3952"/>
        <w:spacing w:before="156"/>
        <w:rPr>
          <w:rFonts w:hint="default" w:ascii="Times New Roman" w:hAnsi="Times New Roman" w:eastAsia="黑体" w:cs="Times New Roman"/>
          <w:b w:val="0"/>
          <w:color w:val="000000" w:themeColor="text1"/>
          <w14:textFill>
            <w14:solidFill>
              <w14:schemeClr w14:val="tx1"/>
            </w14:solidFill>
          </w14:textFill>
        </w:rPr>
      </w:pPr>
      <w:r>
        <w:rPr>
          <w:rFonts w:hint="default" w:ascii="Times New Roman" w:hAnsi="Times New Roman" w:eastAsia="黑体" w:cs="Times New Roman"/>
          <w:b w:val="0"/>
          <w:color w:val="000000" w:themeColor="text1"/>
          <w14:textFill>
            <w14:solidFill>
              <w14:schemeClr w14:val="tx1"/>
            </w14:solidFill>
          </w14:textFill>
        </w:rPr>
        <w:t>3.2生产工艺流程及产污环节分析</w:t>
      </w:r>
      <w:bookmarkEnd w:id="51"/>
    </w:p>
    <w:p w14:paraId="3B077925">
      <w:pPr>
        <w:pStyle w:val="3952"/>
        <w:spacing w:before="156"/>
        <w:outlineLvl w:val="2"/>
        <w:rPr>
          <w:rFonts w:hint="default" w:ascii="Times New Roman" w:hAnsi="Times New Roman" w:eastAsia="黑体" w:cs="Times New Roman"/>
          <w:b w:val="0"/>
          <w:color w:val="000000" w:themeColor="text1"/>
          <w14:textFill>
            <w14:solidFill>
              <w14:schemeClr w14:val="tx1"/>
            </w14:solidFill>
          </w14:textFill>
        </w:rPr>
      </w:pPr>
      <w:bookmarkStart w:id="52" w:name="_Toc173837648"/>
      <w:r>
        <w:rPr>
          <w:rFonts w:hint="default" w:ascii="Times New Roman" w:hAnsi="Times New Roman" w:eastAsia="黑体" w:cs="Times New Roman"/>
          <w:b w:val="0"/>
          <w:color w:val="000000" w:themeColor="text1"/>
          <w14:textFill>
            <w14:solidFill>
              <w14:schemeClr w14:val="tx1"/>
            </w14:solidFill>
          </w14:textFill>
        </w:rPr>
        <w:t>3.2.</w:t>
      </w:r>
      <w:r>
        <w:rPr>
          <w:rFonts w:hint="default" w:ascii="Times New Roman" w:hAnsi="Times New Roman" w:eastAsia="黑体" w:cs="Times New Roman"/>
          <w:b w:val="0"/>
          <w:color w:val="000000" w:themeColor="text1"/>
          <w:lang w:val="en-US" w:eastAsia="zh-CN"/>
          <w14:textFill>
            <w14:solidFill>
              <w14:schemeClr w14:val="tx1"/>
            </w14:solidFill>
          </w14:textFill>
        </w:rPr>
        <w:t>1</w:t>
      </w:r>
      <w:r>
        <w:rPr>
          <w:rFonts w:hint="default" w:ascii="Times New Roman" w:hAnsi="Times New Roman" w:eastAsia="黑体" w:cs="Times New Roman"/>
          <w:b w:val="0"/>
          <w:color w:val="000000" w:themeColor="text1"/>
          <w14:textFill>
            <w14:solidFill>
              <w14:schemeClr w14:val="tx1"/>
            </w14:solidFill>
          </w14:textFill>
        </w:rPr>
        <w:t>营运期工艺流程及产污环节分析</w:t>
      </w:r>
      <w:bookmarkEnd w:id="52"/>
    </w:p>
    <w:p w14:paraId="6A30278E">
      <w:pPr>
        <w:pStyle w:val="3159"/>
        <w:ind w:firstLine="480" w:firstLineChars="200"/>
        <w:outlineLvl w:val="3"/>
        <w:rPr>
          <w:rFonts w:hint="default" w:ascii="Times New Roman" w:hAnsi="Times New Roman" w:eastAsia="宋体" w:cs="Times New Roman"/>
          <w:b w:val="0"/>
          <w:bCs w:val="0"/>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cs="Times New Roman"/>
          <w:b w:val="0"/>
          <w:bCs w:val="0"/>
          <w:color w:val="000000" w:themeColor="text1"/>
          <w:spacing w:val="0"/>
          <w:kern w:val="2"/>
          <w:sz w:val="24"/>
          <w:szCs w:val="28"/>
          <w:lang w:val="en-US" w:eastAsia="zh-CN" w:bidi="ar-SA"/>
          <w14:textFill>
            <w14:solidFill>
              <w14:schemeClr w14:val="tx1"/>
            </w14:solidFill>
          </w14:textFill>
        </w:rPr>
        <w:t>本项目</w:t>
      </w:r>
      <w:r>
        <w:rPr>
          <w:rFonts w:hint="default" w:ascii="Times New Roman" w:hAnsi="Times New Roman" w:eastAsia="宋体" w:cs="Times New Roman"/>
          <w:b w:val="0"/>
          <w:bCs w:val="0"/>
          <w:color w:val="000000" w:themeColor="text1"/>
          <w:spacing w:val="0"/>
          <w:kern w:val="2"/>
          <w:sz w:val="24"/>
          <w:szCs w:val="28"/>
          <w:lang w:val="en-US" w:eastAsia="zh-CN" w:bidi="ar-SA"/>
          <w14:textFill>
            <w14:solidFill>
              <w14:schemeClr w14:val="tx1"/>
            </w14:solidFill>
          </w14:textFill>
        </w:rPr>
        <w:t>年产瓶片6.3万吨、标签纸0.7万吨、瓶盖0.7万吨、瓶沫0.3万吨、改性塑料粒子2万吨，主要生产工艺分别如下。</w:t>
      </w:r>
    </w:p>
    <w:p w14:paraId="06657120">
      <w:pPr>
        <w:numPr>
          <w:ilvl w:val="0"/>
          <w:numId w:val="0"/>
        </w:numPr>
        <w:spacing w:before="1" w:line="222" w:lineRule="auto"/>
        <w:ind w:firstLine="466" w:firstLineChars="200"/>
        <w:outlineLvl w:val="4"/>
        <w:rPr>
          <w:rFonts w:hint="default" w:ascii="Times New Roman" w:hAnsi="Times New Roman" w:eastAsia="楷体" w:cs="Times New Roman"/>
          <w:b/>
          <w:bCs/>
          <w:color w:val="000000" w:themeColor="text1"/>
          <w:spacing w:val="-4"/>
          <w:sz w:val="24"/>
          <w:szCs w:val="24"/>
          <w14:textFill>
            <w14:solidFill>
              <w14:schemeClr w14:val="tx1"/>
            </w14:solidFill>
          </w14:textFill>
        </w:rPr>
      </w:pPr>
      <w:r>
        <w:rPr>
          <w:rFonts w:hint="default" w:ascii="Times New Roman" w:hAnsi="Times New Roman" w:eastAsia="宋体" w:cs="Times New Roman"/>
          <w:b/>
          <w:bCs/>
          <w:color w:val="000000" w:themeColor="text1"/>
          <w:spacing w:val="-4"/>
          <w:sz w:val="24"/>
          <w:szCs w:val="24"/>
          <w:lang w:val="en-US" w:eastAsia="zh-CN"/>
          <w14:textFill>
            <w14:solidFill>
              <w14:schemeClr w14:val="tx1"/>
            </w14:solidFill>
          </w14:textFill>
        </w:rPr>
        <w:t>1、</w:t>
      </w:r>
      <w:r>
        <w:rPr>
          <w:rFonts w:hint="eastAsia" w:cs="Times New Roman"/>
          <w:b/>
          <w:bCs/>
          <w:color w:val="000000" w:themeColor="text1"/>
          <w:spacing w:val="-4"/>
          <w:sz w:val="24"/>
          <w:szCs w:val="24"/>
          <w:lang w:val="en-US" w:eastAsia="zh-CN"/>
          <w14:textFill>
            <w14:solidFill>
              <w14:schemeClr w14:val="tx1"/>
            </w14:solidFill>
          </w14:textFill>
        </w:rPr>
        <w:t>PET</w:t>
      </w:r>
      <w:r>
        <w:rPr>
          <w:rFonts w:hint="default" w:ascii="Times New Roman" w:hAnsi="Times New Roman" w:eastAsia="宋体" w:cs="Times New Roman"/>
          <w:b/>
          <w:bCs/>
          <w:color w:val="000000" w:themeColor="text1"/>
          <w:spacing w:val="-4"/>
          <w:sz w:val="24"/>
          <w:szCs w:val="24"/>
          <w14:textFill>
            <w14:solidFill>
              <w14:schemeClr w14:val="tx1"/>
            </w14:solidFill>
          </w14:textFill>
        </w:rPr>
        <w:t>瓶片生产工艺流程：</w:t>
      </w:r>
    </w:p>
    <w:p w14:paraId="32E8A2B4">
      <w:pPr>
        <w:numPr>
          <w:ilvl w:val="0"/>
          <w:numId w:val="0"/>
        </w:numPr>
        <w:spacing w:before="1" w:line="222" w:lineRule="auto"/>
        <w:jc w:val="center"/>
        <w:outlineLvl w:val="4"/>
        <w:rPr>
          <w:rFonts w:hint="default" w:ascii="Times New Roman" w:hAnsi="Times New Roman" w:eastAsia="宋体" w:cs="Times New Roman"/>
          <w:b/>
          <w:bCs/>
          <w:color w:val="000000" w:themeColor="text1"/>
          <w:spacing w:val="6"/>
          <w:sz w:val="20"/>
          <w:szCs w:val="20"/>
          <w14:textFill>
            <w14:solidFill>
              <w14:schemeClr w14:val="tx1"/>
            </w14:solidFill>
          </w14:textFill>
        </w:rPr>
      </w:pPr>
      <w:r>
        <w:rPr>
          <w:color w:val="000000" w:themeColor="text1"/>
          <w14:textFill>
            <w14:solidFill>
              <w14:schemeClr w14:val="tx1"/>
            </w14:solidFill>
          </w14:textFill>
        </w:rPr>
        <w:drawing>
          <wp:inline distT="0" distB="0" distL="114300" distR="114300">
            <wp:extent cx="5272405" cy="1431925"/>
            <wp:effectExtent l="0" t="0" r="4445" b="15875"/>
            <wp:docPr id="2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1"/>
                    <pic:cNvPicPr>
                      <a:picLocks noChangeAspect="1"/>
                    </pic:cNvPicPr>
                  </pic:nvPicPr>
                  <pic:blipFill>
                    <a:blip r:embed="rId35"/>
                    <a:stretch>
                      <a:fillRect/>
                    </a:stretch>
                  </pic:blipFill>
                  <pic:spPr>
                    <a:xfrm>
                      <a:off x="0" y="0"/>
                      <a:ext cx="5272405" cy="1431925"/>
                    </a:xfrm>
                    <a:prstGeom prst="rect">
                      <a:avLst/>
                    </a:prstGeom>
                    <a:noFill/>
                    <a:ln>
                      <a:noFill/>
                    </a:ln>
                  </pic:spPr>
                </pic:pic>
              </a:graphicData>
            </a:graphic>
          </wp:inline>
        </w:drawing>
      </w:r>
    </w:p>
    <w:p w14:paraId="6ECFD93F">
      <w:pPr>
        <w:numPr>
          <w:ilvl w:val="0"/>
          <w:numId w:val="0"/>
        </w:numPr>
        <w:spacing w:before="1" w:line="222" w:lineRule="auto"/>
        <w:jc w:val="center"/>
        <w:outlineLvl w:val="4"/>
        <w:rPr>
          <w:rFonts w:hint="default" w:ascii="Times New Roman" w:hAnsi="Times New Roman" w:eastAsia="黑体" w:cs="Times New Roman"/>
          <w:b w:val="0"/>
          <w:bCs w:val="0"/>
          <w:color w:val="000000" w:themeColor="text1"/>
          <w:sz w:val="24"/>
          <w:szCs w:val="24"/>
          <w14:textFill>
            <w14:solidFill>
              <w14:schemeClr w14:val="tx1"/>
            </w14:solidFill>
          </w14:textFill>
        </w:rPr>
      </w:pPr>
      <w:r>
        <w:rPr>
          <w:rFonts w:hint="default" w:ascii="Times New Roman" w:hAnsi="Times New Roman" w:eastAsia="黑体" w:cs="Times New Roman"/>
          <w:b w:val="0"/>
          <w:bCs w:val="0"/>
          <w:color w:val="000000" w:themeColor="text1"/>
          <w:spacing w:val="6"/>
          <w:sz w:val="24"/>
          <w:szCs w:val="24"/>
          <w14:textFill>
            <w14:solidFill>
              <w14:schemeClr w14:val="tx1"/>
            </w14:solidFill>
          </w14:textFill>
        </w:rPr>
        <w:t>图</w:t>
      </w:r>
      <w:r>
        <w:rPr>
          <w:rFonts w:hint="default" w:ascii="Times New Roman" w:hAnsi="Times New Roman" w:eastAsia="黑体" w:cs="Times New Roman"/>
          <w:b w:val="0"/>
          <w:bCs w:val="0"/>
          <w:color w:val="000000" w:themeColor="text1"/>
          <w:spacing w:val="-41"/>
          <w:sz w:val="24"/>
          <w:szCs w:val="24"/>
          <w14:textFill>
            <w14:solidFill>
              <w14:schemeClr w14:val="tx1"/>
            </w14:solidFill>
          </w14:textFill>
        </w:rPr>
        <w:t xml:space="preserve"> </w:t>
      </w:r>
      <w:r>
        <w:rPr>
          <w:rFonts w:hint="default" w:ascii="Times New Roman" w:hAnsi="Times New Roman" w:eastAsia="黑体" w:cs="Times New Roman"/>
          <w:b w:val="0"/>
          <w:bCs w:val="0"/>
          <w:color w:val="000000" w:themeColor="text1"/>
          <w:spacing w:val="6"/>
          <w:sz w:val="24"/>
          <w:szCs w:val="24"/>
          <w14:textFill>
            <w14:solidFill>
              <w14:schemeClr w14:val="tx1"/>
            </w14:solidFill>
          </w14:textFill>
        </w:rPr>
        <w:t>3.2-</w:t>
      </w:r>
      <w:r>
        <w:rPr>
          <w:rFonts w:hint="default" w:ascii="Times New Roman" w:hAnsi="Times New Roman" w:eastAsia="黑体" w:cs="Times New Roman"/>
          <w:b w:val="0"/>
          <w:bCs w:val="0"/>
          <w:color w:val="000000" w:themeColor="text1"/>
          <w:spacing w:val="6"/>
          <w:sz w:val="24"/>
          <w:szCs w:val="24"/>
          <w:lang w:val="en-US" w:eastAsia="zh-CN"/>
          <w14:textFill>
            <w14:solidFill>
              <w14:schemeClr w14:val="tx1"/>
            </w14:solidFill>
          </w14:textFill>
        </w:rPr>
        <w:t>1</w:t>
      </w:r>
      <w:r>
        <w:rPr>
          <w:rFonts w:hint="default" w:ascii="Times New Roman" w:hAnsi="Times New Roman" w:eastAsia="黑体" w:cs="Times New Roman"/>
          <w:b w:val="0"/>
          <w:bCs w:val="0"/>
          <w:color w:val="000000" w:themeColor="text1"/>
          <w:spacing w:val="6"/>
          <w:sz w:val="24"/>
          <w:szCs w:val="24"/>
          <w14:textFill>
            <w14:solidFill>
              <w14:schemeClr w14:val="tx1"/>
            </w14:solidFill>
          </w14:textFill>
        </w:rPr>
        <w:t xml:space="preserve">  瓶片回收清洗生产工艺流程及产污</w:t>
      </w:r>
      <w: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t>节点图</w:t>
      </w:r>
    </w:p>
    <w:p w14:paraId="4B29D253">
      <w:pPr>
        <w:pStyle w:val="251"/>
        <w:ind w:firstLine="480"/>
        <w:rPr>
          <w:rFonts w:hint="default" w:ascii="Times New Roman" w:hAnsi="Times New Roman" w:cs="Times New Roman"/>
          <w:b/>
          <w:bCs/>
          <w:color w:val="000000" w:themeColor="text1"/>
          <w:lang w:val="en-US" w:eastAsia="zh-CN"/>
          <w14:textFill>
            <w14:solidFill>
              <w14:schemeClr w14:val="tx1"/>
            </w14:solidFill>
          </w14:textFill>
        </w:rPr>
      </w:pPr>
      <w:r>
        <w:rPr>
          <w:rFonts w:hint="default" w:ascii="Times New Roman" w:hAnsi="Times New Roman" w:cs="Times New Roman"/>
          <w:b/>
          <w:bCs/>
          <w:color w:val="000000" w:themeColor="text1"/>
          <w:lang w:val="en-US" w:eastAsia="zh-CN"/>
          <w14:textFill>
            <w14:solidFill>
              <w14:schemeClr w14:val="tx1"/>
            </w14:solidFill>
          </w14:textFill>
        </w:rPr>
        <w:t>工艺流程说明：</w:t>
      </w:r>
    </w:p>
    <w:p w14:paraId="34E902B5">
      <w:pPr>
        <w:pStyle w:val="251"/>
        <w:ind w:firstLine="48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拆包：</w:t>
      </w:r>
      <w:r>
        <w:rPr>
          <w:rFonts w:hint="default" w:ascii="Times New Roman" w:hAnsi="Times New Roman" w:cs="Times New Roman"/>
          <w:color w:val="000000" w:themeColor="text1"/>
          <w:lang w:val="en-US" w:eastAsia="zh-CN"/>
          <w14:textFill>
            <w14:solidFill>
              <w14:schemeClr w14:val="tx1"/>
            </w14:solidFill>
          </w14:textFill>
        </w:rPr>
        <w:t>收购的PET瓶砖进场后由</w:t>
      </w:r>
      <w:r>
        <w:rPr>
          <w:rFonts w:hint="eastAsia" w:ascii="Times New Roman" w:hAnsi="Times New Roman" w:cs="Times New Roman"/>
          <w:color w:val="000000" w:themeColor="text1"/>
          <w:lang w:val="en-US" w:eastAsia="zh-CN"/>
          <w14:textFill>
            <w14:solidFill>
              <w14:schemeClr w14:val="tx1"/>
            </w14:solidFill>
          </w14:textFill>
        </w:rPr>
        <w:t>卧式开包机</w:t>
      </w:r>
      <w:r>
        <w:rPr>
          <w:rFonts w:hint="default" w:ascii="Times New Roman" w:hAnsi="Times New Roman" w:cs="Times New Roman"/>
          <w:color w:val="000000" w:themeColor="text1"/>
          <w:lang w:val="en-US" w:eastAsia="zh-CN"/>
          <w14:textFill>
            <w14:solidFill>
              <w14:schemeClr w14:val="tx1"/>
            </w14:solidFill>
          </w14:textFill>
        </w:rPr>
        <w:t>进行拆包，拆包过程会产生少量废气粉尘</w:t>
      </w:r>
      <w:r>
        <w:rPr>
          <w:rFonts w:hint="eastAsia" w:ascii="Times New Roman" w:hAnsi="Times New Roman" w:cs="Times New Roman"/>
          <w:color w:val="000000" w:themeColor="text1"/>
          <w:lang w:val="en-US" w:eastAsia="zh-CN"/>
          <w14:textFill>
            <w14:solidFill>
              <w14:schemeClr w14:val="tx1"/>
            </w14:solidFill>
          </w14:textFill>
        </w:rPr>
        <w:t>G1</w:t>
      </w:r>
      <w:r>
        <w:rPr>
          <w:rFonts w:hint="default" w:ascii="Times New Roman" w:hAnsi="Times New Roman" w:cs="Times New Roman"/>
          <w:color w:val="000000" w:themeColor="text1"/>
          <w:lang w:val="en-US" w:eastAsia="zh-CN"/>
          <w14:textFill>
            <w14:solidFill>
              <w14:schemeClr w14:val="tx1"/>
            </w14:solidFill>
          </w14:textFill>
        </w:rPr>
        <w:t>，</w:t>
      </w:r>
    </w:p>
    <w:p w14:paraId="10DA6C34">
      <w:pPr>
        <w:pStyle w:val="251"/>
        <w:ind w:firstLine="48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筛分：</w:t>
      </w:r>
      <w:r>
        <w:rPr>
          <w:rFonts w:hint="default" w:ascii="Times New Roman" w:hAnsi="Times New Roman" w:cs="Times New Roman"/>
          <w:color w:val="000000" w:themeColor="text1"/>
          <w:lang w:val="en-US" w:eastAsia="zh-CN"/>
          <w14:textFill>
            <w14:solidFill>
              <w14:schemeClr w14:val="tx1"/>
            </w14:solidFill>
          </w14:textFill>
        </w:rPr>
        <w:t>拆包后</w:t>
      </w:r>
      <w:r>
        <w:rPr>
          <w:rFonts w:hint="eastAsia" w:ascii="Times New Roman" w:hAnsi="Times New Roman" w:cs="Times New Roman"/>
          <w:color w:val="000000" w:themeColor="text1"/>
          <w:lang w:val="en-US" w:eastAsia="zh-CN"/>
          <w14:textFill>
            <w14:solidFill>
              <w14:schemeClr w14:val="tx1"/>
            </w14:solidFill>
          </w14:textFill>
        </w:rPr>
        <w:t>的物料通过筛分机、震动筛分机等</w:t>
      </w:r>
      <w:r>
        <w:rPr>
          <w:rFonts w:hint="default" w:ascii="Times New Roman" w:hAnsi="Times New Roman" w:cs="Times New Roman"/>
          <w:color w:val="000000" w:themeColor="text1"/>
          <w:lang w:val="en-US" w:eastAsia="zh-CN"/>
          <w14:textFill>
            <w14:solidFill>
              <w14:schemeClr w14:val="tx1"/>
            </w14:solidFill>
          </w14:textFill>
        </w:rPr>
        <w:t>进行人工分选、</w:t>
      </w:r>
      <w:r>
        <w:rPr>
          <w:rFonts w:hint="eastAsia" w:ascii="Times New Roman" w:hAnsi="Times New Roman" w:cs="Times New Roman"/>
          <w:color w:val="000000" w:themeColor="text1"/>
          <w:lang w:val="en-US" w:eastAsia="zh-CN"/>
          <w14:textFill>
            <w14:solidFill>
              <w14:schemeClr w14:val="tx1"/>
            </w14:solidFill>
          </w14:textFill>
        </w:rPr>
        <w:t>震动筛分</w:t>
      </w:r>
      <w:r>
        <w:rPr>
          <w:rFonts w:hint="default" w:ascii="Times New Roman" w:hAnsi="Times New Roman" w:cs="Times New Roman"/>
          <w:color w:val="000000" w:themeColor="text1"/>
          <w:lang w:val="en-US" w:eastAsia="zh-CN"/>
          <w14:textFill>
            <w14:solidFill>
              <w14:schemeClr w14:val="tx1"/>
            </w14:solidFill>
          </w14:textFill>
        </w:rPr>
        <w:t>，此过程会产生固废杂质</w:t>
      </w:r>
      <w:r>
        <w:rPr>
          <w:rFonts w:hint="eastAsia" w:ascii="Times New Roman" w:hAnsi="Times New Roman" w:cs="Times New Roman"/>
          <w:color w:val="000000" w:themeColor="text1"/>
          <w:lang w:val="en-US" w:eastAsia="zh-CN"/>
          <w14:textFill>
            <w14:solidFill>
              <w14:schemeClr w14:val="tx1"/>
            </w14:solidFill>
          </w14:textFill>
        </w:rPr>
        <w:t>S1</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主要为</w:t>
      </w:r>
      <w:r>
        <w:rPr>
          <w:rFonts w:hint="default" w:ascii="Times New Roman" w:hAnsi="Times New Roman" w:cs="Times New Roman"/>
          <w:color w:val="000000" w:themeColor="text1"/>
          <w:lang w:val="en-US" w:eastAsia="zh-CN"/>
          <w14:textFill>
            <w14:solidFill>
              <w14:schemeClr w14:val="tx1"/>
            </w14:solidFill>
          </w14:textFill>
        </w:rPr>
        <w:t>瓶盖及杂色瓶</w:t>
      </w:r>
      <w:r>
        <w:rPr>
          <w:rFonts w:hint="eastAsia" w:ascii="Times New Roman" w:hAnsi="Times New Roman" w:cs="Times New Roman"/>
          <w:color w:val="000000" w:themeColor="text1"/>
          <w:lang w:val="en-US" w:eastAsia="zh-CN"/>
          <w14:textFill>
            <w14:solidFill>
              <w14:schemeClr w14:val="tx1"/>
            </w14:solidFill>
          </w14:textFill>
        </w:rPr>
        <w:t>等</w:t>
      </w:r>
      <w:r>
        <w:rPr>
          <w:rFonts w:hint="default" w:ascii="Times New Roman" w:hAnsi="Times New Roman" w:cs="Times New Roman"/>
          <w:color w:val="000000" w:themeColor="text1"/>
          <w:lang w:val="en-US" w:eastAsia="zh-CN"/>
          <w14:textFill>
            <w14:solidFill>
              <w14:schemeClr w14:val="tx1"/>
            </w14:solidFill>
          </w14:textFill>
        </w:rPr>
        <w:t>。</w:t>
      </w:r>
    </w:p>
    <w:p w14:paraId="2249C19B">
      <w:pPr>
        <w:pStyle w:val="251"/>
        <w:ind w:firstLine="48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脱标：分选</w:t>
      </w:r>
      <w:r>
        <w:rPr>
          <w:rFonts w:hint="default" w:ascii="Times New Roman" w:hAnsi="Times New Roman" w:cs="Times New Roman"/>
          <w:color w:val="000000" w:themeColor="text1"/>
          <w:lang w:val="en-US" w:eastAsia="zh-CN"/>
          <w14:textFill>
            <w14:solidFill>
              <w14:schemeClr w14:val="tx1"/>
            </w14:solidFill>
          </w14:textFill>
        </w:rPr>
        <w:t>出的</w:t>
      </w:r>
      <w:r>
        <w:rPr>
          <w:rFonts w:hint="eastAsia" w:ascii="Times New Roman" w:hAnsi="Times New Roman" w:cs="Times New Roman"/>
          <w:color w:val="000000" w:themeColor="text1"/>
          <w:lang w:val="en-US" w:eastAsia="zh-CN"/>
          <w14:textFill>
            <w14:solidFill>
              <w14:schemeClr w14:val="tx1"/>
            </w14:solidFill>
          </w14:textFill>
        </w:rPr>
        <w:t>物料通过脱标机</w:t>
      </w:r>
      <w:r>
        <w:rPr>
          <w:rFonts w:hint="default" w:ascii="Times New Roman" w:hAnsi="Times New Roman" w:cs="Times New Roman"/>
          <w:color w:val="000000" w:themeColor="text1"/>
          <w:lang w:val="en-US" w:eastAsia="zh-CN"/>
          <w14:textFill>
            <w14:solidFill>
              <w14:schemeClr w14:val="tx1"/>
            </w14:solidFill>
          </w14:textFill>
        </w:rPr>
        <w:t>进行脱标，此过程会产生固废标签</w:t>
      </w:r>
      <w:r>
        <w:rPr>
          <w:rFonts w:hint="eastAsia" w:ascii="Times New Roman" w:hAnsi="Times New Roman" w:cs="Times New Roman"/>
          <w:color w:val="000000" w:themeColor="text1"/>
          <w:lang w:val="en-US" w:eastAsia="zh-CN"/>
          <w14:textFill>
            <w14:solidFill>
              <w14:schemeClr w14:val="tx1"/>
            </w14:solidFill>
          </w14:textFill>
        </w:rPr>
        <w:t>S2</w:t>
      </w:r>
      <w:r>
        <w:rPr>
          <w:rFonts w:hint="default" w:ascii="Times New Roman" w:hAnsi="Times New Roman" w:cs="Times New Roman"/>
          <w:color w:val="000000" w:themeColor="text1"/>
          <w:lang w:val="en-US" w:eastAsia="zh-CN"/>
          <w14:textFill>
            <w14:solidFill>
              <w14:schemeClr w14:val="tx1"/>
            </w14:solidFill>
          </w14:textFill>
        </w:rPr>
        <w:t>。</w:t>
      </w:r>
    </w:p>
    <w:p w14:paraId="007B9E4A">
      <w:pPr>
        <w:pStyle w:val="251"/>
        <w:ind w:firstLine="48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二次筛分：脱标</w:t>
      </w:r>
      <w:r>
        <w:rPr>
          <w:rFonts w:hint="default" w:ascii="Times New Roman" w:hAnsi="Times New Roman" w:cs="Times New Roman"/>
          <w:color w:val="000000" w:themeColor="text1"/>
          <w:lang w:val="en-US" w:eastAsia="zh-CN"/>
          <w14:textFill>
            <w14:solidFill>
              <w14:schemeClr w14:val="tx1"/>
            </w14:solidFill>
          </w14:textFill>
        </w:rPr>
        <w:t>后</w:t>
      </w:r>
      <w:r>
        <w:rPr>
          <w:rFonts w:hint="eastAsia" w:ascii="Times New Roman" w:hAnsi="Times New Roman" w:cs="Times New Roman"/>
          <w:color w:val="000000" w:themeColor="text1"/>
          <w:lang w:val="en-US" w:eastAsia="zh-CN"/>
          <w14:textFill>
            <w14:solidFill>
              <w14:schemeClr w14:val="tx1"/>
            </w14:solidFill>
          </w14:textFill>
        </w:rPr>
        <w:t>的物料通过震动筛分机进一步</w:t>
      </w:r>
      <w:r>
        <w:rPr>
          <w:rFonts w:hint="default" w:ascii="Times New Roman" w:hAnsi="Times New Roman" w:cs="Times New Roman"/>
          <w:color w:val="000000" w:themeColor="text1"/>
          <w:lang w:val="en-US" w:eastAsia="zh-CN"/>
          <w14:textFill>
            <w14:solidFill>
              <w14:schemeClr w14:val="tx1"/>
            </w14:solidFill>
          </w14:textFill>
        </w:rPr>
        <w:t>进行</w:t>
      </w:r>
      <w:r>
        <w:rPr>
          <w:rFonts w:hint="eastAsia" w:ascii="Times New Roman" w:hAnsi="Times New Roman" w:cs="Times New Roman"/>
          <w:color w:val="000000" w:themeColor="text1"/>
          <w:lang w:val="en-US" w:eastAsia="zh-CN"/>
          <w14:textFill>
            <w14:solidFill>
              <w14:schemeClr w14:val="tx1"/>
            </w14:solidFill>
          </w14:textFill>
        </w:rPr>
        <w:t>震动筛分</w:t>
      </w:r>
      <w:r>
        <w:rPr>
          <w:rFonts w:hint="default" w:ascii="Times New Roman" w:hAnsi="Times New Roman" w:cs="Times New Roman"/>
          <w:color w:val="000000" w:themeColor="text1"/>
          <w:lang w:val="en-US" w:eastAsia="zh-CN"/>
          <w14:textFill>
            <w14:solidFill>
              <w14:schemeClr w14:val="tx1"/>
            </w14:solidFill>
          </w14:textFill>
        </w:rPr>
        <w:t>，此过程会产生固废杂质</w:t>
      </w:r>
      <w:r>
        <w:rPr>
          <w:rFonts w:hint="eastAsia" w:ascii="Times New Roman" w:hAnsi="Times New Roman" w:cs="Times New Roman"/>
          <w:color w:val="000000" w:themeColor="text1"/>
          <w:lang w:val="en-US" w:eastAsia="zh-CN"/>
          <w14:textFill>
            <w14:solidFill>
              <w14:schemeClr w14:val="tx1"/>
            </w14:solidFill>
          </w14:textFill>
        </w:rPr>
        <w:t>S1</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主要为</w:t>
      </w:r>
      <w:r>
        <w:rPr>
          <w:rFonts w:hint="default" w:ascii="Times New Roman" w:hAnsi="Times New Roman" w:cs="Times New Roman"/>
          <w:color w:val="000000" w:themeColor="text1"/>
          <w:lang w:val="en-US" w:eastAsia="zh-CN"/>
          <w14:textFill>
            <w14:solidFill>
              <w14:schemeClr w14:val="tx1"/>
            </w14:solidFill>
          </w14:textFill>
        </w:rPr>
        <w:t>瓶盖及杂色瓶</w:t>
      </w:r>
      <w:r>
        <w:rPr>
          <w:rFonts w:hint="eastAsia" w:ascii="Times New Roman" w:hAnsi="Times New Roman" w:cs="Times New Roman"/>
          <w:color w:val="000000" w:themeColor="text1"/>
          <w:lang w:val="en-US" w:eastAsia="zh-CN"/>
          <w14:textFill>
            <w14:solidFill>
              <w14:schemeClr w14:val="tx1"/>
            </w14:solidFill>
          </w14:textFill>
        </w:rPr>
        <w:t>等</w:t>
      </w:r>
      <w:r>
        <w:rPr>
          <w:rFonts w:hint="default" w:ascii="Times New Roman" w:hAnsi="Times New Roman" w:cs="Times New Roman"/>
          <w:color w:val="000000" w:themeColor="text1"/>
          <w:lang w:val="en-US" w:eastAsia="zh-CN"/>
          <w14:textFill>
            <w14:solidFill>
              <w14:schemeClr w14:val="tx1"/>
            </w14:solidFill>
          </w14:textFill>
        </w:rPr>
        <w:t>。</w:t>
      </w:r>
    </w:p>
    <w:p w14:paraId="06690E68">
      <w:pPr>
        <w:pStyle w:val="251"/>
        <w:ind w:firstLine="48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湿式破碎：分选后的物料</w:t>
      </w:r>
      <w:r>
        <w:rPr>
          <w:rFonts w:hint="default" w:ascii="Times New Roman" w:hAnsi="Times New Roman" w:cs="Times New Roman"/>
          <w:color w:val="000000" w:themeColor="text1"/>
          <w:lang w:val="en-US" w:eastAsia="zh-CN"/>
          <w14:textFill>
            <w14:solidFill>
              <w14:schemeClr w14:val="tx1"/>
            </w14:solidFill>
          </w14:textFill>
        </w:rPr>
        <w:t>进入</w:t>
      </w:r>
      <w:r>
        <w:rPr>
          <w:rFonts w:hint="eastAsia" w:ascii="Times New Roman" w:hAnsi="Times New Roman" w:cs="Times New Roman"/>
          <w:color w:val="000000" w:themeColor="text1"/>
          <w:lang w:val="en-US" w:eastAsia="zh-CN"/>
          <w14:textFill>
            <w14:solidFill>
              <w14:schemeClr w14:val="tx1"/>
            </w14:solidFill>
          </w14:textFill>
        </w:rPr>
        <w:t>储料仓暂存</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物料通过输送带送入封闭粉碎机进行湿式</w:t>
      </w:r>
      <w:r>
        <w:rPr>
          <w:rFonts w:hint="default" w:ascii="Times New Roman" w:hAnsi="Times New Roman" w:cs="Times New Roman"/>
          <w:color w:val="000000" w:themeColor="text1"/>
          <w:lang w:val="en-US" w:eastAsia="zh-CN"/>
          <w14:textFill>
            <w14:solidFill>
              <w14:schemeClr w14:val="tx1"/>
            </w14:solidFill>
          </w14:textFill>
        </w:rPr>
        <w:t>破碎</w:t>
      </w:r>
      <w:r>
        <w:rPr>
          <w:rFonts w:hint="eastAsia" w:ascii="Times New Roman" w:hAnsi="Times New Roman" w:cs="Times New Roman"/>
          <w:color w:val="000000" w:themeColor="text1"/>
          <w:lang w:val="en-US" w:eastAsia="zh-CN"/>
          <w14:textFill>
            <w14:solidFill>
              <w14:schemeClr w14:val="tx1"/>
            </w14:solidFill>
          </w14:textFill>
        </w:rPr>
        <w:t>。</w:t>
      </w:r>
    </w:p>
    <w:p w14:paraId="3017C82B">
      <w:pPr>
        <w:pStyle w:val="251"/>
        <w:ind w:firstLine="48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一次漂洗：</w:t>
      </w:r>
      <w:r>
        <w:rPr>
          <w:rFonts w:hint="default" w:ascii="Times New Roman" w:hAnsi="Times New Roman" w:cs="Times New Roman"/>
          <w:color w:val="000000" w:themeColor="text1"/>
          <w:lang w:val="en-US" w:eastAsia="zh-CN"/>
          <w14:textFill>
            <w14:solidFill>
              <w14:schemeClr w14:val="tx1"/>
            </w14:solidFill>
          </w14:textFill>
        </w:rPr>
        <w:t>破碎后的瓶片进入</w:t>
      </w:r>
      <w:r>
        <w:rPr>
          <w:rFonts w:hint="eastAsia" w:ascii="Times New Roman" w:hAnsi="Times New Roman" w:cs="Times New Roman"/>
          <w:color w:val="000000" w:themeColor="text1"/>
          <w:lang w:val="en-US" w:eastAsia="zh-CN"/>
          <w14:textFill>
            <w14:solidFill>
              <w14:schemeClr w14:val="tx1"/>
            </w14:solidFill>
          </w14:textFill>
        </w:rPr>
        <w:t>浮洗槽槽进行常温漂洗</w:t>
      </w:r>
      <w:r>
        <w:rPr>
          <w:rFonts w:hint="default" w:ascii="Times New Roman" w:hAnsi="Times New Roman" w:cs="Times New Roman"/>
          <w:color w:val="000000" w:themeColor="text1"/>
          <w:lang w:val="en-US" w:eastAsia="zh-CN"/>
          <w14:textFill>
            <w14:solidFill>
              <w14:schemeClr w14:val="tx1"/>
            </w14:solidFill>
          </w14:textFill>
        </w:rPr>
        <w:t>，清洗时间约30min，</w:t>
      </w:r>
      <w:r>
        <w:rPr>
          <w:rFonts w:hint="eastAsia" w:ascii="Times New Roman" w:hAnsi="Times New Roman" w:cs="Times New Roman"/>
          <w:color w:val="000000" w:themeColor="text1"/>
          <w:lang w:val="en-US" w:eastAsia="zh-CN"/>
          <w14:textFill>
            <w14:solidFill>
              <w14:schemeClr w14:val="tx1"/>
            </w14:solidFill>
          </w14:textFill>
        </w:rPr>
        <w:t>此过程会产生清洗废水W1。</w:t>
      </w:r>
    </w:p>
    <w:p w14:paraId="36515AEA">
      <w:pPr>
        <w:pStyle w:val="251"/>
        <w:ind w:firstLine="48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一次脱水：漂洗后的物料进入脱水机进行离心脱水，此过程会产生脱水废水W2。</w:t>
      </w:r>
    </w:p>
    <w:p w14:paraId="64B93533">
      <w:pPr>
        <w:pStyle w:val="251"/>
        <w:ind w:left="0" w:leftChars="0" w:firstLine="480" w:firstLineChars="20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一次风选：脱水后的物料通过输送带进入四吸风选机进行风选，此过程会产生产品瓶沫S3。</w:t>
      </w:r>
    </w:p>
    <w:p w14:paraId="456255F7">
      <w:pPr>
        <w:pStyle w:val="251"/>
        <w:ind w:left="0" w:leftChars="0" w:firstLine="480" w:firstLineChars="20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摩擦清洗：风选后的物料进入双轴摩擦机和浮洗槽进行摩擦清洗，</w:t>
      </w:r>
      <w:r>
        <w:rPr>
          <w:rFonts w:hint="default" w:ascii="Times New Roman" w:hAnsi="Times New Roman" w:cs="Times New Roman"/>
          <w:color w:val="000000" w:themeColor="text1"/>
          <w:sz w:val="24"/>
          <w:szCs w:val="24"/>
          <w:lang w:val="en-US" w:eastAsia="zh-CN"/>
          <w14:textFill>
            <w14:solidFill>
              <w14:schemeClr w14:val="tx1"/>
            </w14:solidFill>
          </w14:textFill>
        </w:rPr>
        <w:t>清洗时间约30min</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此过程会产生清洗废水W1。</w:t>
      </w:r>
    </w:p>
    <w:p w14:paraId="368A0918">
      <w:pPr>
        <w:pStyle w:val="251"/>
        <w:ind w:left="0" w:leftChars="0" w:firstLine="480" w:firstLineChars="20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二次脱水：</w:t>
      </w:r>
      <w:r>
        <w:rPr>
          <w:rFonts w:hint="default" w:ascii="Times New Roman" w:hAnsi="Times New Roman" w:cs="Times New Roman"/>
          <w:color w:val="000000" w:themeColor="text1"/>
          <w:lang w:val="en-US" w:eastAsia="zh-CN"/>
          <w14:textFill>
            <w14:solidFill>
              <w14:schemeClr w14:val="tx1"/>
            </w14:solidFill>
          </w14:textFill>
        </w:rPr>
        <w:t>清洗</w:t>
      </w:r>
      <w:r>
        <w:rPr>
          <w:rFonts w:hint="eastAsia" w:ascii="Times New Roman" w:hAnsi="Times New Roman" w:cs="Times New Roman"/>
          <w:color w:val="000000" w:themeColor="text1"/>
          <w:lang w:val="en-US" w:eastAsia="zh-CN"/>
          <w14:textFill>
            <w14:solidFill>
              <w14:schemeClr w14:val="tx1"/>
            </w14:solidFill>
          </w14:textFill>
        </w:rPr>
        <w:t>后物料进入脱水机进行离心脱水，此过程会产生脱水废水W2。</w:t>
      </w:r>
    </w:p>
    <w:p w14:paraId="00DEBADA">
      <w:pPr>
        <w:pStyle w:val="251"/>
        <w:ind w:left="0" w:leftChars="0" w:firstLine="480" w:firstLineChars="20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二次风选：脱水后的物料通过输送带进入四吸风选机进行风选，此过程会产生产品瓶沫S3。</w:t>
      </w:r>
    </w:p>
    <w:p w14:paraId="6C176E0B">
      <w:pPr>
        <w:pStyle w:val="251"/>
        <w:ind w:left="0" w:leftChars="0" w:firstLine="480" w:firstLineChars="20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热洗：风选后的物料进入高温清洗筒进行热洗，</w:t>
      </w:r>
      <w:r>
        <w:rPr>
          <w:rFonts w:hint="default" w:ascii="Times New Roman" w:hAnsi="Times New Roman" w:cs="Times New Roman"/>
          <w:color w:val="000000" w:themeColor="text1"/>
          <w:sz w:val="24"/>
          <w:szCs w:val="24"/>
          <w:lang w:val="en-US" w:eastAsia="zh-CN"/>
          <w14:textFill>
            <w14:solidFill>
              <w14:schemeClr w14:val="tx1"/>
            </w14:solidFill>
          </w14:textFill>
        </w:rPr>
        <w:t>清洗时间约30min</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热洗过程使用NaOH作为清洗剂，热洗温度约80℃</w:t>
      </w:r>
      <w:r>
        <w:rPr>
          <w:rFonts w:hint="eastAsia" w:ascii="Times New Roman" w:hAnsi="Times New Roman" w:cs="Times New Roman"/>
          <w:color w:val="000000" w:themeColor="text1"/>
          <w:lang w:val="en-US" w:eastAsia="zh-CN"/>
          <w14:textFill>
            <w14:solidFill>
              <w14:schemeClr w14:val="tx1"/>
            </w14:solidFill>
          </w14:textFill>
        </w:rPr>
        <w:t>（蒸汽加热）</w:t>
      </w:r>
      <w:r>
        <w:rPr>
          <w:rFonts w:hint="default" w:ascii="Times New Roman" w:hAnsi="Times New Roman" w:cs="Times New Roman"/>
          <w:color w:val="000000" w:themeColor="text1"/>
          <w:lang w:val="en-US" w:eastAsia="zh-CN"/>
          <w14:textFill>
            <w14:solidFill>
              <w14:schemeClr w14:val="tx1"/>
            </w14:solidFill>
          </w14:textFill>
        </w:rPr>
        <w:t>，此过程产生清洗废水</w:t>
      </w:r>
      <w:r>
        <w:rPr>
          <w:rFonts w:hint="eastAsia" w:ascii="Times New Roman" w:hAnsi="Times New Roman" w:cs="Times New Roman"/>
          <w:color w:val="000000" w:themeColor="text1"/>
          <w:lang w:val="en-US" w:eastAsia="zh-CN"/>
          <w14:textFill>
            <w14:solidFill>
              <w14:schemeClr w14:val="tx1"/>
            </w14:solidFill>
          </w14:textFill>
        </w:rPr>
        <w:t>W1</w:t>
      </w:r>
      <w:r>
        <w:rPr>
          <w:rFonts w:hint="default" w:ascii="Times New Roman" w:hAnsi="Times New Roman" w:cs="Times New Roman"/>
          <w:color w:val="000000" w:themeColor="text1"/>
          <w:lang w:val="en-US" w:eastAsia="zh-CN"/>
          <w14:textFill>
            <w14:solidFill>
              <w14:schemeClr w14:val="tx1"/>
            </w14:solidFill>
          </w14:textFill>
        </w:rPr>
        <w:t>。</w:t>
      </w:r>
    </w:p>
    <w:p w14:paraId="234C5351">
      <w:pPr>
        <w:pStyle w:val="251"/>
        <w:ind w:left="0" w:leftChars="0" w:firstLine="480" w:firstLineChars="20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三次脱水：热洗后的物料进入脱水机进行离心脱水，此过程会产生脱水废水W2。</w:t>
      </w:r>
    </w:p>
    <w:p w14:paraId="0020CD28">
      <w:pPr>
        <w:pStyle w:val="251"/>
        <w:ind w:left="0" w:leftChars="0" w:firstLine="480" w:firstLineChars="20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二次</w:t>
      </w:r>
      <w:r>
        <w:rPr>
          <w:rFonts w:hint="default" w:ascii="Times New Roman" w:hAnsi="Times New Roman" w:cs="Times New Roman"/>
          <w:color w:val="000000" w:themeColor="text1"/>
          <w:lang w:val="en-US" w:eastAsia="zh-CN"/>
          <w14:textFill>
            <w14:solidFill>
              <w14:schemeClr w14:val="tx1"/>
            </w14:solidFill>
          </w14:textFill>
        </w:rPr>
        <w:t>漂洗</w:t>
      </w:r>
      <w:r>
        <w:rPr>
          <w:rFonts w:hint="eastAsia" w:ascii="Times New Roman" w:hAnsi="Times New Roman" w:cs="Times New Roman"/>
          <w:color w:val="000000" w:themeColor="text1"/>
          <w:lang w:val="en-US" w:eastAsia="zh-CN"/>
          <w14:textFill>
            <w14:solidFill>
              <w14:schemeClr w14:val="tx1"/>
            </w14:solidFill>
          </w14:textFill>
        </w:rPr>
        <w:t>：脱水后物料进入浮洗槽进行常温漂洗，</w:t>
      </w:r>
      <w:r>
        <w:rPr>
          <w:rFonts w:hint="default" w:ascii="Times New Roman" w:hAnsi="Times New Roman" w:cs="Times New Roman"/>
          <w:color w:val="000000" w:themeColor="text1"/>
          <w:sz w:val="24"/>
          <w:szCs w:val="24"/>
          <w:lang w:val="en-US" w:eastAsia="zh-CN"/>
          <w14:textFill>
            <w14:solidFill>
              <w14:schemeClr w14:val="tx1"/>
            </w14:solidFill>
          </w14:textFill>
        </w:rPr>
        <w:t>清洗时间约30min</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此过程产生清洗废水</w:t>
      </w:r>
      <w:r>
        <w:rPr>
          <w:rFonts w:hint="eastAsia" w:ascii="Times New Roman" w:hAnsi="Times New Roman" w:cs="Times New Roman"/>
          <w:color w:val="000000" w:themeColor="text1"/>
          <w:lang w:val="en-US" w:eastAsia="zh-CN"/>
          <w14:textFill>
            <w14:solidFill>
              <w14:schemeClr w14:val="tx1"/>
            </w14:solidFill>
          </w14:textFill>
        </w:rPr>
        <w:t>W1</w:t>
      </w:r>
      <w:r>
        <w:rPr>
          <w:rFonts w:hint="default" w:ascii="Times New Roman" w:hAnsi="Times New Roman" w:cs="Times New Roman"/>
          <w:color w:val="000000" w:themeColor="text1"/>
          <w:lang w:val="en-US" w:eastAsia="zh-CN"/>
          <w14:textFill>
            <w14:solidFill>
              <w14:schemeClr w14:val="tx1"/>
            </w14:solidFill>
          </w14:textFill>
        </w:rPr>
        <w:t>。</w:t>
      </w:r>
    </w:p>
    <w:p w14:paraId="6287A2BC">
      <w:pPr>
        <w:pStyle w:val="251"/>
        <w:ind w:left="0" w:leftChars="0" w:firstLine="480" w:firstLineChars="20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四次脱水：漂洗后的物料进入脱水机进行离心脱水，此过程会产生脱水废水W2。</w:t>
      </w:r>
    </w:p>
    <w:p w14:paraId="3E71E10B">
      <w:pPr>
        <w:pStyle w:val="251"/>
        <w:ind w:left="0" w:leftChars="0" w:firstLine="480" w:firstLineChars="200"/>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三次漂洗：脱水后物料进入浮洗槽进行常温漂洗，</w:t>
      </w:r>
      <w:r>
        <w:rPr>
          <w:rFonts w:hint="default" w:ascii="Times New Roman" w:hAnsi="Times New Roman" w:cs="Times New Roman"/>
          <w:color w:val="000000" w:themeColor="text1"/>
          <w:lang w:val="en-US" w:eastAsia="zh-CN"/>
          <w14:textFill>
            <w14:solidFill>
              <w14:schemeClr w14:val="tx1"/>
            </w14:solidFill>
          </w14:textFill>
        </w:rPr>
        <w:t>此过程产生清洗废水</w:t>
      </w:r>
      <w:r>
        <w:rPr>
          <w:rFonts w:hint="eastAsia" w:ascii="Times New Roman" w:hAnsi="Times New Roman" w:cs="Times New Roman"/>
          <w:color w:val="000000" w:themeColor="text1"/>
          <w:lang w:val="en-US" w:eastAsia="zh-CN"/>
          <w14:textFill>
            <w14:solidFill>
              <w14:schemeClr w14:val="tx1"/>
            </w14:solidFill>
          </w14:textFill>
        </w:rPr>
        <w:t>W1</w:t>
      </w:r>
      <w:r>
        <w:rPr>
          <w:rFonts w:hint="default" w:ascii="Times New Roman" w:hAnsi="Times New Roman" w:cs="Times New Roman"/>
          <w:color w:val="000000" w:themeColor="text1"/>
          <w:lang w:val="en-US" w:eastAsia="zh-CN"/>
          <w14:textFill>
            <w14:solidFill>
              <w14:schemeClr w14:val="tx1"/>
            </w14:solidFill>
          </w14:textFill>
        </w:rPr>
        <w:t>。</w:t>
      </w:r>
    </w:p>
    <w:p w14:paraId="6AA4046A">
      <w:pPr>
        <w:pStyle w:val="251"/>
        <w:ind w:left="0" w:leftChars="0" w:firstLine="480" w:firstLineChars="20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五次脱水：漂洗后的物料进入脱水机进行离心脱水，此过程会产生脱水废水W2。</w:t>
      </w:r>
    </w:p>
    <w:p w14:paraId="12C71067">
      <w:pPr>
        <w:pStyle w:val="251"/>
        <w:ind w:left="0" w:leftChars="0" w:firstLine="480" w:firstLineChars="200"/>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三次风选：脱水后的物料通过输送带进入四吸风选机进行风选，此过程会产生产品瓶沫S3。</w:t>
      </w:r>
    </w:p>
    <w:p w14:paraId="43736DF0">
      <w:pPr>
        <w:pStyle w:val="251"/>
        <w:ind w:left="0" w:leftChars="0" w:firstLine="480" w:firstLineChars="200"/>
        <w:rPr>
          <w:rFonts w:hint="default" w:ascii="Times New Roman" w:hAnsi="Times New Roman" w:cs="Times New Roman"/>
          <w:b w:val="0"/>
          <w:bCs w:val="0"/>
          <w:color w:val="000000" w:themeColor="text1"/>
          <w:spacing w:val="0"/>
          <w:kern w:val="2"/>
          <w:sz w:val="24"/>
          <w:szCs w:val="28"/>
          <w:lang w:val="en-US" w:eastAsia="zh-CN" w:bidi="ar-SA"/>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分选：风选后的物料通过涡电流分选一体机、色选机、材质机进行分选，分选出3A、蓝白、绿三种瓶片，分别打包入库。</w:t>
      </w:r>
    </w:p>
    <w:p w14:paraId="7D321DCD">
      <w:pPr>
        <w:numPr>
          <w:ilvl w:val="0"/>
          <w:numId w:val="0"/>
        </w:numPr>
        <w:spacing w:before="1" w:line="222" w:lineRule="auto"/>
        <w:ind w:firstLine="466" w:firstLineChars="200"/>
        <w:outlineLvl w:val="4"/>
        <w:rPr>
          <w:rFonts w:hint="default" w:ascii="Times New Roman" w:hAnsi="Times New Roman" w:eastAsia="楷体"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pacing w:val="-4"/>
          <w:sz w:val="24"/>
          <w:szCs w:val="24"/>
          <w:lang w:val="en-US" w:eastAsia="zh-CN"/>
          <w14:textFill>
            <w14:solidFill>
              <w14:schemeClr w14:val="tx1"/>
            </w14:solidFill>
          </w14:textFill>
        </w:rPr>
        <w:t>2、</w:t>
      </w:r>
      <w:r>
        <w:rPr>
          <w:rFonts w:hint="eastAsia" w:cs="Times New Roman"/>
          <w:b/>
          <w:bCs/>
          <w:color w:val="000000" w:themeColor="text1"/>
          <w:spacing w:val="-4"/>
          <w:sz w:val="24"/>
          <w:szCs w:val="24"/>
          <w:lang w:val="en-US" w:eastAsia="zh-CN"/>
          <w14:textFill>
            <w14:solidFill>
              <w14:schemeClr w14:val="tx1"/>
            </w14:solidFill>
          </w14:textFill>
        </w:rPr>
        <w:t>废</w:t>
      </w:r>
      <w:r>
        <w:rPr>
          <w:rFonts w:hint="default" w:ascii="Times New Roman" w:hAnsi="Times New Roman" w:cs="Times New Roman"/>
          <w:b/>
          <w:bCs/>
          <w:color w:val="000000" w:themeColor="text1"/>
          <w:spacing w:val="-4"/>
          <w:sz w:val="24"/>
          <w:szCs w:val="24"/>
          <w:lang w:val="en-US" w:eastAsia="zh-CN"/>
          <w14:textFill>
            <w14:solidFill>
              <w14:schemeClr w14:val="tx1"/>
            </w14:solidFill>
          </w14:textFill>
        </w:rPr>
        <w:t>标签纸生</w:t>
      </w:r>
      <w:r>
        <w:rPr>
          <w:rFonts w:hint="default" w:ascii="Times New Roman" w:hAnsi="Times New Roman" w:eastAsia="宋体" w:cs="Times New Roman"/>
          <w:b/>
          <w:bCs/>
          <w:color w:val="000000" w:themeColor="text1"/>
          <w:spacing w:val="-4"/>
          <w:sz w:val="24"/>
          <w:szCs w:val="24"/>
          <w:lang w:val="en-US" w:eastAsia="zh-CN"/>
          <w14:textFill>
            <w14:solidFill>
              <w14:schemeClr w14:val="tx1"/>
            </w14:solidFill>
          </w14:textFill>
        </w:rPr>
        <w:t>产工艺流程：</w:t>
      </w:r>
    </w:p>
    <w:p w14:paraId="60035A24">
      <w:pPr>
        <w:spacing w:before="65" w:line="228" w:lineRule="auto"/>
        <w:jc w:val="center"/>
        <w:rPr>
          <w:rFonts w:hint="default" w:ascii="Times New Roman" w:hAnsi="Times New Roman" w:eastAsia="宋体" w:cs="Times New Roman"/>
          <w:b/>
          <w:bCs/>
          <w:color w:val="000000" w:themeColor="text1"/>
          <w:spacing w:val="6"/>
          <w:sz w:val="20"/>
          <w:szCs w:val="20"/>
          <w14:textFill>
            <w14:solidFill>
              <w14:schemeClr w14:val="tx1"/>
            </w14:solidFill>
          </w14:textFill>
        </w:rPr>
      </w:pPr>
      <w:r>
        <w:rPr>
          <w:color w:val="000000" w:themeColor="text1"/>
          <w14:textFill>
            <w14:solidFill>
              <w14:schemeClr w14:val="tx1"/>
            </w14:solidFill>
          </w14:textFill>
        </w:rPr>
        <w:drawing>
          <wp:inline distT="0" distB="0" distL="114300" distR="114300">
            <wp:extent cx="2465070" cy="4704080"/>
            <wp:effectExtent l="0" t="0" r="11430" b="1270"/>
            <wp:docPr id="3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12"/>
                    <pic:cNvPicPr>
                      <a:picLocks noChangeAspect="1"/>
                    </pic:cNvPicPr>
                  </pic:nvPicPr>
                  <pic:blipFill>
                    <a:blip r:embed="rId36"/>
                    <a:stretch>
                      <a:fillRect/>
                    </a:stretch>
                  </pic:blipFill>
                  <pic:spPr>
                    <a:xfrm>
                      <a:off x="0" y="0"/>
                      <a:ext cx="2465070" cy="4704080"/>
                    </a:xfrm>
                    <a:prstGeom prst="rect">
                      <a:avLst/>
                    </a:prstGeom>
                    <a:noFill/>
                    <a:ln>
                      <a:noFill/>
                    </a:ln>
                  </pic:spPr>
                </pic:pic>
              </a:graphicData>
            </a:graphic>
          </wp:inline>
        </w:drawing>
      </w:r>
    </w:p>
    <w:p w14:paraId="1817F041">
      <w:pPr>
        <w:spacing w:before="65" w:line="228" w:lineRule="auto"/>
        <w:jc w:val="center"/>
        <w:rPr>
          <w:rFonts w:hint="default" w:ascii="Times New Roman" w:hAnsi="Times New Roman" w:eastAsia="黑体" w:cs="Times New Roman"/>
          <w:b w:val="0"/>
          <w:bCs w:val="0"/>
          <w:color w:val="000000" w:themeColor="text1"/>
          <w:sz w:val="24"/>
          <w:szCs w:val="24"/>
          <w14:textFill>
            <w14:solidFill>
              <w14:schemeClr w14:val="tx1"/>
            </w14:solidFill>
          </w14:textFill>
        </w:rPr>
      </w:pPr>
      <w:r>
        <w:rPr>
          <w:rFonts w:hint="default" w:ascii="Times New Roman" w:hAnsi="Times New Roman" w:eastAsia="黑体" w:cs="Times New Roman"/>
          <w:b w:val="0"/>
          <w:bCs w:val="0"/>
          <w:color w:val="000000" w:themeColor="text1"/>
          <w:spacing w:val="6"/>
          <w:sz w:val="24"/>
          <w:szCs w:val="24"/>
          <w14:textFill>
            <w14:solidFill>
              <w14:schemeClr w14:val="tx1"/>
            </w14:solidFill>
          </w14:textFill>
        </w:rPr>
        <w:t>图</w:t>
      </w:r>
      <w:r>
        <w:rPr>
          <w:rFonts w:hint="default" w:ascii="Times New Roman" w:hAnsi="Times New Roman" w:eastAsia="黑体" w:cs="Times New Roman"/>
          <w:b w:val="0"/>
          <w:bCs w:val="0"/>
          <w:color w:val="000000" w:themeColor="text1"/>
          <w:spacing w:val="-41"/>
          <w:sz w:val="24"/>
          <w:szCs w:val="24"/>
          <w14:textFill>
            <w14:solidFill>
              <w14:schemeClr w14:val="tx1"/>
            </w14:solidFill>
          </w14:textFill>
        </w:rPr>
        <w:t xml:space="preserve"> </w:t>
      </w:r>
      <w:r>
        <w:rPr>
          <w:rFonts w:hint="default" w:ascii="Times New Roman" w:hAnsi="Times New Roman" w:eastAsia="黑体" w:cs="Times New Roman"/>
          <w:b w:val="0"/>
          <w:bCs w:val="0"/>
          <w:color w:val="000000" w:themeColor="text1"/>
          <w:spacing w:val="6"/>
          <w:sz w:val="24"/>
          <w:szCs w:val="24"/>
          <w14:textFill>
            <w14:solidFill>
              <w14:schemeClr w14:val="tx1"/>
            </w14:solidFill>
          </w14:textFill>
        </w:rPr>
        <w:t>3.2-</w:t>
      </w:r>
      <w:r>
        <w:rPr>
          <w:rFonts w:hint="default" w:ascii="Times New Roman" w:hAnsi="Times New Roman" w:eastAsia="黑体" w:cs="Times New Roman"/>
          <w:b w:val="0"/>
          <w:bCs w:val="0"/>
          <w:color w:val="000000" w:themeColor="text1"/>
          <w:spacing w:val="6"/>
          <w:sz w:val="24"/>
          <w:szCs w:val="24"/>
          <w:lang w:val="en-US" w:eastAsia="zh-CN"/>
          <w14:textFill>
            <w14:solidFill>
              <w14:schemeClr w14:val="tx1"/>
            </w14:solidFill>
          </w14:textFill>
        </w:rPr>
        <w:t>2</w:t>
      </w:r>
      <w:r>
        <w:rPr>
          <w:rFonts w:hint="default" w:ascii="Times New Roman" w:hAnsi="Times New Roman" w:eastAsia="黑体" w:cs="Times New Roman"/>
          <w:b w:val="0"/>
          <w:bCs w:val="0"/>
          <w:color w:val="000000" w:themeColor="text1"/>
          <w:spacing w:val="6"/>
          <w:sz w:val="24"/>
          <w:szCs w:val="24"/>
          <w14:textFill>
            <w14:solidFill>
              <w14:schemeClr w14:val="tx1"/>
            </w14:solidFill>
          </w14:textFill>
        </w:rPr>
        <w:t xml:space="preserve">  </w:t>
      </w:r>
      <w:r>
        <w:rPr>
          <w:rFonts w:hint="default" w:ascii="Times New Roman" w:hAnsi="Times New Roman" w:eastAsia="黑体" w:cs="Times New Roman"/>
          <w:b w:val="0"/>
          <w:bCs w:val="0"/>
          <w:color w:val="000000" w:themeColor="text1"/>
          <w:spacing w:val="6"/>
          <w:sz w:val="24"/>
          <w:szCs w:val="24"/>
          <w:lang w:val="en-US" w:eastAsia="zh-CN"/>
          <w14:textFill>
            <w14:solidFill>
              <w14:schemeClr w14:val="tx1"/>
            </w14:solidFill>
          </w14:textFill>
        </w:rPr>
        <w:t>标签纸</w:t>
      </w:r>
      <w:r>
        <w:rPr>
          <w:rFonts w:hint="default" w:ascii="Times New Roman" w:hAnsi="Times New Roman" w:eastAsia="黑体" w:cs="Times New Roman"/>
          <w:b w:val="0"/>
          <w:bCs w:val="0"/>
          <w:color w:val="000000" w:themeColor="text1"/>
          <w:spacing w:val="6"/>
          <w:sz w:val="24"/>
          <w:szCs w:val="24"/>
          <w14:textFill>
            <w14:solidFill>
              <w14:schemeClr w14:val="tx1"/>
            </w14:solidFill>
          </w14:textFill>
        </w:rPr>
        <w:t>生产工艺流程及产污</w:t>
      </w:r>
      <w: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t>节点图</w:t>
      </w:r>
    </w:p>
    <w:p w14:paraId="5FD976CD">
      <w:pPr>
        <w:spacing w:before="274" w:line="219" w:lineRule="auto"/>
        <w:ind w:left="489"/>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pacing w:val="-4"/>
          <w:sz w:val="24"/>
          <w:szCs w:val="24"/>
          <w14:textFill>
            <w14:solidFill>
              <w14:schemeClr w14:val="tx1"/>
            </w14:solidFill>
          </w14:textFill>
        </w:rPr>
        <w:t>工艺流程说明</w:t>
      </w:r>
      <w:r>
        <w:rPr>
          <w:rFonts w:hint="default" w:ascii="Times New Roman" w:hAnsi="Times New Roman" w:eastAsia="宋体" w:cs="Times New Roman"/>
          <w:color w:val="000000" w:themeColor="text1"/>
          <w:spacing w:val="-4"/>
          <w:sz w:val="24"/>
          <w:szCs w:val="24"/>
          <w14:textFill>
            <w14:solidFill>
              <w14:schemeClr w14:val="tx1"/>
            </w14:solidFill>
          </w14:textFill>
        </w:rPr>
        <w:t>：</w:t>
      </w:r>
    </w:p>
    <w:p w14:paraId="406D3CB4">
      <w:pPr>
        <w:spacing w:before="1" w:line="385" w:lineRule="auto"/>
        <w:ind w:right="61" w:firstLine="480"/>
        <w:jc w:val="both"/>
        <w:rPr>
          <w:rFonts w:hint="eastAsia" w:ascii="Times New Roman" w:hAnsi="Times New Roman" w:cs="Times New Roman"/>
          <w:color w:val="000000" w:themeColor="text1"/>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拆包：PET瓶片生产线脱标产生的废标签纸（PP材质和PVC材质）打包送入卧式开包机进行拆包</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拆包过程会产生少量废气粉尘</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G1</w:t>
      </w:r>
      <w:r>
        <w:rPr>
          <w:rFonts w:hint="eastAsia" w:ascii="Times New Roman" w:hAnsi="Times New Roman" w:cs="Times New Roman"/>
          <w:color w:val="000000" w:themeColor="text1"/>
          <w:lang w:val="en-US" w:eastAsia="zh-CN"/>
          <w14:textFill>
            <w14:solidFill>
              <w14:schemeClr w14:val="tx1"/>
            </w14:solidFill>
          </w14:textFill>
        </w:rPr>
        <w:t>。</w:t>
      </w:r>
    </w:p>
    <w:p w14:paraId="446CFD8A">
      <w:pPr>
        <w:spacing w:before="1" w:line="385" w:lineRule="auto"/>
        <w:ind w:right="61" w:firstLine="480"/>
        <w:jc w:val="both"/>
        <w:rPr>
          <w:rFonts w:hint="eastAsia"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筛分：拆包后的物料通过打散分离机进行筛分，此过程会产生固体杂质S1.</w:t>
      </w:r>
    </w:p>
    <w:p w14:paraId="213338C9">
      <w:pPr>
        <w:spacing w:before="1" w:line="385" w:lineRule="auto"/>
        <w:ind w:right="61" w:firstLine="480"/>
        <w:jc w:val="both"/>
        <w:rPr>
          <w:rFonts w:hint="eastAsia"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湿式破碎：筛分</w:t>
      </w:r>
      <w:r>
        <w:rPr>
          <w:rFonts w:hint="default" w:ascii="Times New Roman" w:hAnsi="Times New Roman" w:cs="Times New Roman"/>
          <w:color w:val="000000" w:themeColor="text1"/>
          <w:sz w:val="24"/>
          <w:szCs w:val="24"/>
          <w:lang w:val="en-US" w:eastAsia="zh-CN"/>
          <w14:textFill>
            <w14:solidFill>
              <w14:schemeClr w14:val="tx1"/>
            </w14:solidFill>
          </w14:textFill>
        </w:rPr>
        <w:t>后</w:t>
      </w:r>
      <w:r>
        <w:rPr>
          <w:rFonts w:hint="eastAsia" w:cs="Times New Roman"/>
          <w:color w:val="000000" w:themeColor="text1"/>
          <w:sz w:val="24"/>
          <w:szCs w:val="24"/>
          <w:lang w:val="en-US" w:eastAsia="zh-CN"/>
          <w14:textFill>
            <w14:solidFill>
              <w14:schemeClr w14:val="tx1"/>
            </w14:solidFill>
          </w14:textFill>
        </w:rPr>
        <w:t>的物料</w:t>
      </w:r>
      <w:r>
        <w:rPr>
          <w:rFonts w:hint="default" w:ascii="Times New Roman" w:hAnsi="Times New Roman" w:cs="Times New Roman"/>
          <w:color w:val="000000" w:themeColor="text1"/>
          <w:sz w:val="24"/>
          <w:szCs w:val="24"/>
          <w:lang w:val="en-US" w:eastAsia="zh-CN"/>
          <w14:textFill>
            <w14:solidFill>
              <w14:schemeClr w14:val="tx1"/>
            </w14:solidFill>
          </w14:textFill>
        </w:rPr>
        <w:t>送入</w:t>
      </w:r>
      <w:r>
        <w:rPr>
          <w:rFonts w:hint="eastAsia" w:cs="Times New Roman"/>
          <w:color w:val="000000" w:themeColor="text1"/>
          <w:sz w:val="24"/>
          <w:szCs w:val="24"/>
          <w:lang w:val="en-US" w:eastAsia="zh-CN"/>
          <w14:textFill>
            <w14:solidFill>
              <w14:schemeClr w14:val="tx1"/>
            </w14:solidFill>
          </w14:textFill>
        </w:rPr>
        <w:t>封闭</w:t>
      </w:r>
      <w:r>
        <w:rPr>
          <w:rFonts w:hint="default" w:ascii="Times New Roman" w:hAnsi="Times New Roman" w:cs="Times New Roman"/>
          <w:color w:val="000000" w:themeColor="text1"/>
          <w:sz w:val="24"/>
          <w:szCs w:val="24"/>
          <w:highlight w:val="yellow"/>
          <w:lang w:val="en-US" w:eastAsia="zh-CN"/>
          <w14:textFill>
            <w14:solidFill>
              <w14:schemeClr w14:val="tx1"/>
            </w14:solidFill>
          </w14:textFill>
        </w:rPr>
        <w:t>破碎机</w:t>
      </w:r>
      <w:r>
        <w:rPr>
          <w:rFonts w:hint="default" w:ascii="Times New Roman" w:hAnsi="Times New Roman" w:cs="Times New Roman"/>
          <w:color w:val="000000" w:themeColor="text1"/>
          <w:sz w:val="24"/>
          <w:szCs w:val="24"/>
          <w:lang w:val="en-US" w:eastAsia="zh-CN"/>
          <w14:textFill>
            <w14:solidFill>
              <w14:schemeClr w14:val="tx1"/>
            </w14:solidFill>
          </w14:textFill>
        </w:rPr>
        <w:t>进行湿式破碎</w:t>
      </w:r>
      <w:r>
        <w:rPr>
          <w:rFonts w:hint="eastAsia" w:cs="Times New Roman"/>
          <w:color w:val="000000" w:themeColor="text1"/>
          <w:sz w:val="24"/>
          <w:szCs w:val="24"/>
          <w:lang w:val="en-US" w:eastAsia="zh-CN"/>
          <w14:textFill>
            <w14:solidFill>
              <w14:schemeClr w14:val="tx1"/>
            </w14:solidFill>
          </w14:textFill>
        </w:rPr>
        <w:t>。</w:t>
      </w:r>
    </w:p>
    <w:p w14:paraId="3A49E666">
      <w:pPr>
        <w:spacing w:before="1" w:line="385" w:lineRule="auto"/>
        <w:ind w:right="61" w:firstLine="480"/>
        <w:jc w:val="both"/>
        <w:rPr>
          <w:rFonts w:hint="eastAsia"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清洗：</w:t>
      </w:r>
      <w:r>
        <w:rPr>
          <w:rFonts w:hint="default" w:ascii="Times New Roman" w:hAnsi="Times New Roman" w:cs="Times New Roman"/>
          <w:color w:val="000000" w:themeColor="text1"/>
          <w:sz w:val="24"/>
          <w:szCs w:val="24"/>
          <w:lang w:val="en-US" w:eastAsia="zh-CN"/>
          <w14:textFill>
            <w14:solidFill>
              <w14:schemeClr w14:val="tx1"/>
            </w14:solidFill>
          </w14:textFill>
        </w:rPr>
        <w:t>破碎后的</w:t>
      </w:r>
      <w:r>
        <w:rPr>
          <w:rFonts w:hint="eastAsia" w:cs="Times New Roman"/>
          <w:color w:val="000000" w:themeColor="text1"/>
          <w:sz w:val="24"/>
          <w:szCs w:val="24"/>
          <w:lang w:val="en-US" w:eastAsia="zh-CN"/>
          <w14:textFill>
            <w14:solidFill>
              <w14:schemeClr w14:val="tx1"/>
            </w14:solidFill>
          </w14:textFill>
        </w:rPr>
        <w:t>物料通过传送带送入摩擦清洗机和浮洗槽进行摩擦清洗，</w:t>
      </w:r>
      <w:r>
        <w:rPr>
          <w:rFonts w:hint="default" w:ascii="Times New Roman" w:hAnsi="Times New Roman" w:cs="Times New Roman"/>
          <w:color w:val="000000" w:themeColor="text1"/>
          <w:sz w:val="24"/>
          <w:szCs w:val="24"/>
          <w:lang w:val="en-US" w:eastAsia="zh-CN"/>
          <w14:textFill>
            <w14:solidFill>
              <w14:schemeClr w14:val="tx1"/>
            </w14:solidFill>
          </w14:textFill>
        </w:rPr>
        <w:t>清洗时间约30min</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此过程会产生清洗废水W1。</w:t>
      </w:r>
    </w:p>
    <w:p w14:paraId="7C8826EC">
      <w:pPr>
        <w:spacing w:before="1" w:line="385" w:lineRule="auto"/>
        <w:ind w:right="61" w:firstLine="48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脱水：清洗后的物料送入脱水机进行离心脱水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，此过程会产生脱水废水W2。</w:t>
      </w:r>
    </w:p>
    <w:p w14:paraId="723FED73">
      <w:pPr>
        <w:spacing w:before="1" w:line="385" w:lineRule="auto"/>
        <w:ind w:right="61" w:firstLine="480"/>
        <w:jc w:val="both"/>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高温分选：脱水后的物料通过输送带送入团粒机，</w:t>
      </w:r>
      <w:r>
        <w:rPr>
          <w:rFonts w:hint="default" w:ascii="Times New Roman" w:hAnsi="Times New Roman" w:cs="Times New Roman"/>
          <w:color w:val="000000" w:themeColor="text1"/>
          <w:sz w:val="24"/>
          <w:szCs w:val="24"/>
          <w:lang w:val="en-US" w:eastAsia="zh-CN"/>
          <w14:textFill>
            <w14:solidFill>
              <w14:schemeClr w14:val="tx1"/>
            </w14:solidFill>
          </w14:textFill>
        </w:rPr>
        <w:t>通过电加热到1</w:t>
      </w:r>
      <w:r>
        <w:rPr>
          <w:rFonts w:hint="eastAsia" w:cs="Times New Roman"/>
          <w:color w:val="000000" w:themeColor="text1"/>
          <w:sz w:val="24"/>
          <w:szCs w:val="24"/>
          <w:lang w:val="en-US" w:eastAsia="zh-CN"/>
          <w14:textFill>
            <w14:solidFill>
              <w14:schemeClr w14:val="tx1"/>
            </w14:solidFill>
          </w14:textFill>
        </w:rPr>
        <w:t>6</w:t>
      </w:r>
      <w:r>
        <w:rPr>
          <w:rFonts w:hint="default" w:ascii="Times New Roman" w:hAnsi="Times New Roman" w:cs="Times New Roman"/>
          <w:color w:val="000000" w:themeColor="text1"/>
          <w:sz w:val="24"/>
          <w:szCs w:val="24"/>
          <w:lang w:val="en-US" w:eastAsia="zh-CN"/>
          <w14:textFill>
            <w14:solidFill>
              <w14:schemeClr w14:val="tx1"/>
            </w14:solidFill>
          </w14:textFill>
        </w:rPr>
        <w:t>0℃左右</w:t>
      </w:r>
      <w:r>
        <w:rPr>
          <w:rFonts w:hint="eastAsia" w:ascii="Times New Roman" w:hAnsi="Times New Roman" w:cs="Times New Roman"/>
          <w:color w:val="000000" w:themeColor="text1"/>
          <w:sz w:val="24"/>
          <w:szCs w:val="24"/>
          <w:lang w:val="en-US" w:eastAsia="zh-CN"/>
          <w14:textFill>
            <w14:solidFill>
              <w14:schemeClr w14:val="tx1"/>
            </w14:solidFill>
          </w14:textFill>
        </w:rPr>
        <w:t>（PP塑料的熔化温度范围是155℃-165℃，PVC塑料熔化温度范围是185~205℃）</w:t>
      </w:r>
      <w:r>
        <w:rPr>
          <w:rFonts w:hint="default" w:ascii="Times New Roman" w:hAnsi="Times New Roman" w:cs="Times New Roman"/>
          <w:color w:val="000000" w:themeColor="text1"/>
          <w:sz w:val="24"/>
          <w:szCs w:val="24"/>
          <w:lang w:val="en-US" w:eastAsia="zh-CN"/>
          <w14:textFill>
            <w14:solidFill>
              <w14:schemeClr w14:val="tx1"/>
            </w14:solidFill>
          </w14:textFill>
        </w:rPr>
        <w:t>将PP材质</w:t>
      </w:r>
      <w:r>
        <w:rPr>
          <w:rFonts w:hint="eastAsia" w:ascii="Times New Roman" w:hAnsi="Times New Roman" w:cs="Times New Roman"/>
          <w:color w:val="000000" w:themeColor="text1"/>
          <w:sz w:val="24"/>
          <w:szCs w:val="24"/>
          <w:lang w:val="en-US" w:eastAsia="zh-CN"/>
          <w14:textFill>
            <w14:solidFill>
              <w14:schemeClr w14:val="tx1"/>
            </w14:solidFill>
          </w14:textFill>
        </w:rPr>
        <w:t>废</w:t>
      </w:r>
      <w:r>
        <w:rPr>
          <w:rFonts w:hint="default" w:ascii="Times New Roman" w:hAnsi="Times New Roman" w:cs="Times New Roman"/>
          <w:color w:val="000000" w:themeColor="text1"/>
          <w:sz w:val="24"/>
          <w:szCs w:val="24"/>
          <w:lang w:val="en-US" w:eastAsia="zh-CN"/>
          <w14:textFill>
            <w14:solidFill>
              <w14:schemeClr w14:val="tx1"/>
            </w14:solidFill>
          </w14:textFill>
        </w:rPr>
        <w:t>标签纸融化成团状</w:t>
      </w:r>
      <w:r>
        <w:rPr>
          <w:rFonts w:hint="eastAsia" w:cs="Times New Roman"/>
          <w:color w:val="000000" w:themeColor="text1"/>
          <w:sz w:val="24"/>
          <w:szCs w:val="24"/>
          <w:lang w:val="en-US" w:eastAsia="zh-CN"/>
          <w14:textFill>
            <w14:solidFill>
              <w14:schemeClr w14:val="tx1"/>
            </w14:solidFill>
          </w14:textFill>
        </w:rPr>
        <w:t>分选后</w:t>
      </w:r>
      <w:r>
        <w:rPr>
          <w:rFonts w:hint="default" w:ascii="Times New Roman" w:hAnsi="Times New Roman" w:cs="Times New Roman"/>
          <w:color w:val="000000" w:themeColor="text1"/>
          <w:sz w:val="24"/>
          <w:szCs w:val="24"/>
          <w:lang w:val="en-US" w:eastAsia="zh-CN"/>
          <w14:textFill>
            <w14:solidFill>
              <w14:schemeClr w14:val="tx1"/>
            </w14:solidFill>
          </w14:textFill>
        </w:rPr>
        <w:t>包装入库，此过程产生少量有机废气</w:t>
      </w:r>
      <w:r>
        <w:rPr>
          <w:rFonts w:hint="eastAsia" w:ascii="Times New Roman" w:hAnsi="Times New Roman" w:cs="Times New Roman"/>
          <w:color w:val="000000" w:themeColor="text1"/>
          <w:sz w:val="24"/>
          <w:szCs w:val="24"/>
          <w:lang w:val="en-US" w:eastAsia="zh-CN"/>
          <w14:textFill>
            <w14:solidFill>
              <w14:schemeClr w14:val="tx1"/>
            </w14:solidFill>
          </w14:textFill>
        </w:rPr>
        <w:t>G2。</w:t>
      </w:r>
    </w:p>
    <w:p w14:paraId="14182EA9">
      <w:pPr>
        <w:spacing w:before="1" w:line="385" w:lineRule="auto"/>
        <w:ind w:right="61" w:firstLine="48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磨粉：分选后的PVC材质废标签纸</w:t>
      </w:r>
      <w:r>
        <w:rPr>
          <w:rFonts w:hint="default" w:ascii="Times New Roman" w:hAnsi="Times New Roman" w:cs="Times New Roman"/>
          <w:color w:val="000000" w:themeColor="text1"/>
          <w:sz w:val="24"/>
          <w:szCs w:val="24"/>
          <w:lang w:val="en-US" w:eastAsia="zh-CN"/>
          <w14:textFill>
            <w14:solidFill>
              <w14:schemeClr w14:val="tx1"/>
            </w14:solidFill>
          </w14:textFill>
        </w:rPr>
        <w:t>进通过输送带送入封闭的</w:t>
      </w:r>
      <w:r>
        <w:rPr>
          <w:rFonts w:hint="default" w:ascii="Times New Roman" w:hAnsi="Times New Roman" w:cs="Times New Roman"/>
          <w:color w:val="000000" w:themeColor="text1"/>
          <w:sz w:val="24"/>
          <w:szCs w:val="24"/>
          <w:highlight w:val="yellow"/>
          <w:lang w:val="en-US" w:eastAsia="zh-CN"/>
          <w14:textFill>
            <w14:solidFill>
              <w14:schemeClr w14:val="tx1"/>
            </w14:solidFill>
          </w14:textFill>
        </w:rPr>
        <w:t>磨粉机</w:t>
      </w:r>
      <w:r>
        <w:rPr>
          <w:rFonts w:hint="default" w:ascii="Times New Roman" w:hAnsi="Times New Roman" w:cs="Times New Roman"/>
          <w:color w:val="000000" w:themeColor="text1"/>
          <w:sz w:val="24"/>
          <w:szCs w:val="24"/>
          <w:lang w:val="en-US" w:eastAsia="zh-CN"/>
          <w14:textFill>
            <w14:solidFill>
              <w14:schemeClr w14:val="tx1"/>
            </w14:solidFill>
          </w14:textFill>
        </w:rPr>
        <w:t>打磨成粉，包装入库，此过程产生少量粉尘</w:t>
      </w:r>
      <w:r>
        <w:rPr>
          <w:rFonts w:hint="eastAsia" w:cs="Times New Roman"/>
          <w:color w:val="000000" w:themeColor="text1"/>
          <w:sz w:val="24"/>
          <w:szCs w:val="24"/>
          <w:lang w:val="en-US" w:eastAsia="zh-CN"/>
          <w14:textFill>
            <w14:solidFill>
              <w14:schemeClr w14:val="tx1"/>
            </w14:solidFill>
          </w14:textFill>
        </w:rPr>
        <w:t>G1</w:t>
      </w:r>
      <w:r>
        <w:rPr>
          <w:rFonts w:hint="default" w:ascii="Times New Roman" w:hAnsi="Times New Roman" w:cs="Times New Roman"/>
          <w:color w:val="000000" w:themeColor="text1"/>
          <w:sz w:val="24"/>
          <w:szCs w:val="24"/>
          <w:lang w:val="en-US" w:eastAsia="zh-CN"/>
          <w14:textFill>
            <w14:solidFill>
              <w14:schemeClr w14:val="tx1"/>
            </w14:solidFill>
          </w14:textFill>
        </w:rPr>
        <w:t>。</w:t>
      </w:r>
    </w:p>
    <w:p w14:paraId="5A7A60BD">
      <w:pPr>
        <w:numPr>
          <w:ilvl w:val="0"/>
          <w:numId w:val="0"/>
        </w:numPr>
        <w:spacing w:before="1" w:line="222" w:lineRule="auto"/>
        <w:ind w:firstLine="466" w:firstLineChars="200"/>
        <w:outlineLvl w:val="4"/>
        <w:rPr>
          <w:rFonts w:hint="default" w:ascii="Times New Roman" w:hAnsi="Times New Roman" w:eastAsia="楷体"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pacing w:val="-4"/>
          <w:sz w:val="24"/>
          <w:szCs w:val="24"/>
          <w:lang w:val="en-US" w:eastAsia="zh-CN"/>
          <w14:textFill>
            <w14:solidFill>
              <w14:schemeClr w14:val="tx1"/>
            </w14:solidFill>
          </w14:textFill>
        </w:rPr>
        <w:t>3、</w:t>
      </w:r>
      <w:r>
        <w:rPr>
          <w:rFonts w:hint="eastAsia" w:cs="Times New Roman"/>
          <w:b/>
          <w:bCs/>
          <w:color w:val="000000" w:themeColor="text1"/>
          <w:spacing w:val="-4"/>
          <w:sz w:val="24"/>
          <w:szCs w:val="24"/>
          <w:lang w:val="en-US" w:eastAsia="zh-CN"/>
          <w14:textFill>
            <w14:solidFill>
              <w14:schemeClr w14:val="tx1"/>
            </w14:solidFill>
          </w14:textFill>
        </w:rPr>
        <w:t>废</w:t>
      </w:r>
      <w:r>
        <w:rPr>
          <w:rFonts w:hint="default" w:ascii="Times New Roman" w:hAnsi="Times New Roman" w:cs="Times New Roman"/>
          <w:b/>
          <w:bCs/>
          <w:color w:val="000000" w:themeColor="text1"/>
          <w:spacing w:val="-4"/>
          <w:sz w:val="24"/>
          <w:szCs w:val="24"/>
          <w:lang w:val="en-US" w:eastAsia="zh-CN"/>
          <w14:textFill>
            <w14:solidFill>
              <w14:schemeClr w14:val="tx1"/>
            </w14:solidFill>
          </w14:textFill>
        </w:rPr>
        <w:t>瓶盖生</w:t>
      </w:r>
      <w:r>
        <w:rPr>
          <w:rFonts w:hint="default" w:ascii="Times New Roman" w:hAnsi="Times New Roman" w:eastAsia="宋体" w:cs="Times New Roman"/>
          <w:b/>
          <w:bCs/>
          <w:color w:val="000000" w:themeColor="text1"/>
          <w:spacing w:val="-4"/>
          <w:sz w:val="24"/>
          <w:szCs w:val="24"/>
          <w:lang w:val="en-US" w:eastAsia="zh-CN"/>
          <w14:textFill>
            <w14:solidFill>
              <w14:schemeClr w14:val="tx1"/>
            </w14:solidFill>
          </w14:textFill>
        </w:rPr>
        <w:t>产工艺流程：</w:t>
      </w:r>
    </w:p>
    <w:p w14:paraId="1C114928">
      <w:pPr>
        <w:spacing w:before="65" w:line="228" w:lineRule="auto"/>
        <w:jc w:val="center"/>
        <w:rPr>
          <w:rFonts w:hint="default" w:ascii="Times New Roman" w:hAnsi="Times New Roman" w:eastAsia="宋体" w:cs="Times New Roman"/>
          <w:b/>
          <w:bCs/>
          <w:color w:val="000000" w:themeColor="text1"/>
          <w:spacing w:val="6"/>
          <w:sz w:val="20"/>
          <w:szCs w:val="20"/>
          <w14:textFill>
            <w14:solidFill>
              <w14:schemeClr w14:val="tx1"/>
            </w14:solidFill>
          </w14:textFill>
        </w:rPr>
      </w:pPr>
      <w:r>
        <w:rPr>
          <w:color w:val="000000" w:themeColor="text1"/>
          <w14:textFill>
            <w14:solidFill>
              <w14:schemeClr w14:val="tx1"/>
            </w14:solidFill>
          </w14:textFill>
        </w:rPr>
        <w:drawing>
          <wp:inline distT="0" distB="0" distL="114300" distR="114300">
            <wp:extent cx="2273935" cy="4964430"/>
            <wp:effectExtent l="0" t="0" r="12065" b="7620"/>
            <wp:docPr id="34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14"/>
                    <pic:cNvPicPr>
                      <a:picLocks noChangeAspect="1"/>
                    </pic:cNvPicPr>
                  </pic:nvPicPr>
                  <pic:blipFill>
                    <a:blip r:embed="rId37"/>
                    <a:stretch>
                      <a:fillRect/>
                    </a:stretch>
                  </pic:blipFill>
                  <pic:spPr>
                    <a:xfrm>
                      <a:off x="0" y="0"/>
                      <a:ext cx="2273935" cy="4964430"/>
                    </a:xfrm>
                    <a:prstGeom prst="rect">
                      <a:avLst/>
                    </a:prstGeom>
                    <a:noFill/>
                    <a:ln>
                      <a:noFill/>
                    </a:ln>
                  </pic:spPr>
                </pic:pic>
              </a:graphicData>
            </a:graphic>
          </wp:inline>
        </w:drawing>
      </w:r>
    </w:p>
    <w:p w14:paraId="0B556F81">
      <w:pPr>
        <w:spacing w:before="65" w:line="228" w:lineRule="auto"/>
        <w:jc w:val="center"/>
        <w:rPr>
          <w:rFonts w:hint="default" w:ascii="Times New Roman" w:hAnsi="Times New Roman" w:eastAsia="宋体" w:cs="Times New Roman"/>
          <w:b/>
          <w:bCs/>
          <w:color w:val="000000" w:themeColor="text1"/>
          <w:spacing w:val="5"/>
          <w:sz w:val="20"/>
          <w:szCs w:val="20"/>
          <w14:textFill>
            <w14:solidFill>
              <w14:schemeClr w14:val="tx1"/>
            </w14:solidFill>
          </w14:textFill>
        </w:rPr>
      </w:pPr>
      <w:r>
        <w:rPr>
          <w:rFonts w:hint="default" w:ascii="Times New Roman" w:hAnsi="Times New Roman" w:eastAsia="黑体" w:cs="Times New Roman"/>
          <w:b w:val="0"/>
          <w:bCs w:val="0"/>
          <w:color w:val="000000" w:themeColor="text1"/>
          <w:spacing w:val="6"/>
          <w:sz w:val="24"/>
          <w:szCs w:val="24"/>
          <w14:textFill>
            <w14:solidFill>
              <w14:schemeClr w14:val="tx1"/>
            </w14:solidFill>
          </w14:textFill>
        </w:rPr>
        <w:t>图</w:t>
      </w:r>
      <w:r>
        <w:rPr>
          <w:rFonts w:hint="default" w:ascii="Times New Roman" w:hAnsi="Times New Roman" w:eastAsia="黑体" w:cs="Times New Roman"/>
          <w:b w:val="0"/>
          <w:bCs w:val="0"/>
          <w:color w:val="000000" w:themeColor="text1"/>
          <w:spacing w:val="-41"/>
          <w:sz w:val="24"/>
          <w:szCs w:val="24"/>
          <w14:textFill>
            <w14:solidFill>
              <w14:schemeClr w14:val="tx1"/>
            </w14:solidFill>
          </w14:textFill>
        </w:rPr>
        <w:t xml:space="preserve"> </w:t>
      </w:r>
      <w:r>
        <w:rPr>
          <w:rFonts w:hint="default" w:ascii="Times New Roman" w:hAnsi="Times New Roman" w:eastAsia="黑体" w:cs="Times New Roman"/>
          <w:b w:val="0"/>
          <w:bCs w:val="0"/>
          <w:color w:val="000000" w:themeColor="text1"/>
          <w:spacing w:val="6"/>
          <w:sz w:val="24"/>
          <w:szCs w:val="24"/>
          <w14:textFill>
            <w14:solidFill>
              <w14:schemeClr w14:val="tx1"/>
            </w14:solidFill>
          </w14:textFill>
        </w:rPr>
        <w:t xml:space="preserve">3.2-3  </w:t>
      </w:r>
      <w:r>
        <w:rPr>
          <w:rFonts w:hint="default" w:ascii="Times New Roman" w:hAnsi="Times New Roman" w:eastAsia="黑体" w:cs="Times New Roman"/>
          <w:b w:val="0"/>
          <w:bCs w:val="0"/>
          <w:color w:val="000000" w:themeColor="text1"/>
          <w:spacing w:val="6"/>
          <w:sz w:val="24"/>
          <w:szCs w:val="24"/>
          <w:lang w:val="en-US" w:eastAsia="zh-CN"/>
          <w14:textFill>
            <w14:solidFill>
              <w14:schemeClr w14:val="tx1"/>
            </w14:solidFill>
          </w14:textFill>
        </w:rPr>
        <w:t>瓶盖</w:t>
      </w:r>
      <w:r>
        <w:rPr>
          <w:rFonts w:hint="default" w:ascii="Times New Roman" w:hAnsi="Times New Roman" w:eastAsia="黑体" w:cs="Times New Roman"/>
          <w:b w:val="0"/>
          <w:bCs w:val="0"/>
          <w:color w:val="000000" w:themeColor="text1"/>
          <w:spacing w:val="6"/>
          <w:sz w:val="24"/>
          <w:szCs w:val="24"/>
          <w14:textFill>
            <w14:solidFill>
              <w14:schemeClr w14:val="tx1"/>
            </w14:solidFill>
          </w14:textFill>
        </w:rPr>
        <w:t>生产工艺流程及产污</w:t>
      </w:r>
      <w: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t>节点图</w:t>
      </w:r>
    </w:p>
    <w:p w14:paraId="0529FE39">
      <w:pPr>
        <w:spacing w:before="65" w:line="228" w:lineRule="auto"/>
        <w:ind w:firstLine="466" w:firstLineChars="200"/>
        <w:jc w:val="both"/>
        <w:rPr>
          <w:rFonts w:hint="default" w:ascii="Times New Roman" w:hAnsi="Times New Roman" w:eastAsia="宋体" w:cs="Times New Roman"/>
          <w:b/>
          <w:bCs/>
          <w:color w:val="000000" w:themeColor="text1"/>
          <w:spacing w:val="-4"/>
          <w:sz w:val="24"/>
          <w:szCs w:val="24"/>
          <w14:textFill>
            <w14:solidFill>
              <w14:schemeClr w14:val="tx1"/>
            </w14:solidFill>
          </w14:textFill>
        </w:rPr>
      </w:pPr>
      <w:r>
        <w:rPr>
          <w:rFonts w:hint="default" w:ascii="Times New Roman" w:hAnsi="Times New Roman" w:eastAsia="宋体" w:cs="Times New Roman"/>
          <w:b/>
          <w:bCs/>
          <w:color w:val="000000" w:themeColor="text1"/>
          <w:spacing w:val="-4"/>
          <w:sz w:val="24"/>
          <w:szCs w:val="24"/>
          <w14:textFill>
            <w14:solidFill>
              <w14:schemeClr w14:val="tx1"/>
            </w14:solidFill>
          </w14:textFill>
        </w:rPr>
        <w:t>工艺流程说明：</w:t>
      </w:r>
    </w:p>
    <w:p w14:paraId="6E075DCF">
      <w:pPr>
        <w:spacing w:before="65" w:line="360" w:lineRule="auto"/>
        <w:ind w:firstLine="472" w:firstLineChars="200"/>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热洗：PET瓶片生产线分选出的废瓶盖通过输送带送入高温清洗筒进行热洗，</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清洗时间约30min</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热洗过程使用NaOH作为清洗剂，热洗温度约</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（蒸汽加热）</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，此过程产生清洗废水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W1</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p w14:paraId="0E0A21AF">
      <w:pPr>
        <w:spacing w:before="65" w:line="360" w:lineRule="auto"/>
        <w:ind w:firstLine="472" w:firstLineChars="200"/>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过滤：热</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洗后送入圆筒转沙池进行过滤净化，通过沙粒的过滤作用去除瓶盖表面的污垢和杂质（沙粒作为过滤介质，能够截留和吸附瓶盖表面的微小颗粒，从而达到清洁瓶盖的目的），此过程产生废砂</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S4</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p w14:paraId="38B28DE9">
      <w:pPr>
        <w:spacing w:before="65" w:line="360" w:lineRule="auto"/>
        <w:ind w:firstLine="472"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一次漂洗：过滤后的物料送入浮洗槽进行漂洗，</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清洗时间约30min</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，此过程会产生清洗废水W1。</w:t>
      </w:r>
    </w:p>
    <w:p w14:paraId="68C242E4">
      <w:pPr>
        <w:spacing w:before="65" w:line="360" w:lineRule="auto"/>
        <w:ind w:firstLine="472"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脱水：</w:t>
      </w:r>
      <w:r>
        <w:rPr>
          <w:rFonts w:hint="eastAsia" w:cs="Times New Roman"/>
          <w:color w:val="000000" w:themeColor="text1"/>
          <w:sz w:val="24"/>
          <w:szCs w:val="24"/>
          <w:lang w:val="en-US" w:eastAsia="zh-CN"/>
          <w14:textFill>
            <w14:solidFill>
              <w14:schemeClr w14:val="tx1"/>
            </w14:solidFill>
          </w14:textFill>
        </w:rPr>
        <w:t>清洗后的物料送入甩干机进行离心脱水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，此过程会产生脱水废水W2。</w:t>
      </w:r>
    </w:p>
    <w:p w14:paraId="1915BFBD">
      <w:pPr>
        <w:spacing w:before="65" w:line="360" w:lineRule="auto"/>
        <w:ind w:firstLine="472"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烘干：脱水后的物料送入烘干机（电加热）进行干燥，烘干后的物料送入料仓进行暂存。</w:t>
      </w:r>
    </w:p>
    <w:p w14:paraId="5EAB97ED">
      <w:pPr>
        <w:spacing w:before="65" w:line="360" w:lineRule="auto"/>
        <w:ind w:firstLine="472"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二次漂洗：物料通过输送带送入浮洗槽进行漂洗，</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清洗时间约30min</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，此过程会产生清洗废水W1。</w:t>
      </w:r>
    </w:p>
    <w:p w14:paraId="07252621">
      <w:pPr>
        <w:spacing w:before="65" w:line="360" w:lineRule="auto"/>
        <w:ind w:firstLine="472" w:firstLineChars="200"/>
        <w:jc w:val="both"/>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脱水：漂洗后的物料送入脱水机</w:t>
      </w:r>
      <w:r>
        <w:rPr>
          <w:rFonts w:hint="eastAsia" w:cs="Times New Roman"/>
          <w:color w:val="000000" w:themeColor="text1"/>
          <w:sz w:val="24"/>
          <w:szCs w:val="24"/>
          <w:lang w:val="en-US" w:eastAsia="zh-CN"/>
          <w14:textFill>
            <w14:solidFill>
              <w14:schemeClr w14:val="tx1"/>
            </w14:solidFill>
          </w14:textFill>
        </w:rPr>
        <w:t>进行离心脱水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，此过程会产生脱水废水W2。</w:t>
      </w:r>
    </w:p>
    <w:p w14:paraId="5BB48881">
      <w:pPr>
        <w:spacing w:before="65" w:line="360" w:lineRule="auto"/>
        <w:ind w:firstLine="472" w:firstLineChars="200"/>
        <w:jc w:val="both"/>
        <w:rPr>
          <w:rFonts w:hint="default" w:ascii="Times New Roman" w:hAnsi="Times New Roman" w:cs="Times New Roman"/>
          <w:b/>
          <w:bCs/>
          <w:color w:val="000000" w:themeColor="text1"/>
          <w:spacing w:val="-4"/>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分选：脱水后的物料进入四吸风选机进行分选，此过程会产生固体杂质S1，分选后的产品包装入库。</w:t>
      </w:r>
    </w:p>
    <w:p w14:paraId="6CB0FD60">
      <w:pPr>
        <w:numPr>
          <w:ilvl w:val="0"/>
          <w:numId w:val="0"/>
        </w:numPr>
        <w:spacing w:before="1" w:line="222" w:lineRule="auto"/>
        <w:ind w:leftChars="0" w:firstLine="466" w:firstLineChars="200"/>
        <w:outlineLvl w:val="4"/>
        <w:rPr>
          <w:rFonts w:hint="default" w:ascii="Times New Roman" w:hAnsi="Times New Roman" w:cs="Times New Roman"/>
          <w:b/>
          <w:bCs/>
          <w:color w:val="000000" w:themeColor="text1"/>
          <w:spacing w:val="-4"/>
          <w:sz w:val="24"/>
          <w:szCs w:val="24"/>
          <w:lang w:val="en-US" w:eastAsia="zh-CN"/>
          <w14:textFill>
            <w14:solidFill>
              <w14:schemeClr w14:val="tx1"/>
            </w14:solidFill>
          </w14:textFill>
        </w:rPr>
      </w:pPr>
      <w:r>
        <w:rPr>
          <w:rFonts w:hint="eastAsia" w:cs="Times New Roman"/>
          <w:b/>
          <w:bCs/>
          <w:color w:val="000000" w:themeColor="text1"/>
          <w:spacing w:val="-4"/>
          <w:sz w:val="24"/>
          <w:szCs w:val="24"/>
          <w:lang w:val="en-US" w:eastAsia="zh-CN"/>
          <w14:textFill>
            <w14:solidFill>
              <w14:schemeClr w14:val="tx1"/>
            </w14:solidFill>
          </w14:textFill>
        </w:rPr>
        <w:t>4、</w:t>
      </w:r>
      <w:r>
        <w:rPr>
          <w:rFonts w:hint="default" w:ascii="Times New Roman" w:hAnsi="Times New Roman" w:cs="Times New Roman"/>
          <w:b/>
          <w:bCs/>
          <w:color w:val="000000" w:themeColor="text1"/>
          <w:spacing w:val="-4"/>
          <w:sz w:val="24"/>
          <w:szCs w:val="24"/>
          <w:lang w:val="en-US" w:eastAsia="zh-CN"/>
          <w14:textFill>
            <w14:solidFill>
              <w14:schemeClr w14:val="tx1"/>
            </w14:solidFill>
          </w14:textFill>
        </w:rPr>
        <w:t>改性塑料粒子生产工艺流程：</w:t>
      </w:r>
    </w:p>
    <w:p w14:paraId="70BE4BFA">
      <w:pPr>
        <w:spacing w:before="202" w:line="228" w:lineRule="auto"/>
        <w:jc w:val="center"/>
        <w:rPr>
          <w:rFonts w:hint="default" w:ascii="Times New Roman" w:hAnsi="Times New Roman" w:eastAsia="宋体" w:cs="Times New Roman"/>
          <w:b/>
          <w:bCs/>
          <w:color w:val="000000" w:themeColor="text1"/>
          <w:spacing w:val="6"/>
          <w:sz w:val="20"/>
          <w:szCs w:val="20"/>
          <w14:textFill>
            <w14:solidFill>
              <w14:schemeClr w14:val="tx1"/>
            </w14:solidFill>
          </w14:textFill>
        </w:rPr>
      </w:pPr>
      <w:r>
        <w:rPr>
          <w:color w:val="000000" w:themeColor="text1"/>
          <w14:textFill>
            <w14:solidFill>
              <w14:schemeClr w14:val="tx1"/>
            </w14:solidFill>
          </w14:textFill>
        </w:rPr>
        <w:drawing>
          <wp:inline distT="0" distB="0" distL="114300" distR="114300">
            <wp:extent cx="1956435" cy="2752090"/>
            <wp:effectExtent l="0" t="0" r="5715" b="10160"/>
            <wp:docPr id="34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15"/>
                    <pic:cNvPicPr>
                      <a:picLocks noChangeAspect="1"/>
                    </pic:cNvPicPr>
                  </pic:nvPicPr>
                  <pic:blipFill>
                    <a:blip r:embed="rId38"/>
                    <a:stretch>
                      <a:fillRect/>
                    </a:stretch>
                  </pic:blipFill>
                  <pic:spPr>
                    <a:xfrm>
                      <a:off x="0" y="0"/>
                      <a:ext cx="1956435" cy="2752090"/>
                    </a:xfrm>
                    <a:prstGeom prst="rect">
                      <a:avLst/>
                    </a:prstGeom>
                    <a:noFill/>
                    <a:ln>
                      <a:noFill/>
                    </a:ln>
                  </pic:spPr>
                </pic:pic>
              </a:graphicData>
            </a:graphic>
          </wp:inline>
        </w:drawing>
      </w:r>
    </w:p>
    <w:p w14:paraId="5A4A66FA">
      <w:pPr>
        <w:spacing w:before="202" w:line="228" w:lineRule="auto"/>
        <w:jc w:val="center"/>
        <w:rPr>
          <w:rFonts w:hint="default" w:ascii="Times New Roman" w:hAnsi="Times New Roman" w:eastAsia="宋体" w:cs="Times New Roman"/>
          <w:color w:val="000000" w:themeColor="text1"/>
          <w:sz w:val="20"/>
          <w:szCs w:val="20"/>
          <w14:textFill>
            <w14:solidFill>
              <w14:schemeClr w14:val="tx1"/>
            </w14:solidFill>
          </w14:textFill>
        </w:rPr>
      </w:pPr>
      <w:r>
        <w:rPr>
          <w:rFonts w:hint="default" w:ascii="Times New Roman" w:hAnsi="Times New Roman" w:eastAsia="黑体" w:cs="Times New Roman"/>
          <w:b w:val="0"/>
          <w:bCs w:val="0"/>
          <w:color w:val="000000" w:themeColor="text1"/>
          <w:spacing w:val="6"/>
          <w:sz w:val="24"/>
          <w:szCs w:val="24"/>
          <w14:textFill>
            <w14:solidFill>
              <w14:schemeClr w14:val="tx1"/>
            </w14:solidFill>
          </w14:textFill>
        </w:rPr>
        <w:t>图</w:t>
      </w:r>
      <w:r>
        <w:rPr>
          <w:rFonts w:hint="default" w:ascii="Times New Roman" w:hAnsi="Times New Roman" w:eastAsia="黑体" w:cs="Times New Roman"/>
          <w:b w:val="0"/>
          <w:bCs w:val="0"/>
          <w:color w:val="000000" w:themeColor="text1"/>
          <w:spacing w:val="-41"/>
          <w:sz w:val="24"/>
          <w:szCs w:val="24"/>
          <w14:textFill>
            <w14:solidFill>
              <w14:schemeClr w14:val="tx1"/>
            </w14:solidFill>
          </w14:textFill>
        </w:rPr>
        <w:t xml:space="preserve"> </w:t>
      </w:r>
      <w:r>
        <w:rPr>
          <w:rFonts w:hint="default" w:ascii="Times New Roman" w:hAnsi="Times New Roman" w:eastAsia="黑体" w:cs="Times New Roman"/>
          <w:b w:val="0"/>
          <w:bCs w:val="0"/>
          <w:color w:val="000000" w:themeColor="text1"/>
          <w:spacing w:val="6"/>
          <w:sz w:val="24"/>
          <w:szCs w:val="24"/>
          <w14:textFill>
            <w14:solidFill>
              <w14:schemeClr w14:val="tx1"/>
            </w14:solidFill>
          </w14:textFill>
        </w:rPr>
        <w:t>3.2-</w:t>
      </w:r>
      <w:r>
        <w:rPr>
          <w:rFonts w:hint="default" w:ascii="Times New Roman" w:hAnsi="Times New Roman" w:eastAsia="黑体" w:cs="Times New Roman"/>
          <w:b w:val="0"/>
          <w:bCs w:val="0"/>
          <w:color w:val="000000" w:themeColor="text1"/>
          <w:spacing w:val="6"/>
          <w:sz w:val="24"/>
          <w:szCs w:val="24"/>
          <w:lang w:val="en-US" w:eastAsia="zh-CN"/>
          <w14:textFill>
            <w14:solidFill>
              <w14:schemeClr w14:val="tx1"/>
            </w14:solidFill>
          </w14:textFill>
        </w:rPr>
        <w:t>4</w:t>
      </w:r>
      <w:r>
        <w:rPr>
          <w:rFonts w:hint="default" w:ascii="Times New Roman" w:hAnsi="Times New Roman" w:eastAsia="黑体" w:cs="Times New Roman"/>
          <w:b w:val="0"/>
          <w:bCs w:val="0"/>
          <w:color w:val="000000" w:themeColor="text1"/>
          <w:spacing w:val="6"/>
          <w:sz w:val="24"/>
          <w:szCs w:val="24"/>
          <w14:textFill>
            <w14:solidFill>
              <w14:schemeClr w14:val="tx1"/>
            </w14:solidFill>
          </w14:textFill>
        </w:rPr>
        <w:t xml:space="preserve"> </w:t>
      </w:r>
      <w:r>
        <w:rPr>
          <w:rFonts w:hint="default" w:ascii="Times New Roman" w:hAnsi="Times New Roman" w:eastAsia="黑体" w:cs="Times New Roman"/>
          <w:b w:val="0"/>
          <w:bCs w:val="0"/>
          <w:color w:val="000000" w:themeColor="text1"/>
          <w:sz w:val="24"/>
          <w:szCs w:val="24"/>
          <w:lang w:eastAsia="zh-CN"/>
          <w14:textFill>
            <w14:solidFill>
              <w14:schemeClr w14:val="tx1"/>
            </w14:solidFill>
          </w14:textFill>
        </w:rPr>
        <w:t>改性粒子</w:t>
      </w:r>
      <w:r>
        <w:rPr>
          <w:rFonts w:hint="default" w:ascii="Times New Roman" w:hAnsi="Times New Roman" w:eastAsia="黑体" w:cs="Times New Roman"/>
          <w:b w:val="0"/>
          <w:bCs w:val="0"/>
          <w:color w:val="000000" w:themeColor="text1"/>
          <w:spacing w:val="6"/>
          <w:sz w:val="24"/>
          <w:szCs w:val="24"/>
          <w14:textFill>
            <w14:solidFill>
              <w14:schemeClr w14:val="tx1"/>
            </w14:solidFill>
          </w14:textFill>
        </w:rPr>
        <w:t>生产工艺流程及产污节点图</w:t>
      </w:r>
    </w:p>
    <w:p w14:paraId="33983CB7">
      <w:pPr>
        <w:spacing w:before="275" w:line="219" w:lineRule="auto"/>
        <w:ind w:left="484"/>
        <w:rPr>
          <w:rFonts w:hint="eastAsia" w:cs="Times New Roman"/>
          <w:b/>
          <w:bCs/>
          <w:color w:val="000000" w:themeColor="text1"/>
          <w:spacing w:val="-4"/>
          <w:sz w:val="24"/>
          <w:szCs w:val="24"/>
          <w:lang w:eastAsia="zh-CN"/>
          <w14:textFill>
            <w14:solidFill>
              <w14:schemeClr w14:val="tx1"/>
            </w14:solidFill>
          </w14:textFill>
        </w:rPr>
      </w:pPr>
      <w:r>
        <w:rPr>
          <w:rFonts w:hint="default" w:ascii="Times New Roman" w:hAnsi="Times New Roman" w:eastAsia="宋体" w:cs="Times New Roman"/>
          <w:b/>
          <w:bCs/>
          <w:color w:val="000000" w:themeColor="text1"/>
          <w:spacing w:val="-4"/>
          <w:sz w:val="24"/>
          <w:szCs w:val="24"/>
          <w14:textFill>
            <w14:solidFill>
              <w14:schemeClr w14:val="tx1"/>
            </w14:solidFill>
          </w14:textFill>
        </w:rPr>
        <w:t>工艺流程说明</w:t>
      </w:r>
      <w:r>
        <w:rPr>
          <w:rFonts w:hint="eastAsia" w:cs="Times New Roman"/>
          <w:b/>
          <w:bCs/>
          <w:color w:val="000000" w:themeColor="text1"/>
          <w:spacing w:val="-4"/>
          <w:sz w:val="24"/>
          <w:szCs w:val="24"/>
          <w:lang w:eastAsia="zh-CN"/>
          <w14:textFill>
            <w14:solidFill>
              <w14:schemeClr w14:val="tx1"/>
            </w14:solidFill>
          </w14:textFill>
        </w:rPr>
        <w:t>：</w:t>
      </w:r>
    </w:p>
    <w:p w14:paraId="021693A3">
      <w:pPr>
        <w:spacing w:before="65" w:line="360" w:lineRule="auto"/>
        <w:ind w:firstLine="472" w:firstLineChars="200"/>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混料：将PET瓶片生产线分选出的PET瓶片与外购的PET颗粒（新料）通</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过全自动喂料机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送入混料釜按99:1混合</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进行物理改性</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（塑料共混改性指在一种树脂中掺入一种或多种其他树脂（包括塑料和橡胶），从而达到改变原有树脂性能的一种改性方法）</w:t>
      </w:r>
    </w:p>
    <w:p w14:paraId="73049F00">
      <w:pPr>
        <w:spacing w:before="65" w:line="360" w:lineRule="auto"/>
        <w:ind w:firstLine="472" w:firstLineChars="200"/>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熔融</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挤出：将</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混合后的物料</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输送至螺杆挤出机，在挤出机中塑料融化后利用螺杆的推力连续不断地将熔融料从模口挤出进行挤出加工</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挤出加热釆用电加热方式，塑料挤出温度控制在260℃~280℃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（PET分解温度为360℃），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物料加热时间控制在5~8min。挤出机温度控制一般分为输送段、熔融段、均化段，其中输送段温度控制在接近塑料熔点温度，熔融段温度控制在略高于塑料熔点温度，均化段温度控制在略高于熔融段温度，挤出机机筒各段温度均大大低于塑料分解温度。此工段密闭，挤出过程中</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会</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产生少量</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有机废气</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G</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p w14:paraId="62079342">
      <w:pPr>
        <w:spacing w:before="65" w:line="360" w:lineRule="auto"/>
        <w:ind w:firstLine="472" w:firstLineChars="200"/>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冷却：挤出机挤出的熔融料呈圆柱条形，直径约为3mm~5mm，经牵引送入冷却水槽内冷却。项目采用浸泡方式</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直接</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冷却，配套1个冷却水槽（10m×0.4m×0.4m）。冷却水槽内冷却水循环使用，每天人工补充蒸发损耗量即可</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p>
    <w:p w14:paraId="1478776A">
      <w:pPr>
        <w:spacing w:before="65" w:line="360" w:lineRule="auto"/>
        <w:ind w:firstLine="472" w:firstLineChars="200"/>
        <w:jc w:val="both"/>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切粒：出冷却水槽的塑条，直接进入切粒机切粒处理得到客户需要的尺寸（5mm~8mm），</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包装入库</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。由于塑条出水温度约为80℃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塑条为软条状，未完全硬化，切粒过程中无粉尘产生；出冷却水槽的塑条，表面沾有少量水经冷却水槽设备配套的导流槽回流至冷却水槽，循环使用</w:t>
      </w:r>
      <w:r>
        <w:rPr>
          <w:rFonts w:hint="eastAsia" w:cs="Times New Roman"/>
          <w:color w:val="000000" w:themeColor="text1"/>
          <w:sz w:val="24"/>
          <w:szCs w:val="24"/>
          <w:lang w:val="en-US" w:eastAsia="zh-CN"/>
          <w14:textFill>
            <w14:solidFill>
              <w14:schemeClr w14:val="tx1"/>
            </w14:solidFill>
          </w14:textFill>
        </w:rPr>
        <w:t>，</w:t>
      </w:r>
      <w:r>
        <w:rPr>
          <w:rFonts w:hint="eastAsia" w:cs="Times New Roman"/>
          <w:color w:val="000000" w:themeColor="text1"/>
          <w:sz w:val="24"/>
          <w:lang w:eastAsia="zh-CN"/>
          <w14:textFill>
            <w14:solidFill>
              <w14:schemeClr w14:val="tx1"/>
            </w14:solidFill>
          </w14:textFill>
        </w:rPr>
        <w:t>定期外排水用于物料清洗</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p w14:paraId="41D2B368">
      <w:pPr>
        <w:pStyle w:val="34"/>
        <w:spacing w:after="0"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表3.2-1运营期主要污染工序</w:t>
      </w:r>
      <w:r>
        <w:rPr>
          <w:rFonts w:hint="default" w:ascii="Times New Roman" w:hAnsi="Times New Roman" w:eastAsia="黑体" w:cs="Times New Roman"/>
          <w:bCs/>
          <w:color w:val="000000" w:themeColor="text1"/>
          <w:sz w:val="24"/>
          <w:lang w:eastAsia="zh-CN"/>
          <w14:textFill>
            <w14:solidFill>
              <w14:schemeClr w14:val="tx1"/>
            </w14:solidFill>
          </w14:textFill>
        </w:rPr>
        <w:t>产污</w:t>
      </w:r>
      <w:r>
        <w:rPr>
          <w:rFonts w:hint="default" w:ascii="Times New Roman" w:hAnsi="Times New Roman" w:eastAsia="黑体" w:cs="Times New Roman"/>
          <w:bCs/>
          <w:color w:val="000000" w:themeColor="text1"/>
          <w:sz w:val="24"/>
          <w14:textFill>
            <w14:solidFill>
              <w14:schemeClr w14:val="tx1"/>
            </w14:solidFill>
          </w14:textFill>
        </w:rPr>
        <w:t>一览表</w:t>
      </w:r>
    </w:p>
    <w:tbl>
      <w:tblPr>
        <w:tblStyle w:val="4092"/>
        <w:tblW w:w="508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24"/>
        <w:gridCol w:w="2678"/>
        <w:gridCol w:w="2004"/>
        <w:gridCol w:w="2645"/>
      </w:tblGrid>
      <w:tr w14:paraId="4A6C4B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tcBorders>
              <w:top w:val="single" w:color="000000" w:sz="12" w:space="0"/>
              <w:left w:val="nil"/>
              <w:bottom w:val="single" w:color="000000" w:sz="2" w:space="0"/>
            </w:tcBorders>
            <w:vAlign w:val="center"/>
          </w:tcPr>
          <w:p w14:paraId="6022EDCD">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bookmarkStart w:id="53" w:name="_Toc173837650"/>
            <w:r>
              <w:rPr>
                <w:rFonts w:hint="default" w:ascii="Times New Roman" w:hAnsi="Times New Roman" w:cs="Times New Roman"/>
                <w:color w:val="000000" w:themeColor="text1"/>
                <w:spacing w:val="0"/>
                <w:sz w:val="21"/>
                <w:szCs w:val="21"/>
                <w14:textFill>
                  <w14:solidFill>
                    <w14:schemeClr w14:val="tx1"/>
                  </w14:solidFill>
                </w14:textFill>
              </w:rPr>
              <w:t>污染类别</w:t>
            </w:r>
          </w:p>
        </w:tc>
        <w:tc>
          <w:tcPr>
            <w:tcW w:w="1584" w:type="pct"/>
            <w:tcBorders>
              <w:top w:val="single" w:color="000000" w:sz="12" w:space="0"/>
              <w:bottom w:val="single" w:color="000000" w:sz="2" w:space="0"/>
            </w:tcBorders>
            <w:vAlign w:val="center"/>
          </w:tcPr>
          <w:p w14:paraId="28D6EB70">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产生环节</w:t>
            </w:r>
          </w:p>
        </w:tc>
        <w:tc>
          <w:tcPr>
            <w:tcW w:w="1185" w:type="pct"/>
            <w:tcBorders>
              <w:top w:val="single" w:color="000000" w:sz="12" w:space="0"/>
              <w:bottom w:val="single" w:color="000000" w:sz="2" w:space="0"/>
            </w:tcBorders>
            <w:vAlign w:val="center"/>
          </w:tcPr>
          <w:p w14:paraId="4A8D2C06">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污染源名称</w:t>
            </w:r>
          </w:p>
        </w:tc>
        <w:tc>
          <w:tcPr>
            <w:tcW w:w="1564" w:type="pct"/>
            <w:tcBorders>
              <w:top w:val="single" w:color="000000" w:sz="12" w:space="0"/>
              <w:bottom w:val="single" w:color="000000" w:sz="2" w:space="0"/>
              <w:right w:val="nil"/>
            </w:tcBorders>
            <w:vAlign w:val="center"/>
          </w:tcPr>
          <w:p w14:paraId="6727ED4D">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主要污染因子</w:t>
            </w:r>
          </w:p>
        </w:tc>
      </w:tr>
      <w:tr w14:paraId="545618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restart"/>
            <w:tcBorders>
              <w:top w:val="single" w:color="000000" w:sz="2" w:space="0"/>
              <w:left w:val="nil"/>
              <w:bottom w:val="single" w:color="000000" w:sz="2" w:space="0"/>
            </w:tcBorders>
            <w:vAlign w:val="center"/>
          </w:tcPr>
          <w:p w14:paraId="3397FAA4">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废气</w:t>
            </w:r>
          </w:p>
        </w:tc>
        <w:tc>
          <w:tcPr>
            <w:tcW w:w="1584" w:type="pct"/>
            <w:tcBorders>
              <w:top w:val="single" w:color="000000" w:sz="2" w:space="0"/>
              <w:bottom w:val="single" w:color="000000" w:sz="2" w:space="0"/>
            </w:tcBorders>
            <w:vAlign w:val="center"/>
          </w:tcPr>
          <w:p w14:paraId="63B53CA5">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PET改性粒子熔融挤出过程</w:t>
            </w:r>
          </w:p>
        </w:tc>
        <w:tc>
          <w:tcPr>
            <w:tcW w:w="1185" w:type="pct"/>
            <w:vMerge w:val="restart"/>
            <w:tcBorders>
              <w:top w:val="single" w:color="000000" w:sz="2" w:space="0"/>
              <w:bottom w:val="single" w:color="000000" w:sz="2" w:space="0"/>
            </w:tcBorders>
            <w:vAlign w:val="center"/>
          </w:tcPr>
          <w:p w14:paraId="767EC871">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有机废气</w:t>
            </w:r>
          </w:p>
        </w:tc>
        <w:tc>
          <w:tcPr>
            <w:tcW w:w="1564" w:type="pct"/>
            <w:vMerge w:val="restart"/>
            <w:tcBorders>
              <w:top w:val="single" w:color="000000" w:sz="2" w:space="0"/>
              <w:bottom w:val="single" w:color="000000" w:sz="2" w:space="0"/>
              <w:right w:val="nil"/>
            </w:tcBorders>
            <w:vAlign w:val="center"/>
          </w:tcPr>
          <w:p w14:paraId="59566384">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非甲烷总烃</w:t>
            </w:r>
          </w:p>
        </w:tc>
      </w:tr>
      <w:tr w14:paraId="05A0F2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2" w:space="0"/>
            </w:tcBorders>
            <w:vAlign w:val="center"/>
          </w:tcPr>
          <w:p w14:paraId="192FE480">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tcBorders>
              <w:top w:val="single" w:color="000000" w:sz="2" w:space="0"/>
              <w:bottom w:val="single" w:color="000000" w:sz="2" w:space="0"/>
            </w:tcBorders>
            <w:vAlign w:val="center"/>
          </w:tcPr>
          <w:p w14:paraId="5A5362BF">
            <w:pPr>
              <w:spacing w:line="240"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eastAsia" w:cs="Times New Roman"/>
                <w:color w:val="000000" w:themeColor="text1"/>
                <w:spacing w:val="0"/>
                <w:sz w:val="21"/>
                <w:szCs w:val="21"/>
                <w:lang w:eastAsia="zh-CN"/>
                <w14:textFill>
                  <w14:solidFill>
                    <w14:schemeClr w14:val="tx1"/>
                  </w14:solidFill>
                </w14:textFill>
              </w:rPr>
              <w:t>废</w:t>
            </w:r>
            <w:r>
              <w:rPr>
                <w:rFonts w:hint="default" w:ascii="Times New Roman" w:hAnsi="Times New Roman" w:cs="Times New Roman"/>
                <w:color w:val="000000" w:themeColor="text1"/>
                <w:spacing w:val="0"/>
                <w:sz w:val="21"/>
                <w:szCs w:val="21"/>
                <w:lang w:eastAsia="zh-CN"/>
                <w14:textFill>
                  <w14:solidFill>
                    <w14:schemeClr w14:val="tx1"/>
                  </w14:solidFill>
                </w14:textFill>
              </w:rPr>
              <w:t>标签纸生产线</w:t>
            </w:r>
            <w:r>
              <w:rPr>
                <w:rFonts w:hint="eastAsia" w:cs="Times New Roman"/>
                <w:color w:val="000000" w:themeColor="text1"/>
                <w:spacing w:val="0"/>
                <w:sz w:val="21"/>
                <w:szCs w:val="21"/>
                <w:lang w:eastAsia="zh-CN"/>
                <w14:textFill>
                  <w14:solidFill>
                    <w14:schemeClr w14:val="tx1"/>
                  </w14:solidFill>
                </w14:textFill>
              </w:rPr>
              <w:t>高温分选</w:t>
            </w:r>
            <w:r>
              <w:rPr>
                <w:rFonts w:hint="default" w:ascii="Times New Roman" w:hAnsi="Times New Roman" w:cs="Times New Roman"/>
                <w:color w:val="000000" w:themeColor="text1"/>
                <w:spacing w:val="0"/>
                <w:sz w:val="21"/>
                <w:szCs w:val="21"/>
                <w:lang w:eastAsia="zh-CN"/>
                <w14:textFill>
                  <w14:solidFill>
                    <w14:schemeClr w14:val="tx1"/>
                  </w14:solidFill>
                </w14:textFill>
              </w:rPr>
              <w:t>过程</w:t>
            </w:r>
          </w:p>
        </w:tc>
        <w:tc>
          <w:tcPr>
            <w:tcW w:w="1185" w:type="pct"/>
            <w:vMerge w:val="continue"/>
            <w:tcBorders>
              <w:top w:val="single" w:color="000000" w:sz="2" w:space="0"/>
              <w:bottom w:val="single" w:color="000000" w:sz="2" w:space="0"/>
            </w:tcBorders>
            <w:vAlign w:val="center"/>
          </w:tcPr>
          <w:p w14:paraId="7E6D0974">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64" w:type="pct"/>
            <w:vMerge w:val="continue"/>
            <w:tcBorders>
              <w:top w:val="single" w:color="000000" w:sz="2" w:space="0"/>
              <w:bottom w:val="single" w:color="000000" w:sz="2" w:space="0"/>
              <w:right w:val="nil"/>
            </w:tcBorders>
            <w:vAlign w:val="center"/>
          </w:tcPr>
          <w:p w14:paraId="718C1EB5">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r>
      <w:tr w14:paraId="7A0979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2" w:space="0"/>
            </w:tcBorders>
            <w:vAlign w:val="center"/>
          </w:tcPr>
          <w:p w14:paraId="76A6677F">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tcBorders>
              <w:top w:val="single" w:color="000000" w:sz="2" w:space="0"/>
              <w:bottom w:val="single" w:color="000000" w:sz="2" w:space="0"/>
            </w:tcBorders>
            <w:vAlign w:val="center"/>
          </w:tcPr>
          <w:p w14:paraId="203E6729">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瓶片清洗拆包过程</w:t>
            </w:r>
          </w:p>
        </w:tc>
        <w:tc>
          <w:tcPr>
            <w:tcW w:w="1185" w:type="pct"/>
            <w:tcBorders>
              <w:top w:val="single" w:color="000000" w:sz="2" w:space="0"/>
              <w:bottom w:val="single" w:color="000000" w:sz="2" w:space="0"/>
            </w:tcBorders>
            <w:vAlign w:val="center"/>
          </w:tcPr>
          <w:p w14:paraId="316EF5A0">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粉尘</w:t>
            </w:r>
          </w:p>
        </w:tc>
        <w:tc>
          <w:tcPr>
            <w:tcW w:w="1564" w:type="pct"/>
            <w:vMerge w:val="restart"/>
            <w:tcBorders>
              <w:top w:val="single" w:color="000000" w:sz="2" w:space="0"/>
              <w:bottom w:val="single" w:color="000000" w:sz="2" w:space="0"/>
              <w:right w:val="nil"/>
            </w:tcBorders>
            <w:vAlign w:val="center"/>
          </w:tcPr>
          <w:p w14:paraId="2E2A15BD">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颗粒物</w:t>
            </w:r>
          </w:p>
        </w:tc>
      </w:tr>
      <w:tr w14:paraId="5EF50C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2" w:space="0"/>
            </w:tcBorders>
            <w:vAlign w:val="center"/>
          </w:tcPr>
          <w:p w14:paraId="74435B9B">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tcBorders>
              <w:top w:val="single" w:color="000000" w:sz="2" w:space="0"/>
              <w:bottom w:val="single" w:color="000000" w:sz="2" w:space="0"/>
            </w:tcBorders>
            <w:vAlign w:val="center"/>
          </w:tcPr>
          <w:p w14:paraId="2B76A5C6">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标签纸</w:t>
            </w:r>
            <w:r>
              <w:rPr>
                <w:rFonts w:hint="default" w:ascii="Times New Roman" w:hAnsi="Times New Roman" w:cs="Times New Roman"/>
                <w:color w:val="000000" w:themeColor="text1"/>
                <w:spacing w:val="0"/>
                <w:sz w:val="21"/>
                <w:szCs w:val="21"/>
                <w14:textFill>
                  <w14:solidFill>
                    <w14:schemeClr w14:val="tx1"/>
                  </w14:solidFill>
                </w14:textFill>
              </w:rPr>
              <w:t>拆包过程</w:t>
            </w:r>
          </w:p>
        </w:tc>
        <w:tc>
          <w:tcPr>
            <w:tcW w:w="1185" w:type="pct"/>
            <w:tcBorders>
              <w:top w:val="single" w:color="000000" w:sz="2" w:space="0"/>
              <w:bottom w:val="single" w:color="000000" w:sz="2" w:space="0"/>
            </w:tcBorders>
            <w:vAlign w:val="center"/>
          </w:tcPr>
          <w:p w14:paraId="503D95E4">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粉尘</w:t>
            </w:r>
          </w:p>
        </w:tc>
        <w:tc>
          <w:tcPr>
            <w:tcW w:w="1564" w:type="pct"/>
            <w:vMerge w:val="continue"/>
            <w:tcBorders>
              <w:top w:val="single" w:color="000000" w:sz="2" w:space="0"/>
              <w:bottom w:val="single" w:color="000000" w:sz="2" w:space="0"/>
              <w:right w:val="nil"/>
            </w:tcBorders>
            <w:vAlign w:val="center"/>
          </w:tcPr>
          <w:p w14:paraId="4F3E692A">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r>
      <w:tr w14:paraId="0E20B1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2" w:space="0"/>
            </w:tcBorders>
            <w:vAlign w:val="center"/>
          </w:tcPr>
          <w:p w14:paraId="50AC19F1">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tcBorders>
              <w:top w:val="single" w:color="000000" w:sz="2" w:space="0"/>
              <w:bottom w:val="single" w:color="000000" w:sz="2" w:space="0"/>
            </w:tcBorders>
            <w:vAlign w:val="center"/>
          </w:tcPr>
          <w:p w14:paraId="773B686B">
            <w:pPr>
              <w:spacing w:line="240"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标签纸磨粉过程</w:t>
            </w:r>
          </w:p>
        </w:tc>
        <w:tc>
          <w:tcPr>
            <w:tcW w:w="1185" w:type="pct"/>
            <w:tcBorders>
              <w:top w:val="single" w:color="000000" w:sz="2" w:space="0"/>
              <w:bottom w:val="single" w:color="000000" w:sz="2" w:space="0"/>
            </w:tcBorders>
            <w:vAlign w:val="center"/>
          </w:tcPr>
          <w:p w14:paraId="2ACB9CA7">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粉尘</w:t>
            </w:r>
          </w:p>
        </w:tc>
        <w:tc>
          <w:tcPr>
            <w:tcW w:w="1564" w:type="pct"/>
            <w:vMerge w:val="continue"/>
            <w:tcBorders>
              <w:top w:val="single" w:color="000000" w:sz="2" w:space="0"/>
              <w:bottom w:val="single" w:color="000000" w:sz="2" w:space="0"/>
              <w:right w:val="nil"/>
            </w:tcBorders>
            <w:vAlign w:val="center"/>
          </w:tcPr>
          <w:p w14:paraId="704F9D36">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r>
      <w:tr w14:paraId="287462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2" w:space="0"/>
            </w:tcBorders>
            <w:vAlign w:val="center"/>
          </w:tcPr>
          <w:p w14:paraId="001D3A68">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tcBorders>
              <w:top w:val="single" w:color="000000" w:sz="2" w:space="0"/>
              <w:bottom w:val="single" w:color="000000" w:sz="2" w:space="0"/>
            </w:tcBorders>
            <w:vAlign w:val="center"/>
          </w:tcPr>
          <w:p w14:paraId="10CE182B">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污水处理站</w:t>
            </w:r>
          </w:p>
        </w:tc>
        <w:tc>
          <w:tcPr>
            <w:tcW w:w="1185" w:type="pct"/>
            <w:tcBorders>
              <w:top w:val="single" w:color="000000" w:sz="2" w:space="0"/>
              <w:bottom w:val="single" w:color="000000" w:sz="2" w:space="0"/>
            </w:tcBorders>
            <w:vAlign w:val="center"/>
          </w:tcPr>
          <w:p w14:paraId="48880BA3">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恶臭</w:t>
            </w:r>
          </w:p>
        </w:tc>
        <w:tc>
          <w:tcPr>
            <w:tcW w:w="1564" w:type="pct"/>
            <w:tcBorders>
              <w:top w:val="single" w:color="000000" w:sz="2" w:space="0"/>
              <w:bottom w:val="single" w:color="000000" w:sz="2" w:space="0"/>
              <w:right w:val="nil"/>
            </w:tcBorders>
            <w:vAlign w:val="center"/>
          </w:tcPr>
          <w:p w14:paraId="66EB03AB">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NH</w:t>
            </w:r>
            <w:r>
              <w:rPr>
                <w:rFonts w:hint="default" w:ascii="Times New Roman" w:hAnsi="Times New Roman" w:cs="Times New Roman"/>
                <w:color w:val="000000" w:themeColor="text1"/>
                <w:spacing w:val="0"/>
                <w:sz w:val="21"/>
                <w:szCs w:val="21"/>
                <w:vertAlign w:val="sub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、H</w:t>
            </w:r>
            <w:r>
              <w:rPr>
                <w:rFonts w:hint="default" w:ascii="Times New Roman" w:hAnsi="Times New Roman" w:cs="Times New Roman"/>
                <w:color w:val="000000" w:themeColor="text1"/>
                <w:spacing w:val="0"/>
                <w:sz w:val="21"/>
                <w:szCs w:val="21"/>
                <w:vertAlign w:val="subscript"/>
                <w14:textFill>
                  <w14:solidFill>
                    <w14:schemeClr w14:val="tx1"/>
                  </w14:solidFill>
                </w14:textFill>
              </w:rPr>
              <w:t>2</w:t>
            </w:r>
            <w:r>
              <w:rPr>
                <w:rFonts w:hint="default" w:ascii="Times New Roman" w:hAnsi="Times New Roman" w:cs="Times New Roman"/>
                <w:color w:val="000000" w:themeColor="text1"/>
                <w:spacing w:val="0"/>
                <w:sz w:val="21"/>
                <w:szCs w:val="21"/>
                <w14:textFill>
                  <w14:solidFill>
                    <w14:schemeClr w14:val="tx1"/>
                  </w14:solidFill>
                </w14:textFill>
              </w:rPr>
              <w:t>S</w:t>
            </w:r>
          </w:p>
        </w:tc>
      </w:tr>
      <w:tr w14:paraId="4B52E1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restart"/>
            <w:tcBorders>
              <w:top w:val="single" w:color="000000" w:sz="2" w:space="0"/>
              <w:left w:val="nil"/>
              <w:bottom w:val="single" w:color="000000" w:sz="2" w:space="0"/>
            </w:tcBorders>
            <w:vAlign w:val="center"/>
          </w:tcPr>
          <w:p w14:paraId="4C0AA06D">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废水</w:t>
            </w:r>
          </w:p>
        </w:tc>
        <w:tc>
          <w:tcPr>
            <w:tcW w:w="1584" w:type="pct"/>
            <w:tcBorders>
              <w:top w:val="single" w:color="000000" w:sz="2" w:space="0"/>
              <w:bottom w:val="single" w:color="000000" w:sz="2" w:space="0"/>
            </w:tcBorders>
            <w:vAlign w:val="center"/>
          </w:tcPr>
          <w:p w14:paraId="11AD7E42">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日常办公</w:t>
            </w:r>
          </w:p>
        </w:tc>
        <w:tc>
          <w:tcPr>
            <w:tcW w:w="1185" w:type="pct"/>
            <w:tcBorders>
              <w:top w:val="single" w:color="000000" w:sz="2" w:space="0"/>
              <w:bottom w:val="single" w:color="000000" w:sz="2" w:space="0"/>
            </w:tcBorders>
            <w:vAlign w:val="center"/>
          </w:tcPr>
          <w:p w14:paraId="63B35C78">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生活污水</w:t>
            </w:r>
          </w:p>
        </w:tc>
        <w:tc>
          <w:tcPr>
            <w:tcW w:w="1564" w:type="pct"/>
            <w:tcBorders>
              <w:top w:val="single" w:color="000000" w:sz="2" w:space="0"/>
              <w:bottom w:val="single" w:color="000000" w:sz="2" w:space="0"/>
              <w:right w:val="nil"/>
            </w:tcBorders>
            <w:vAlign w:val="center"/>
          </w:tcPr>
          <w:p w14:paraId="6E567FBA">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COD、NH</w:t>
            </w:r>
            <w:r>
              <w:rPr>
                <w:rFonts w:hint="default" w:ascii="Times New Roman" w:hAnsi="Times New Roman" w:cs="Times New Roman"/>
                <w:color w:val="000000" w:themeColor="text1"/>
                <w:spacing w:val="0"/>
                <w:sz w:val="21"/>
                <w:szCs w:val="21"/>
                <w:vertAlign w:val="sub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-N、BOD</w:t>
            </w:r>
            <w:r>
              <w:rPr>
                <w:rFonts w:hint="default" w:ascii="Times New Roman" w:hAnsi="Times New Roman" w:cs="Times New Roman"/>
                <w:color w:val="000000" w:themeColor="text1"/>
                <w:spacing w:val="0"/>
                <w:sz w:val="21"/>
                <w:szCs w:val="21"/>
                <w:vertAlign w:val="subscript"/>
                <w14:textFill>
                  <w14:solidFill>
                    <w14:schemeClr w14:val="tx1"/>
                  </w14:solidFill>
                </w14:textFill>
              </w:rPr>
              <w:t>5</w:t>
            </w:r>
            <w:r>
              <w:rPr>
                <w:rFonts w:hint="default" w:ascii="Times New Roman" w:hAnsi="Times New Roman" w:cs="Times New Roman"/>
                <w:color w:val="000000" w:themeColor="text1"/>
                <w:spacing w:val="0"/>
                <w:sz w:val="21"/>
                <w:szCs w:val="21"/>
                <w14:textFill>
                  <w14:solidFill>
                    <w14:schemeClr w14:val="tx1"/>
                  </w14:solidFill>
                </w14:textFill>
              </w:rPr>
              <w:t>、SS</w:t>
            </w:r>
            <w:r>
              <w:rPr>
                <w:rFonts w:hint="default" w:ascii="Times New Roman" w:hAnsi="Times New Roman" w:cs="Times New Roman"/>
                <w:color w:val="000000" w:themeColor="text1"/>
                <w:spacing w:val="0"/>
                <w:sz w:val="21"/>
                <w:szCs w:val="21"/>
                <w:lang w:eastAsia="zh-CN"/>
                <w14:textFill>
                  <w14:solidFill>
                    <w14:schemeClr w14:val="tx1"/>
                  </w14:solidFill>
                </w14:textFill>
              </w:rPr>
              <w:t>、</w:t>
            </w:r>
            <w:r>
              <w:rPr>
                <w:rFonts w:hint="eastAsia" w:cs="Times New Roman"/>
                <w:color w:val="000000" w:themeColor="text1"/>
                <w:spacing w:val="0"/>
                <w:sz w:val="21"/>
                <w:szCs w:val="21"/>
                <w:lang w:val="en-US" w:eastAsia="zh-CN"/>
                <w14:textFill>
                  <w14:solidFill>
                    <w14:schemeClr w14:val="tx1"/>
                  </w14:solidFill>
                </w14:textFill>
              </w:rPr>
              <w:t>TN、</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TP</w:t>
            </w:r>
            <w:r>
              <w:rPr>
                <w:rFonts w:hint="default" w:ascii="Times New Roman" w:hAnsi="Times New Roman" w:cs="Times New Roman"/>
                <w:color w:val="000000" w:themeColor="text1"/>
                <w:spacing w:val="0"/>
                <w:sz w:val="21"/>
                <w:szCs w:val="21"/>
                <w14:textFill>
                  <w14:solidFill>
                    <w14:schemeClr w14:val="tx1"/>
                  </w14:solidFill>
                </w14:textFill>
              </w:rPr>
              <w:t>等</w:t>
            </w:r>
          </w:p>
        </w:tc>
      </w:tr>
      <w:tr w14:paraId="41D67D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2" w:space="0"/>
            </w:tcBorders>
            <w:vAlign w:val="center"/>
          </w:tcPr>
          <w:p w14:paraId="16A04039">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tcBorders>
              <w:top w:val="single" w:color="000000" w:sz="2" w:space="0"/>
              <w:bottom w:val="single" w:color="000000" w:sz="2" w:space="0"/>
            </w:tcBorders>
            <w:vAlign w:val="center"/>
          </w:tcPr>
          <w:p w14:paraId="3651A81B">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车间</w:t>
            </w:r>
          </w:p>
        </w:tc>
        <w:tc>
          <w:tcPr>
            <w:tcW w:w="1185" w:type="pct"/>
            <w:tcBorders>
              <w:top w:val="single" w:color="000000" w:sz="2" w:space="0"/>
              <w:bottom w:val="single" w:color="000000" w:sz="2" w:space="0"/>
            </w:tcBorders>
            <w:vAlign w:val="center"/>
          </w:tcPr>
          <w:p w14:paraId="56695855">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瓶片清洗</w:t>
            </w:r>
            <w:r>
              <w:rPr>
                <w:rFonts w:hint="default" w:ascii="Times New Roman" w:hAnsi="Times New Roman" w:cs="Times New Roman"/>
                <w:color w:val="000000" w:themeColor="text1"/>
                <w:spacing w:val="0"/>
                <w:sz w:val="21"/>
                <w:szCs w:val="21"/>
                <w:lang w:eastAsia="zh-CN"/>
                <w14:textFill>
                  <w14:solidFill>
                    <w14:schemeClr w14:val="tx1"/>
                  </w14:solidFill>
                </w14:textFill>
              </w:rPr>
              <w:t>脱水</w:t>
            </w:r>
            <w:r>
              <w:rPr>
                <w:rFonts w:hint="default" w:ascii="Times New Roman" w:hAnsi="Times New Roman" w:cs="Times New Roman"/>
                <w:color w:val="000000" w:themeColor="text1"/>
                <w:spacing w:val="0"/>
                <w:sz w:val="21"/>
                <w:szCs w:val="21"/>
                <w14:textFill>
                  <w14:solidFill>
                    <w14:schemeClr w14:val="tx1"/>
                  </w14:solidFill>
                </w14:textFill>
              </w:rPr>
              <w:t>废水</w:t>
            </w:r>
          </w:p>
        </w:tc>
        <w:tc>
          <w:tcPr>
            <w:tcW w:w="1564" w:type="pct"/>
            <w:tcBorders>
              <w:top w:val="single" w:color="000000" w:sz="2" w:space="0"/>
              <w:bottom w:val="single" w:color="000000" w:sz="2" w:space="0"/>
              <w:right w:val="nil"/>
            </w:tcBorders>
            <w:vAlign w:val="center"/>
          </w:tcPr>
          <w:p w14:paraId="6AA6CA21">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COD、NH</w:t>
            </w:r>
            <w:r>
              <w:rPr>
                <w:rFonts w:hint="default" w:ascii="Times New Roman" w:hAnsi="Times New Roman" w:cs="Times New Roman"/>
                <w:color w:val="000000" w:themeColor="text1"/>
                <w:spacing w:val="0"/>
                <w:sz w:val="21"/>
                <w:szCs w:val="21"/>
                <w:vertAlign w:val="sub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-N、BOD</w:t>
            </w:r>
            <w:r>
              <w:rPr>
                <w:rFonts w:hint="default" w:ascii="Times New Roman" w:hAnsi="Times New Roman" w:cs="Times New Roman"/>
                <w:color w:val="000000" w:themeColor="text1"/>
                <w:spacing w:val="0"/>
                <w:sz w:val="21"/>
                <w:szCs w:val="21"/>
                <w:vertAlign w:val="subscript"/>
                <w14:textFill>
                  <w14:solidFill>
                    <w14:schemeClr w14:val="tx1"/>
                  </w14:solidFill>
                </w14:textFill>
              </w:rPr>
              <w:t>5</w:t>
            </w:r>
            <w:r>
              <w:rPr>
                <w:rFonts w:hint="default" w:ascii="Times New Roman" w:hAnsi="Times New Roman" w:cs="Times New Roman"/>
                <w:color w:val="000000" w:themeColor="text1"/>
                <w:spacing w:val="0"/>
                <w:sz w:val="21"/>
                <w:szCs w:val="21"/>
                <w14:textFill>
                  <w14:solidFill>
                    <w14:schemeClr w14:val="tx1"/>
                  </w14:solidFill>
                </w14:textFill>
              </w:rPr>
              <w:t>、SS</w:t>
            </w:r>
            <w:r>
              <w:rPr>
                <w:rFonts w:hint="default" w:ascii="Times New Roman" w:hAnsi="Times New Roman" w:cs="Times New Roman"/>
                <w:color w:val="000000" w:themeColor="text1"/>
                <w:spacing w:val="0"/>
                <w:sz w:val="21"/>
                <w:szCs w:val="21"/>
                <w:lang w:eastAsia="zh-CN"/>
                <w14:textFill>
                  <w14:solidFill>
                    <w14:schemeClr w14:val="tx1"/>
                  </w14:solidFill>
                </w14:textFill>
              </w:rPr>
              <w:t>、</w:t>
            </w:r>
            <w:r>
              <w:rPr>
                <w:rFonts w:hint="eastAsia" w:cs="Times New Roman"/>
                <w:color w:val="000000" w:themeColor="text1"/>
                <w:spacing w:val="0"/>
                <w:sz w:val="21"/>
                <w:szCs w:val="21"/>
                <w:lang w:val="en-US" w:eastAsia="zh-CN"/>
                <w14:textFill>
                  <w14:solidFill>
                    <w14:schemeClr w14:val="tx1"/>
                  </w14:solidFill>
                </w14:textFill>
              </w:rPr>
              <w:t>TN、</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TP</w:t>
            </w:r>
            <w:r>
              <w:rPr>
                <w:rFonts w:hint="default" w:ascii="Times New Roman" w:hAnsi="Times New Roman" w:cs="Times New Roman"/>
                <w:color w:val="000000" w:themeColor="text1"/>
                <w:spacing w:val="0"/>
                <w:sz w:val="21"/>
                <w:szCs w:val="21"/>
                <w14:textFill>
                  <w14:solidFill>
                    <w14:schemeClr w14:val="tx1"/>
                  </w14:solidFill>
                </w14:textFill>
              </w:rPr>
              <w:t>等</w:t>
            </w:r>
          </w:p>
        </w:tc>
      </w:tr>
      <w:tr w14:paraId="3C4C79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2" w:space="0"/>
            </w:tcBorders>
            <w:vAlign w:val="center"/>
          </w:tcPr>
          <w:p w14:paraId="1D2FC5CA">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tcBorders>
              <w:top w:val="single" w:color="000000" w:sz="2" w:space="0"/>
              <w:bottom w:val="single" w:color="000000" w:sz="2" w:space="0"/>
            </w:tcBorders>
            <w:vAlign w:val="center"/>
          </w:tcPr>
          <w:p w14:paraId="2CBA9D55">
            <w:pPr>
              <w:spacing w:line="240"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车间</w:t>
            </w:r>
          </w:p>
        </w:tc>
        <w:tc>
          <w:tcPr>
            <w:tcW w:w="1185" w:type="pct"/>
            <w:tcBorders>
              <w:top w:val="single" w:color="000000" w:sz="2" w:space="0"/>
              <w:bottom w:val="single" w:color="000000" w:sz="2" w:space="0"/>
            </w:tcBorders>
            <w:vAlign w:val="center"/>
          </w:tcPr>
          <w:p w14:paraId="67872C1F">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标签纸</w:t>
            </w:r>
            <w:r>
              <w:rPr>
                <w:rFonts w:hint="default" w:ascii="Times New Roman" w:hAnsi="Times New Roman" w:cs="Times New Roman"/>
                <w:color w:val="000000" w:themeColor="text1"/>
                <w:spacing w:val="0"/>
                <w:sz w:val="21"/>
                <w:szCs w:val="21"/>
                <w14:textFill>
                  <w14:solidFill>
                    <w14:schemeClr w14:val="tx1"/>
                  </w14:solidFill>
                </w14:textFill>
              </w:rPr>
              <w:t>清洗</w:t>
            </w:r>
            <w:r>
              <w:rPr>
                <w:rFonts w:hint="default" w:ascii="Times New Roman" w:hAnsi="Times New Roman" w:cs="Times New Roman"/>
                <w:color w:val="000000" w:themeColor="text1"/>
                <w:spacing w:val="0"/>
                <w:sz w:val="21"/>
                <w:szCs w:val="21"/>
                <w:lang w:eastAsia="zh-CN"/>
                <w14:textFill>
                  <w14:solidFill>
                    <w14:schemeClr w14:val="tx1"/>
                  </w14:solidFill>
                </w14:textFill>
              </w:rPr>
              <w:t>脱水</w:t>
            </w:r>
            <w:r>
              <w:rPr>
                <w:rFonts w:hint="default" w:ascii="Times New Roman" w:hAnsi="Times New Roman" w:cs="Times New Roman"/>
                <w:color w:val="000000" w:themeColor="text1"/>
                <w:spacing w:val="0"/>
                <w:sz w:val="21"/>
                <w:szCs w:val="21"/>
                <w14:textFill>
                  <w14:solidFill>
                    <w14:schemeClr w14:val="tx1"/>
                  </w14:solidFill>
                </w14:textFill>
              </w:rPr>
              <w:t>废水</w:t>
            </w:r>
          </w:p>
        </w:tc>
        <w:tc>
          <w:tcPr>
            <w:tcW w:w="1564" w:type="pct"/>
            <w:tcBorders>
              <w:top w:val="single" w:color="000000" w:sz="2" w:space="0"/>
              <w:bottom w:val="single" w:color="000000" w:sz="2" w:space="0"/>
              <w:right w:val="nil"/>
            </w:tcBorders>
            <w:vAlign w:val="center"/>
          </w:tcPr>
          <w:p w14:paraId="7D99E28C">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COD、NH</w:t>
            </w:r>
            <w:r>
              <w:rPr>
                <w:rFonts w:hint="default" w:ascii="Times New Roman" w:hAnsi="Times New Roman" w:cs="Times New Roman"/>
                <w:color w:val="000000" w:themeColor="text1"/>
                <w:spacing w:val="0"/>
                <w:sz w:val="21"/>
                <w:szCs w:val="21"/>
                <w:vertAlign w:val="sub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-N、BOD</w:t>
            </w:r>
            <w:r>
              <w:rPr>
                <w:rFonts w:hint="default" w:ascii="Times New Roman" w:hAnsi="Times New Roman" w:cs="Times New Roman"/>
                <w:color w:val="000000" w:themeColor="text1"/>
                <w:spacing w:val="0"/>
                <w:sz w:val="21"/>
                <w:szCs w:val="21"/>
                <w:vertAlign w:val="subscript"/>
                <w14:textFill>
                  <w14:solidFill>
                    <w14:schemeClr w14:val="tx1"/>
                  </w14:solidFill>
                </w14:textFill>
              </w:rPr>
              <w:t>5</w:t>
            </w:r>
            <w:r>
              <w:rPr>
                <w:rFonts w:hint="default" w:ascii="Times New Roman" w:hAnsi="Times New Roman" w:cs="Times New Roman"/>
                <w:color w:val="000000" w:themeColor="text1"/>
                <w:spacing w:val="0"/>
                <w:sz w:val="21"/>
                <w:szCs w:val="21"/>
                <w14:textFill>
                  <w14:solidFill>
                    <w14:schemeClr w14:val="tx1"/>
                  </w14:solidFill>
                </w14:textFill>
              </w:rPr>
              <w:t>、SS</w:t>
            </w:r>
            <w:r>
              <w:rPr>
                <w:rFonts w:hint="default" w:ascii="Times New Roman" w:hAnsi="Times New Roman" w:cs="Times New Roman"/>
                <w:color w:val="000000" w:themeColor="text1"/>
                <w:spacing w:val="0"/>
                <w:sz w:val="21"/>
                <w:szCs w:val="21"/>
                <w:lang w:eastAsia="zh-CN"/>
                <w14:textFill>
                  <w14:solidFill>
                    <w14:schemeClr w14:val="tx1"/>
                  </w14:solidFill>
                </w14:textFill>
              </w:rPr>
              <w:t>、</w:t>
            </w:r>
            <w:r>
              <w:rPr>
                <w:rFonts w:hint="eastAsia" w:cs="Times New Roman"/>
                <w:color w:val="000000" w:themeColor="text1"/>
                <w:spacing w:val="0"/>
                <w:sz w:val="21"/>
                <w:szCs w:val="21"/>
                <w:lang w:val="en-US" w:eastAsia="zh-CN"/>
                <w14:textFill>
                  <w14:solidFill>
                    <w14:schemeClr w14:val="tx1"/>
                  </w14:solidFill>
                </w14:textFill>
              </w:rPr>
              <w:t>TN、</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TP</w:t>
            </w:r>
            <w:r>
              <w:rPr>
                <w:rFonts w:hint="default" w:ascii="Times New Roman" w:hAnsi="Times New Roman" w:cs="Times New Roman"/>
                <w:color w:val="000000" w:themeColor="text1"/>
                <w:spacing w:val="0"/>
                <w:sz w:val="21"/>
                <w:szCs w:val="21"/>
                <w14:textFill>
                  <w14:solidFill>
                    <w14:schemeClr w14:val="tx1"/>
                  </w14:solidFill>
                </w14:textFill>
              </w:rPr>
              <w:t>等</w:t>
            </w:r>
          </w:p>
        </w:tc>
      </w:tr>
      <w:tr w14:paraId="37CF32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2" w:space="0"/>
            </w:tcBorders>
            <w:vAlign w:val="center"/>
          </w:tcPr>
          <w:p w14:paraId="7CC109ED">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tcBorders>
              <w:top w:val="single" w:color="000000" w:sz="2" w:space="0"/>
              <w:bottom w:val="single" w:color="000000" w:sz="2" w:space="0"/>
            </w:tcBorders>
            <w:vAlign w:val="center"/>
          </w:tcPr>
          <w:p w14:paraId="493DBAE9">
            <w:pPr>
              <w:spacing w:line="240"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车间</w:t>
            </w:r>
          </w:p>
        </w:tc>
        <w:tc>
          <w:tcPr>
            <w:tcW w:w="1185" w:type="pct"/>
            <w:tcBorders>
              <w:top w:val="single" w:color="000000" w:sz="2" w:space="0"/>
              <w:bottom w:val="single" w:color="000000" w:sz="2" w:space="0"/>
            </w:tcBorders>
            <w:vAlign w:val="center"/>
          </w:tcPr>
          <w:p w14:paraId="50B6FF98">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瓶盖</w:t>
            </w:r>
            <w:r>
              <w:rPr>
                <w:rFonts w:hint="default" w:ascii="Times New Roman" w:hAnsi="Times New Roman" w:cs="Times New Roman"/>
                <w:color w:val="000000" w:themeColor="text1"/>
                <w:spacing w:val="0"/>
                <w:sz w:val="21"/>
                <w:szCs w:val="21"/>
                <w14:textFill>
                  <w14:solidFill>
                    <w14:schemeClr w14:val="tx1"/>
                  </w14:solidFill>
                </w14:textFill>
              </w:rPr>
              <w:t>清洗</w:t>
            </w:r>
            <w:r>
              <w:rPr>
                <w:rFonts w:hint="default" w:ascii="Times New Roman" w:hAnsi="Times New Roman" w:cs="Times New Roman"/>
                <w:color w:val="000000" w:themeColor="text1"/>
                <w:spacing w:val="0"/>
                <w:sz w:val="21"/>
                <w:szCs w:val="21"/>
                <w:lang w:eastAsia="zh-CN"/>
                <w14:textFill>
                  <w14:solidFill>
                    <w14:schemeClr w14:val="tx1"/>
                  </w14:solidFill>
                </w14:textFill>
              </w:rPr>
              <w:t>脱水</w:t>
            </w:r>
            <w:r>
              <w:rPr>
                <w:rFonts w:hint="default" w:ascii="Times New Roman" w:hAnsi="Times New Roman" w:cs="Times New Roman"/>
                <w:color w:val="000000" w:themeColor="text1"/>
                <w:spacing w:val="0"/>
                <w:sz w:val="21"/>
                <w:szCs w:val="21"/>
                <w14:textFill>
                  <w14:solidFill>
                    <w14:schemeClr w14:val="tx1"/>
                  </w14:solidFill>
                </w14:textFill>
              </w:rPr>
              <w:t>废水</w:t>
            </w:r>
          </w:p>
        </w:tc>
        <w:tc>
          <w:tcPr>
            <w:tcW w:w="1564" w:type="pct"/>
            <w:tcBorders>
              <w:top w:val="single" w:color="000000" w:sz="2" w:space="0"/>
              <w:bottom w:val="single" w:color="000000" w:sz="2" w:space="0"/>
              <w:right w:val="nil"/>
            </w:tcBorders>
            <w:vAlign w:val="center"/>
          </w:tcPr>
          <w:p w14:paraId="0126E3C4">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COD、NH</w:t>
            </w:r>
            <w:r>
              <w:rPr>
                <w:rFonts w:hint="default" w:ascii="Times New Roman" w:hAnsi="Times New Roman" w:cs="Times New Roman"/>
                <w:color w:val="000000" w:themeColor="text1"/>
                <w:spacing w:val="0"/>
                <w:sz w:val="21"/>
                <w:szCs w:val="21"/>
                <w:vertAlign w:val="sub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-N、BOD</w:t>
            </w:r>
            <w:r>
              <w:rPr>
                <w:rFonts w:hint="default" w:ascii="Times New Roman" w:hAnsi="Times New Roman" w:cs="Times New Roman"/>
                <w:color w:val="000000" w:themeColor="text1"/>
                <w:spacing w:val="0"/>
                <w:sz w:val="21"/>
                <w:szCs w:val="21"/>
                <w:vertAlign w:val="subscript"/>
                <w14:textFill>
                  <w14:solidFill>
                    <w14:schemeClr w14:val="tx1"/>
                  </w14:solidFill>
                </w14:textFill>
              </w:rPr>
              <w:t>5</w:t>
            </w:r>
            <w:r>
              <w:rPr>
                <w:rFonts w:hint="default" w:ascii="Times New Roman" w:hAnsi="Times New Roman" w:cs="Times New Roman"/>
                <w:color w:val="000000" w:themeColor="text1"/>
                <w:spacing w:val="0"/>
                <w:sz w:val="21"/>
                <w:szCs w:val="21"/>
                <w14:textFill>
                  <w14:solidFill>
                    <w14:schemeClr w14:val="tx1"/>
                  </w14:solidFill>
                </w14:textFill>
              </w:rPr>
              <w:t>、SS</w:t>
            </w:r>
            <w:r>
              <w:rPr>
                <w:rFonts w:hint="default" w:ascii="Times New Roman" w:hAnsi="Times New Roman" w:cs="Times New Roman"/>
                <w:color w:val="000000" w:themeColor="text1"/>
                <w:spacing w:val="0"/>
                <w:sz w:val="21"/>
                <w:szCs w:val="21"/>
                <w:lang w:eastAsia="zh-CN"/>
                <w14:textFill>
                  <w14:solidFill>
                    <w14:schemeClr w14:val="tx1"/>
                  </w14:solidFill>
                </w14:textFill>
              </w:rPr>
              <w:t>、</w:t>
            </w:r>
            <w:r>
              <w:rPr>
                <w:rFonts w:hint="eastAsia" w:cs="Times New Roman"/>
                <w:color w:val="000000" w:themeColor="text1"/>
                <w:spacing w:val="0"/>
                <w:sz w:val="21"/>
                <w:szCs w:val="21"/>
                <w:lang w:val="en-US" w:eastAsia="zh-CN"/>
                <w14:textFill>
                  <w14:solidFill>
                    <w14:schemeClr w14:val="tx1"/>
                  </w14:solidFill>
                </w14:textFill>
              </w:rPr>
              <w:t>TN、</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TP</w:t>
            </w:r>
            <w:r>
              <w:rPr>
                <w:rFonts w:hint="default" w:ascii="Times New Roman" w:hAnsi="Times New Roman" w:cs="Times New Roman"/>
                <w:color w:val="000000" w:themeColor="text1"/>
                <w:spacing w:val="0"/>
                <w:sz w:val="21"/>
                <w:szCs w:val="21"/>
                <w14:textFill>
                  <w14:solidFill>
                    <w14:schemeClr w14:val="tx1"/>
                  </w14:solidFill>
                </w14:textFill>
              </w:rPr>
              <w:t>等</w:t>
            </w:r>
          </w:p>
        </w:tc>
      </w:tr>
      <w:tr w14:paraId="12D8E1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2" w:space="0"/>
            </w:tcBorders>
            <w:vAlign w:val="center"/>
          </w:tcPr>
          <w:p w14:paraId="2D74D686">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tcBorders>
              <w:top w:val="single" w:color="000000" w:sz="2" w:space="0"/>
              <w:bottom w:val="single" w:color="000000" w:sz="2" w:space="0"/>
            </w:tcBorders>
            <w:vAlign w:val="center"/>
          </w:tcPr>
          <w:p w14:paraId="680EB3D8">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车间</w:t>
            </w:r>
          </w:p>
        </w:tc>
        <w:tc>
          <w:tcPr>
            <w:tcW w:w="1185" w:type="pct"/>
            <w:tcBorders>
              <w:top w:val="single" w:color="000000" w:sz="2" w:space="0"/>
              <w:bottom w:val="single" w:color="000000" w:sz="2" w:space="0"/>
            </w:tcBorders>
            <w:vAlign w:val="center"/>
          </w:tcPr>
          <w:p w14:paraId="12AC0C54">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冷却水</w:t>
            </w:r>
          </w:p>
        </w:tc>
        <w:tc>
          <w:tcPr>
            <w:tcW w:w="1564" w:type="pct"/>
            <w:tcBorders>
              <w:top w:val="single" w:color="000000" w:sz="2" w:space="0"/>
              <w:bottom w:val="single" w:color="000000" w:sz="2" w:space="0"/>
              <w:right w:val="nil"/>
            </w:tcBorders>
            <w:vAlign w:val="center"/>
          </w:tcPr>
          <w:p w14:paraId="11A7BD68">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SS</w:t>
            </w:r>
          </w:p>
        </w:tc>
      </w:tr>
      <w:tr w14:paraId="797663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tcBorders>
              <w:top w:val="single" w:color="000000" w:sz="2" w:space="0"/>
              <w:left w:val="nil"/>
              <w:bottom w:val="single" w:color="000000" w:sz="2" w:space="0"/>
            </w:tcBorders>
            <w:vAlign w:val="center"/>
          </w:tcPr>
          <w:p w14:paraId="46071AF6">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噪声</w:t>
            </w:r>
          </w:p>
        </w:tc>
        <w:tc>
          <w:tcPr>
            <w:tcW w:w="1584" w:type="pct"/>
            <w:tcBorders>
              <w:top w:val="single" w:color="000000" w:sz="2" w:space="0"/>
              <w:bottom w:val="single" w:color="000000" w:sz="2" w:space="0"/>
            </w:tcBorders>
            <w:vAlign w:val="center"/>
          </w:tcPr>
          <w:p w14:paraId="61631A97">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车间</w:t>
            </w:r>
          </w:p>
        </w:tc>
        <w:tc>
          <w:tcPr>
            <w:tcW w:w="1185" w:type="pct"/>
            <w:tcBorders>
              <w:top w:val="single" w:color="000000" w:sz="2" w:space="0"/>
              <w:bottom w:val="single" w:color="000000" w:sz="2" w:space="0"/>
            </w:tcBorders>
            <w:vAlign w:val="center"/>
          </w:tcPr>
          <w:p w14:paraId="55AD2047">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设备噪声</w:t>
            </w:r>
          </w:p>
        </w:tc>
        <w:tc>
          <w:tcPr>
            <w:tcW w:w="1564" w:type="pct"/>
            <w:tcBorders>
              <w:top w:val="single" w:color="000000" w:sz="2" w:space="0"/>
              <w:bottom w:val="single" w:color="000000" w:sz="2" w:space="0"/>
              <w:right w:val="nil"/>
            </w:tcBorders>
            <w:vAlign w:val="center"/>
          </w:tcPr>
          <w:p w14:paraId="64D29201">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等效连续A声级</w:t>
            </w:r>
          </w:p>
        </w:tc>
      </w:tr>
      <w:tr w14:paraId="183417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restart"/>
            <w:tcBorders>
              <w:top w:val="single" w:color="000000" w:sz="2" w:space="0"/>
              <w:left w:val="nil"/>
              <w:bottom w:val="single" w:color="000000" w:sz="2" w:space="0"/>
            </w:tcBorders>
            <w:vAlign w:val="center"/>
          </w:tcPr>
          <w:p w14:paraId="7FD6D652">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固废</w:t>
            </w:r>
          </w:p>
        </w:tc>
        <w:tc>
          <w:tcPr>
            <w:tcW w:w="1584" w:type="pct"/>
            <w:tcBorders>
              <w:top w:val="single" w:color="000000" w:sz="2" w:space="0"/>
              <w:bottom w:val="single" w:color="000000" w:sz="2" w:space="0"/>
            </w:tcBorders>
            <w:vAlign w:val="center"/>
          </w:tcPr>
          <w:p w14:paraId="79B87A03">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分选产生的杂质</w:t>
            </w:r>
          </w:p>
        </w:tc>
        <w:tc>
          <w:tcPr>
            <w:tcW w:w="1185" w:type="pct"/>
            <w:tcBorders>
              <w:top w:val="single" w:color="000000" w:sz="2" w:space="0"/>
              <w:bottom w:val="single" w:color="000000" w:sz="2" w:space="0"/>
            </w:tcBorders>
            <w:vAlign w:val="center"/>
          </w:tcPr>
          <w:p w14:paraId="4D51646D">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一般固废</w:t>
            </w:r>
          </w:p>
        </w:tc>
        <w:tc>
          <w:tcPr>
            <w:tcW w:w="1564" w:type="pct"/>
            <w:tcBorders>
              <w:top w:val="single" w:color="000000" w:sz="2" w:space="0"/>
              <w:bottom w:val="single" w:color="000000" w:sz="2" w:space="0"/>
              <w:right w:val="nil"/>
            </w:tcBorders>
            <w:vAlign w:val="center"/>
          </w:tcPr>
          <w:p w14:paraId="574AFF59">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主要为瓶盖、</w:t>
            </w:r>
            <w:r>
              <w:rPr>
                <w:rFonts w:hint="default" w:ascii="Times New Roman" w:hAnsi="Times New Roman" w:cs="Times New Roman"/>
                <w:color w:val="000000" w:themeColor="text1"/>
                <w:spacing w:val="0"/>
                <w:sz w:val="21"/>
                <w:szCs w:val="21"/>
                <w:lang w:eastAsia="zh-CN"/>
                <w14:textFill>
                  <w14:solidFill>
                    <w14:schemeClr w14:val="tx1"/>
                  </w14:solidFill>
                </w14:textFill>
              </w:rPr>
              <w:t>固体杂质</w:t>
            </w:r>
            <w:r>
              <w:rPr>
                <w:rFonts w:hint="default" w:ascii="Times New Roman" w:hAnsi="Times New Roman" w:cs="Times New Roman"/>
                <w:color w:val="000000" w:themeColor="text1"/>
                <w:spacing w:val="0"/>
                <w:sz w:val="21"/>
                <w:szCs w:val="21"/>
                <w14:textFill>
                  <w14:solidFill>
                    <w14:schemeClr w14:val="tx1"/>
                  </w14:solidFill>
                </w14:textFill>
              </w:rPr>
              <w:t>等</w:t>
            </w:r>
          </w:p>
        </w:tc>
      </w:tr>
      <w:tr w14:paraId="0782A1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2" w:space="0"/>
            </w:tcBorders>
            <w:vAlign w:val="center"/>
          </w:tcPr>
          <w:p w14:paraId="0EE012A5">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tcBorders>
              <w:top w:val="single" w:color="000000" w:sz="2" w:space="0"/>
              <w:bottom w:val="single" w:color="000000" w:sz="2" w:space="0"/>
            </w:tcBorders>
            <w:vAlign w:val="center"/>
          </w:tcPr>
          <w:p w14:paraId="1D464BCB">
            <w:pPr>
              <w:spacing w:line="240"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脱标</w:t>
            </w:r>
          </w:p>
        </w:tc>
        <w:tc>
          <w:tcPr>
            <w:tcW w:w="1185" w:type="pct"/>
            <w:tcBorders>
              <w:top w:val="single" w:color="000000" w:sz="2" w:space="0"/>
              <w:bottom w:val="single" w:color="000000" w:sz="2" w:space="0"/>
            </w:tcBorders>
            <w:vAlign w:val="center"/>
          </w:tcPr>
          <w:p w14:paraId="37E916CE">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一般固废</w:t>
            </w:r>
          </w:p>
        </w:tc>
        <w:tc>
          <w:tcPr>
            <w:tcW w:w="1564" w:type="pct"/>
            <w:tcBorders>
              <w:top w:val="single" w:color="000000" w:sz="2" w:space="0"/>
              <w:bottom w:val="single" w:color="000000" w:sz="2" w:space="0"/>
              <w:right w:val="nil"/>
            </w:tcBorders>
            <w:vAlign w:val="center"/>
          </w:tcPr>
          <w:p w14:paraId="397E0EC1">
            <w:pPr>
              <w:spacing w:line="240"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废标签纸</w:t>
            </w:r>
          </w:p>
        </w:tc>
      </w:tr>
      <w:tr w14:paraId="7A5F32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2" w:space="0"/>
            </w:tcBorders>
            <w:vAlign w:val="center"/>
          </w:tcPr>
          <w:p w14:paraId="2DAC6F67">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tcBorders>
              <w:top w:val="single" w:color="000000" w:sz="2" w:space="0"/>
              <w:bottom w:val="single" w:color="000000" w:sz="2" w:space="0"/>
            </w:tcBorders>
            <w:vAlign w:val="center"/>
          </w:tcPr>
          <w:p w14:paraId="676C4263">
            <w:pPr>
              <w:spacing w:line="240"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瓶盖过滤净化</w:t>
            </w:r>
          </w:p>
        </w:tc>
        <w:tc>
          <w:tcPr>
            <w:tcW w:w="1185" w:type="pct"/>
            <w:tcBorders>
              <w:top w:val="single" w:color="000000" w:sz="2" w:space="0"/>
              <w:bottom w:val="single" w:color="000000" w:sz="2" w:space="0"/>
            </w:tcBorders>
            <w:shd w:val="clear" w:color="auto" w:fill="auto"/>
            <w:vAlign w:val="center"/>
          </w:tcPr>
          <w:p w14:paraId="1443CB23">
            <w:pPr>
              <w:spacing w:line="240" w:lineRule="auto"/>
              <w:jc w:val="center"/>
              <w:rPr>
                <w:rFonts w:hint="default" w:ascii="Times New Roman" w:hAnsi="Times New Roman" w:eastAsia="宋体" w:cs="Times New Roman"/>
                <w:color w:val="000000" w:themeColor="text1"/>
                <w:spacing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一般固废</w:t>
            </w:r>
          </w:p>
        </w:tc>
        <w:tc>
          <w:tcPr>
            <w:tcW w:w="1564" w:type="pct"/>
            <w:tcBorders>
              <w:top w:val="single" w:color="000000" w:sz="2" w:space="0"/>
              <w:bottom w:val="single" w:color="000000" w:sz="2" w:space="0"/>
              <w:right w:val="nil"/>
            </w:tcBorders>
            <w:shd w:val="clear" w:color="auto" w:fill="auto"/>
            <w:vAlign w:val="center"/>
          </w:tcPr>
          <w:p w14:paraId="74063836">
            <w:pPr>
              <w:spacing w:line="240" w:lineRule="auto"/>
              <w:jc w:val="center"/>
              <w:rPr>
                <w:rFonts w:hint="default" w:ascii="Times New Roman" w:hAnsi="Times New Roman" w:eastAsia="宋体" w:cs="Times New Roman"/>
                <w:color w:val="000000" w:themeColor="text1"/>
                <w:spacing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废沙</w:t>
            </w:r>
          </w:p>
        </w:tc>
      </w:tr>
      <w:tr w14:paraId="1B1342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2" w:space="0"/>
            </w:tcBorders>
            <w:vAlign w:val="center"/>
          </w:tcPr>
          <w:p w14:paraId="1FF5351B">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tcBorders>
              <w:top w:val="single" w:color="000000" w:sz="2" w:space="0"/>
              <w:bottom w:val="single" w:color="000000" w:sz="2" w:space="0"/>
            </w:tcBorders>
            <w:vAlign w:val="center"/>
          </w:tcPr>
          <w:p w14:paraId="5FEE62B6">
            <w:pPr>
              <w:spacing w:line="240"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拆包</w:t>
            </w:r>
          </w:p>
        </w:tc>
        <w:tc>
          <w:tcPr>
            <w:tcW w:w="1185" w:type="pct"/>
            <w:tcBorders>
              <w:top w:val="single" w:color="000000" w:sz="2" w:space="0"/>
              <w:bottom w:val="single" w:color="000000" w:sz="2" w:space="0"/>
            </w:tcBorders>
            <w:vAlign w:val="center"/>
          </w:tcPr>
          <w:p w14:paraId="54EBCDA0">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一般固废</w:t>
            </w:r>
          </w:p>
        </w:tc>
        <w:tc>
          <w:tcPr>
            <w:tcW w:w="1564" w:type="pct"/>
            <w:tcBorders>
              <w:top w:val="single" w:color="000000" w:sz="2" w:space="0"/>
              <w:bottom w:val="single" w:color="000000" w:sz="2" w:space="0"/>
              <w:right w:val="nil"/>
            </w:tcBorders>
            <w:vAlign w:val="center"/>
          </w:tcPr>
          <w:p w14:paraId="32B42435">
            <w:pPr>
              <w:spacing w:line="240"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废包装</w:t>
            </w:r>
            <w:r>
              <w:rPr>
                <w:rFonts w:hint="default" w:ascii="Times New Roman" w:hAnsi="Times New Roman" w:cs="Times New Roman"/>
                <w:color w:val="000000" w:themeColor="text1"/>
                <w:spacing w:val="0"/>
                <w:sz w:val="21"/>
                <w:szCs w:val="21"/>
                <w:lang w:eastAsia="zh-CN"/>
                <w14:textFill>
                  <w14:solidFill>
                    <w14:schemeClr w14:val="tx1"/>
                  </w14:solidFill>
                </w14:textFill>
              </w:rPr>
              <w:t>材料</w:t>
            </w:r>
          </w:p>
        </w:tc>
      </w:tr>
      <w:tr w14:paraId="2A3D16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2" w:space="0"/>
            </w:tcBorders>
            <w:vAlign w:val="center"/>
          </w:tcPr>
          <w:p w14:paraId="6276AEDA">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tcBorders>
              <w:top w:val="single" w:color="000000" w:sz="2" w:space="0"/>
              <w:bottom w:val="single" w:color="000000" w:sz="2" w:space="0"/>
            </w:tcBorders>
            <w:vAlign w:val="center"/>
          </w:tcPr>
          <w:p w14:paraId="250BD46D">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污水处理</w:t>
            </w:r>
          </w:p>
        </w:tc>
        <w:tc>
          <w:tcPr>
            <w:tcW w:w="1185" w:type="pct"/>
            <w:tcBorders>
              <w:top w:val="single" w:color="000000" w:sz="2" w:space="0"/>
              <w:bottom w:val="single" w:color="000000" w:sz="2" w:space="0"/>
            </w:tcBorders>
            <w:vAlign w:val="center"/>
          </w:tcPr>
          <w:p w14:paraId="644A09BE">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一般固废</w:t>
            </w:r>
          </w:p>
        </w:tc>
        <w:tc>
          <w:tcPr>
            <w:tcW w:w="1564" w:type="pct"/>
            <w:tcBorders>
              <w:top w:val="single" w:color="000000" w:sz="2" w:space="0"/>
              <w:bottom w:val="single" w:color="000000" w:sz="2" w:space="0"/>
              <w:right w:val="nil"/>
            </w:tcBorders>
            <w:vAlign w:val="center"/>
          </w:tcPr>
          <w:p w14:paraId="2736A893">
            <w:pPr>
              <w:spacing w:line="240"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污水站污泥</w:t>
            </w:r>
          </w:p>
        </w:tc>
      </w:tr>
      <w:tr w14:paraId="59B1FF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2" w:space="0"/>
            </w:tcBorders>
            <w:vAlign w:val="center"/>
          </w:tcPr>
          <w:p w14:paraId="3197F287">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vMerge w:val="restart"/>
            <w:tcBorders>
              <w:top w:val="single" w:color="000000" w:sz="2" w:space="0"/>
            </w:tcBorders>
            <w:vAlign w:val="center"/>
          </w:tcPr>
          <w:p w14:paraId="6FC3C71A">
            <w:pPr>
              <w:spacing w:line="240"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设备维护</w:t>
            </w:r>
            <w:r>
              <w:rPr>
                <w:rFonts w:hint="default" w:ascii="Times New Roman" w:hAnsi="Times New Roman" w:cs="Times New Roman"/>
                <w:color w:val="000000" w:themeColor="text1"/>
                <w:spacing w:val="0"/>
                <w:sz w:val="21"/>
                <w:szCs w:val="21"/>
                <w:lang w:eastAsia="zh-CN"/>
                <w14:textFill>
                  <w14:solidFill>
                    <w14:schemeClr w14:val="tx1"/>
                  </w14:solidFill>
                </w14:textFill>
              </w:rPr>
              <w:t>保养</w:t>
            </w:r>
          </w:p>
        </w:tc>
        <w:tc>
          <w:tcPr>
            <w:tcW w:w="1185" w:type="pct"/>
            <w:tcBorders>
              <w:top w:val="single" w:color="000000" w:sz="2" w:space="0"/>
              <w:bottom w:val="single" w:color="000000" w:sz="2" w:space="0"/>
            </w:tcBorders>
            <w:vAlign w:val="center"/>
          </w:tcPr>
          <w:p w14:paraId="55C67294">
            <w:pPr>
              <w:spacing w:line="240"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危险废物</w:t>
            </w:r>
          </w:p>
        </w:tc>
        <w:tc>
          <w:tcPr>
            <w:tcW w:w="1564" w:type="pct"/>
            <w:tcBorders>
              <w:top w:val="single" w:color="000000" w:sz="2" w:space="0"/>
              <w:bottom w:val="single" w:color="000000" w:sz="2" w:space="0"/>
              <w:right w:val="nil"/>
            </w:tcBorders>
            <w:vAlign w:val="center"/>
          </w:tcPr>
          <w:p w14:paraId="2B9DC32E">
            <w:pPr>
              <w:spacing w:line="240"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含油抹布及手套</w:t>
            </w:r>
          </w:p>
        </w:tc>
      </w:tr>
      <w:tr w14:paraId="2AC5D0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2" w:space="0"/>
            </w:tcBorders>
            <w:vAlign w:val="center"/>
          </w:tcPr>
          <w:p w14:paraId="6F0A684E">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vMerge w:val="continue"/>
            <w:tcBorders>
              <w:bottom w:val="single" w:color="000000" w:sz="2" w:space="0"/>
            </w:tcBorders>
            <w:vAlign w:val="center"/>
          </w:tcPr>
          <w:p w14:paraId="55CB9DEA">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185" w:type="pct"/>
            <w:tcBorders>
              <w:top w:val="single" w:color="000000" w:sz="2" w:space="0"/>
              <w:bottom w:val="single" w:color="000000" w:sz="2" w:space="0"/>
            </w:tcBorders>
            <w:vAlign w:val="center"/>
          </w:tcPr>
          <w:p w14:paraId="4B152BB5">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危险废物</w:t>
            </w:r>
          </w:p>
        </w:tc>
        <w:tc>
          <w:tcPr>
            <w:tcW w:w="1564" w:type="pct"/>
            <w:tcBorders>
              <w:top w:val="single" w:color="000000" w:sz="2" w:space="0"/>
              <w:bottom w:val="single" w:color="000000" w:sz="2" w:space="0"/>
              <w:right w:val="nil"/>
            </w:tcBorders>
            <w:vAlign w:val="center"/>
          </w:tcPr>
          <w:p w14:paraId="0BE8BED4">
            <w:pPr>
              <w:spacing w:line="240" w:lineRule="auto"/>
              <w:jc w:val="center"/>
              <w:rPr>
                <w:rFonts w:hint="eastAsia" w:ascii="Times New Roman" w:hAnsi="Times New Roman" w:eastAsia="宋体" w:cs="Times New Roman"/>
                <w:color w:val="000000" w:themeColor="text1"/>
                <w:spacing w:val="0"/>
                <w:sz w:val="21"/>
                <w:szCs w:val="21"/>
                <w:lang w:eastAsia="zh-CN"/>
                <w14:textFill>
                  <w14:solidFill>
                    <w14:schemeClr w14:val="tx1"/>
                  </w14:solidFill>
                </w14:textFill>
              </w:rPr>
            </w:pPr>
            <w:r>
              <w:rPr>
                <w:rFonts w:hint="eastAsia" w:cs="Times New Roman"/>
                <w:color w:val="000000" w:themeColor="text1"/>
                <w:spacing w:val="0"/>
                <w:sz w:val="21"/>
                <w:szCs w:val="21"/>
                <w:lang w:eastAsia="zh-CN"/>
                <w14:textFill>
                  <w14:solidFill>
                    <w14:schemeClr w14:val="tx1"/>
                  </w14:solidFill>
                </w14:textFill>
              </w:rPr>
              <w:t>废润滑油、废油桶</w:t>
            </w:r>
          </w:p>
        </w:tc>
      </w:tr>
      <w:tr w14:paraId="62E772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2" w:space="0"/>
            </w:tcBorders>
            <w:vAlign w:val="center"/>
          </w:tcPr>
          <w:p w14:paraId="7B43EFFE">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tcBorders>
              <w:top w:val="single" w:color="000000" w:sz="2" w:space="0"/>
              <w:bottom w:val="single" w:color="000000" w:sz="2" w:space="0"/>
            </w:tcBorders>
            <w:vAlign w:val="center"/>
          </w:tcPr>
          <w:p w14:paraId="24A082B2">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废气治理</w:t>
            </w:r>
          </w:p>
        </w:tc>
        <w:tc>
          <w:tcPr>
            <w:tcW w:w="1185" w:type="pct"/>
            <w:tcBorders>
              <w:top w:val="single" w:color="000000" w:sz="2" w:space="0"/>
              <w:bottom w:val="single" w:color="000000" w:sz="2" w:space="0"/>
            </w:tcBorders>
            <w:vAlign w:val="center"/>
          </w:tcPr>
          <w:p w14:paraId="127A3DED">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危险废物</w:t>
            </w:r>
          </w:p>
        </w:tc>
        <w:tc>
          <w:tcPr>
            <w:tcW w:w="1564" w:type="pct"/>
            <w:tcBorders>
              <w:top w:val="single" w:color="000000" w:sz="2" w:space="0"/>
              <w:bottom w:val="single" w:color="000000" w:sz="2" w:space="0"/>
              <w:right w:val="nil"/>
            </w:tcBorders>
            <w:vAlign w:val="center"/>
          </w:tcPr>
          <w:p w14:paraId="594171B6">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废活性炭</w:t>
            </w:r>
          </w:p>
        </w:tc>
      </w:tr>
      <w:tr w14:paraId="46311D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65" w:type="pct"/>
            <w:vMerge w:val="continue"/>
            <w:tcBorders>
              <w:top w:val="single" w:color="000000" w:sz="2" w:space="0"/>
              <w:left w:val="nil"/>
              <w:bottom w:val="single" w:color="000000" w:sz="12" w:space="0"/>
            </w:tcBorders>
            <w:vAlign w:val="center"/>
          </w:tcPr>
          <w:p w14:paraId="7A82AABC">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584" w:type="pct"/>
            <w:tcBorders>
              <w:top w:val="single" w:color="000000" w:sz="2" w:space="0"/>
              <w:bottom w:val="single" w:color="000000" w:sz="12" w:space="0"/>
            </w:tcBorders>
            <w:vAlign w:val="center"/>
          </w:tcPr>
          <w:p w14:paraId="47D2607B">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职工生活</w:t>
            </w:r>
          </w:p>
        </w:tc>
        <w:tc>
          <w:tcPr>
            <w:tcW w:w="1185" w:type="pct"/>
            <w:tcBorders>
              <w:top w:val="single" w:color="000000" w:sz="2" w:space="0"/>
              <w:bottom w:val="single" w:color="000000" w:sz="12" w:space="0"/>
            </w:tcBorders>
            <w:vAlign w:val="center"/>
          </w:tcPr>
          <w:p w14:paraId="1B2D7EC4">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生活垃圾</w:t>
            </w:r>
          </w:p>
        </w:tc>
        <w:tc>
          <w:tcPr>
            <w:tcW w:w="1564" w:type="pct"/>
            <w:tcBorders>
              <w:top w:val="single" w:color="000000" w:sz="2" w:space="0"/>
              <w:bottom w:val="single" w:color="000000" w:sz="12" w:space="0"/>
              <w:right w:val="nil"/>
            </w:tcBorders>
            <w:vAlign w:val="center"/>
          </w:tcPr>
          <w:p w14:paraId="100C0600">
            <w:pPr>
              <w:spacing w:line="240"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生活垃圾</w:t>
            </w:r>
          </w:p>
        </w:tc>
      </w:tr>
      <w:bookmarkEnd w:id="53"/>
    </w:tbl>
    <w:p w14:paraId="37763375">
      <w:pPr>
        <w:pStyle w:val="3952"/>
        <w:spacing w:before="156"/>
        <w:outlineLvl w:val="2"/>
        <w:rPr>
          <w:rFonts w:eastAsia="黑体"/>
          <w:b w:val="0"/>
          <w:color w:val="000000" w:themeColor="text1"/>
          <w:sz w:val="24"/>
          <w:szCs w:val="22"/>
          <w14:textFill>
            <w14:solidFill>
              <w14:schemeClr w14:val="tx1"/>
            </w14:solidFill>
          </w14:textFill>
        </w:rPr>
      </w:pPr>
      <w:bookmarkStart w:id="54" w:name="_Toc173837655"/>
      <w:bookmarkStart w:id="55" w:name="_Toc173837656"/>
      <w:r>
        <w:rPr>
          <w:rFonts w:hint="eastAsia" w:eastAsia="黑体"/>
          <w:b w:val="0"/>
          <w:color w:val="000000" w:themeColor="text1"/>
          <w:sz w:val="24"/>
          <w:szCs w:val="22"/>
          <w14:textFill>
            <w14:solidFill>
              <w14:schemeClr w14:val="tx1"/>
            </w14:solidFill>
          </w14:textFill>
        </w:rPr>
        <w:t>3.</w:t>
      </w:r>
      <w:r>
        <w:rPr>
          <w:rFonts w:hint="eastAsia" w:eastAsia="黑体"/>
          <w:b w:val="0"/>
          <w:color w:val="000000" w:themeColor="text1"/>
          <w:sz w:val="24"/>
          <w:szCs w:val="22"/>
          <w:lang w:val="en-US" w:eastAsia="zh-CN"/>
          <w14:textFill>
            <w14:solidFill>
              <w14:schemeClr w14:val="tx1"/>
            </w14:solidFill>
          </w14:textFill>
        </w:rPr>
        <w:t>2</w:t>
      </w:r>
      <w:r>
        <w:rPr>
          <w:rFonts w:hint="eastAsia" w:eastAsia="黑体"/>
          <w:b w:val="0"/>
          <w:color w:val="000000" w:themeColor="text1"/>
          <w:sz w:val="24"/>
          <w:szCs w:val="22"/>
          <w14:textFill>
            <w14:solidFill>
              <w14:schemeClr w14:val="tx1"/>
            </w14:solidFill>
          </w14:textFill>
        </w:rPr>
        <w:t>.2物料平衡</w:t>
      </w:r>
      <w:bookmarkEnd w:id="54"/>
    </w:p>
    <w:p w14:paraId="4D812D12">
      <w:pPr>
        <w:spacing w:line="360" w:lineRule="auto"/>
        <w:ind w:firstLine="472" w:firstLineChars="200"/>
        <w:rPr>
          <w:rFonts w:hAnsi="宋体"/>
          <w:color w:val="000000" w:themeColor="text1"/>
          <w:sz w:val="24"/>
          <w:szCs w:val="24"/>
          <w14:textFill>
            <w14:solidFill>
              <w14:schemeClr w14:val="tx1"/>
            </w14:solidFill>
          </w14:textFill>
        </w:rPr>
      </w:pPr>
      <w:r>
        <w:rPr>
          <w:rFonts w:hint="eastAsia" w:hAnsi="宋体"/>
          <w:color w:val="000000" w:themeColor="text1"/>
          <w:sz w:val="24"/>
          <w:szCs w:val="24"/>
          <w:lang w:val="en-US" w:eastAsia="zh-CN"/>
          <w14:textFill>
            <w14:solidFill>
              <w14:schemeClr w14:val="tx1"/>
            </w14:solidFill>
          </w14:textFill>
        </w:rPr>
        <w:t>根据</w:t>
      </w:r>
      <w:r>
        <w:rPr>
          <w:rFonts w:hint="eastAsia" w:hAnsi="宋体"/>
          <w:color w:val="000000" w:themeColor="text1"/>
          <w:sz w:val="24"/>
          <w:szCs w:val="24"/>
          <w14:textFill>
            <w14:solidFill>
              <w14:schemeClr w14:val="tx1"/>
            </w14:solidFill>
          </w14:textFill>
        </w:rPr>
        <w:t>生产</w:t>
      </w:r>
      <w:r>
        <w:rPr>
          <w:rFonts w:hAnsi="宋体"/>
          <w:color w:val="000000" w:themeColor="text1"/>
          <w:sz w:val="24"/>
          <w:szCs w:val="24"/>
          <w14:textFill>
            <w14:solidFill>
              <w14:schemeClr w14:val="tx1"/>
            </w14:solidFill>
          </w14:textFill>
        </w:rPr>
        <w:t>工艺</w:t>
      </w:r>
      <w:r>
        <w:rPr>
          <w:rFonts w:hint="eastAsia" w:hAnsi="宋体"/>
          <w:color w:val="000000" w:themeColor="text1"/>
          <w:sz w:val="24"/>
          <w:szCs w:val="24"/>
          <w14:textFill>
            <w14:solidFill>
              <w14:schemeClr w14:val="tx1"/>
            </w14:solidFill>
          </w14:textFill>
        </w:rPr>
        <w:t>，</w:t>
      </w:r>
      <w:r>
        <w:rPr>
          <w:rFonts w:hint="eastAsia" w:hAnsi="宋体"/>
          <w:color w:val="000000" w:themeColor="text1"/>
          <w:sz w:val="24"/>
          <w:szCs w:val="24"/>
          <w:lang w:val="en-US" w:eastAsia="zh-CN"/>
          <w14:textFill>
            <w14:solidFill>
              <w14:schemeClr w14:val="tx1"/>
            </w14:solidFill>
          </w14:textFill>
        </w:rPr>
        <w:t>本项目物料</w:t>
      </w:r>
      <w:r>
        <w:rPr>
          <w:rFonts w:hint="eastAsia" w:hAnsi="宋体"/>
          <w:color w:val="000000" w:themeColor="text1"/>
          <w:sz w:val="24"/>
          <w:szCs w:val="24"/>
          <w14:textFill>
            <w14:solidFill>
              <w14:schemeClr w14:val="tx1"/>
            </w14:solidFill>
          </w14:textFill>
        </w:rPr>
        <w:t>平衡见下表：</w:t>
      </w:r>
    </w:p>
    <w:p w14:paraId="50899716">
      <w:pPr>
        <w:spacing w:line="360" w:lineRule="auto"/>
        <w:jc w:val="center"/>
        <w:rPr>
          <w:rFonts w:eastAsia="黑体"/>
          <w:color w:val="000000" w:themeColor="text1"/>
          <w:sz w:val="24"/>
          <w:szCs w:val="24"/>
          <w14:textFill>
            <w14:solidFill>
              <w14:schemeClr w14:val="tx1"/>
            </w14:solidFill>
          </w14:textFill>
        </w:rPr>
      </w:pPr>
      <w:r>
        <w:rPr>
          <w:rFonts w:eastAsia="黑体"/>
          <w:color w:val="000000" w:themeColor="text1"/>
          <w:sz w:val="24"/>
          <w:szCs w:val="24"/>
          <w14:textFill>
            <w14:solidFill>
              <w14:schemeClr w14:val="tx1"/>
            </w14:solidFill>
          </w14:textFill>
        </w:rPr>
        <w:t>表</w:t>
      </w:r>
      <w:r>
        <w:rPr>
          <w:rFonts w:hint="eastAsia" w:eastAsia="黑体"/>
          <w:color w:val="000000" w:themeColor="text1"/>
          <w:sz w:val="24"/>
          <w:szCs w:val="24"/>
          <w14:textFill>
            <w14:solidFill>
              <w14:schemeClr w14:val="tx1"/>
            </w14:solidFill>
          </w14:textFill>
        </w:rPr>
        <w:t>3.</w:t>
      </w:r>
      <w:r>
        <w:rPr>
          <w:rFonts w:hint="eastAsia" w:eastAsia="黑体"/>
          <w:color w:val="000000" w:themeColor="text1"/>
          <w:sz w:val="24"/>
          <w:szCs w:val="24"/>
          <w:lang w:val="en-US" w:eastAsia="zh-CN"/>
          <w14:textFill>
            <w14:solidFill>
              <w14:schemeClr w14:val="tx1"/>
            </w14:solidFill>
          </w14:textFill>
        </w:rPr>
        <w:t>2</w:t>
      </w:r>
      <w:r>
        <w:rPr>
          <w:rFonts w:eastAsia="黑体"/>
          <w:color w:val="000000" w:themeColor="text1"/>
          <w:sz w:val="24"/>
          <w:szCs w:val="24"/>
          <w14:textFill>
            <w14:solidFill>
              <w14:schemeClr w14:val="tx1"/>
            </w14:solidFill>
          </w14:textFill>
        </w:rPr>
        <w:t>-</w:t>
      </w:r>
      <w:r>
        <w:rPr>
          <w:rFonts w:hint="eastAsia" w:eastAsia="黑体"/>
          <w:color w:val="000000" w:themeColor="text1"/>
          <w:sz w:val="24"/>
          <w:szCs w:val="24"/>
          <w:lang w:val="en-US" w:eastAsia="zh-CN"/>
          <w14:textFill>
            <w14:solidFill>
              <w14:schemeClr w14:val="tx1"/>
            </w14:solidFill>
          </w14:textFill>
        </w:rPr>
        <w:t>2</w:t>
      </w:r>
      <w:r>
        <w:rPr>
          <w:rFonts w:hint="eastAsia" w:eastAsia="黑体"/>
          <w:color w:val="000000" w:themeColor="text1"/>
          <w:sz w:val="24"/>
          <w:szCs w:val="24"/>
          <w14:textFill>
            <w14:solidFill>
              <w14:schemeClr w14:val="tx1"/>
            </w14:solidFill>
          </w14:textFill>
        </w:rPr>
        <w:t xml:space="preserve">  本项目</w:t>
      </w:r>
      <w:r>
        <w:rPr>
          <w:rFonts w:hint="eastAsia" w:eastAsia="黑体"/>
          <w:color w:val="000000" w:themeColor="text1"/>
          <w:sz w:val="24"/>
          <w:szCs w:val="24"/>
          <w:lang w:val="en-US" w:eastAsia="zh-CN"/>
          <w14:textFill>
            <w14:solidFill>
              <w14:schemeClr w14:val="tx1"/>
            </w14:solidFill>
          </w14:textFill>
        </w:rPr>
        <w:t>物料</w:t>
      </w:r>
      <w:r>
        <w:rPr>
          <w:rFonts w:eastAsia="黑体"/>
          <w:color w:val="000000" w:themeColor="text1"/>
          <w:sz w:val="24"/>
          <w:szCs w:val="24"/>
          <w14:textFill>
            <w14:solidFill>
              <w14:schemeClr w14:val="tx1"/>
            </w14:solidFill>
          </w14:textFill>
        </w:rPr>
        <w:t>平衡表</w:t>
      </w:r>
    </w:p>
    <w:tbl>
      <w:tblPr>
        <w:tblStyle w:val="88"/>
        <w:tblW w:w="4999"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941"/>
        <w:gridCol w:w="2430"/>
        <w:gridCol w:w="1844"/>
        <w:gridCol w:w="1577"/>
        <w:gridCol w:w="1728"/>
      </w:tblGrid>
      <w:tr w14:paraId="73067B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552" w:type="pct"/>
            <w:vMerge w:val="restart"/>
            <w:noWrap/>
            <w:vAlign w:val="center"/>
          </w:tcPr>
          <w:p w14:paraId="1C570F39">
            <w:pPr>
              <w:pStyle w:val="1114"/>
              <w:adjustRightInd/>
              <w:spacing w:before="0" w:after="0" w:line="276" w:lineRule="auto"/>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宋体" w:eastAsia="宋体"/>
                <w:b/>
                <w:bCs/>
                <w:color w:val="000000" w:themeColor="text1"/>
                <w:sz w:val="21"/>
                <w:szCs w:val="21"/>
                <w14:textFill>
                  <w14:solidFill>
                    <w14:schemeClr w14:val="tx1"/>
                  </w14:solidFill>
                </w14:textFill>
              </w:rPr>
              <w:t>序号</w:t>
            </w:r>
          </w:p>
        </w:tc>
        <w:tc>
          <w:tcPr>
            <w:tcW w:w="2508" w:type="pct"/>
            <w:gridSpan w:val="2"/>
            <w:noWrap/>
            <w:vAlign w:val="center"/>
          </w:tcPr>
          <w:p w14:paraId="6076A097">
            <w:pPr>
              <w:pStyle w:val="1114"/>
              <w:adjustRightInd/>
              <w:spacing w:before="0" w:after="0" w:line="276" w:lineRule="auto"/>
              <w:jc w:val="center"/>
              <w:rPr>
                <w:rFonts w:ascii="Times New Roman" w:hAnsi="宋体" w:eastAsia="宋体"/>
                <w:b/>
                <w:bCs/>
                <w:color w:val="000000" w:themeColor="text1"/>
                <w:sz w:val="21"/>
                <w:szCs w:val="21"/>
                <w14:textFill>
                  <w14:solidFill>
                    <w14:schemeClr w14:val="tx1"/>
                  </w14:solidFill>
                </w14:textFill>
              </w:rPr>
            </w:pPr>
            <w:r>
              <w:rPr>
                <w:rFonts w:ascii="Times New Roman" w:hAnsi="宋体" w:eastAsia="宋体"/>
                <w:b/>
                <w:bCs/>
                <w:color w:val="000000" w:themeColor="text1"/>
                <w:sz w:val="21"/>
                <w:szCs w:val="21"/>
                <w14:textFill>
                  <w14:solidFill>
                    <w14:schemeClr w14:val="tx1"/>
                  </w14:solidFill>
                </w14:textFill>
              </w:rPr>
              <w:t>流入项</w:t>
            </w:r>
          </w:p>
        </w:tc>
        <w:tc>
          <w:tcPr>
            <w:tcW w:w="1939" w:type="pct"/>
            <w:gridSpan w:val="2"/>
            <w:noWrap/>
            <w:vAlign w:val="center"/>
          </w:tcPr>
          <w:p w14:paraId="0699160A">
            <w:pPr>
              <w:pStyle w:val="1114"/>
              <w:adjustRightInd/>
              <w:spacing w:before="0" w:after="0" w:line="276" w:lineRule="auto"/>
              <w:jc w:val="center"/>
              <w:rPr>
                <w:rFonts w:ascii="Times New Roman" w:hAnsi="宋体" w:eastAsia="宋体"/>
                <w:b/>
                <w:bCs/>
                <w:color w:val="000000" w:themeColor="text1"/>
                <w:sz w:val="21"/>
                <w:szCs w:val="21"/>
                <w14:textFill>
                  <w14:solidFill>
                    <w14:schemeClr w14:val="tx1"/>
                  </w14:solidFill>
                </w14:textFill>
              </w:rPr>
            </w:pPr>
            <w:r>
              <w:rPr>
                <w:rFonts w:ascii="Times New Roman" w:hAnsi="宋体" w:eastAsia="宋体"/>
                <w:b/>
                <w:bCs/>
                <w:color w:val="000000" w:themeColor="text1"/>
                <w:sz w:val="21"/>
                <w:szCs w:val="21"/>
                <w14:textFill>
                  <w14:solidFill>
                    <w14:schemeClr w14:val="tx1"/>
                  </w14:solidFill>
                </w14:textFill>
              </w:rPr>
              <w:t>流出项</w:t>
            </w:r>
          </w:p>
        </w:tc>
      </w:tr>
      <w:tr w14:paraId="4F8486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552" w:type="pct"/>
            <w:vMerge w:val="continue"/>
            <w:noWrap/>
            <w:vAlign w:val="center"/>
          </w:tcPr>
          <w:p w14:paraId="6D2DC8DA">
            <w:pPr>
              <w:pStyle w:val="1114"/>
              <w:adjustRightInd/>
              <w:spacing w:before="0" w:after="0" w:line="276" w:lineRule="auto"/>
              <w:jc w:val="center"/>
              <w:rPr>
                <w:rFonts w:ascii="Times New Roman" w:hAnsi="Times New Roman" w:eastAsia="宋体"/>
                <w:b/>
                <w:bCs/>
                <w:color w:val="000000" w:themeColor="text1"/>
                <w:sz w:val="21"/>
                <w:szCs w:val="21"/>
                <w14:textFill>
                  <w14:solidFill>
                    <w14:schemeClr w14:val="tx1"/>
                  </w14:solidFill>
                </w14:textFill>
              </w:rPr>
            </w:pPr>
          </w:p>
        </w:tc>
        <w:tc>
          <w:tcPr>
            <w:tcW w:w="1425" w:type="pct"/>
            <w:tcBorders>
              <w:right w:val="single" w:color="auto" w:sz="4" w:space="0"/>
            </w:tcBorders>
            <w:noWrap/>
            <w:vAlign w:val="center"/>
          </w:tcPr>
          <w:p w14:paraId="07E59A6A">
            <w:pPr>
              <w:pStyle w:val="1114"/>
              <w:adjustRightInd/>
              <w:spacing w:before="0" w:after="0" w:line="276" w:lineRule="auto"/>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宋体" w:eastAsia="宋体"/>
                <w:b/>
                <w:bCs/>
                <w:color w:val="000000" w:themeColor="text1"/>
                <w:sz w:val="21"/>
                <w:szCs w:val="21"/>
                <w14:textFill>
                  <w14:solidFill>
                    <w14:schemeClr w14:val="tx1"/>
                  </w14:solidFill>
                </w14:textFill>
              </w:rPr>
              <w:t>项目</w:t>
            </w:r>
          </w:p>
        </w:tc>
        <w:tc>
          <w:tcPr>
            <w:tcW w:w="1082" w:type="pct"/>
            <w:tcBorders>
              <w:right w:val="single" w:color="auto" w:sz="4" w:space="0"/>
            </w:tcBorders>
            <w:vAlign w:val="center"/>
          </w:tcPr>
          <w:p w14:paraId="2B5CA95C">
            <w:pPr>
              <w:pStyle w:val="1114"/>
              <w:adjustRightInd/>
              <w:spacing w:before="0" w:after="0" w:line="276" w:lineRule="auto"/>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用量t/a</w:t>
            </w:r>
          </w:p>
        </w:tc>
        <w:tc>
          <w:tcPr>
            <w:tcW w:w="925" w:type="pct"/>
            <w:tcBorders>
              <w:right w:val="single" w:color="auto" w:sz="4" w:space="0"/>
            </w:tcBorders>
            <w:noWrap/>
            <w:vAlign w:val="center"/>
          </w:tcPr>
          <w:p w14:paraId="1833D2FC">
            <w:pPr>
              <w:pStyle w:val="1114"/>
              <w:adjustRightInd/>
              <w:spacing w:before="0" w:after="0" w:line="276" w:lineRule="auto"/>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宋体" w:eastAsia="宋体"/>
                <w:b/>
                <w:bCs/>
                <w:color w:val="000000" w:themeColor="text1"/>
                <w:sz w:val="21"/>
                <w:szCs w:val="21"/>
                <w14:textFill>
                  <w14:solidFill>
                    <w14:schemeClr w14:val="tx1"/>
                  </w14:solidFill>
                </w14:textFill>
              </w:rPr>
              <w:t>项目</w:t>
            </w:r>
          </w:p>
        </w:tc>
        <w:tc>
          <w:tcPr>
            <w:tcW w:w="1013" w:type="pct"/>
            <w:tcBorders>
              <w:left w:val="single" w:color="auto" w:sz="4" w:space="0"/>
            </w:tcBorders>
            <w:vAlign w:val="center"/>
          </w:tcPr>
          <w:p w14:paraId="327F8CD9">
            <w:pPr>
              <w:pStyle w:val="1114"/>
              <w:adjustRightInd/>
              <w:spacing w:before="0" w:after="0" w:line="276" w:lineRule="auto"/>
              <w:jc w:val="center"/>
              <w:rPr>
                <w:rFonts w:ascii="Times New Roman" w:hAnsi="Times New Roman" w:eastAsia="宋体"/>
                <w:b/>
                <w:bCs/>
                <w:color w:val="000000" w:themeColor="text1"/>
                <w:sz w:val="21"/>
                <w:szCs w:val="21"/>
                <w14:textFill>
                  <w14:solidFill>
                    <w14:schemeClr w14:val="tx1"/>
                  </w14:solidFill>
                </w14:textFill>
              </w:rPr>
            </w:pPr>
            <w:r>
              <w:rPr>
                <w:rFonts w:ascii="Times New Roman" w:hAnsi="Times New Roman" w:eastAsia="宋体"/>
                <w:b/>
                <w:bCs/>
                <w:color w:val="000000" w:themeColor="text1"/>
                <w:sz w:val="21"/>
                <w:szCs w:val="21"/>
                <w14:textFill>
                  <w14:solidFill>
                    <w14:schemeClr w14:val="tx1"/>
                  </w14:solidFill>
                </w14:textFill>
              </w:rPr>
              <w:t>产生量t/a</w:t>
            </w:r>
          </w:p>
        </w:tc>
      </w:tr>
      <w:tr w14:paraId="3F4816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52" w:type="pct"/>
            <w:noWrap/>
            <w:vAlign w:val="center"/>
          </w:tcPr>
          <w:p w14:paraId="4887BC81">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1</w:t>
            </w:r>
          </w:p>
        </w:tc>
        <w:tc>
          <w:tcPr>
            <w:tcW w:w="1425" w:type="pct"/>
            <w:tcBorders>
              <w:right w:val="single" w:color="auto" w:sz="4" w:space="0"/>
            </w:tcBorders>
            <w:noWrap/>
            <w:vAlign w:val="center"/>
          </w:tcPr>
          <w:p w14:paraId="129ED55D">
            <w:pPr>
              <w:pStyle w:val="1114"/>
              <w:adjustRightInd/>
              <w:spacing w:before="0" w:after="0" w:line="276"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宋体" w:eastAsia="宋体"/>
                <w:color w:val="000000" w:themeColor="text1"/>
                <w:sz w:val="21"/>
                <w:szCs w:val="21"/>
                <w:lang w:val="en-US" w:eastAsia="zh-CN"/>
                <w14:textFill>
                  <w14:solidFill>
                    <w14:schemeClr w14:val="tx1"/>
                  </w14:solidFill>
                </w14:textFill>
              </w:rPr>
              <w:t>废PET瓶砖</w:t>
            </w:r>
          </w:p>
        </w:tc>
        <w:tc>
          <w:tcPr>
            <w:tcW w:w="1082" w:type="pct"/>
            <w:tcBorders>
              <w:right w:val="single" w:color="auto" w:sz="4" w:space="0"/>
            </w:tcBorders>
            <w:vAlign w:val="center"/>
          </w:tcPr>
          <w:p w14:paraId="478A1103">
            <w:pPr>
              <w:pStyle w:val="1114"/>
              <w:adjustRightInd/>
              <w:spacing w:before="0" w:after="0" w:line="276"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100000</w:t>
            </w:r>
          </w:p>
        </w:tc>
        <w:tc>
          <w:tcPr>
            <w:tcW w:w="925" w:type="pct"/>
            <w:tcBorders>
              <w:right w:val="single" w:color="auto" w:sz="4" w:space="0"/>
            </w:tcBorders>
            <w:noWrap/>
            <w:vAlign w:val="center"/>
          </w:tcPr>
          <w:p w14:paraId="19B62236">
            <w:pPr>
              <w:pStyle w:val="1114"/>
              <w:adjustRightInd/>
              <w:spacing w:before="0" w:after="0" w:line="276"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PET瓶片</w:t>
            </w:r>
          </w:p>
        </w:tc>
        <w:tc>
          <w:tcPr>
            <w:tcW w:w="1013" w:type="pct"/>
            <w:tcBorders>
              <w:left w:val="single" w:color="auto" w:sz="4" w:space="0"/>
            </w:tcBorders>
            <w:vAlign w:val="center"/>
          </w:tcPr>
          <w:p w14:paraId="07B53AC2">
            <w:pPr>
              <w:pStyle w:val="1114"/>
              <w:adjustRightInd/>
              <w:spacing w:before="0" w:after="0" w:line="276"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63000</w:t>
            </w:r>
          </w:p>
        </w:tc>
      </w:tr>
      <w:tr w14:paraId="2B5B51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52" w:type="pct"/>
            <w:noWrap/>
            <w:vAlign w:val="center"/>
          </w:tcPr>
          <w:p w14:paraId="2DE1FAFB">
            <w:pPr>
              <w:pStyle w:val="1114"/>
              <w:adjustRightInd/>
              <w:spacing w:before="0" w:after="0" w:line="276" w:lineRule="auto"/>
              <w:jc w:val="center"/>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2</w:t>
            </w:r>
          </w:p>
        </w:tc>
        <w:tc>
          <w:tcPr>
            <w:tcW w:w="1425" w:type="pct"/>
            <w:tcBorders>
              <w:right w:val="single" w:color="auto" w:sz="4" w:space="0"/>
            </w:tcBorders>
            <w:noWrap/>
            <w:vAlign w:val="center"/>
          </w:tcPr>
          <w:p w14:paraId="2EFEF275">
            <w:pPr>
              <w:pStyle w:val="1114"/>
              <w:adjustRightInd/>
              <w:spacing w:before="0" w:after="0" w:line="276"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PET颗粒（新料）</w:t>
            </w:r>
          </w:p>
        </w:tc>
        <w:tc>
          <w:tcPr>
            <w:tcW w:w="1082" w:type="pct"/>
            <w:tcBorders>
              <w:right w:val="single" w:color="auto" w:sz="4" w:space="0"/>
            </w:tcBorders>
            <w:vAlign w:val="center"/>
          </w:tcPr>
          <w:p w14:paraId="46C965A7">
            <w:pPr>
              <w:pStyle w:val="1114"/>
              <w:adjustRightInd/>
              <w:spacing w:before="0" w:after="0" w:line="276"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200</w:t>
            </w:r>
          </w:p>
        </w:tc>
        <w:tc>
          <w:tcPr>
            <w:tcW w:w="925" w:type="pct"/>
            <w:tcBorders>
              <w:right w:val="single" w:color="auto" w:sz="4" w:space="0"/>
            </w:tcBorders>
            <w:noWrap/>
            <w:vAlign w:val="center"/>
          </w:tcPr>
          <w:p w14:paraId="6AF6DA15">
            <w:pPr>
              <w:pStyle w:val="1114"/>
              <w:adjustRightInd/>
              <w:spacing w:before="0" w:after="0" w:line="276" w:lineRule="auto"/>
              <w:jc w:val="center"/>
              <w:rPr>
                <w:rFonts w:hint="eastAsia" w:ascii="Times New Roman" w:hAnsi="Times New Roman" w:eastAsia="宋体"/>
                <w:color w:val="000000" w:themeColor="text1"/>
                <w:sz w:val="21"/>
                <w:szCs w:val="21"/>
                <w:lang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瓶沫</w:t>
            </w:r>
          </w:p>
        </w:tc>
        <w:tc>
          <w:tcPr>
            <w:tcW w:w="1013" w:type="pct"/>
            <w:tcBorders>
              <w:left w:val="single" w:color="auto" w:sz="4" w:space="0"/>
            </w:tcBorders>
            <w:vAlign w:val="center"/>
          </w:tcPr>
          <w:p w14:paraId="0468C0F0">
            <w:pPr>
              <w:pStyle w:val="1114"/>
              <w:adjustRightInd/>
              <w:spacing w:before="0" w:after="0" w:line="276"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3000</w:t>
            </w:r>
          </w:p>
        </w:tc>
      </w:tr>
      <w:tr w14:paraId="007771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52" w:type="pct"/>
            <w:noWrap/>
            <w:vAlign w:val="center"/>
          </w:tcPr>
          <w:p w14:paraId="568B599A">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425" w:type="pct"/>
            <w:tcBorders>
              <w:right w:val="single" w:color="auto" w:sz="4" w:space="0"/>
            </w:tcBorders>
            <w:noWrap/>
            <w:vAlign w:val="center"/>
          </w:tcPr>
          <w:p w14:paraId="14F05FCA">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082" w:type="pct"/>
            <w:tcBorders>
              <w:right w:val="single" w:color="auto" w:sz="4" w:space="0"/>
            </w:tcBorders>
            <w:vAlign w:val="center"/>
          </w:tcPr>
          <w:p w14:paraId="01CB705E">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925" w:type="pct"/>
            <w:tcBorders>
              <w:right w:val="single" w:color="auto" w:sz="4" w:space="0"/>
            </w:tcBorders>
            <w:noWrap/>
            <w:vAlign w:val="center"/>
          </w:tcPr>
          <w:p w14:paraId="373891AB">
            <w:pPr>
              <w:pStyle w:val="1114"/>
              <w:adjustRightInd/>
              <w:spacing w:before="0" w:after="0" w:line="276" w:lineRule="auto"/>
              <w:jc w:val="center"/>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废标签纸</w:t>
            </w:r>
          </w:p>
        </w:tc>
        <w:tc>
          <w:tcPr>
            <w:tcW w:w="1013" w:type="pct"/>
            <w:tcBorders>
              <w:left w:val="single" w:color="auto" w:sz="4" w:space="0"/>
            </w:tcBorders>
            <w:vAlign w:val="center"/>
          </w:tcPr>
          <w:p w14:paraId="38546FD1">
            <w:pPr>
              <w:pStyle w:val="1114"/>
              <w:adjustRightInd/>
              <w:spacing w:before="0" w:after="0" w:line="276"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7000</w:t>
            </w:r>
          </w:p>
        </w:tc>
      </w:tr>
      <w:tr w14:paraId="6B5487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52" w:type="pct"/>
            <w:noWrap/>
            <w:vAlign w:val="center"/>
          </w:tcPr>
          <w:p w14:paraId="21323CB3">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425" w:type="pct"/>
            <w:tcBorders>
              <w:right w:val="single" w:color="auto" w:sz="4" w:space="0"/>
            </w:tcBorders>
            <w:noWrap/>
            <w:vAlign w:val="center"/>
          </w:tcPr>
          <w:p w14:paraId="305DC632">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082" w:type="pct"/>
            <w:tcBorders>
              <w:right w:val="single" w:color="auto" w:sz="4" w:space="0"/>
            </w:tcBorders>
            <w:vAlign w:val="center"/>
          </w:tcPr>
          <w:p w14:paraId="34879DFD">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925" w:type="pct"/>
            <w:tcBorders>
              <w:right w:val="single" w:color="auto" w:sz="4" w:space="0"/>
            </w:tcBorders>
            <w:noWrap/>
            <w:vAlign w:val="center"/>
          </w:tcPr>
          <w:p w14:paraId="157BFD05">
            <w:pPr>
              <w:pStyle w:val="1114"/>
              <w:adjustRightInd/>
              <w:spacing w:before="0" w:after="0" w:line="276"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废瓶盖</w:t>
            </w:r>
          </w:p>
        </w:tc>
        <w:tc>
          <w:tcPr>
            <w:tcW w:w="1013" w:type="pct"/>
            <w:tcBorders>
              <w:left w:val="single" w:color="auto" w:sz="4" w:space="0"/>
            </w:tcBorders>
            <w:vAlign w:val="center"/>
          </w:tcPr>
          <w:p w14:paraId="2660FA77">
            <w:pPr>
              <w:pStyle w:val="1114"/>
              <w:adjustRightInd/>
              <w:spacing w:before="0" w:after="0" w:line="276"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7000</w:t>
            </w:r>
          </w:p>
        </w:tc>
      </w:tr>
      <w:tr w14:paraId="75E14D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52" w:type="pct"/>
            <w:noWrap/>
            <w:vAlign w:val="center"/>
          </w:tcPr>
          <w:p w14:paraId="1F9EC791">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425" w:type="pct"/>
            <w:tcBorders>
              <w:right w:val="single" w:color="auto" w:sz="4" w:space="0"/>
            </w:tcBorders>
            <w:noWrap/>
            <w:vAlign w:val="center"/>
          </w:tcPr>
          <w:p w14:paraId="0C30D9CA">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082" w:type="pct"/>
            <w:tcBorders>
              <w:right w:val="single" w:color="auto" w:sz="4" w:space="0"/>
            </w:tcBorders>
            <w:vAlign w:val="center"/>
          </w:tcPr>
          <w:p w14:paraId="60E1D793">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925" w:type="pct"/>
            <w:tcBorders>
              <w:right w:val="single" w:color="auto" w:sz="4" w:space="0"/>
            </w:tcBorders>
            <w:noWrap/>
            <w:vAlign w:val="center"/>
          </w:tcPr>
          <w:p w14:paraId="2E709527">
            <w:pPr>
              <w:pStyle w:val="1114"/>
              <w:adjustRightInd/>
              <w:spacing w:before="0" w:after="0" w:line="276" w:lineRule="auto"/>
              <w:jc w:val="center"/>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改性粒子</w:t>
            </w:r>
          </w:p>
        </w:tc>
        <w:tc>
          <w:tcPr>
            <w:tcW w:w="1013" w:type="pct"/>
            <w:tcBorders>
              <w:left w:val="single" w:color="auto" w:sz="4" w:space="0"/>
            </w:tcBorders>
            <w:vAlign w:val="center"/>
          </w:tcPr>
          <w:p w14:paraId="302F2EAE">
            <w:pPr>
              <w:pStyle w:val="1114"/>
              <w:adjustRightInd/>
              <w:spacing w:before="0" w:after="0" w:line="276"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20000</w:t>
            </w:r>
          </w:p>
        </w:tc>
      </w:tr>
      <w:tr w14:paraId="7CBFB2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52" w:type="pct"/>
            <w:noWrap/>
            <w:vAlign w:val="center"/>
          </w:tcPr>
          <w:p w14:paraId="1F6971B8">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425" w:type="pct"/>
            <w:tcBorders>
              <w:right w:val="single" w:color="auto" w:sz="4" w:space="0"/>
            </w:tcBorders>
            <w:noWrap/>
            <w:vAlign w:val="center"/>
          </w:tcPr>
          <w:p w14:paraId="37A8843D">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082" w:type="pct"/>
            <w:tcBorders>
              <w:right w:val="single" w:color="auto" w:sz="4" w:space="0"/>
            </w:tcBorders>
            <w:vAlign w:val="center"/>
          </w:tcPr>
          <w:p w14:paraId="73DB830E">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925" w:type="pct"/>
            <w:tcBorders>
              <w:right w:val="single" w:color="auto" w:sz="4" w:space="0"/>
            </w:tcBorders>
            <w:noWrap/>
            <w:vAlign w:val="center"/>
          </w:tcPr>
          <w:p w14:paraId="12A30473">
            <w:pPr>
              <w:pStyle w:val="1114"/>
              <w:adjustRightInd/>
              <w:spacing w:before="0" w:after="0" w:line="276" w:lineRule="auto"/>
              <w:jc w:val="center"/>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有机废气</w:t>
            </w:r>
          </w:p>
        </w:tc>
        <w:tc>
          <w:tcPr>
            <w:tcW w:w="1013" w:type="pct"/>
            <w:tcBorders>
              <w:left w:val="single" w:color="auto" w:sz="4" w:space="0"/>
            </w:tcBorders>
            <w:vAlign w:val="center"/>
          </w:tcPr>
          <w:p w14:paraId="68ACF00C">
            <w:pPr>
              <w:pStyle w:val="1114"/>
              <w:adjustRightInd/>
              <w:spacing w:before="0" w:after="0" w:line="276"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1.585</w:t>
            </w:r>
          </w:p>
        </w:tc>
      </w:tr>
      <w:tr w14:paraId="5074F0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52" w:type="pct"/>
            <w:noWrap/>
            <w:vAlign w:val="center"/>
          </w:tcPr>
          <w:p w14:paraId="53F97439">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425" w:type="pct"/>
            <w:tcBorders>
              <w:right w:val="single" w:color="auto" w:sz="4" w:space="0"/>
            </w:tcBorders>
            <w:noWrap/>
            <w:vAlign w:val="center"/>
          </w:tcPr>
          <w:p w14:paraId="6F591A0D">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082" w:type="pct"/>
            <w:tcBorders>
              <w:right w:val="single" w:color="auto" w:sz="4" w:space="0"/>
            </w:tcBorders>
            <w:vAlign w:val="center"/>
          </w:tcPr>
          <w:p w14:paraId="62ADD5D2">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925" w:type="pct"/>
            <w:tcBorders>
              <w:right w:val="single" w:color="auto" w:sz="4" w:space="0"/>
            </w:tcBorders>
            <w:noWrap/>
            <w:vAlign w:val="center"/>
          </w:tcPr>
          <w:p w14:paraId="757A3898">
            <w:pPr>
              <w:pStyle w:val="1114"/>
              <w:adjustRightInd/>
              <w:spacing w:before="0" w:after="0" w:line="276" w:lineRule="auto"/>
              <w:jc w:val="center"/>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粉尘</w:t>
            </w:r>
          </w:p>
        </w:tc>
        <w:tc>
          <w:tcPr>
            <w:tcW w:w="1013" w:type="pct"/>
            <w:tcBorders>
              <w:left w:val="single" w:color="auto" w:sz="4" w:space="0"/>
            </w:tcBorders>
            <w:vAlign w:val="center"/>
          </w:tcPr>
          <w:p w14:paraId="05FB0F24">
            <w:pPr>
              <w:pStyle w:val="1114"/>
              <w:adjustRightInd/>
              <w:spacing w:before="0" w:after="0" w:line="276"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12.91</w:t>
            </w:r>
          </w:p>
        </w:tc>
      </w:tr>
      <w:tr w14:paraId="40A47B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52" w:type="pct"/>
            <w:noWrap/>
            <w:vAlign w:val="center"/>
          </w:tcPr>
          <w:p w14:paraId="4DBB0298">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425" w:type="pct"/>
            <w:tcBorders>
              <w:right w:val="single" w:color="auto" w:sz="4" w:space="0"/>
            </w:tcBorders>
            <w:noWrap/>
            <w:vAlign w:val="center"/>
          </w:tcPr>
          <w:p w14:paraId="7F0167BE">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082" w:type="pct"/>
            <w:tcBorders>
              <w:right w:val="single" w:color="auto" w:sz="4" w:space="0"/>
            </w:tcBorders>
            <w:vAlign w:val="center"/>
          </w:tcPr>
          <w:p w14:paraId="40C5469C">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925" w:type="pct"/>
            <w:tcBorders>
              <w:right w:val="single" w:color="auto" w:sz="4" w:space="0"/>
            </w:tcBorders>
            <w:noWrap/>
            <w:vAlign w:val="center"/>
          </w:tcPr>
          <w:p w14:paraId="4A9DAF28">
            <w:pPr>
              <w:pStyle w:val="1114"/>
              <w:adjustRightInd/>
              <w:spacing w:before="0" w:after="0" w:line="276" w:lineRule="auto"/>
              <w:jc w:val="center"/>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固体杂质</w:t>
            </w:r>
          </w:p>
        </w:tc>
        <w:tc>
          <w:tcPr>
            <w:tcW w:w="1013" w:type="pct"/>
            <w:tcBorders>
              <w:left w:val="single" w:color="auto" w:sz="4" w:space="0"/>
            </w:tcBorders>
            <w:vAlign w:val="center"/>
          </w:tcPr>
          <w:p w14:paraId="2AB79ECB">
            <w:pPr>
              <w:pStyle w:val="1114"/>
              <w:adjustRightInd/>
              <w:spacing w:before="0" w:after="0" w:line="276"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185.505</w:t>
            </w:r>
          </w:p>
        </w:tc>
      </w:tr>
      <w:tr w14:paraId="19C321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52" w:type="pct"/>
            <w:noWrap/>
            <w:vAlign w:val="center"/>
          </w:tcPr>
          <w:p w14:paraId="6C899FF8">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425" w:type="pct"/>
            <w:tcBorders>
              <w:right w:val="single" w:color="auto" w:sz="4" w:space="0"/>
            </w:tcBorders>
            <w:noWrap/>
            <w:vAlign w:val="center"/>
          </w:tcPr>
          <w:p w14:paraId="1C030E76">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082" w:type="pct"/>
            <w:tcBorders>
              <w:right w:val="single" w:color="auto" w:sz="4" w:space="0"/>
            </w:tcBorders>
            <w:vAlign w:val="center"/>
          </w:tcPr>
          <w:p w14:paraId="621475AC">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925" w:type="pct"/>
            <w:tcBorders>
              <w:right w:val="single" w:color="auto" w:sz="4" w:space="0"/>
            </w:tcBorders>
            <w:noWrap/>
            <w:vAlign w:val="center"/>
          </w:tcPr>
          <w:p w14:paraId="56FB631C">
            <w:pPr>
              <w:pStyle w:val="1114"/>
              <w:adjustRightInd/>
              <w:spacing w:before="0" w:after="0" w:line="276" w:lineRule="auto"/>
              <w:jc w:val="center"/>
              <w:rPr>
                <w:rFonts w:hint="eastAsia" w:ascii="Times New Roman" w:hAnsi="Times New Roman" w:eastAsia="宋体"/>
                <w:color w:val="000000" w:themeColor="text1"/>
                <w:sz w:val="21"/>
                <w:szCs w:val="21"/>
                <w14:textFill>
                  <w14:solidFill>
                    <w14:schemeClr w14:val="tx1"/>
                  </w14:solidFill>
                </w14:textFill>
              </w:rPr>
            </w:pPr>
          </w:p>
        </w:tc>
        <w:tc>
          <w:tcPr>
            <w:tcW w:w="1013" w:type="pct"/>
            <w:tcBorders>
              <w:left w:val="single" w:color="auto" w:sz="4" w:space="0"/>
            </w:tcBorders>
            <w:vAlign w:val="center"/>
          </w:tcPr>
          <w:p w14:paraId="395EB785">
            <w:pPr>
              <w:pStyle w:val="1114"/>
              <w:adjustRightInd/>
              <w:spacing w:before="0" w:after="0" w:line="276" w:lineRule="auto"/>
              <w:jc w:val="center"/>
              <w:rPr>
                <w:rFonts w:hint="eastAsia" w:ascii="Times New Roman" w:hAnsi="Times New Roman" w:eastAsia="宋体"/>
                <w:color w:val="000000" w:themeColor="text1"/>
                <w:sz w:val="21"/>
                <w:szCs w:val="21"/>
                <w14:textFill>
                  <w14:solidFill>
                    <w14:schemeClr w14:val="tx1"/>
                  </w14:solidFill>
                </w14:textFill>
              </w:rPr>
            </w:pPr>
          </w:p>
        </w:tc>
      </w:tr>
      <w:tr w14:paraId="730AD4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52" w:type="pct"/>
            <w:noWrap/>
            <w:vAlign w:val="center"/>
          </w:tcPr>
          <w:p w14:paraId="592B3BBD">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425" w:type="pct"/>
            <w:tcBorders>
              <w:right w:val="single" w:color="auto" w:sz="4" w:space="0"/>
            </w:tcBorders>
            <w:noWrap/>
            <w:vAlign w:val="center"/>
          </w:tcPr>
          <w:p w14:paraId="21A48491">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082" w:type="pct"/>
            <w:tcBorders>
              <w:right w:val="single" w:color="auto" w:sz="4" w:space="0"/>
            </w:tcBorders>
            <w:vAlign w:val="center"/>
          </w:tcPr>
          <w:p w14:paraId="17AAD790">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925" w:type="pct"/>
            <w:tcBorders>
              <w:right w:val="single" w:color="auto" w:sz="4" w:space="0"/>
            </w:tcBorders>
            <w:noWrap/>
            <w:vAlign w:val="center"/>
          </w:tcPr>
          <w:p w14:paraId="71CB6383">
            <w:pPr>
              <w:pStyle w:val="1114"/>
              <w:adjustRightInd/>
              <w:spacing w:before="0" w:after="0" w:line="276" w:lineRule="auto"/>
              <w:jc w:val="center"/>
              <w:rPr>
                <w:rFonts w:hint="eastAsia" w:ascii="Times New Roman" w:hAnsi="Times New Roman" w:eastAsia="宋体"/>
                <w:color w:val="000000" w:themeColor="text1"/>
                <w:sz w:val="21"/>
                <w:szCs w:val="21"/>
                <w14:textFill>
                  <w14:solidFill>
                    <w14:schemeClr w14:val="tx1"/>
                  </w14:solidFill>
                </w14:textFill>
              </w:rPr>
            </w:pPr>
          </w:p>
        </w:tc>
        <w:tc>
          <w:tcPr>
            <w:tcW w:w="1013" w:type="pct"/>
            <w:tcBorders>
              <w:left w:val="single" w:color="auto" w:sz="4" w:space="0"/>
            </w:tcBorders>
            <w:vAlign w:val="center"/>
          </w:tcPr>
          <w:p w14:paraId="2B716FA7">
            <w:pPr>
              <w:pStyle w:val="1114"/>
              <w:adjustRightInd/>
              <w:spacing w:before="0" w:after="0" w:line="276" w:lineRule="auto"/>
              <w:jc w:val="center"/>
              <w:rPr>
                <w:rFonts w:hint="eastAsia" w:ascii="Times New Roman" w:hAnsi="Times New Roman" w:eastAsia="宋体"/>
                <w:color w:val="000000" w:themeColor="text1"/>
                <w:sz w:val="21"/>
                <w:szCs w:val="21"/>
                <w14:textFill>
                  <w14:solidFill>
                    <w14:schemeClr w14:val="tx1"/>
                  </w14:solidFill>
                </w14:textFill>
              </w:rPr>
            </w:pPr>
          </w:p>
        </w:tc>
      </w:tr>
      <w:tr w14:paraId="5CA346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52" w:type="pct"/>
            <w:noWrap/>
            <w:vAlign w:val="center"/>
          </w:tcPr>
          <w:p w14:paraId="6D1F92ED">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425" w:type="pct"/>
            <w:tcBorders>
              <w:right w:val="single" w:color="auto" w:sz="4" w:space="0"/>
            </w:tcBorders>
            <w:noWrap/>
            <w:vAlign w:val="center"/>
          </w:tcPr>
          <w:p w14:paraId="09BD528D">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082" w:type="pct"/>
            <w:tcBorders>
              <w:right w:val="single" w:color="auto" w:sz="4" w:space="0"/>
            </w:tcBorders>
            <w:vAlign w:val="center"/>
          </w:tcPr>
          <w:p w14:paraId="135C432A">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925" w:type="pct"/>
            <w:tcBorders>
              <w:right w:val="single" w:color="auto" w:sz="4" w:space="0"/>
            </w:tcBorders>
            <w:noWrap/>
            <w:vAlign w:val="center"/>
          </w:tcPr>
          <w:p w14:paraId="76D15867">
            <w:pPr>
              <w:pStyle w:val="1114"/>
              <w:adjustRightInd/>
              <w:spacing w:before="0" w:after="0" w:line="276" w:lineRule="auto"/>
              <w:jc w:val="center"/>
              <w:rPr>
                <w:rFonts w:hint="eastAsia" w:ascii="Times New Roman" w:hAnsi="Times New Roman" w:eastAsia="宋体"/>
                <w:color w:val="000000" w:themeColor="text1"/>
                <w:sz w:val="21"/>
                <w:szCs w:val="21"/>
                <w14:textFill>
                  <w14:solidFill>
                    <w14:schemeClr w14:val="tx1"/>
                  </w14:solidFill>
                </w14:textFill>
              </w:rPr>
            </w:pPr>
          </w:p>
        </w:tc>
        <w:tc>
          <w:tcPr>
            <w:tcW w:w="1013" w:type="pct"/>
            <w:tcBorders>
              <w:left w:val="single" w:color="auto" w:sz="4" w:space="0"/>
            </w:tcBorders>
            <w:vAlign w:val="center"/>
          </w:tcPr>
          <w:p w14:paraId="2EEAA910">
            <w:pPr>
              <w:pStyle w:val="1114"/>
              <w:adjustRightInd/>
              <w:spacing w:before="0" w:after="0" w:line="276" w:lineRule="auto"/>
              <w:jc w:val="center"/>
              <w:rPr>
                <w:rFonts w:hint="eastAsia" w:ascii="Times New Roman" w:hAnsi="Times New Roman" w:eastAsia="宋体"/>
                <w:color w:val="000000" w:themeColor="text1"/>
                <w:sz w:val="21"/>
                <w:szCs w:val="21"/>
                <w14:textFill>
                  <w14:solidFill>
                    <w14:schemeClr w14:val="tx1"/>
                  </w14:solidFill>
                </w14:textFill>
              </w:rPr>
            </w:pPr>
          </w:p>
        </w:tc>
      </w:tr>
      <w:tr w14:paraId="5106CD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52" w:type="pct"/>
            <w:noWrap/>
            <w:vAlign w:val="center"/>
          </w:tcPr>
          <w:p w14:paraId="3BF31D23">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425" w:type="pct"/>
            <w:tcBorders>
              <w:right w:val="single" w:color="auto" w:sz="4" w:space="0"/>
            </w:tcBorders>
            <w:noWrap/>
            <w:vAlign w:val="center"/>
          </w:tcPr>
          <w:p w14:paraId="3E73A1E4">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082" w:type="pct"/>
            <w:tcBorders>
              <w:right w:val="single" w:color="auto" w:sz="4" w:space="0"/>
            </w:tcBorders>
            <w:vAlign w:val="center"/>
          </w:tcPr>
          <w:p w14:paraId="769978C9">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925" w:type="pct"/>
            <w:tcBorders>
              <w:right w:val="single" w:color="auto" w:sz="4" w:space="0"/>
            </w:tcBorders>
            <w:noWrap/>
            <w:vAlign w:val="center"/>
          </w:tcPr>
          <w:p w14:paraId="13E3816C">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c>
          <w:tcPr>
            <w:tcW w:w="1013" w:type="pct"/>
            <w:tcBorders>
              <w:left w:val="single" w:color="auto" w:sz="4" w:space="0"/>
            </w:tcBorders>
            <w:vAlign w:val="center"/>
          </w:tcPr>
          <w:p w14:paraId="6D1F2B1A">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p>
        </w:tc>
      </w:tr>
      <w:tr w14:paraId="49A5D4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1978" w:type="pct"/>
            <w:gridSpan w:val="2"/>
            <w:tcBorders>
              <w:right w:val="single" w:color="auto" w:sz="4" w:space="0"/>
            </w:tcBorders>
            <w:noWrap/>
            <w:vAlign w:val="center"/>
          </w:tcPr>
          <w:p w14:paraId="43042372">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r>
              <w:rPr>
                <w:rFonts w:ascii="Times New Roman" w:hAnsi="宋体" w:eastAsia="宋体"/>
                <w:color w:val="000000" w:themeColor="text1"/>
                <w:sz w:val="21"/>
                <w:szCs w:val="21"/>
                <w14:textFill>
                  <w14:solidFill>
                    <w14:schemeClr w14:val="tx1"/>
                  </w14:solidFill>
                </w14:textFill>
              </w:rPr>
              <w:t>合计</w:t>
            </w:r>
          </w:p>
        </w:tc>
        <w:tc>
          <w:tcPr>
            <w:tcW w:w="1082" w:type="pct"/>
            <w:tcBorders>
              <w:left w:val="single" w:color="auto" w:sz="4" w:space="0"/>
              <w:right w:val="single" w:color="auto" w:sz="4" w:space="0"/>
            </w:tcBorders>
            <w:vAlign w:val="center"/>
          </w:tcPr>
          <w:p w14:paraId="513083F0">
            <w:pPr>
              <w:pStyle w:val="1114"/>
              <w:adjustRightInd/>
              <w:spacing w:before="0" w:after="0" w:line="276"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100200</w:t>
            </w:r>
          </w:p>
        </w:tc>
        <w:tc>
          <w:tcPr>
            <w:tcW w:w="925" w:type="pct"/>
            <w:tcBorders>
              <w:right w:val="single" w:color="auto" w:sz="4" w:space="0"/>
            </w:tcBorders>
            <w:noWrap/>
            <w:vAlign w:val="center"/>
          </w:tcPr>
          <w:p w14:paraId="6CABA9D2">
            <w:pPr>
              <w:pStyle w:val="1114"/>
              <w:adjustRightInd/>
              <w:spacing w:before="0" w:after="0" w:line="276" w:lineRule="auto"/>
              <w:jc w:val="center"/>
              <w:rPr>
                <w:rFonts w:ascii="Times New Roman" w:hAnsi="Times New Roman" w:eastAsia="宋体"/>
                <w:color w:val="000000" w:themeColor="text1"/>
                <w:sz w:val="21"/>
                <w:szCs w:val="21"/>
                <w14:textFill>
                  <w14:solidFill>
                    <w14:schemeClr w14:val="tx1"/>
                  </w14:solidFill>
                </w14:textFill>
              </w:rPr>
            </w:pPr>
            <w:r>
              <w:rPr>
                <w:rFonts w:ascii="Times New Roman" w:hAnsi="宋体" w:eastAsia="宋体"/>
                <w:color w:val="000000" w:themeColor="text1"/>
                <w:sz w:val="21"/>
                <w:szCs w:val="21"/>
                <w14:textFill>
                  <w14:solidFill>
                    <w14:schemeClr w14:val="tx1"/>
                  </w14:solidFill>
                </w14:textFill>
              </w:rPr>
              <w:t>合计</w:t>
            </w:r>
          </w:p>
        </w:tc>
        <w:tc>
          <w:tcPr>
            <w:tcW w:w="1013" w:type="pct"/>
            <w:tcBorders>
              <w:left w:val="single" w:color="auto" w:sz="4" w:space="0"/>
            </w:tcBorders>
            <w:vAlign w:val="center"/>
          </w:tcPr>
          <w:p w14:paraId="4E586B7B">
            <w:pPr>
              <w:pStyle w:val="1114"/>
              <w:adjustRightInd/>
              <w:spacing w:before="0" w:after="0" w:line="276"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100200</w:t>
            </w:r>
          </w:p>
        </w:tc>
      </w:tr>
    </w:tbl>
    <w:p w14:paraId="2E8668D5">
      <w:pPr>
        <w:pStyle w:val="3952"/>
        <w:spacing w:before="156"/>
        <w:outlineLvl w:val="2"/>
        <w:rPr>
          <w:rFonts w:hint="default" w:ascii="Times New Roman" w:hAnsi="Times New Roman" w:eastAsia="黑体" w:cs="Times New Roman"/>
          <w:b w:val="0"/>
          <w:color w:val="000000" w:themeColor="text1"/>
          <w14:textFill>
            <w14:solidFill>
              <w14:schemeClr w14:val="tx1"/>
            </w14:solidFill>
          </w14:textFill>
        </w:rPr>
      </w:pPr>
      <w:r>
        <w:rPr>
          <w:rFonts w:hint="default" w:ascii="Times New Roman" w:hAnsi="Times New Roman" w:eastAsia="黑体" w:cs="Times New Roman"/>
          <w:b w:val="0"/>
          <w:color w:val="000000" w:themeColor="text1"/>
          <w14:textFill>
            <w14:solidFill>
              <w14:schemeClr w14:val="tx1"/>
            </w14:solidFill>
          </w14:textFill>
        </w:rPr>
        <w:t>3.</w:t>
      </w:r>
      <w:r>
        <w:rPr>
          <w:rFonts w:hint="default" w:ascii="Times New Roman" w:hAnsi="Times New Roman" w:eastAsia="黑体" w:cs="Times New Roman"/>
          <w:b w:val="0"/>
          <w:color w:val="000000" w:themeColor="text1"/>
          <w:lang w:val="en-US" w:eastAsia="zh-CN"/>
          <w14:textFill>
            <w14:solidFill>
              <w14:schemeClr w14:val="tx1"/>
            </w14:solidFill>
          </w14:textFill>
        </w:rPr>
        <w:t>3</w:t>
      </w:r>
      <w:r>
        <w:rPr>
          <w:rFonts w:hint="default" w:ascii="Times New Roman" w:hAnsi="Times New Roman" w:eastAsia="黑体" w:cs="Times New Roman"/>
          <w:b w:val="0"/>
          <w:color w:val="000000" w:themeColor="text1"/>
          <w14:textFill>
            <w14:solidFill>
              <w14:schemeClr w14:val="tx1"/>
            </w14:solidFill>
          </w14:textFill>
        </w:rPr>
        <w:t>营运期污染源强分析及核算</w:t>
      </w:r>
      <w:bookmarkEnd w:id="55"/>
    </w:p>
    <w:p w14:paraId="7ABC3430">
      <w:pPr>
        <w:pStyle w:val="3159"/>
        <w:rPr>
          <w:rFonts w:hint="default" w:ascii="Times New Roman" w:hAnsi="Times New Roman" w:eastAsia="黑体" w:cs="Times New Roman"/>
          <w:b w:val="0"/>
          <w:color w:val="000000" w:themeColor="text1"/>
          <w14:textFill>
            <w14:solidFill>
              <w14:schemeClr w14:val="tx1"/>
            </w14:solidFill>
          </w14:textFill>
        </w:rPr>
      </w:pPr>
      <w:bookmarkStart w:id="56" w:name="_Toc173837657"/>
      <w:r>
        <w:rPr>
          <w:rFonts w:hint="default" w:ascii="Times New Roman" w:hAnsi="Times New Roman" w:eastAsia="黑体" w:cs="Times New Roman"/>
          <w:b w:val="0"/>
          <w:color w:val="000000" w:themeColor="text1"/>
          <w14:textFill>
            <w14:solidFill>
              <w14:schemeClr w14:val="tx1"/>
            </w14:solidFill>
          </w14:textFill>
        </w:rPr>
        <w:t>3.</w:t>
      </w:r>
      <w:r>
        <w:rPr>
          <w:rFonts w:hint="default" w:ascii="Times New Roman" w:hAnsi="Times New Roman" w:eastAsia="黑体" w:cs="Times New Roman"/>
          <w:b w:val="0"/>
          <w:color w:val="000000" w:themeColor="text1"/>
          <w:lang w:val="en-US" w:eastAsia="zh-CN"/>
          <w14:textFill>
            <w14:solidFill>
              <w14:schemeClr w14:val="tx1"/>
            </w14:solidFill>
          </w14:textFill>
        </w:rPr>
        <w:t>3</w:t>
      </w:r>
      <w:r>
        <w:rPr>
          <w:rFonts w:hint="default" w:ascii="Times New Roman" w:hAnsi="Times New Roman" w:eastAsia="黑体" w:cs="Times New Roman"/>
          <w:b w:val="0"/>
          <w:color w:val="000000" w:themeColor="text1"/>
          <w14:textFill>
            <w14:solidFill>
              <w14:schemeClr w14:val="tx1"/>
            </w14:solidFill>
          </w14:textFill>
        </w:rPr>
        <w:t>.1废气污染源分析</w:t>
      </w:r>
      <w:bookmarkEnd w:id="56"/>
    </w:p>
    <w:p w14:paraId="25591CA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1、有组织排放废气源强</w:t>
      </w:r>
    </w:p>
    <w:p w14:paraId="29D5248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lang w:eastAsia="zh-CN"/>
          <w14:textFill>
            <w14:solidFill>
              <w14:schemeClr w14:val="tx1"/>
            </w14:solidFill>
          </w14:textFill>
        </w:rPr>
        <w:t>改性粒子熔融挤出</w:t>
      </w:r>
      <w:r>
        <w:rPr>
          <w:rFonts w:hint="default" w:ascii="Times New Roman" w:hAnsi="Times New Roman" w:cs="Times New Roman"/>
          <w:color w:val="000000" w:themeColor="text1"/>
          <w14:textFill>
            <w14:solidFill>
              <w14:schemeClr w14:val="tx1"/>
            </w14:solidFill>
          </w14:textFill>
        </w:rPr>
        <w:t>废气</w:t>
      </w:r>
    </w:p>
    <w:p w14:paraId="723052C6">
      <w:pPr>
        <w:spacing w:line="360" w:lineRule="auto"/>
        <w:ind w:firstLine="472" w:firstLineChars="20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本项目</w:t>
      </w:r>
      <w:r>
        <w:rPr>
          <w:rFonts w:hint="default" w:ascii="Times New Roman" w:hAnsi="Times New Roman" w:cs="Times New Roman"/>
          <w:bCs/>
          <w:color w:val="000000" w:themeColor="text1"/>
          <w:sz w:val="24"/>
          <w:lang w:eastAsia="zh-CN"/>
          <w14:textFill>
            <w14:solidFill>
              <w14:schemeClr w14:val="tx1"/>
            </w14:solidFill>
          </w14:textFill>
        </w:rPr>
        <w:t>改性粒子熔融挤出过程中</w:t>
      </w:r>
      <w:r>
        <w:rPr>
          <w:rFonts w:hint="default" w:ascii="Times New Roman" w:hAnsi="Times New Roman" w:cs="Times New Roman"/>
          <w:bCs/>
          <w:color w:val="000000" w:themeColor="text1"/>
          <w:sz w:val="24"/>
          <w14:textFill>
            <w14:solidFill>
              <w14:schemeClr w14:val="tx1"/>
            </w14:solidFill>
          </w14:textFill>
        </w:rPr>
        <w:t>加热</w:t>
      </w:r>
      <w:r>
        <w:rPr>
          <w:rFonts w:hint="default" w:ascii="Times New Roman" w:hAnsi="Times New Roman" w:cs="Times New Roman"/>
          <w:bCs/>
          <w:color w:val="000000" w:themeColor="text1"/>
          <w:sz w:val="24"/>
          <w:lang w:eastAsia="zh-CN"/>
          <w14:textFill>
            <w14:solidFill>
              <w14:schemeClr w14:val="tx1"/>
            </w14:solidFill>
          </w14:textFill>
        </w:rPr>
        <w:t>会产生少量有机废气（以非甲烷总烃计），</w:t>
      </w:r>
      <w:r>
        <w:rPr>
          <w:rFonts w:hint="default" w:ascii="Times New Roman" w:hAnsi="Times New Roman" w:cs="Times New Roman"/>
          <w:bCs/>
          <w:color w:val="000000" w:themeColor="text1"/>
          <w:sz w:val="24"/>
          <w14:textFill>
            <w14:solidFill>
              <w14:schemeClr w14:val="tx1"/>
            </w14:solidFill>
          </w14:textFill>
        </w:rPr>
        <w:t>参照《2822 涤纶纤维制造行业系数表》可知，</w:t>
      </w:r>
      <w:r>
        <w:rPr>
          <w:rFonts w:hint="default" w:ascii="Times New Roman" w:hAnsi="Times New Roman" w:cs="Times New Roman"/>
          <w:bCs/>
          <w:color w:val="000000" w:themeColor="text1"/>
          <w:sz w:val="24"/>
          <w:lang w:eastAsia="zh-CN"/>
          <w14:textFill>
            <w14:solidFill>
              <w14:schemeClr w14:val="tx1"/>
            </w14:solidFill>
          </w14:textFill>
        </w:rPr>
        <w:t>非甲烷总烃</w:t>
      </w:r>
      <w:r>
        <w:rPr>
          <w:rFonts w:hint="default" w:ascii="Times New Roman" w:hAnsi="Times New Roman" w:cs="Times New Roman"/>
          <w:bCs/>
          <w:color w:val="000000" w:themeColor="text1"/>
          <w:sz w:val="24"/>
          <w14:textFill>
            <w14:solidFill>
              <w14:schemeClr w14:val="tx1"/>
            </w14:solidFill>
          </w14:textFill>
        </w:rPr>
        <w:t>产生系数为</w:t>
      </w:r>
      <w:r>
        <w:rPr>
          <w:rFonts w:hint="eastAsia" w:cs="Times New Roman"/>
          <w:bCs/>
          <w:color w:val="000000" w:themeColor="text1"/>
          <w:sz w:val="24"/>
          <w:lang w:val="en-US" w:eastAsia="zh-CN"/>
          <w14:textFill>
            <w14:solidFill>
              <w14:schemeClr w14:val="tx1"/>
            </w14:solidFill>
          </w14:textFill>
        </w:rPr>
        <w:t>42.28</w:t>
      </w:r>
      <w:r>
        <w:rPr>
          <w:rFonts w:hint="default" w:ascii="Times New Roman" w:hAnsi="Times New Roman" w:cs="Times New Roman"/>
          <w:bCs/>
          <w:color w:val="000000" w:themeColor="text1"/>
          <w:sz w:val="24"/>
          <w14:textFill>
            <w14:solidFill>
              <w14:schemeClr w14:val="tx1"/>
            </w14:solidFill>
          </w14:textFill>
        </w:rPr>
        <w:t>g/</w:t>
      </w:r>
      <w:r>
        <w:rPr>
          <w:rFonts w:hint="default" w:ascii="Times New Roman" w:hAnsi="Times New Roman" w:cs="Times New Roman"/>
          <w:bCs/>
          <w:color w:val="000000" w:themeColor="text1"/>
          <w:sz w:val="24"/>
          <w:lang w:val="en-US" w:eastAsia="zh-CN"/>
          <w14:textFill>
            <w14:solidFill>
              <w14:schemeClr w14:val="tx1"/>
            </w14:solidFill>
          </w14:textFill>
        </w:rPr>
        <w:t>t</w:t>
      </w:r>
      <w:r>
        <w:rPr>
          <w:rFonts w:hint="default" w:ascii="Times New Roman" w:hAnsi="Times New Roman" w:cs="Times New Roman"/>
          <w:bCs/>
          <w:color w:val="000000" w:themeColor="text1"/>
          <w:sz w:val="24"/>
          <w14:textFill>
            <w14:solidFill>
              <w14:schemeClr w14:val="tx1"/>
            </w14:solidFill>
          </w14:textFill>
        </w:rPr>
        <w:t>-</w:t>
      </w:r>
      <w:r>
        <w:rPr>
          <w:rFonts w:hint="eastAsia" w:cs="Times New Roman"/>
          <w:bCs/>
          <w:color w:val="000000" w:themeColor="text1"/>
          <w:sz w:val="24"/>
          <w:lang w:eastAsia="zh-CN"/>
          <w14:textFill>
            <w14:solidFill>
              <w14:schemeClr w14:val="tx1"/>
            </w14:solidFill>
          </w14:textFill>
        </w:rPr>
        <w:t>产品</w:t>
      </w:r>
      <w:r>
        <w:rPr>
          <w:rFonts w:hint="default" w:ascii="Times New Roman" w:hAnsi="Times New Roman" w:cs="Times New Roman"/>
          <w:bCs/>
          <w:color w:val="000000" w:themeColor="text1"/>
          <w:sz w:val="24"/>
          <w14:textFill>
            <w14:solidFill>
              <w14:schemeClr w14:val="tx1"/>
            </w14:solidFill>
          </w14:textFill>
        </w:rPr>
        <w:t>，</w:t>
      </w:r>
      <w:r>
        <w:rPr>
          <w:rFonts w:hint="eastAsia" w:cs="Times New Roman"/>
          <w:bCs/>
          <w:color w:val="000000" w:themeColor="text1"/>
          <w:sz w:val="24"/>
          <w:lang w:val="en-US" w:eastAsia="zh-CN"/>
          <w14:textFill>
            <w14:solidFill>
              <w14:schemeClr w14:val="tx1"/>
            </w14:solidFill>
          </w14:textFill>
        </w:rPr>
        <w:t>PET</w:t>
      </w:r>
      <w:r>
        <w:rPr>
          <w:rFonts w:hint="default" w:ascii="Times New Roman" w:hAnsi="Times New Roman" w:cs="Times New Roman"/>
          <w:bCs/>
          <w:color w:val="000000" w:themeColor="text1"/>
          <w:sz w:val="24"/>
          <w:lang w:eastAsia="zh-CN"/>
          <w14:textFill>
            <w14:solidFill>
              <w14:schemeClr w14:val="tx1"/>
            </w14:solidFill>
          </w14:textFill>
        </w:rPr>
        <w:t>改性粒子</w:t>
      </w:r>
      <w:r>
        <w:rPr>
          <w:rFonts w:hint="eastAsia" w:cs="Times New Roman"/>
          <w:bCs/>
          <w:color w:val="000000" w:themeColor="text1"/>
          <w:sz w:val="24"/>
          <w:lang w:eastAsia="zh-CN"/>
          <w14:textFill>
            <w14:solidFill>
              <w14:schemeClr w14:val="tx1"/>
            </w14:solidFill>
          </w14:textFill>
        </w:rPr>
        <w:t>产</w:t>
      </w:r>
      <w:r>
        <w:rPr>
          <w:rFonts w:hint="default" w:ascii="Times New Roman" w:hAnsi="Times New Roman" w:cs="Times New Roman"/>
          <w:bCs/>
          <w:color w:val="000000" w:themeColor="text1"/>
          <w:sz w:val="24"/>
          <w14:textFill>
            <w14:solidFill>
              <w14:schemeClr w14:val="tx1"/>
            </w14:solidFill>
          </w14:textFill>
        </w:rPr>
        <w:t>量为</w:t>
      </w:r>
      <w:r>
        <w:rPr>
          <w:rFonts w:hint="default" w:ascii="Times New Roman" w:hAnsi="Times New Roman" w:cs="Times New Roman"/>
          <w:bCs/>
          <w:color w:val="000000" w:themeColor="text1"/>
          <w:sz w:val="24"/>
          <w:lang w:val="en-US" w:eastAsia="zh-CN"/>
          <w14:textFill>
            <w14:solidFill>
              <w14:schemeClr w14:val="tx1"/>
            </w14:solidFill>
          </w14:textFill>
        </w:rPr>
        <w:t>2000</w:t>
      </w:r>
      <w:r>
        <w:rPr>
          <w:rFonts w:hint="eastAsia" w:cs="Times New Roman"/>
          <w:bCs/>
          <w:color w:val="000000" w:themeColor="text1"/>
          <w:sz w:val="24"/>
          <w:lang w:val="en-US" w:eastAsia="zh-CN"/>
          <w14:textFill>
            <w14:solidFill>
              <w14:schemeClr w14:val="tx1"/>
            </w14:solidFill>
          </w14:textFill>
        </w:rPr>
        <w:t>0</w:t>
      </w:r>
      <w:r>
        <w:rPr>
          <w:rFonts w:hint="default" w:ascii="Times New Roman" w:hAnsi="Times New Roman" w:cs="Times New Roman"/>
          <w:bCs/>
          <w:color w:val="000000" w:themeColor="text1"/>
          <w:sz w:val="24"/>
          <w14:textFill>
            <w14:solidFill>
              <w14:schemeClr w14:val="tx1"/>
            </w14:solidFill>
          </w14:textFill>
        </w:rPr>
        <w:t>t/a，则</w:t>
      </w:r>
      <w:r>
        <w:rPr>
          <w:rFonts w:hint="default" w:ascii="Times New Roman" w:hAnsi="Times New Roman" w:cs="Times New Roman"/>
          <w:bCs/>
          <w:color w:val="000000" w:themeColor="text1"/>
          <w:sz w:val="24"/>
          <w:lang w:eastAsia="zh-CN"/>
          <w14:textFill>
            <w14:solidFill>
              <w14:schemeClr w14:val="tx1"/>
            </w14:solidFill>
          </w14:textFill>
        </w:rPr>
        <w:t>非甲烷总烃</w:t>
      </w:r>
      <w:r>
        <w:rPr>
          <w:rFonts w:hint="default" w:ascii="Times New Roman" w:hAnsi="Times New Roman" w:cs="Times New Roman"/>
          <w:bCs/>
          <w:color w:val="000000" w:themeColor="text1"/>
          <w:sz w:val="24"/>
          <w14:textFill>
            <w14:solidFill>
              <w14:schemeClr w14:val="tx1"/>
            </w14:solidFill>
          </w14:textFill>
        </w:rPr>
        <w:t>产生量为</w:t>
      </w:r>
      <w:r>
        <w:rPr>
          <w:rFonts w:hint="eastAsia" w:cs="Times New Roman"/>
          <w:bCs/>
          <w:color w:val="000000" w:themeColor="text1"/>
          <w:sz w:val="24"/>
          <w:lang w:val="en-US" w:eastAsia="zh-CN"/>
          <w14:textFill>
            <w14:solidFill>
              <w14:schemeClr w14:val="tx1"/>
            </w14:solidFill>
          </w14:textFill>
        </w:rPr>
        <w:t>0.85</w:t>
      </w:r>
      <w:r>
        <w:rPr>
          <w:rFonts w:hint="default" w:ascii="Times New Roman" w:hAnsi="Times New Roman" w:cs="Times New Roman"/>
          <w:bCs/>
          <w:color w:val="000000" w:themeColor="text1"/>
          <w:sz w:val="24"/>
          <w14:textFill>
            <w14:solidFill>
              <w14:schemeClr w14:val="tx1"/>
            </w14:solidFill>
          </w14:textFill>
        </w:rPr>
        <w:t>t/a。区域封闭并在</w:t>
      </w:r>
      <w:r>
        <w:rPr>
          <w:rFonts w:hint="default" w:ascii="Times New Roman" w:hAnsi="Times New Roman" w:cs="Times New Roman"/>
          <w:bCs/>
          <w:color w:val="000000" w:themeColor="text1"/>
          <w:sz w:val="24"/>
          <w:lang w:eastAsia="zh-CN"/>
          <w14:textFill>
            <w14:solidFill>
              <w14:schemeClr w14:val="tx1"/>
            </w14:solidFill>
          </w14:textFill>
        </w:rPr>
        <w:t>设备</w:t>
      </w:r>
      <w:r>
        <w:rPr>
          <w:rFonts w:hint="default" w:ascii="Times New Roman" w:hAnsi="Times New Roman" w:cs="Times New Roman"/>
          <w:bCs/>
          <w:color w:val="000000" w:themeColor="text1"/>
          <w:sz w:val="24"/>
          <w14:textFill>
            <w14:solidFill>
              <w14:schemeClr w14:val="tx1"/>
            </w14:solidFill>
          </w14:textFill>
        </w:rPr>
        <w:t>上方安装集气罩，</w:t>
      </w:r>
      <w:r>
        <w:rPr>
          <w:rFonts w:hint="default" w:ascii="Times New Roman" w:hAnsi="Times New Roman" w:cs="Times New Roman"/>
          <w:bCs/>
          <w:color w:val="000000" w:themeColor="text1"/>
          <w:sz w:val="24"/>
          <w:lang w:eastAsia="zh-CN"/>
          <w14:textFill>
            <w14:solidFill>
              <w14:schemeClr w14:val="tx1"/>
            </w14:solidFill>
          </w14:textFill>
        </w:rPr>
        <w:t>封闭区域为</w:t>
      </w:r>
      <w:r>
        <w:rPr>
          <w:rFonts w:hint="eastAsia" w:cs="Times New Roman"/>
          <w:bCs/>
          <w:color w:val="000000" w:themeColor="text1"/>
          <w:sz w:val="24"/>
          <w:lang w:val="en-US" w:eastAsia="zh-CN"/>
          <w14:textFill>
            <w14:solidFill>
              <w14:schemeClr w14:val="tx1"/>
            </w14:solidFill>
          </w14:textFill>
        </w:rPr>
        <w:t>5</w:t>
      </w:r>
      <w:r>
        <w:rPr>
          <w:rFonts w:hint="default" w:ascii="Times New Roman" w:hAnsi="Times New Roman" w:cs="Times New Roman"/>
          <w:bCs/>
          <w:color w:val="000000" w:themeColor="text1"/>
          <w:sz w:val="24"/>
          <w:lang w:val="en-US" w:eastAsia="zh-CN"/>
          <w14:textFill>
            <w14:solidFill>
              <w14:schemeClr w14:val="tx1"/>
            </w14:solidFill>
          </w14:textFill>
        </w:rPr>
        <w:t>m*</w:t>
      </w:r>
      <w:r>
        <w:rPr>
          <w:rFonts w:hint="eastAsia" w:cs="Times New Roman"/>
          <w:bCs/>
          <w:color w:val="000000" w:themeColor="text1"/>
          <w:sz w:val="24"/>
          <w:lang w:val="en-US" w:eastAsia="zh-CN"/>
          <w14:textFill>
            <w14:solidFill>
              <w14:schemeClr w14:val="tx1"/>
            </w14:solidFill>
          </w14:textFill>
        </w:rPr>
        <w:t>5</w:t>
      </w:r>
      <w:r>
        <w:rPr>
          <w:rFonts w:hint="default" w:ascii="Times New Roman" w:hAnsi="Times New Roman" w:cs="Times New Roman"/>
          <w:bCs/>
          <w:color w:val="000000" w:themeColor="text1"/>
          <w:sz w:val="24"/>
          <w:lang w:val="en-US" w:eastAsia="zh-CN"/>
          <w14:textFill>
            <w14:solidFill>
              <w14:schemeClr w14:val="tx1"/>
            </w14:solidFill>
          </w14:textFill>
        </w:rPr>
        <w:t>m*10m，换气次数按20次/h计，则</w:t>
      </w:r>
      <w:r>
        <w:rPr>
          <w:rFonts w:hint="default" w:ascii="Times New Roman" w:hAnsi="Times New Roman" w:cs="Times New Roman"/>
          <w:bCs/>
          <w:color w:val="000000" w:themeColor="text1"/>
          <w:sz w:val="24"/>
          <w14:textFill>
            <w14:solidFill>
              <w14:schemeClr w14:val="tx1"/>
            </w14:solidFill>
          </w14:textFill>
        </w:rPr>
        <w:t>风量</w:t>
      </w:r>
      <w:r>
        <w:rPr>
          <w:rFonts w:hint="default" w:ascii="Times New Roman" w:hAnsi="Times New Roman" w:cs="Times New Roman"/>
          <w:bCs/>
          <w:color w:val="000000" w:themeColor="text1"/>
          <w:sz w:val="24"/>
          <w:lang w:eastAsia="zh-CN"/>
          <w14:textFill>
            <w14:solidFill>
              <w14:schemeClr w14:val="tx1"/>
            </w14:solidFill>
          </w14:textFill>
        </w:rPr>
        <w:t>为</w:t>
      </w:r>
      <w:r>
        <w:rPr>
          <w:rFonts w:hint="eastAsia" w:cs="Times New Roman"/>
          <w:bCs/>
          <w:color w:val="000000" w:themeColor="text1"/>
          <w:sz w:val="24"/>
          <w:lang w:val="en-US" w:eastAsia="zh-CN"/>
          <w14:textFill>
            <w14:solidFill>
              <w14:schemeClr w14:val="tx1"/>
            </w14:solidFill>
          </w14:textFill>
        </w:rPr>
        <w:t>5</w:t>
      </w:r>
      <w:r>
        <w:rPr>
          <w:rFonts w:hint="default" w:ascii="Times New Roman" w:hAnsi="Times New Roman" w:cs="Times New Roman"/>
          <w:bCs/>
          <w:color w:val="000000" w:themeColor="text1"/>
          <w:sz w:val="24"/>
          <w14:textFill>
            <w14:solidFill>
              <w14:schemeClr w14:val="tx1"/>
            </w14:solidFill>
          </w14:textFill>
        </w:rPr>
        <w:t>000m</w:t>
      </w:r>
      <w:r>
        <w:rPr>
          <w:rFonts w:hint="default" w:ascii="Times New Roman" w:hAnsi="Times New Roman" w:cs="Times New Roman"/>
          <w:bCs/>
          <w:color w:val="000000" w:themeColor="text1"/>
          <w:sz w:val="24"/>
          <w:vertAlign w:val="superscript"/>
          <w14:textFill>
            <w14:solidFill>
              <w14:schemeClr w14:val="tx1"/>
            </w14:solidFill>
          </w14:textFill>
        </w:rPr>
        <w:t>3</w:t>
      </w:r>
      <w:r>
        <w:rPr>
          <w:rFonts w:hint="default" w:ascii="Times New Roman" w:hAnsi="Times New Roman" w:cs="Times New Roman"/>
          <w:bCs/>
          <w:color w:val="000000" w:themeColor="text1"/>
          <w:sz w:val="24"/>
          <w14:textFill>
            <w14:solidFill>
              <w14:schemeClr w14:val="tx1"/>
            </w14:solidFill>
          </w14:textFill>
        </w:rPr>
        <w:t>/h，收集效率为9</w:t>
      </w:r>
      <w:r>
        <w:rPr>
          <w:rFonts w:hint="default" w:ascii="Times New Roman" w:hAnsi="Times New Roman" w:cs="Times New Roman"/>
          <w:bCs/>
          <w:color w:val="000000" w:themeColor="text1"/>
          <w:sz w:val="24"/>
          <w:lang w:val="en-US" w:eastAsia="zh-CN"/>
          <w14:textFill>
            <w14:solidFill>
              <w14:schemeClr w14:val="tx1"/>
            </w14:solidFill>
          </w14:textFill>
        </w:rPr>
        <w:t>8</w:t>
      </w:r>
      <w:r>
        <w:rPr>
          <w:rFonts w:hint="default" w:ascii="Times New Roman" w:hAnsi="Times New Roman" w:cs="Times New Roman"/>
          <w:bCs/>
          <w:color w:val="000000" w:themeColor="text1"/>
          <w:sz w:val="24"/>
          <w14:textFill>
            <w14:solidFill>
              <w14:schemeClr w14:val="tx1"/>
            </w14:solidFill>
          </w14:textFill>
        </w:rPr>
        <w:t>%，收集的</w:t>
      </w:r>
      <w:r>
        <w:rPr>
          <w:rFonts w:hint="default" w:ascii="Times New Roman" w:hAnsi="Times New Roman" w:cs="Times New Roman"/>
          <w:bCs/>
          <w:color w:val="000000" w:themeColor="text1"/>
          <w:sz w:val="24"/>
          <w:lang w:eastAsia="zh-CN"/>
          <w14:textFill>
            <w14:solidFill>
              <w14:schemeClr w14:val="tx1"/>
            </w14:solidFill>
          </w14:textFill>
        </w:rPr>
        <w:t>非甲烷总烃</w:t>
      </w:r>
      <w:r>
        <w:rPr>
          <w:rFonts w:hint="default" w:ascii="Times New Roman" w:hAnsi="Times New Roman" w:cs="Times New Roman"/>
          <w:bCs/>
          <w:color w:val="000000" w:themeColor="text1"/>
          <w:sz w:val="24"/>
          <w14:textFill>
            <w14:solidFill>
              <w14:schemeClr w14:val="tx1"/>
            </w14:solidFill>
          </w14:textFill>
        </w:rPr>
        <w:t>为</w:t>
      </w:r>
      <w:r>
        <w:rPr>
          <w:rFonts w:hint="eastAsia" w:cs="Times New Roman"/>
          <w:bCs/>
          <w:color w:val="000000" w:themeColor="text1"/>
          <w:sz w:val="24"/>
          <w:lang w:val="en-US" w:eastAsia="zh-CN"/>
          <w14:textFill>
            <w14:solidFill>
              <w14:schemeClr w14:val="tx1"/>
            </w14:solidFill>
          </w14:textFill>
        </w:rPr>
        <w:t>0.83</w:t>
      </w:r>
      <w:r>
        <w:rPr>
          <w:rFonts w:hint="default" w:ascii="Times New Roman" w:hAnsi="Times New Roman" w:cs="Times New Roman"/>
          <w:bCs/>
          <w:color w:val="000000" w:themeColor="text1"/>
          <w:sz w:val="24"/>
          <w14:textFill>
            <w14:solidFill>
              <w14:schemeClr w14:val="tx1"/>
            </w14:solidFill>
          </w14:textFill>
        </w:rPr>
        <w:t>t/a，经“</w:t>
      </w:r>
      <w:r>
        <w:rPr>
          <w:rFonts w:hint="default" w:ascii="Times New Roman" w:hAnsi="Times New Roman" w:cs="Times New Roman"/>
          <w:bCs/>
          <w:color w:val="000000" w:themeColor="text1"/>
          <w:sz w:val="24"/>
          <w:lang w:eastAsia="zh-CN"/>
          <w14:textFill>
            <w14:solidFill>
              <w14:schemeClr w14:val="tx1"/>
            </w14:solidFill>
          </w14:textFill>
        </w:rPr>
        <w:t>油烟净化器</w:t>
      </w:r>
      <w:r>
        <w:rPr>
          <w:rFonts w:hint="default" w:ascii="Times New Roman" w:hAnsi="Times New Roman" w:cs="Times New Roman"/>
          <w:bCs/>
          <w:color w:val="000000" w:themeColor="text1"/>
          <w:sz w:val="24"/>
          <w14:textFill>
            <w14:solidFill>
              <w14:schemeClr w14:val="tx1"/>
            </w14:solidFill>
          </w14:textFill>
        </w:rPr>
        <w:t>+</w:t>
      </w:r>
      <w:r>
        <w:rPr>
          <w:rFonts w:hint="eastAsia" w:cs="Times New Roman"/>
          <w:bCs/>
          <w:color w:val="000000" w:themeColor="text1"/>
          <w:sz w:val="24"/>
          <w:lang w:eastAsia="zh-CN"/>
          <w14:textFill>
            <w14:solidFill>
              <w14:schemeClr w14:val="tx1"/>
            </w14:solidFill>
          </w14:textFill>
        </w:rPr>
        <w:t>两级活性炭吸附</w:t>
      </w:r>
      <w:r>
        <w:rPr>
          <w:rFonts w:hint="default" w:ascii="Times New Roman" w:hAnsi="Times New Roman" w:cs="Times New Roman"/>
          <w:bCs/>
          <w:color w:val="000000" w:themeColor="text1"/>
          <w:sz w:val="24"/>
          <w14:textFill>
            <w14:solidFill>
              <w14:schemeClr w14:val="tx1"/>
            </w14:solidFill>
          </w14:textFill>
        </w:rPr>
        <w:t>”环保设施处理，处理效率为9</w:t>
      </w:r>
      <w:r>
        <w:rPr>
          <w:rFonts w:hint="default" w:ascii="Times New Roman" w:hAnsi="Times New Roman" w:cs="Times New Roman"/>
          <w:bCs/>
          <w:color w:val="000000" w:themeColor="text1"/>
          <w:sz w:val="24"/>
          <w:lang w:val="en-US" w:eastAsia="zh-CN"/>
          <w14:textFill>
            <w14:solidFill>
              <w14:schemeClr w14:val="tx1"/>
            </w14:solidFill>
          </w14:textFill>
        </w:rPr>
        <w:t>0</w:t>
      </w:r>
      <w:r>
        <w:rPr>
          <w:rFonts w:hint="default" w:ascii="Times New Roman" w:hAnsi="Times New Roman" w:cs="Times New Roman"/>
          <w:bCs/>
          <w:color w:val="000000" w:themeColor="text1"/>
          <w:sz w:val="24"/>
          <w14:textFill>
            <w14:solidFill>
              <w14:schemeClr w14:val="tx1"/>
            </w14:solidFill>
          </w14:textFill>
        </w:rPr>
        <w:t>%，</w:t>
      </w:r>
      <w:r>
        <w:rPr>
          <w:rFonts w:hint="default" w:ascii="Times New Roman" w:hAnsi="Times New Roman" w:cs="Times New Roman"/>
          <w:bCs/>
          <w:color w:val="000000" w:themeColor="text1"/>
          <w:sz w:val="24"/>
          <w:lang w:eastAsia="zh-CN"/>
          <w14:textFill>
            <w14:solidFill>
              <w14:schemeClr w14:val="tx1"/>
            </w14:solidFill>
          </w14:textFill>
        </w:rPr>
        <w:t>非甲烷总烃</w:t>
      </w:r>
      <w:r>
        <w:rPr>
          <w:rFonts w:hint="default" w:ascii="Times New Roman" w:hAnsi="Times New Roman" w:cs="Times New Roman"/>
          <w:bCs/>
          <w:color w:val="000000" w:themeColor="text1"/>
          <w:sz w:val="24"/>
          <w14:textFill>
            <w14:solidFill>
              <w14:schemeClr w14:val="tx1"/>
            </w14:solidFill>
          </w14:textFill>
        </w:rPr>
        <w:t>的最终排放量0.</w:t>
      </w:r>
      <w:r>
        <w:rPr>
          <w:rFonts w:hint="eastAsia" w:cs="Times New Roman"/>
          <w:bCs/>
          <w:color w:val="000000" w:themeColor="text1"/>
          <w:sz w:val="24"/>
          <w:lang w:val="en-US" w:eastAsia="zh-CN"/>
          <w14:textFill>
            <w14:solidFill>
              <w14:schemeClr w14:val="tx1"/>
            </w14:solidFill>
          </w14:textFill>
        </w:rPr>
        <w:t>083</w:t>
      </w:r>
      <w:r>
        <w:rPr>
          <w:rFonts w:hint="default" w:ascii="Times New Roman" w:hAnsi="Times New Roman" w:cs="Times New Roman"/>
          <w:bCs/>
          <w:color w:val="000000" w:themeColor="text1"/>
          <w:sz w:val="24"/>
          <w14:textFill>
            <w14:solidFill>
              <w14:schemeClr w14:val="tx1"/>
            </w14:solidFill>
          </w14:textFill>
        </w:rPr>
        <w:t>t/a，由1根15m高（1#）排气筒高空排放。</w:t>
      </w:r>
    </w:p>
    <w:p w14:paraId="720F851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eastAsia="zh-CN"/>
          <w14:textFill>
            <w14:solidFill>
              <w14:schemeClr w14:val="tx1"/>
            </w14:solidFill>
          </w14:textFill>
        </w:rPr>
        <w:t>废</w:t>
      </w:r>
      <w:r>
        <w:rPr>
          <w:rFonts w:hint="default" w:ascii="Times New Roman" w:hAnsi="Times New Roman" w:cs="Times New Roman"/>
          <w:color w:val="000000" w:themeColor="text1"/>
          <w:lang w:eastAsia="zh-CN"/>
          <w14:textFill>
            <w14:solidFill>
              <w14:schemeClr w14:val="tx1"/>
            </w14:solidFill>
          </w14:textFill>
        </w:rPr>
        <w:t>标签纸</w:t>
      </w:r>
      <w:r>
        <w:rPr>
          <w:rFonts w:hint="eastAsia" w:ascii="Times New Roman" w:hAnsi="Times New Roman" w:cs="Times New Roman"/>
          <w:color w:val="000000" w:themeColor="text1"/>
          <w:lang w:eastAsia="zh-CN"/>
          <w14:textFill>
            <w14:solidFill>
              <w14:schemeClr w14:val="tx1"/>
            </w14:solidFill>
          </w14:textFill>
        </w:rPr>
        <w:t>高温分选</w:t>
      </w:r>
      <w:r>
        <w:rPr>
          <w:rFonts w:hint="default" w:ascii="Times New Roman" w:hAnsi="Times New Roman" w:cs="Times New Roman"/>
          <w:color w:val="000000" w:themeColor="text1"/>
          <w14:textFill>
            <w14:solidFill>
              <w14:schemeClr w14:val="tx1"/>
            </w14:solidFill>
          </w14:textFill>
        </w:rPr>
        <w:t>废气</w:t>
      </w:r>
    </w:p>
    <w:p w14:paraId="75FE3E07">
      <w:pPr>
        <w:spacing w:line="360" w:lineRule="auto"/>
        <w:ind w:firstLine="472" w:firstLineChars="20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本项目</w:t>
      </w:r>
      <w:r>
        <w:rPr>
          <w:rFonts w:hint="default" w:ascii="Times New Roman" w:hAnsi="Times New Roman" w:cs="Times New Roman"/>
          <w:bCs/>
          <w:color w:val="000000" w:themeColor="text1"/>
          <w:sz w:val="24"/>
          <w:lang w:eastAsia="zh-CN"/>
          <w14:textFill>
            <w14:solidFill>
              <w14:schemeClr w14:val="tx1"/>
            </w14:solidFill>
          </w14:textFill>
        </w:rPr>
        <w:t>标签纸（</w:t>
      </w:r>
      <w:r>
        <w:rPr>
          <w:rFonts w:hint="default" w:ascii="Times New Roman" w:hAnsi="Times New Roman" w:cs="Times New Roman"/>
          <w:bCs/>
          <w:color w:val="000000" w:themeColor="text1"/>
          <w:sz w:val="24"/>
          <w:lang w:val="en-US" w:eastAsia="zh-CN"/>
          <w14:textFill>
            <w14:solidFill>
              <w14:schemeClr w14:val="tx1"/>
            </w14:solidFill>
          </w14:textFill>
        </w:rPr>
        <w:t>PP材质</w:t>
      </w:r>
      <w:r>
        <w:rPr>
          <w:rFonts w:hint="default" w:ascii="Times New Roman" w:hAnsi="Times New Roman" w:cs="Times New Roman"/>
          <w:bCs/>
          <w:color w:val="000000" w:themeColor="text1"/>
          <w:sz w:val="24"/>
          <w:lang w:eastAsia="zh-CN"/>
          <w14:textFill>
            <w14:solidFill>
              <w14:schemeClr w14:val="tx1"/>
            </w14:solidFill>
          </w14:textFill>
        </w:rPr>
        <w:t>）</w:t>
      </w:r>
      <w:r>
        <w:rPr>
          <w:rFonts w:hint="eastAsia" w:cs="Times New Roman"/>
          <w:bCs/>
          <w:color w:val="000000" w:themeColor="text1"/>
          <w:sz w:val="24"/>
          <w:lang w:eastAsia="zh-CN"/>
          <w14:textFill>
            <w14:solidFill>
              <w14:schemeClr w14:val="tx1"/>
            </w14:solidFill>
          </w14:textFill>
        </w:rPr>
        <w:t>高温分选</w:t>
      </w:r>
      <w:r>
        <w:rPr>
          <w:rFonts w:hint="default" w:ascii="Times New Roman" w:hAnsi="Times New Roman" w:cs="Times New Roman"/>
          <w:bCs/>
          <w:color w:val="000000" w:themeColor="text1"/>
          <w:sz w:val="24"/>
          <w:lang w:eastAsia="zh-CN"/>
          <w14:textFill>
            <w14:solidFill>
              <w14:schemeClr w14:val="tx1"/>
            </w14:solidFill>
          </w14:textFill>
        </w:rPr>
        <w:t>过程中</w:t>
      </w:r>
      <w:r>
        <w:rPr>
          <w:rFonts w:hint="default" w:ascii="Times New Roman" w:hAnsi="Times New Roman" w:cs="Times New Roman"/>
          <w:bCs/>
          <w:color w:val="000000" w:themeColor="text1"/>
          <w:sz w:val="24"/>
          <w14:textFill>
            <w14:solidFill>
              <w14:schemeClr w14:val="tx1"/>
            </w14:solidFill>
          </w14:textFill>
        </w:rPr>
        <w:t>加热</w:t>
      </w:r>
      <w:r>
        <w:rPr>
          <w:rFonts w:hint="default" w:ascii="Times New Roman" w:hAnsi="Times New Roman" w:cs="Times New Roman"/>
          <w:bCs/>
          <w:color w:val="000000" w:themeColor="text1"/>
          <w:sz w:val="24"/>
          <w:lang w:eastAsia="zh-CN"/>
          <w14:textFill>
            <w14:solidFill>
              <w14:schemeClr w14:val="tx1"/>
            </w14:solidFill>
          </w14:textFill>
        </w:rPr>
        <w:t>会产生少量有机废气（以非甲烷总烃计），团粒机全封闭，</w:t>
      </w:r>
      <w:r>
        <w:rPr>
          <w:rFonts w:hint="default" w:ascii="Times New Roman" w:hAnsi="Times New Roman" w:cs="Times New Roman"/>
          <w:bCs/>
          <w:color w:val="000000" w:themeColor="text1"/>
          <w:sz w:val="24"/>
          <w14:textFill>
            <w14:solidFill>
              <w14:schemeClr w14:val="tx1"/>
            </w14:solidFill>
          </w14:textFill>
        </w:rPr>
        <w:t>参照《4220 非金属废料和碎屑加工处理行业系数表》可知，</w:t>
      </w:r>
      <w:r>
        <w:rPr>
          <w:rFonts w:hint="default" w:ascii="Times New Roman" w:hAnsi="Times New Roman" w:cs="Times New Roman"/>
          <w:bCs/>
          <w:color w:val="000000" w:themeColor="text1"/>
          <w:sz w:val="24"/>
          <w:lang w:eastAsia="zh-CN"/>
          <w14:textFill>
            <w14:solidFill>
              <w14:schemeClr w14:val="tx1"/>
            </w14:solidFill>
          </w14:textFill>
        </w:rPr>
        <w:t>非甲烷总烃</w:t>
      </w:r>
      <w:r>
        <w:rPr>
          <w:rFonts w:hint="default" w:ascii="Times New Roman" w:hAnsi="Times New Roman" w:cs="Times New Roman"/>
          <w:bCs/>
          <w:color w:val="000000" w:themeColor="text1"/>
          <w:sz w:val="24"/>
          <w14:textFill>
            <w14:solidFill>
              <w14:schemeClr w14:val="tx1"/>
            </w14:solidFill>
          </w14:textFill>
        </w:rPr>
        <w:t>产生系数为</w:t>
      </w:r>
      <w:r>
        <w:rPr>
          <w:rFonts w:hint="default" w:ascii="Times New Roman" w:hAnsi="Times New Roman" w:cs="Times New Roman"/>
          <w:bCs/>
          <w:color w:val="000000" w:themeColor="text1"/>
          <w:sz w:val="24"/>
          <w:lang w:val="en-US" w:eastAsia="zh-CN"/>
          <w14:textFill>
            <w14:solidFill>
              <w14:schemeClr w14:val="tx1"/>
            </w14:solidFill>
          </w14:textFill>
        </w:rPr>
        <w:t>350</w:t>
      </w:r>
      <w:r>
        <w:rPr>
          <w:rFonts w:hint="default" w:ascii="Times New Roman" w:hAnsi="Times New Roman" w:cs="Times New Roman"/>
          <w:bCs/>
          <w:color w:val="000000" w:themeColor="text1"/>
          <w:sz w:val="24"/>
          <w14:textFill>
            <w14:solidFill>
              <w14:schemeClr w14:val="tx1"/>
            </w14:solidFill>
          </w14:textFill>
        </w:rPr>
        <w:t>g/</w:t>
      </w:r>
      <w:r>
        <w:rPr>
          <w:rFonts w:hint="default" w:ascii="Times New Roman" w:hAnsi="Times New Roman" w:cs="Times New Roman"/>
          <w:bCs/>
          <w:color w:val="000000" w:themeColor="text1"/>
          <w:sz w:val="24"/>
          <w:lang w:val="en-US" w:eastAsia="zh-CN"/>
          <w14:textFill>
            <w14:solidFill>
              <w14:schemeClr w14:val="tx1"/>
            </w14:solidFill>
          </w14:textFill>
        </w:rPr>
        <w:t>t</w:t>
      </w:r>
      <w:r>
        <w:rPr>
          <w:rFonts w:hint="default" w:ascii="Times New Roman" w:hAnsi="Times New Roman" w:cs="Times New Roman"/>
          <w:bCs/>
          <w:color w:val="000000" w:themeColor="text1"/>
          <w:sz w:val="24"/>
          <w14:textFill>
            <w14:solidFill>
              <w14:schemeClr w14:val="tx1"/>
            </w14:solidFill>
          </w14:textFill>
        </w:rPr>
        <w:t>-原料，</w:t>
      </w:r>
      <w:r>
        <w:rPr>
          <w:rFonts w:hint="default" w:ascii="Times New Roman" w:hAnsi="Times New Roman" w:cs="Times New Roman"/>
          <w:bCs/>
          <w:color w:val="000000" w:themeColor="text1"/>
          <w:sz w:val="24"/>
          <w:lang w:eastAsia="zh-CN"/>
          <w14:textFill>
            <w14:solidFill>
              <w14:schemeClr w14:val="tx1"/>
            </w14:solidFill>
          </w14:textFill>
        </w:rPr>
        <w:t>根据企业提供资料，</w:t>
      </w:r>
      <w:r>
        <w:rPr>
          <w:rFonts w:hint="eastAsia" w:cs="Times New Roman"/>
          <w:bCs/>
          <w:color w:val="000000" w:themeColor="text1"/>
          <w:sz w:val="24"/>
          <w:lang w:eastAsia="zh-CN"/>
          <w14:textFill>
            <w14:solidFill>
              <w14:schemeClr w14:val="tx1"/>
            </w14:solidFill>
          </w14:textFill>
        </w:rPr>
        <w:t>废标签纸产生量约</w:t>
      </w:r>
      <w:r>
        <w:rPr>
          <w:rFonts w:hint="eastAsia" w:cs="Times New Roman"/>
          <w:bCs/>
          <w:color w:val="000000" w:themeColor="text1"/>
          <w:sz w:val="24"/>
          <w:lang w:val="en-US" w:eastAsia="zh-CN"/>
          <w14:textFill>
            <w14:solidFill>
              <w14:schemeClr w14:val="tx1"/>
            </w14:solidFill>
          </w14:textFill>
        </w:rPr>
        <w:t>7003t/a，其</w:t>
      </w:r>
      <w:r>
        <w:rPr>
          <w:rFonts w:hint="eastAsia" w:cs="Times New Roman"/>
          <w:bCs/>
          <w:color w:val="000000" w:themeColor="text1"/>
          <w:sz w:val="24"/>
          <w:lang w:eastAsia="zh-CN"/>
          <w14:textFill>
            <w14:solidFill>
              <w14:schemeClr w14:val="tx1"/>
            </w14:solidFill>
          </w14:textFill>
        </w:rPr>
        <w:t>中</w:t>
      </w:r>
      <w:r>
        <w:rPr>
          <w:rFonts w:hint="eastAsia" w:cs="Times New Roman"/>
          <w:bCs/>
          <w:color w:val="000000" w:themeColor="text1"/>
          <w:sz w:val="24"/>
          <w:lang w:val="en-US" w:eastAsia="zh-CN"/>
          <w14:textFill>
            <w14:solidFill>
              <w14:schemeClr w14:val="tx1"/>
            </w14:solidFill>
          </w14:textFill>
        </w:rPr>
        <w:t>PP材质与PVC材质比例为3:7，因此</w:t>
      </w:r>
      <w:r>
        <w:rPr>
          <w:rFonts w:hint="default" w:ascii="Times New Roman" w:hAnsi="Times New Roman" w:cs="Times New Roman"/>
          <w:bCs/>
          <w:color w:val="000000" w:themeColor="text1"/>
          <w:sz w:val="24"/>
          <w:lang w:val="en-US" w:eastAsia="zh-CN"/>
          <w14:textFill>
            <w14:solidFill>
              <w14:schemeClr w14:val="tx1"/>
            </w14:solidFill>
          </w14:textFill>
        </w:rPr>
        <w:t>PP材质</w:t>
      </w:r>
      <w:r>
        <w:rPr>
          <w:rFonts w:hint="eastAsia" w:cs="Times New Roman"/>
          <w:bCs/>
          <w:color w:val="000000" w:themeColor="text1"/>
          <w:sz w:val="24"/>
          <w:lang w:val="en-US" w:eastAsia="zh-CN"/>
          <w14:textFill>
            <w14:solidFill>
              <w14:schemeClr w14:val="tx1"/>
            </w14:solidFill>
          </w14:textFill>
        </w:rPr>
        <w:t>废</w:t>
      </w:r>
      <w:r>
        <w:rPr>
          <w:rFonts w:hint="default" w:ascii="Times New Roman" w:hAnsi="Times New Roman" w:cs="Times New Roman"/>
          <w:bCs/>
          <w:color w:val="000000" w:themeColor="text1"/>
          <w:sz w:val="24"/>
          <w:lang w:eastAsia="zh-CN"/>
          <w14:textFill>
            <w14:solidFill>
              <w14:schemeClr w14:val="tx1"/>
            </w14:solidFill>
          </w14:textFill>
        </w:rPr>
        <w:t>标签纸</w:t>
      </w:r>
      <w:r>
        <w:rPr>
          <w:rFonts w:hint="default" w:ascii="Times New Roman" w:hAnsi="Times New Roman" w:cs="Times New Roman"/>
          <w:bCs/>
          <w:color w:val="000000" w:themeColor="text1"/>
          <w:sz w:val="24"/>
          <w14:textFill>
            <w14:solidFill>
              <w14:schemeClr w14:val="tx1"/>
            </w14:solidFill>
          </w14:textFill>
        </w:rPr>
        <w:t>量为</w:t>
      </w:r>
      <w:r>
        <w:rPr>
          <w:rFonts w:hint="default" w:ascii="Times New Roman" w:hAnsi="Times New Roman" w:cs="Times New Roman"/>
          <w:bCs/>
          <w:color w:val="000000" w:themeColor="text1"/>
          <w:sz w:val="24"/>
          <w:lang w:val="en-US" w:eastAsia="zh-CN"/>
          <w14:textFill>
            <w14:solidFill>
              <w14:schemeClr w14:val="tx1"/>
            </w14:solidFill>
          </w14:textFill>
        </w:rPr>
        <w:t>2100.</w:t>
      </w:r>
      <w:r>
        <w:rPr>
          <w:rFonts w:hint="eastAsia" w:cs="Times New Roman"/>
          <w:bCs/>
          <w:color w:val="000000" w:themeColor="text1"/>
          <w:sz w:val="24"/>
          <w:lang w:val="en-US" w:eastAsia="zh-CN"/>
          <w14:textFill>
            <w14:solidFill>
              <w14:schemeClr w14:val="tx1"/>
            </w14:solidFill>
          </w14:textFill>
        </w:rPr>
        <w:t>9</w:t>
      </w:r>
      <w:r>
        <w:rPr>
          <w:rFonts w:hint="default" w:ascii="Times New Roman" w:hAnsi="Times New Roman" w:cs="Times New Roman"/>
          <w:bCs/>
          <w:color w:val="000000" w:themeColor="text1"/>
          <w:sz w:val="24"/>
          <w14:textFill>
            <w14:solidFill>
              <w14:schemeClr w14:val="tx1"/>
            </w14:solidFill>
          </w14:textFill>
        </w:rPr>
        <w:t>t/a，则</w:t>
      </w:r>
      <w:r>
        <w:rPr>
          <w:rFonts w:hint="default" w:ascii="Times New Roman" w:hAnsi="Times New Roman" w:cs="Times New Roman"/>
          <w:bCs/>
          <w:color w:val="000000" w:themeColor="text1"/>
          <w:sz w:val="24"/>
          <w:lang w:eastAsia="zh-CN"/>
          <w14:textFill>
            <w14:solidFill>
              <w14:schemeClr w14:val="tx1"/>
            </w14:solidFill>
          </w14:textFill>
        </w:rPr>
        <w:t>非甲烷总烃</w:t>
      </w:r>
      <w:r>
        <w:rPr>
          <w:rFonts w:hint="default" w:ascii="Times New Roman" w:hAnsi="Times New Roman" w:cs="Times New Roman"/>
          <w:bCs/>
          <w:color w:val="000000" w:themeColor="text1"/>
          <w:sz w:val="24"/>
          <w14:textFill>
            <w14:solidFill>
              <w14:schemeClr w14:val="tx1"/>
            </w14:solidFill>
          </w14:textFill>
        </w:rPr>
        <w:t>产生量为</w:t>
      </w:r>
      <w:r>
        <w:rPr>
          <w:rFonts w:hint="default" w:ascii="Times New Roman" w:hAnsi="Times New Roman" w:cs="Times New Roman"/>
          <w:bCs/>
          <w:color w:val="000000" w:themeColor="text1"/>
          <w:sz w:val="24"/>
          <w:lang w:val="en-US" w:eastAsia="zh-CN"/>
          <w14:textFill>
            <w14:solidFill>
              <w14:schemeClr w14:val="tx1"/>
            </w14:solidFill>
          </w14:textFill>
        </w:rPr>
        <w:t>0.735</w:t>
      </w:r>
      <w:r>
        <w:rPr>
          <w:rFonts w:hint="default" w:ascii="Times New Roman" w:hAnsi="Times New Roman" w:cs="Times New Roman"/>
          <w:bCs/>
          <w:color w:val="000000" w:themeColor="text1"/>
          <w:sz w:val="24"/>
          <w14:textFill>
            <w14:solidFill>
              <w14:schemeClr w14:val="tx1"/>
            </w14:solidFill>
          </w14:textFill>
        </w:rPr>
        <w:t>t/a。在</w:t>
      </w:r>
      <w:r>
        <w:rPr>
          <w:rFonts w:hint="default" w:ascii="Times New Roman" w:hAnsi="Times New Roman" w:cs="Times New Roman"/>
          <w:bCs/>
          <w:color w:val="000000" w:themeColor="text1"/>
          <w:sz w:val="24"/>
          <w:lang w:val="en-US" w:eastAsia="zh-CN"/>
          <w14:textFill>
            <w14:solidFill>
              <w14:schemeClr w14:val="tx1"/>
            </w14:solidFill>
          </w14:textFill>
        </w:rPr>
        <w:t>团粒机出料口</w:t>
      </w:r>
      <w:r>
        <w:rPr>
          <w:rFonts w:hint="default" w:ascii="Times New Roman" w:hAnsi="Times New Roman" w:cs="Times New Roman"/>
          <w:bCs/>
          <w:color w:val="000000" w:themeColor="text1"/>
          <w:sz w:val="24"/>
          <w14:textFill>
            <w14:solidFill>
              <w14:schemeClr w14:val="tx1"/>
            </w14:solidFill>
          </w14:textFill>
        </w:rPr>
        <w:t>安装集气罩</w:t>
      </w:r>
      <w:r>
        <w:rPr>
          <w:rFonts w:hint="eastAsia" w:cs="Times New Roman"/>
          <w:bCs/>
          <w:color w:val="000000" w:themeColor="text1"/>
          <w:sz w:val="24"/>
          <w:lang w:eastAsia="zh-CN"/>
          <w14:textFill>
            <w14:solidFill>
              <w14:schemeClr w14:val="tx1"/>
            </w14:solidFill>
          </w14:textFill>
        </w:rPr>
        <w:t>，</w:t>
      </w:r>
      <w:r>
        <w:rPr>
          <w:rFonts w:hint="eastAsia" w:cs="Times New Roman"/>
          <w:bCs/>
          <w:color w:val="000000" w:themeColor="text1"/>
          <w:sz w:val="24"/>
          <w:lang w:val="en-US" w:eastAsia="zh-CN"/>
          <w14:textFill>
            <w14:solidFill>
              <w14:schemeClr w14:val="tx1"/>
            </w14:solidFill>
          </w14:textFill>
        </w:rPr>
        <w:t>集气罩尺寸为1.5m×1.6m</w:t>
      </w:r>
      <w:r>
        <w:rPr>
          <w:rFonts w:hint="default" w:ascii="Times New Roman" w:hAnsi="Times New Roman" w:cs="Times New Roman"/>
          <w:bCs/>
          <w:color w:val="000000" w:themeColor="text1"/>
          <w:sz w:val="24"/>
          <w:lang w:val="en-US" w:eastAsia="zh-CN"/>
          <w14:textFill>
            <w14:solidFill>
              <w14:schemeClr w14:val="tx1"/>
            </w14:solidFill>
          </w14:textFill>
        </w:rPr>
        <w:t>，</w:t>
      </w:r>
      <w:r>
        <w:rPr>
          <w:rFonts w:hint="eastAsia" w:cs="Times New Roman"/>
          <w:bCs/>
          <w:color w:val="000000" w:themeColor="text1"/>
          <w:sz w:val="24"/>
          <w:lang w:val="en-US" w:eastAsia="zh-CN"/>
          <w14:textFill>
            <w14:solidFill>
              <w14:schemeClr w14:val="tx1"/>
            </w14:solidFill>
          </w14:textFill>
        </w:rPr>
        <w:t>则</w:t>
      </w:r>
      <w:r>
        <w:rPr>
          <w:rFonts w:hint="default" w:ascii="Times New Roman" w:hAnsi="Times New Roman" w:cs="Times New Roman"/>
          <w:bCs/>
          <w:color w:val="000000" w:themeColor="text1"/>
          <w:sz w:val="24"/>
          <w14:textFill>
            <w14:solidFill>
              <w14:schemeClr w14:val="tx1"/>
            </w14:solidFill>
          </w14:textFill>
        </w:rPr>
        <w:t>风量</w:t>
      </w:r>
      <w:r>
        <w:rPr>
          <w:rFonts w:hint="default" w:ascii="Times New Roman" w:hAnsi="Times New Roman" w:cs="Times New Roman"/>
          <w:bCs/>
          <w:color w:val="000000" w:themeColor="text1"/>
          <w:sz w:val="24"/>
          <w:lang w:eastAsia="zh-CN"/>
          <w14:textFill>
            <w14:solidFill>
              <w14:schemeClr w14:val="tx1"/>
            </w14:solidFill>
          </w14:textFill>
        </w:rPr>
        <w:t>为</w:t>
      </w:r>
      <w:r>
        <w:rPr>
          <w:rFonts w:hint="eastAsia" w:cs="Times New Roman"/>
          <w:bCs/>
          <w:color w:val="000000" w:themeColor="text1"/>
          <w:sz w:val="24"/>
          <w:lang w:val="en-US" w:eastAsia="zh-CN"/>
          <w14:textFill>
            <w14:solidFill>
              <w14:schemeClr w14:val="tx1"/>
            </w14:solidFill>
          </w14:textFill>
        </w:rPr>
        <w:t>5</w:t>
      </w:r>
      <w:r>
        <w:rPr>
          <w:rFonts w:hint="default" w:ascii="Times New Roman" w:hAnsi="Times New Roman" w:cs="Times New Roman"/>
          <w:bCs/>
          <w:color w:val="000000" w:themeColor="text1"/>
          <w:sz w:val="24"/>
          <w14:textFill>
            <w14:solidFill>
              <w14:schemeClr w14:val="tx1"/>
            </w14:solidFill>
          </w14:textFill>
        </w:rPr>
        <w:t>000m</w:t>
      </w:r>
      <w:r>
        <w:rPr>
          <w:rFonts w:hint="default" w:ascii="Times New Roman" w:hAnsi="Times New Roman" w:cs="Times New Roman"/>
          <w:bCs/>
          <w:color w:val="000000" w:themeColor="text1"/>
          <w:sz w:val="24"/>
          <w:vertAlign w:val="superscript"/>
          <w14:textFill>
            <w14:solidFill>
              <w14:schemeClr w14:val="tx1"/>
            </w14:solidFill>
          </w14:textFill>
        </w:rPr>
        <w:t>3</w:t>
      </w:r>
      <w:r>
        <w:rPr>
          <w:rFonts w:hint="default" w:ascii="Times New Roman" w:hAnsi="Times New Roman" w:cs="Times New Roman"/>
          <w:bCs/>
          <w:color w:val="000000" w:themeColor="text1"/>
          <w:sz w:val="24"/>
          <w14:textFill>
            <w14:solidFill>
              <w14:schemeClr w14:val="tx1"/>
            </w14:solidFill>
          </w14:textFill>
        </w:rPr>
        <w:t>/h，收集效率为9</w:t>
      </w:r>
      <w:r>
        <w:rPr>
          <w:rFonts w:hint="default" w:ascii="Times New Roman" w:hAnsi="Times New Roman" w:cs="Times New Roman"/>
          <w:bCs/>
          <w:color w:val="000000" w:themeColor="text1"/>
          <w:sz w:val="24"/>
          <w:lang w:val="en-US" w:eastAsia="zh-CN"/>
          <w14:textFill>
            <w14:solidFill>
              <w14:schemeClr w14:val="tx1"/>
            </w14:solidFill>
          </w14:textFill>
        </w:rPr>
        <w:t>0</w:t>
      </w:r>
      <w:r>
        <w:rPr>
          <w:rFonts w:hint="default" w:ascii="Times New Roman" w:hAnsi="Times New Roman" w:cs="Times New Roman"/>
          <w:bCs/>
          <w:color w:val="000000" w:themeColor="text1"/>
          <w:sz w:val="24"/>
          <w14:textFill>
            <w14:solidFill>
              <w14:schemeClr w14:val="tx1"/>
            </w14:solidFill>
          </w14:textFill>
        </w:rPr>
        <w:t>%，收集的</w:t>
      </w:r>
      <w:r>
        <w:rPr>
          <w:rFonts w:hint="default" w:ascii="Times New Roman" w:hAnsi="Times New Roman" w:cs="Times New Roman"/>
          <w:bCs/>
          <w:color w:val="000000" w:themeColor="text1"/>
          <w:sz w:val="24"/>
          <w:lang w:eastAsia="zh-CN"/>
          <w14:textFill>
            <w14:solidFill>
              <w14:schemeClr w14:val="tx1"/>
            </w14:solidFill>
          </w14:textFill>
        </w:rPr>
        <w:t>非甲烷总烃</w:t>
      </w:r>
      <w:r>
        <w:rPr>
          <w:rFonts w:hint="default" w:ascii="Times New Roman" w:hAnsi="Times New Roman" w:cs="Times New Roman"/>
          <w:bCs/>
          <w:color w:val="000000" w:themeColor="text1"/>
          <w:sz w:val="24"/>
          <w14:textFill>
            <w14:solidFill>
              <w14:schemeClr w14:val="tx1"/>
            </w14:solidFill>
          </w14:textFill>
        </w:rPr>
        <w:t>为</w:t>
      </w:r>
      <w:r>
        <w:rPr>
          <w:rFonts w:hint="default" w:ascii="Times New Roman" w:hAnsi="Times New Roman" w:cs="Times New Roman"/>
          <w:bCs/>
          <w:color w:val="000000" w:themeColor="text1"/>
          <w:sz w:val="24"/>
          <w:lang w:val="en-US" w:eastAsia="zh-CN"/>
          <w14:textFill>
            <w14:solidFill>
              <w14:schemeClr w14:val="tx1"/>
            </w14:solidFill>
          </w14:textFill>
        </w:rPr>
        <w:t>0.662</w:t>
      </w:r>
      <w:r>
        <w:rPr>
          <w:rFonts w:hint="default" w:ascii="Times New Roman" w:hAnsi="Times New Roman" w:cs="Times New Roman"/>
          <w:bCs/>
          <w:color w:val="000000" w:themeColor="text1"/>
          <w:sz w:val="24"/>
          <w14:textFill>
            <w14:solidFill>
              <w14:schemeClr w14:val="tx1"/>
            </w14:solidFill>
          </w14:textFill>
        </w:rPr>
        <w:t>t/a，经“</w:t>
      </w:r>
      <w:r>
        <w:rPr>
          <w:rFonts w:hint="default" w:ascii="Times New Roman" w:hAnsi="Times New Roman" w:cs="Times New Roman"/>
          <w:bCs/>
          <w:color w:val="000000" w:themeColor="text1"/>
          <w:sz w:val="24"/>
          <w:lang w:eastAsia="zh-CN"/>
          <w14:textFill>
            <w14:solidFill>
              <w14:schemeClr w14:val="tx1"/>
            </w14:solidFill>
          </w14:textFill>
        </w:rPr>
        <w:t>油烟净化器</w:t>
      </w:r>
      <w:r>
        <w:rPr>
          <w:rFonts w:hint="default" w:ascii="Times New Roman" w:hAnsi="Times New Roman" w:cs="Times New Roman"/>
          <w:bCs/>
          <w:color w:val="000000" w:themeColor="text1"/>
          <w:sz w:val="24"/>
          <w14:textFill>
            <w14:solidFill>
              <w14:schemeClr w14:val="tx1"/>
            </w14:solidFill>
          </w14:textFill>
        </w:rPr>
        <w:t>+</w:t>
      </w:r>
      <w:r>
        <w:rPr>
          <w:rFonts w:hint="eastAsia" w:cs="Times New Roman"/>
          <w:bCs/>
          <w:color w:val="000000" w:themeColor="text1"/>
          <w:sz w:val="24"/>
          <w:lang w:eastAsia="zh-CN"/>
          <w14:textFill>
            <w14:solidFill>
              <w14:schemeClr w14:val="tx1"/>
            </w14:solidFill>
          </w14:textFill>
        </w:rPr>
        <w:t>两级活性炭吸附</w:t>
      </w:r>
      <w:r>
        <w:rPr>
          <w:rFonts w:hint="default" w:ascii="Times New Roman" w:hAnsi="Times New Roman" w:cs="Times New Roman"/>
          <w:bCs/>
          <w:color w:val="000000" w:themeColor="text1"/>
          <w:sz w:val="24"/>
          <w14:textFill>
            <w14:solidFill>
              <w14:schemeClr w14:val="tx1"/>
            </w14:solidFill>
          </w14:textFill>
        </w:rPr>
        <w:t>”环保设施处理，处理效率为9</w:t>
      </w:r>
      <w:r>
        <w:rPr>
          <w:rFonts w:hint="default" w:ascii="Times New Roman" w:hAnsi="Times New Roman" w:cs="Times New Roman"/>
          <w:bCs/>
          <w:color w:val="000000" w:themeColor="text1"/>
          <w:sz w:val="24"/>
          <w:lang w:val="en-US" w:eastAsia="zh-CN"/>
          <w14:textFill>
            <w14:solidFill>
              <w14:schemeClr w14:val="tx1"/>
            </w14:solidFill>
          </w14:textFill>
        </w:rPr>
        <w:t>0</w:t>
      </w:r>
      <w:r>
        <w:rPr>
          <w:rFonts w:hint="default" w:ascii="Times New Roman" w:hAnsi="Times New Roman" w:cs="Times New Roman"/>
          <w:bCs/>
          <w:color w:val="000000" w:themeColor="text1"/>
          <w:sz w:val="24"/>
          <w14:textFill>
            <w14:solidFill>
              <w14:schemeClr w14:val="tx1"/>
            </w14:solidFill>
          </w14:textFill>
        </w:rPr>
        <w:t>%，</w:t>
      </w:r>
      <w:r>
        <w:rPr>
          <w:rFonts w:hint="default" w:ascii="Times New Roman" w:hAnsi="Times New Roman" w:cs="Times New Roman"/>
          <w:bCs/>
          <w:color w:val="000000" w:themeColor="text1"/>
          <w:sz w:val="24"/>
          <w:lang w:eastAsia="zh-CN"/>
          <w14:textFill>
            <w14:solidFill>
              <w14:schemeClr w14:val="tx1"/>
            </w14:solidFill>
          </w14:textFill>
        </w:rPr>
        <w:t>非甲烷总烃</w:t>
      </w:r>
      <w:r>
        <w:rPr>
          <w:rFonts w:hint="default" w:ascii="Times New Roman" w:hAnsi="Times New Roman" w:cs="Times New Roman"/>
          <w:bCs/>
          <w:color w:val="000000" w:themeColor="text1"/>
          <w:sz w:val="24"/>
          <w14:textFill>
            <w14:solidFill>
              <w14:schemeClr w14:val="tx1"/>
            </w14:solidFill>
          </w14:textFill>
        </w:rPr>
        <w:t>的最终排放量</w:t>
      </w:r>
      <w:r>
        <w:rPr>
          <w:rFonts w:hint="default" w:ascii="Times New Roman" w:hAnsi="Times New Roman" w:cs="Times New Roman"/>
          <w:bCs/>
          <w:color w:val="000000" w:themeColor="text1"/>
          <w:sz w:val="24"/>
          <w:lang w:val="en-US" w:eastAsia="zh-CN"/>
          <w14:textFill>
            <w14:solidFill>
              <w14:schemeClr w14:val="tx1"/>
            </w14:solidFill>
          </w14:textFill>
        </w:rPr>
        <w:t>0.066</w:t>
      </w:r>
      <w:r>
        <w:rPr>
          <w:rFonts w:hint="default" w:ascii="Times New Roman" w:hAnsi="Times New Roman" w:cs="Times New Roman"/>
          <w:bCs/>
          <w:color w:val="000000" w:themeColor="text1"/>
          <w:sz w:val="24"/>
          <w14:textFill>
            <w14:solidFill>
              <w14:schemeClr w14:val="tx1"/>
            </w14:solidFill>
          </w14:textFill>
        </w:rPr>
        <w:t>t/a，由1根15m高（1#）排气筒高空排放。</w:t>
      </w:r>
    </w:p>
    <w:p w14:paraId="29C6650E">
      <w:pPr>
        <w:keepNext w:val="0"/>
        <w:keepLines w:val="0"/>
        <w:pageBreakBefore w:val="0"/>
        <w:kinsoku/>
        <w:wordWrap/>
        <w:overflowPunct/>
        <w:topLinePunct w:val="0"/>
        <w:bidi w:val="0"/>
        <w:spacing w:line="360" w:lineRule="auto"/>
        <w:ind w:firstLine="482"/>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集气罩风量计算</w:t>
      </w:r>
    </w:p>
    <w:p w14:paraId="3CB7B28B">
      <w:pPr>
        <w:keepNext w:val="0"/>
        <w:keepLines w:val="0"/>
        <w:pageBreakBefore w:val="0"/>
        <w:kinsoku/>
        <w:wordWrap/>
        <w:overflowPunct/>
        <w:topLinePunct w:val="0"/>
        <w:bidi w:val="0"/>
        <w:adjustRightInd w:val="0"/>
        <w:spacing w:line="360" w:lineRule="auto"/>
        <w:ind w:firstLine="480"/>
        <w:textAlignment w:val="auto"/>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项目在</w:t>
      </w:r>
      <w:r>
        <w:rPr>
          <w:rFonts w:hint="default" w:ascii="Times New Roman" w:hAnsi="Times New Roman" w:cs="Times New Roman"/>
          <w:bCs/>
          <w:color w:val="000000" w:themeColor="text1"/>
          <w:sz w:val="24"/>
          <w:lang w:val="en-US" w:eastAsia="zh-CN"/>
          <w14:textFill>
            <w14:solidFill>
              <w14:schemeClr w14:val="tx1"/>
            </w14:solidFill>
          </w14:textFill>
        </w:rPr>
        <w:t>团粒机出料口</w:t>
      </w:r>
      <w:r>
        <w:rPr>
          <w:rFonts w:hint="default" w:ascii="Times New Roman" w:hAnsi="Times New Roman" w:eastAsia="宋体" w:cs="Times New Roman"/>
          <w:bCs/>
          <w:color w:val="000000" w:themeColor="text1"/>
          <w:sz w:val="24"/>
          <w:szCs w:val="24"/>
          <w14:textFill>
            <w14:solidFill>
              <w14:schemeClr w14:val="tx1"/>
            </w14:solidFill>
          </w14:textFill>
        </w:rPr>
        <w:t>设置集气罩收集</w:t>
      </w:r>
      <w:r>
        <w:rPr>
          <w:rFonts w:hint="eastAsia" w:ascii="Times New Roman" w:hAnsi="Times New Roman" w:eastAsia="宋体" w:cs="Times New Roman"/>
          <w:bCs/>
          <w:color w:val="000000" w:themeColor="text1"/>
          <w:sz w:val="24"/>
          <w:szCs w:val="24"/>
          <w:lang w:eastAsia="zh-CN"/>
          <w14:textFill>
            <w14:solidFill>
              <w14:schemeClr w14:val="tx1"/>
            </w14:solidFill>
          </w14:textFill>
        </w:rPr>
        <w:t>高温分选</w:t>
      </w:r>
      <w:r>
        <w:rPr>
          <w:rFonts w:hint="default" w:ascii="Times New Roman" w:hAnsi="Times New Roman" w:eastAsia="宋体" w:cs="Times New Roman"/>
          <w:bCs/>
          <w:color w:val="000000" w:themeColor="text1"/>
          <w:sz w:val="24"/>
          <w:szCs w:val="24"/>
          <w14:textFill>
            <w14:solidFill>
              <w14:schemeClr w14:val="tx1"/>
            </w14:solidFill>
          </w14:textFill>
        </w:rPr>
        <w:t>废气。根据《环境工程设计手册》，集气罩风量可按照以下公式计算：</w:t>
      </w:r>
    </w:p>
    <w:p w14:paraId="4F61A534">
      <w:pPr>
        <w:keepNext w:val="0"/>
        <w:keepLines w:val="0"/>
        <w:pageBreakBefore w:val="0"/>
        <w:kinsoku/>
        <w:wordWrap/>
        <w:overflowPunct/>
        <w:topLinePunct w:val="0"/>
        <w:bidi w:val="0"/>
        <w:adjustRightInd w:val="0"/>
        <w:spacing w:line="360" w:lineRule="auto"/>
        <w:ind w:firstLine="480"/>
        <w:jc w:val="center"/>
        <w:textAlignment w:val="auto"/>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L=3600(5X</w:t>
      </w:r>
      <w:r>
        <w:rPr>
          <w:rFonts w:hint="default" w:ascii="Times New Roman" w:hAnsi="Times New Roman" w:eastAsia="宋体" w:cs="Times New Roman"/>
          <w:bCs/>
          <w:color w:val="000000" w:themeColor="text1"/>
          <w:sz w:val="24"/>
          <w:szCs w:val="24"/>
          <w:vertAlign w:val="superscript"/>
          <w14:textFill>
            <w14:solidFill>
              <w14:schemeClr w14:val="tx1"/>
            </w14:solidFill>
          </w14:textFill>
        </w:rPr>
        <w:t>2</w:t>
      </w:r>
      <w:r>
        <w:rPr>
          <w:rFonts w:hint="default" w:ascii="Times New Roman" w:hAnsi="Times New Roman" w:eastAsia="宋体" w:cs="Times New Roman"/>
          <w:bCs/>
          <w:color w:val="000000" w:themeColor="text1"/>
          <w:sz w:val="24"/>
          <w:szCs w:val="24"/>
          <w14:textFill>
            <w14:solidFill>
              <w14:schemeClr w14:val="tx1"/>
            </w14:solidFill>
          </w14:textFill>
        </w:rPr>
        <w:t>+F)Vx</w:t>
      </w:r>
    </w:p>
    <w:p w14:paraId="5F918AEF">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其中：L—风量，m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/h；</w:t>
      </w:r>
    </w:p>
    <w:p w14:paraId="7E76F252">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X--集气罩至污染源的距离（取0.2m）；</w:t>
      </w:r>
    </w:p>
    <w:p w14:paraId="4F4283BD">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F--集气罩口面积；Vx--控制风速；</w:t>
      </w:r>
    </w:p>
    <w:p w14:paraId="2B59A260">
      <w:pPr>
        <w:spacing w:line="360" w:lineRule="auto"/>
        <w:ind w:firstLine="472" w:firstLineChars="20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集气罩的长宽为1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14:textFill>
            <w14:solidFill>
              <w14:schemeClr w14:val="tx1"/>
            </w14:solidFill>
          </w14:textFill>
        </w:rPr>
        <w:t>m，风速为0.5m/s，则集气罩风量为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4680</w:t>
      </w:r>
      <w:r>
        <w:rPr>
          <w:rFonts w:hint="default" w:ascii="Times New Roman" w:hAnsi="Times New Roman" w:eastAsia="宋体" w:cs="Times New Roman"/>
          <w:bCs/>
          <w:color w:val="000000" w:themeColor="text1"/>
          <w:sz w:val="24"/>
          <w:szCs w:val="24"/>
          <w14:textFill>
            <w14:solidFill>
              <w14:schemeClr w14:val="tx1"/>
            </w14:solidFill>
          </w14:textFill>
        </w:rPr>
        <w:t>m</w:t>
      </w:r>
      <w:r>
        <w:rPr>
          <w:rFonts w:hint="default" w:ascii="Times New Roman" w:hAnsi="Times New Roman" w:eastAsia="宋体" w:cs="Times New Roman"/>
          <w:bCs/>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bCs/>
          <w:color w:val="000000" w:themeColor="text1"/>
          <w:sz w:val="24"/>
          <w:szCs w:val="24"/>
          <w14:textFill>
            <w14:solidFill>
              <w14:schemeClr w14:val="tx1"/>
            </w14:solidFill>
          </w14:textFill>
        </w:rPr>
        <w:t>/h，</w:t>
      </w:r>
      <w:r>
        <w:rPr>
          <w:rFonts w:hint="default" w:ascii="Times New Roman" w:hAnsi="Times New Roman" w:eastAsia="宋体" w:cs="Times New Roman"/>
          <w:color w:val="000000" w:themeColor="text1"/>
          <w:sz w:val="24"/>
          <w:szCs w:val="24"/>
          <w14:textFill>
            <w14:solidFill>
              <w14:schemeClr w14:val="tx1"/>
            </w14:solidFill>
          </w14:textFill>
        </w:rPr>
        <w:t>考虑到风管的阻力，得出所需风量为5</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0</w:t>
      </w:r>
      <w:r>
        <w:rPr>
          <w:rFonts w:hint="default" w:ascii="Times New Roman" w:hAnsi="Times New Roman" w:eastAsia="宋体" w:cs="Times New Roman"/>
          <w:color w:val="000000" w:themeColor="text1"/>
          <w:sz w:val="24"/>
          <w:szCs w:val="24"/>
          <w14:textFill>
            <w14:solidFill>
              <w14:schemeClr w14:val="tx1"/>
            </w14:solidFill>
          </w14:textFill>
        </w:rPr>
        <w:t>00m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/h。</w:t>
      </w:r>
    </w:p>
    <w:p w14:paraId="0DDAE30B">
      <w:pPr>
        <w:spacing w:line="360" w:lineRule="auto"/>
        <w:ind w:firstLine="472" w:firstLineChars="200"/>
        <w:rPr>
          <w:rFonts w:hint="default" w:ascii="Times New Roman" w:hAnsi="Times New Roman" w:eastAsia="宋体" w:cs="Times New Roman"/>
          <w:bCs/>
          <w:color w:val="000000" w:themeColor="text1"/>
          <w:sz w:val="24"/>
          <w:lang w:eastAsia="zh-CN"/>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w:t>
      </w:r>
      <w:r>
        <w:rPr>
          <w:rFonts w:hint="default" w:ascii="Times New Roman" w:hAnsi="Times New Roman" w:cs="Times New Roman"/>
          <w:bCs/>
          <w:color w:val="000000" w:themeColor="text1"/>
          <w:sz w:val="24"/>
          <w:lang w:val="en-US" w:eastAsia="zh-CN"/>
          <w14:textFill>
            <w14:solidFill>
              <w14:schemeClr w14:val="tx1"/>
            </w14:solidFill>
          </w14:textFill>
        </w:rPr>
        <w:t>3</w:t>
      </w:r>
      <w:r>
        <w:rPr>
          <w:rFonts w:hint="default" w:ascii="Times New Roman" w:hAnsi="Times New Roman" w:cs="Times New Roman"/>
          <w:bCs/>
          <w:color w:val="000000" w:themeColor="text1"/>
          <w:sz w:val="24"/>
          <w14:textFill>
            <w14:solidFill>
              <w14:schemeClr w14:val="tx1"/>
            </w14:solidFill>
          </w14:textFill>
        </w:rPr>
        <w:t>）</w:t>
      </w:r>
      <w:r>
        <w:rPr>
          <w:rFonts w:hint="default" w:ascii="Times New Roman" w:hAnsi="Times New Roman" w:cs="Times New Roman"/>
          <w:bCs/>
          <w:color w:val="000000" w:themeColor="text1"/>
          <w:sz w:val="24"/>
          <w:lang w:eastAsia="zh-CN"/>
          <w14:textFill>
            <w14:solidFill>
              <w14:schemeClr w14:val="tx1"/>
            </w14:solidFill>
          </w14:textFill>
        </w:rPr>
        <w:t>拆包粉尘</w:t>
      </w:r>
    </w:p>
    <w:p w14:paraId="534368FB">
      <w:pPr>
        <w:spacing w:line="360" w:lineRule="auto"/>
        <w:ind w:firstLine="472" w:firstLineChars="20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原料</w:t>
      </w:r>
      <w:r>
        <w:rPr>
          <w:rFonts w:hint="default" w:ascii="Times New Roman" w:hAnsi="Times New Roman" w:cs="Times New Roman"/>
          <w:bCs/>
          <w:color w:val="000000" w:themeColor="text1"/>
          <w:sz w:val="24"/>
          <w:lang w:eastAsia="zh-CN"/>
          <w14:textFill>
            <w14:solidFill>
              <w14:schemeClr w14:val="tx1"/>
            </w14:solidFill>
          </w14:textFill>
        </w:rPr>
        <w:t>拆包上料过程中会产生少量粉尘</w:t>
      </w:r>
      <w:r>
        <w:rPr>
          <w:rFonts w:hint="default" w:ascii="Times New Roman" w:hAnsi="Times New Roman" w:cs="Times New Roman"/>
          <w:bCs/>
          <w:color w:val="000000" w:themeColor="text1"/>
          <w:sz w:val="24"/>
          <w14:textFill>
            <w14:solidFill>
              <w14:schemeClr w14:val="tx1"/>
            </w14:solidFill>
          </w14:textFill>
        </w:rPr>
        <w:t>，</w:t>
      </w:r>
      <w:r>
        <w:rPr>
          <w:rFonts w:hint="default" w:ascii="Times New Roman" w:hAnsi="Times New Roman" w:cs="Times New Roman"/>
          <w:bCs/>
          <w:color w:val="000000" w:themeColor="text1"/>
          <w:sz w:val="24"/>
          <w:lang w:eastAsia="zh-CN"/>
          <w14:textFill>
            <w14:solidFill>
              <w14:schemeClr w14:val="tx1"/>
            </w14:solidFill>
          </w14:textFill>
        </w:rPr>
        <w:t>类比</w:t>
      </w:r>
      <w:r>
        <w:rPr>
          <w:rFonts w:hint="eastAsia" w:ascii="Times New Roman" w:hAnsi="Times New Roman" w:eastAsia="宋体" w:cs="Times New Roman"/>
          <w:bCs/>
          <w:color w:val="000000" w:themeColor="text1"/>
          <w:sz w:val="24"/>
          <w:lang w:eastAsia="zh-CN"/>
          <w14:textFill>
            <w14:solidFill>
              <w14:schemeClr w14:val="tx1"/>
            </w14:solidFill>
          </w14:textFill>
        </w:rPr>
        <w:t>同行业</w:t>
      </w:r>
      <w:r>
        <w:rPr>
          <w:rFonts w:hint="default" w:ascii="Times New Roman" w:hAnsi="Times New Roman" w:cs="Times New Roman"/>
          <w:bCs/>
          <w:color w:val="000000" w:themeColor="text1"/>
          <w:sz w:val="24"/>
          <w14:textFill>
            <w14:solidFill>
              <w14:schemeClr w14:val="tx1"/>
            </w14:solidFill>
          </w14:textFill>
        </w:rPr>
        <w:t>，</w:t>
      </w:r>
      <w:r>
        <w:rPr>
          <w:rFonts w:hint="default" w:ascii="Times New Roman" w:hAnsi="Times New Roman" w:cs="Times New Roman"/>
          <w:bCs/>
          <w:color w:val="000000" w:themeColor="text1"/>
          <w:sz w:val="24"/>
          <w:lang w:eastAsia="zh-CN"/>
          <w14:textFill>
            <w14:solidFill>
              <w14:schemeClr w14:val="tx1"/>
            </w14:solidFill>
          </w14:textFill>
        </w:rPr>
        <w:t>拆包粉尘产生量按</w:t>
      </w:r>
      <w:r>
        <w:rPr>
          <w:rFonts w:hint="default" w:ascii="Times New Roman" w:hAnsi="Times New Roman" w:cs="Times New Roman"/>
          <w:bCs/>
          <w:color w:val="000000" w:themeColor="text1"/>
          <w:sz w:val="24"/>
          <w:lang w:val="en-US" w:eastAsia="zh-CN"/>
          <w14:textFill>
            <w14:solidFill>
              <w14:schemeClr w14:val="tx1"/>
            </w14:solidFill>
          </w14:textFill>
        </w:rPr>
        <w:t>0.1kg/t-原料计，本项目瓶砖使用量为100</w:t>
      </w:r>
      <w:r>
        <w:rPr>
          <w:rFonts w:hint="eastAsia" w:cs="Times New Roman"/>
          <w:bCs/>
          <w:color w:val="000000" w:themeColor="text1"/>
          <w:sz w:val="24"/>
          <w:lang w:val="en-US" w:eastAsia="zh-CN"/>
          <w14:textFill>
            <w14:solidFill>
              <w14:schemeClr w14:val="tx1"/>
            </w14:solidFill>
          </w14:textFill>
        </w:rPr>
        <w:t>0</w:t>
      </w:r>
      <w:r>
        <w:rPr>
          <w:rFonts w:hint="default" w:ascii="Times New Roman" w:hAnsi="Times New Roman" w:cs="Times New Roman"/>
          <w:bCs/>
          <w:color w:val="000000" w:themeColor="text1"/>
          <w:sz w:val="24"/>
          <w:lang w:val="en-US" w:eastAsia="zh-CN"/>
          <w14:textFill>
            <w14:solidFill>
              <w14:schemeClr w14:val="tx1"/>
            </w14:solidFill>
          </w14:textFill>
        </w:rPr>
        <w:t>00t/a，脱标产生的废标签纸量为7002.95t/a，则粉尘产生量为10.7t/a，在设备上方安装软帘+集气罩</w:t>
      </w:r>
      <w:r>
        <w:rPr>
          <w:rFonts w:hint="eastAsia" w:cs="Times New Roman"/>
          <w:bCs/>
          <w:color w:val="000000" w:themeColor="text1"/>
          <w:sz w:val="24"/>
          <w:lang w:val="en-US" w:eastAsia="zh-CN"/>
          <w14:textFill>
            <w14:solidFill>
              <w14:schemeClr w14:val="tx1"/>
            </w14:solidFill>
          </w14:textFill>
        </w:rPr>
        <w:t>，集气罩尺寸为</w:t>
      </w:r>
      <w:r>
        <w:rPr>
          <w:rFonts w:hint="eastAsia" w:cs="Times New Roman"/>
          <w:bCs/>
          <w:color w:val="000000" w:themeColor="text1"/>
          <w:sz w:val="24"/>
          <w:highlight w:val="yellow"/>
          <w:lang w:val="en-US" w:eastAsia="zh-CN"/>
          <w14:textFill>
            <w14:solidFill>
              <w14:schemeClr w14:val="tx1"/>
            </w14:solidFill>
          </w14:textFill>
        </w:rPr>
        <w:t>1.5m×1.8m</w:t>
      </w:r>
      <w:r>
        <w:rPr>
          <w:rFonts w:hint="default" w:ascii="Times New Roman" w:hAnsi="Times New Roman" w:cs="Times New Roman"/>
          <w:bCs/>
          <w:color w:val="000000" w:themeColor="text1"/>
          <w:sz w:val="24"/>
          <w:lang w:val="en-US" w:eastAsia="zh-CN"/>
          <w14:textFill>
            <w14:solidFill>
              <w14:schemeClr w14:val="tx1"/>
            </w14:solidFill>
          </w14:textFill>
        </w:rPr>
        <w:t>，</w:t>
      </w:r>
      <w:r>
        <w:rPr>
          <w:rFonts w:hint="eastAsia" w:cs="Times New Roman"/>
          <w:bCs/>
          <w:color w:val="000000" w:themeColor="text1"/>
          <w:sz w:val="24"/>
          <w:lang w:val="en-US" w:eastAsia="zh-CN"/>
          <w14:textFill>
            <w14:solidFill>
              <w14:schemeClr w14:val="tx1"/>
            </w14:solidFill>
          </w14:textFill>
        </w:rPr>
        <w:t>则</w:t>
      </w:r>
      <w:r>
        <w:rPr>
          <w:rFonts w:hint="default" w:ascii="Times New Roman" w:hAnsi="Times New Roman" w:cs="Times New Roman"/>
          <w:bCs/>
          <w:color w:val="000000" w:themeColor="text1"/>
          <w:sz w:val="24"/>
          <w14:textFill>
            <w14:solidFill>
              <w14:schemeClr w14:val="tx1"/>
            </w14:solidFill>
          </w14:textFill>
        </w:rPr>
        <w:t>风量</w:t>
      </w:r>
      <w:r>
        <w:rPr>
          <w:rFonts w:hint="default" w:ascii="Times New Roman" w:hAnsi="Times New Roman" w:cs="Times New Roman"/>
          <w:bCs/>
          <w:color w:val="000000" w:themeColor="text1"/>
          <w:sz w:val="24"/>
          <w:lang w:eastAsia="zh-CN"/>
          <w14:textFill>
            <w14:solidFill>
              <w14:schemeClr w14:val="tx1"/>
            </w14:solidFill>
          </w14:textFill>
        </w:rPr>
        <w:t>为</w:t>
      </w:r>
      <w:r>
        <w:rPr>
          <w:rFonts w:hint="eastAsia" w:cs="Times New Roman"/>
          <w:bCs/>
          <w:color w:val="000000" w:themeColor="text1"/>
          <w:sz w:val="24"/>
          <w:lang w:val="en-US" w:eastAsia="zh-CN"/>
          <w14:textFill>
            <w14:solidFill>
              <w14:schemeClr w14:val="tx1"/>
            </w14:solidFill>
          </w14:textFill>
        </w:rPr>
        <w:t>55</w:t>
      </w:r>
      <w:r>
        <w:rPr>
          <w:rFonts w:hint="default" w:ascii="Times New Roman" w:hAnsi="Times New Roman" w:cs="Times New Roman"/>
          <w:bCs/>
          <w:color w:val="000000" w:themeColor="text1"/>
          <w:sz w:val="24"/>
          <w14:textFill>
            <w14:solidFill>
              <w14:schemeClr w14:val="tx1"/>
            </w14:solidFill>
          </w14:textFill>
        </w:rPr>
        <w:t>00m</w:t>
      </w:r>
      <w:r>
        <w:rPr>
          <w:rFonts w:hint="default" w:ascii="Times New Roman" w:hAnsi="Times New Roman" w:cs="Times New Roman"/>
          <w:bCs/>
          <w:color w:val="000000" w:themeColor="text1"/>
          <w:sz w:val="24"/>
          <w:vertAlign w:val="superscript"/>
          <w14:textFill>
            <w14:solidFill>
              <w14:schemeClr w14:val="tx1"/>
            </w14:solidFill>
          </w14:textFill>
        </w:rPr>
        <w:t>3</w:t>
      </w:r>
      <w:r>
        <w:rPr>
          <w:rFonts w:hint="default" w:ascii="Times New Roman" w:hAnsi="Times New Roman" w:cs="Times New Roman"/>
          <w:bCs/>
          <w:color w:val="000000" w:themeColor="text1"/>
          <w:sz w:val="24"/>
          <w14:textFill>
            <w14:solidFill>
              <w14:schemeClr w14:val="tx1"/>
            </w14:solidFill>
          </w14:textFill>
        </w:rPr>
        <w:t>/h，</w:t>
      </w:r>
      <w:r>
        <w:rPr>
          <w:rFonts w:hint="default" w:ascii="Times New Roman" w:hAnsi="Times New Roman" w:cs="Times New Roman"/>
          <w:bCs/>
          <w:color w:val="000000" w:themeColor="text1"/>
          <w:sz w:val="24"/>
          <w:lang w:val="en-US" w:eastAsia="zh-CN"/>
          <w14:textFill>
            <w14:solidFill>
              <w14:schemeClr w14:val="tx1"/>
            </w14:solidFill>
          </w14:textFill>
        </w:rPr>
        <w:t>收集效率以95%计，则收集的粉尘为10.18t/a，经“布袋除尘器”</w:t>
      </w:r>
      <w:r>
        <w:rPr>
          <w:rFonts w:hint="default" w:ascii="Times New Roman" w:hAnsi="Times New Roman" w:cs="Times New Roman"/>
          <w:bCs/>
          <w:color w:val="000000" w:themeColor="text1"/>
          <w:sz w:val="24"/>
          <w14:textFill>
            <w14:solidFill>
              <w14:schemeClr w14:val="tx1"/>
            </w14:solidFill>
          </w14:textFill>
        </w:rPr>
        <w:t>环保设施处理</w:t>
      </w:r>
      <w:r>
        <w:rPr>
          <w:rFonts w:hint="default" w:ascii="Times New Roman" w:hAnsi="Times New Roman" w:cs="Times New Roman"/>
          <w:bCs/>
          <w:color w:val="000000" w:themeColor="text1"/>
          <w:sz w:val="24"/>
          <w:lang w:eastAsia="zh-CN"/>
          <w14:textFill>
            <w14:solidFill>
              <w14:schemeClr w14:val="tx1"/>
            </w14:solidFill>
          </w14:textFill>
        </w:rPr>
        <w:t>，处理效率为</w:t>
      </w:r>
      <w:r>
        <w:rPr>
          <w:rFonts w:hint="default" w:ascii="Times New Roman" w:hAnsi="Times New Roman" w:cs="Times New Roman"/>
          <w:bCs/>
          <w:color w:val="000000" w:themeColor="text1"/>
          <w:sz w:val="24"/>
          <w:lang w:val="en-US" w:eastAsia="zh-CN"/>
          <w14:textFill>
            <w14:solidFill>
              <w14:schemeClr w14:val="tx1"/>
            </w14:solidFill>
          </w14:textFill>
        </w:rPr>
        <w:t>99%，粉尘的最终排放量为0.102t/a，</w:t>
      </w:r>
      <w:r>
        <w:rPr>
          <w:rFonts w:hint="default" w:ascii="Times New Roman" w:hAnsi="Times New Roman" w:cs="Times New Roman"/>
          <w:bCs/>
          <w:color w:val="000000" w:themeColor="text1"/>
          <w:sz w:val="24"/>
          <w14:textFill>
            <w14:solidFill>
              <w14:schemeClr w14:val="tx1"/>
            </w14:solidFill>
          </w14:textFill>
        </w:rPr>
        <w:t>由1根15m高（</w:t>
      </w:r>
      <w:r>
        <w:rPr>
          <w:rFonts w:hint="default" w:ascii="Times New Roman" w:hAnsi="Times New Roman" w:cs="Times New Roman"/>
          <w:bCs/>
          <w:color w:val="000000" w:themeColor="text1"/>
          <w:sz w:val="24"/>
          <w:lang w:val="en-US" w:eastAsia="zh-CN"/>
          <w14:textFill>
            <w14:solidFill>
              <w14:schemeClr w14:val="tx1"/>
            </w14:solidFill>
          </w14:textFill>
        </w:rPr>
        <w:t>2</w:t>
      </w:r>
      <w:r>
        <w:rPr>
          <w:rFonts w:hint="default" w:ascii="Times New Roman" w:hAnsi="Times New Roman" w:cs="Times New Roman"/>
          <w:bCs/>
          <w:color w:val="000000" w:themeColor="text1"/>
          <w:sz w:val="24"/>
          <w14:textFill>
            <w14:solidFill>
              <w14:schemeClr w14:val="tx1"/>
            </w14:solidFill>
          </w14:textFill>
        </w:rPr>
        <w:t>#）排气筒高空排放。</w:t>
      </w:r>
    </w:p>
    <w:p w14:paraId="396923CC">
      <w:pPr>
        <w:keepNext w:val="0"/>
        <w:keepLines w:val="0"/>
        <w:pageBreakBefore w:val="0"/>
        <w:kinsoku/>
        <w:wordWrap/>
        <w:overflowPunct/>
        <w:topLinePunct w:val="0"/>
        <w:bidi w:val="0"/>
        <w:spacing w:line="360" w:lineRule="auto"/>
        <w:ind w:firstLine="482"/>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集气罩风量计算</w:t>
      </w:r>
    </w:p>
    <w:p w14:paraId="06C3515C">
      <w:pPr>
        <w:keepNext w:val="0"/>
        <w:keepLines w:val="0"/>
        <w:pageBreakBefore w:val="0"/>
        <w:kinsoku/>
        <w:wordWrap/>
        <w:overflowPunct/>
        <w:topLinePunct w:val="0"/>
        <w:bidi w:val="0"/>
        <w:adjustRightInd w:val="0"/>
        <w:spacing w:line="360" w:lineRule="auto"/>
        <w:ind w:firstLine="480"/>
        <w:textAlignment w:val="auto"/>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项目在</w:t>
      </w:r>
      <w:r>
        <w:rPr>
          <w:rFonts w:hint="default" w:ascii="Times New Roman" w:hAnsi="Times New Roman" w:cs="Times New Roman"/>
          <w:bCs/>
          <w:color w:val="000000" w:themeColor="text1"/>
          <w:sz w:val="24"/>
          <w:lang w:val="en-US" w:eastAsia="zh-CN"/>
          <w14:textFill>
            <w14:solidFill>
              <w14:schemeClr w14:val="tx1"/>
            </w14:solidFill>
          </w14:textFill>
        </w:rPr>
        <w:t>团粒机出料口</w:t>
      </w:r>
      <w:r>
        <w:rPr>
          <w:rFonts w:hint="default" w:ascii="Times New Roman" w:hAnsi="Times New Roman" w:eastAsia="宋体" w:cs="Times New Roman"/>
          <w:bCs/>
          <w:color w:val="000000" w:themeColor="text1"/>
          <w:sz w:val="24"/>
          <w:szCs w:val="24"/>
          <w14:textFill>
            <w14:solidFill>
              <w14:schemeClr w14:val="tx1"/>
            </w14:solidFill>
          </w14:textFill>
        </w:rPr>
        <w:t>设置集气罩收集</w:t>
      </w:r>
      <w:r>
        <w:rPr>
          <w:rFonts w:hint="eastAsia" w:ascii="Times New Roman" w:hAnsi="Times New Roman" w:eastAsia="宋体" w:cs="Times New Roman"/>
          <w:bCs/>
          <w:color w:val="000000" w:themeColor="text1"/>
          <w:sz w:val="24"/>
          <w:szCs w:val="24"/>
          <w:lang w:eastAsia="zh-CN"/>
          <w14:textFill>
            <w14:solidFill>
              <w14:schemeClr w14:val="tx1"/>
            </w14:solidFill>
          </w14:textFill>
        </w:rPr>
        <w:t>高温分选</w:t>
      </w:r>
      <w:r>
        <w:rPr>
          <w:rFonts w:hint="default" w:ascii="Times New Roman" w:hAnsi="Times New Roman" w:eastAsia="宋体" w:cs="Times New Roman"/>
          <w:bCs/>
          <w:color w:val="000000" w:themeColor="text1"/>
          <w:sz w:val="24"/>
          <w:szCs w:val="24"/>
          <w14:textFill>
            <w14:solidFill>
              <w14:schemeClr w14:val="tx1"/>
            </w14:solidFill>
          </w14:textFill>
        </w:rPr>
        <w:t>废气。根据《环境工程设计手册》，集气罩风量可按照以下公式计算：</w:t>
      </w:r>
    </w:p>
    <w:p w14:paraId="4E10B644">
      <w:pPr>
        <w:keepNext w:val="0"/>
        <w:keepLines w:val="0"/>
        <w:pageBreakBefore w:val="0"/>
        <w:kinsoku/>
        <w:wordWrap/>
        <w:overflowPunct/>
        <w:topLinePunct w:val="0"/>
        <w:bidi w:val="0"/>
        <w:adjustRightInd w:val="0"/>
        <w:spacing w:line="360" w:lineRule="auto"/>
        <w:ind w:firstLine="480"/>
        <w:jc w:val="center"/>
        <w:textAlignment w:val="auto"/>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L=3600(5X</w:t>
      </w:r>
      <w:r>
        <w:rPr>
          <w:rFonts w:hint="default" w:ascii="Times New Roman" w:hAnsi="Times New Roman" w:eastAsia="宋体" w:cs="Times New Roman"/>
          <w:bCs/>
          <w:color w:val="000000" w:themeColor="text1"/>
          <w:sz w:val="24"/>
          <w:szCs w:val="24"/>
          <w:vertAlign w:val="superscript"/>
          <w14:textFill>
            <w14:solidFill>
              <w14:schemeClr w14:val="tx1"/>
            </w14:solidFill>
          </w14:textFill>
        </w:rPr>
        <w:t>2</w:t>
      </w:r>
      <w:r>
        <w:rPr>
          <w:rFonts w:hint="default" w:ascii="Times New Roman" w:hAnsi="Times New Roman" w:eastAsia="宋体" w:cs="Times New Roman"/>
          <w:bCs/>
          <w:color w:val="000000" w:themeColor="text1"/>
          <w:sz w:val="24"/>
          <w:szCs w:val="24"/>
          <w14:textFill>
            <w14:solidFill>
              <w14:schemeClr w14:val="tx1"/>
            </w14:solidFill>
          </w14:textFill>
        </w:rPr>
        <w:t>+F)Vx</w:t>
      </w:r>
    </w:p>
    <w:p w14:paraId="767500FB">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其中：L—风量，m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/h；</w:t>
      </w:r>
    </w:p>
    <w:p w14:paraId="67904A32">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X--集气罩至污染源的距离（取0.2m）；</w:t>
      </w:r>
    </w:p>
    <w:p w14:paraId="3389D053">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F--集气罩口面积；Vx--控制风速；</w:t>
      </w:r>
    </w:p>
    <w:p w14:paraId="66748BC1">
      <w:pPr>
        <w:spacing w:line="360" w:lineRule="auto"/>
        <w:ind w:firstLine="472" w:firstLineChars="20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集气罩的长宽为1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1.8</w:t>
      </w:r>
      <w:r>
        <w:rPr>
          <w:rFonts w:hint="default" w:ascii="Times New Roman" w:hAnsi="Times New Roman" w:eastAsia="宋体" w:cs="Times New Roman"/>
          <w:color w:val="000000" w:themeColor="text1"/>
          <w:sz w:val="24"/>
          <w:szCs w:val="24"/>
          <w14:textFill>
            <w14:solidFill>
              <w14:schemeClr w14:val="tx1"/>
            </w14:solidFill>
          </w14:textFill>
        </w:rPr>
        <w:t>m，风速为0.5m/s，则集气罩风量为</w:t>
      </w:r>
      <w:r>
        <w:rPr>
          <w:rFonts w:hint="eastAsia" w:cs="Times New Roman"/>
          <w:color w:val="000000" w:themeColor="text1"/>
          <w:sz w:val="24"/>
          <w:szCs w:val="24"/>
          <w:lang w:val="en-US" w:eastAsia="zh-CN"/>
          <w14:textFill>
            <w14:solidFill>
              <w14:schemeClr w14:val="tx1"/>
            </w14:solidFill>
          </w14:textFill>
        </w:rPr>
        <w:t>5220</w:t>
      </w:r>
      <w:r>
        <w:rPr>
          <w:rFonts w:hint="default" w:ascii="Times New Roman" w:hAnsi="Times New Roman" w:eastAsia="宋体" w:cs="Times New Roman"/>
          <w:bCs/>
          <w:color w:val="000000" w:themeColor="text1"/>
          <w:sz w:val="24"/>
          <w:szCs w:val="24"/>
          <w14:textFill>
            <w14:solidFill>
              <w14:schemeClr w14:val="tx1"/>
            </w14:solidFill>
          </w14:textFill>
        </w:rPr>
        <w:t>m</w:t>
      </w:r>
      <w:r>
        <w:rPr>
          <w:rFonts w:hint="default" w:ascii="Times New Roman" w:hAnsi="Times New Roman" w:eastAsia="宋体" w:cs="Times New Roman"/>
          <w:bCs/>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bCs/>
          <w:color w:val="000000" w:themeColor="text1"/>
          <w:sz w:val="24"/>
          <w:szCs w:val="24"/>
          <w14:textFill>
            <w14:solidFill>
              <w14:schemeClr w14:val="tx1"/>
            </w14:solidFill>
          </w14:textFill>
        </w:rPr>
        <w:t>/h，</w:t>
      </w:r>
      <w:r>
        <w:rPr>
          <w:rFonts w:hint="default" w:ascii="Times New Roman" w:hAnsi="Times New Roman" w:eastAsia="宋体" w:cs="Times New Roman"/>
          <w:color w:val="000000" w:themeColor="text1"/>
          <w:sz w:val="24"/>
          <w:szCs w:val="24"/>
          <w14:textFill>
            <w14:solidFill>
              <w14:schemeClr w14:val="tx1"/>
            </w14:solidFill>
          </w14:textFill>
        </w:rPr>
        <w:t>考虑到风管的阻力，得出所需风量为5</w:t>
      </w:r>
      <w:r>
        <w:rPr>
          <w:rFonts w:hint="eastAsia"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00m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/h。</w:t>
      </w:r>
    </w:p>
    <w:p w14:paraId="05594453">
      <w:pPr>
        <w:spacing w:line="360" w:lineRule="auto"/>
        <w:ind w:firstLine="472" w:firstLineChars="200"/>
        <w:rPr>
          <w:rFonts w:hint="default" w:ascii="Times New Roman" w:hAnsi="Times New Roman" w:eastAsia="宋体" w:cs="Times New Roman"/>
          <w:bCs/>
          <w:color w:val="000000" w:themeColor="text1"/>
          <w:sz w:val="24"/>
          <w:lang w:eastAsia="zh-CN"/>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w:t>
      </w:r>
      <w:r>
        <w:rPr>
          <w:rFonts w:hint="default" w:ascii="Times New Roman" w:hAnsi="Times New Roman" w:cs="Times New Roman"/>
          <w:bCs/>
          <w:color w:val="000000" w:themeColor="text1"/>
          <w:sz w:val="24"/>
          <w:lang w:val="en-US" w:eastAsia="zh-CN"/>
          <w14:textFill>
            <w14:solidFill>
              <w14:schemeClr w14:val="tx1"/>
            </w14:solidFill>
          </w14:textFill>
        </w:rPr>
        <w:t>4</w:t>
      </w:r>
      <w:r>
        <w:rPr>
          <w:rFonts w:hint="default" w:ascii="Times New Roman" w:hAnsi="Times New Roman" w:cs="Times New Roman"/>
          <w:bCs/>
          <w:color w:val="000000" w:themeColor="text1"/>
          <w:sz w:val="24"/>
          <w14:textFill>
            <w14:solidFill>
              <w14:schemeClr w14:val="tx1"/>
            </w14:solidFill>
          </w14:textFill>
        </w:rPr>
        <w:t>）</w:t>
      </w:r>
      <w:r>
        <w:rPr>
          <w:rFonts w:hint="default" w:ascii="Times New Roman" w:hAnsi="Times New Roman" w:cs="Times New Roman"/>
          <w:bCs/>
          <w:color w:val="000000" w:themeColor="text1"/>
          <w:sz w:val="24"/>
          <w:lang w:eastAsia="zh-CN"/>
          <w14:textFill>
            <w14:solidFill>
              <w14:schemeClr w14:val="tx1"/>
            </w14:solidFill>
          </w14:textFill>
        </w:rPr>
        <w:t>磨粉粉尘</w:t>
      </w:r>
    </w:p>
    <w:p w14:paraId="4BC024F4">
      <w:pPr>
        <w:spacing w:line="360" w:lineRule="auto"/>
        <w:ind w:firstLine="472" w:firstLineChars="20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lang w:eastAsia="zh-CN"/>
          <w14:textFill>
            <w14:solidFill>
              <w14:schemeClr w14:val="tx1"/>
            </w14:solidFill>
          </w14:textFill>
        </w:rPr>
        <w:t>本项目</w:t>
      </w:r>
      <w:r>
        <w:rPr>
          <w:rFonts w:hint="default" w:ascii="Times New Roman" w:hAnsi="Times New Roman" w:cs="Times New Roman"/>
          <w:bCs/>
          <w:color w:val="000000" w:themeColor="text1"/>
          <w:sz w:val="24"/>
          <w:lang w:val="en-US" w:eastAsia="zh-CN"/>
          <w14:textFill>
            <w14:solidFill>
              <w14:schemeClr w14:val="tx1"/>
            </w14:solidFill>
          </w14:textFill>
        </w:rPr>
        <w:t>PVC</w:t>
      </w:r>
      <w:r>
        <w:rPr>
          <w:rFonts w:hint="default" w:ascii="Times New Roman" w:hAnsi="Times New Roman" w:cs="Times New Roman"/>
          <w:bCs/>
          <w:color w:val="000000" w:themeColor="text1"/>
          <w:sz w:val="24"/>
          <w:lang w:eastAsia="zh-CN"/>
          <w14:textFill>
            <w14:solidFill>
              <w14:schemeClr w14:val="tx1"/>
            </w14:solidFill>
          </w14:textFill>
        </w:rPr>
        <w:t>标签纸采用</w:t>
      </w:r>
      <w:r>
        <w:rPr>
          <w:rFonts w:hint="default" w:ascii="Times New Roman" w:hAnsi="Times New Roman" w:cs="Times New Roman"/>
          <w:bCs/>
          <w:color w:val="000000" w:themeColor="text1"/>
          <w:sz w:val="24"/>
          <w:highlight w:val="yellow"/>
          <w:lang w:eastAsia="zh-CN"/>
          <w14:textFill>
            <w14:solidFill>
              <w14:schemeClr w14:val="tx1"/>
            </w14:solidFill>
          </w14:textFill>
        </w:rPr>
        <w:t>磨粉机破碎</w:t>
      </w:r>
      <w:r>
        <w:rPr>
          <w:rFonts w:hint="eastAsia" w:cs="Times New Roman"/>
          <w:bCs/>
          <w:color w:val="000000" w:themeColor="text1"/>
          <w:sz w:val="24"/>
          <w:highlight w:val="yellow"/>
          <w:lang w:eastAsia="zh-CN"/>
          <w14:textFill>
            <w14:solidFill>
              <w14:schemeClr w14:val="tx1"/>
            </w14:solidFill>
          </w14:textFill>
        </w:rPr>
        <w:t>（粒径</w:t>
      </w:r>
      <w:r>
        <w:rPr>
          <w:rFonts w:hint="eastAsia" w:cs="Times New Roman"/>
          <w:bCs/>
          <w:color w:val="000000" w:themeColor="text1"/>
          <w:sz w:val="24"/>
          <w:highlight w:val="yellow"/>
          <w:lang w:val="en-US" w:eastAsia="zh-CN"/>
          <w14:textFill>
            <w14:solidFill>
              <w14:schemeClr w14:val="tx1"/>
            </w14:solidFill>
          </w14:textFill>
        </w:rPr>
        <w:t>2mm~5mm</w:t>
      </w:r>
      <w:r>
        <w:rPr>
          <w:rFonts w:hint="eastAsia" w:cs="Times New Roman"/>
          <w:bCs/>
          <w:color w:val="000000" w:themeColor="text1"/>
          <w:sz w:val="24"/>
          <w:highlight w:val="yellow"/>
          <w:lang w:eastAsia="zh-CN"/>
          <w14:textFill>
            <w14:solidFill>
              <w14:schemeClr w14:val="tx1"/>
            </w14:solidFill>
          </w14:textFill>
        </w:rPr>
        <w:t>）</w:t>
      </w:r>
      <w:r>
        <w:rPr>
          <w:rFonts w:hint="default" w:ascii="Times New Roman" w:hAnsi="Times New Roman" w:cs="Times New Roman"/>
          <w:bCs/>
          <w:color w:val="000000" w:themeColor="text1"/>
          <w:sz w:val="24"/>
          <w:lang w:eastAsia="zh-CN"/>
          <w14:textFill>
            <w14:solidFill>
              <w14:schemeClr w14:val="tx1"/>
            </w14:solidFill>
          </w14:textFill>
        </w:rPr>
        <w:t>，破碎过程会产生少量粉尘，设备全封闭，</w:t>
      </w:r>
      <w:r>
        <w:rPr>
          <w:rFonts w:hint="default" w:ascii="Times New Roman" w:hAnsi="Times New Roman" w:cs="Times New Roman"/>
          <w:bCs/>
          <w:color w:val="000000" w:themeColor="text1"/>
          <w:sz w:val="24"/>
          <w14:textFill>
            <w14:solidFill>
              <w14:schemeClr w14:val="tx1"/>
            </w14:solidFill>
          </w14:textFill>
        </w:rPr>
        <w:t>参照《4220 非金属废料和碎屑加工处理行业系数表》可知，</w:t>
      </w:r>
      <w:r>
        <w:rPr>
          <w:rFonts w:hint="default" w:ascii="Times New Roman" w:hAnsi="Times New Roman" w:cs="Times New Roman"/>
          <w:bCs/>
          <w:color w:val="000000" w:themeColor="text1"/>
          <w:sz w:val="24"/>
          <w:lang w:eastAsia="zh-CN"/>
          <w14:textFill>
            <w14:solidFill>
              <w14:schemeClr w14:val="tx1"/>
            </w14:solidFill>
          </w14:textFill>
        </w:rPr>
        <w:t>粉尘</w:t>
      </w:r>
      <w:r>
        <w:rPr>
          <w:rFonts w:hint="default" w:ascii="Times New Roman" w:hAnsi="Times New Roman" w:cs="Times New Roman"/>
          <w:bCs/>
          <w:color w:val="000000" w:themeColor="text1"/>
          <w:sz w:val="24"/>
          <w14:textFill>
            <w14:solidFill>
              <w14:schemeClr w14:val="tx1"/>
            </w14:solidFill>
          </w14:textFill>
        </w:rPr>
        <w:t>产生系数为</w:t>
      </w:r>
      <w:r>
        <w:rPr>
          <w:rFonts w:hint="default" w:ascii="Times New Roman" w:hAnsi="Times New Roman" w:cs="Times New Roman"/>
          <w:bCs/>
          <w:color w:val="000000" w:themeColor="text1"/>
          <w:sz w:val="24"/>
          <w:lang w:val="en-US" w:eastAsia="zh-CN"/>
          <w14:textFill>
            <w14:solidFill>
              <w14:schemeClr w14:val="tx1"/>
            </w14:solidFill>
          </w14:textFill>
        </w:rPr>
        <w:t>450</w:t>
      </w:r>
      <w:r>
        <w:rPr>
          <w:rFonts w:hint="default" w:ascii="Times New Roman" w:hAnsi="Times New Roman" w:cs="Times New Roman"/>
          <w:bCs/>
          <w:color w:val="000000" w:themeColor="text1"/>
          <w:sz w:val="24"/>
          <w14:textFill>
            <w14:solidFill>
              <w14:schemeClr w14:val="tx1"/>
            </w14:solidFill>
          </w14:textFill>
        </w:rPr>
        <w:t>g/</w:t>
      </w:r>
      <w:r>
        <w:rPr>
          <w:rFonts w:hint="default" w:ascii="Times New Roman" w:hAnsi="Times New Roman" w:cs="Times New Roman"/>
          <w:bCs/>
          <w:color w:val="000000" w:themeColor="text1"/>
          <w:sz w:val="24"/>
          <w:lang w:val="en-US" w:eastAsia="zh-CN"/>
          <w14:textFill>
            <w14:solidFill>
              <w14:schemeClr w14:val="tx1"/>
            </w14:solidFill>
          </w14:textFill>
        </w:rPr>
        <w:t>t</w:t>
      </w:r>
      <w:r>
        <w:rPr>
          <w:rFonts w:hint="default" w:ascii="Times New Roman" w:hAnsi="Times New Roman" w:cs="Times New Roman"/>
          <w:bCs/>
          <w:color w:val="000000" w:themeColor="text1"/>
          <w:sz w:val="24"/>
          <w14:textFill>
            <w14:solidFill>
              <w14:schemeClr w14:val="tx1"/>
            </w14:solidFill>
          </w14:textFill>
        </w:rPr>
        <w:t>-原料，</w:t>
      </w:r>
      <w:r>
        <w:rPr>
          <w:rFonts w:hint="default" w:ascii="Times New Roman" w:hAnsi="Times New Roman" w:cs="Times New Roman"/>
          <w:bCs/>
          <w:color w:val="000000" w:themeColor="text1"/>
          <w:sz w:val="24"/>
          <w:lang w:eastAsia="zh-CN"/>
          <w14:textFill>
            <w14:solidFill>
              <w14:schemeClr w14:val="tx1"/>
            </w14:solidFill>
          </w14:textFill>
        </w:rPr>
        <w:t>根据企业提供资料，</w:t>
      </w:r>
      <w:r>
        <w:rPr>
          <w:rFonts w:hint="eastAsia" w:cs="Times New Roman"/>
          <w:bCs/>
          <w:color w:val="000000" w:themeColor="text1"/>
          <w:sz w:val="24"/>
          <w:lang w:eastAsia="zh-CN"/>
          <w14:textFill>
            <w14:solidFill>
              <w14:schemeClr w14:val="tx1"/>
            </w14:solidFill>
          </w14:textFill>
        </w:rPr>
        <w:t>废标签纸产生量约</w:t>
      </w:r>
      <w:r>
        <w:rPr>
          <w:rFonts w:hint="eastAsia" w:cs="Times New Roman"/>
          <w:bCs/>
          <w:color w:val="000000" w:themeColor="text1"/>
          <w:sz w:val="24"/>
          <w:lang w:val="en-US" w:eastAsia="zh-CN"/>
          <w14:textFill>
            <w14:solidFill>
              <w14:schemeClr w14:val="tx1"/>
            </w14:solidFill>
          </w14:textFill>
        </w:rPr>
        <w:t>7003t/a，其</w:t>
      </w:r>
      <w:r>
        <w:rPr>
          <w:rFonts w:hint="eastAsia" w:cs="Times New Roman"/>
          <w:bCs/>
          <w:color w:val="000000" w:themeColor="text1"/>
          <w:sz w:val="24"/>
          <w:lang w:eastAsia="zh-CN"/>
          <w14:textFill>
            <w14:solidFill>
              <w14:schemeClr w14:val="tx1"/>
            </w14:solidFill>
          </w14:textFill>
        </w:rPr>
        <w:t>中</w:t>
      </w:r>
      <w:r>
        <w:rPr>
          <w:rFonts w:hint="eastAsia" w:cs="Times New Roman"/>
          <w:bCs/>
          <w:color w:val="000000" w:themeColor="text1"/>
          <w:sz w:val="24"/>
          <w:lang w:val="en-US" w:eastAsia="zh-CN"/>
          <w14:textFill>
            <w14:solidFill>
              <w14:schemeClr w14:val="tx1"/>
            </w14:solidFill>
          </w14:textFill>
        </w:rPr>
        <w:t>PP材质与PVC材质比例为3:7，因此</w:t>
      </w:r>
      <w:r>
        <w:rPr>
          <w:rFonts w:hint="default" w:ascii="Times New Roman" w:hAnsi="Times New Roman" w:cs="Times New Roman"/>
          <w:bCs/>
          <w:color w:val="000000" w:themeColor="text1"/>
          <w:sz w:val="24"/>
          <w:lang w:val="en-US" w:eastAsia="zh-CN"/>
          <w14:textFill>
            <w14:solidFill>
              <w14:schemeClr w14:val="tx1"/>
            </w14:solidFill>
          </w14:textFill>
        </w:rPr>
        <w:t>PVC材质</w:t>
      </w:r>
      <w:r>
        <w:rPr>
          <w:rFonts w:hint="default" w:ascii="Times New Roman" w:hAnsi="Times New Roman" w:cs="Times New Roman"/>
          <w:bCs/>
          <w:color w:val="000000" w:themeColor="text1"/>
          <w:sz w:val="24"/>
          <w:lang w:eastAsia="zh-CN"/>
          <w14:textFill>
            <w14:solidFill>
              <w14:schemeClr w14:val="tx1"/>
            </w14:solidFill>
          </w14:textFill>
        </w:rPr>
        <w:t>标签纸</w:t>
      </w:r>
      <w:r>
        <w:rPr>
          <w:rFonts w:hint="default" w:ascii="Times New Roman" w:hAnsi="Times New Roman" w:cs="Times New Roman"/>
          <w:bCs/>
          <w:color w:val="000000" w:themeColor="text1"/>
          <w:sz w:val="24"/>
          <w14:textFill>
            <w14:solidFill>
              <w14:schemeClr w14:val="tx1"/>
            </w14:solidFill>
          </w14:textFill>
        </w:rPr>
        <w:t>使用量为</w:t>
      </w:r>
      <w:r>
        <w:rPr>
          <w:rFonts w:hint="default" w:ascii="Times New Roman" w:hAnsi="Times New Roman" w:cs="Times New Roman"/>
          <w:bCs/>
          <w:color w:val="000000" w:themeColor="text1"/>
          <w:sz w:val="24"/>
          <w:lang w:val="en-US" w:eastAsia="zh-CN"/>
          <w14:textFill>
            <w14:solidFill>
              <w14:schemeClr w14:val="tx1"/>
            </w14:solidFill>
          </w14:textFill>
        </w:rPr>
        <w:t>4902.21</w:t>
      </w:r>
      <w:r>
        <w:rPr>
          <w:rFonts w:hint="default" w:ascii="Times New Roman" w:hAnsi="Times New Roman" w:cs="Times New Roman"/>
          <w:bCs/>
          <w:color w:val="000000" w:themeColor="text1"/>
          <w:sz w:val="24"/>
          <w14:textFill>
            <w14:solidFill>
              <w14:schemeClr w14:val="tx1"/>
            </w14:solidFill>
          </w14:textFill>
        </w:rPr>
        <w:t>t/a，则</w:t>
      </w:r>
      <w:r>
        <w:rPr>
          <w:rFonts w:hint="default" w:ascii="Times New Roman" w:hAnsi="Times New Roman" w:cs="Times New Roman"/>
          <w:bCs/>
          <w:color w:val="000000" w:themeColor="text1"/>
          <w:sz w:val="24"/>
          <w:lang w:eastAsia="zh-CN"/>
          <w14:textFill>
            <w14:solidFill>
              <w14:schemeClr w14:val="tx1"/>
            </w14:solidFill>
          </w14:textFill>
        </w:rPr>
        <w:t>粉尘</w:t>
      </w:r>
      <w:r>
        <w:rPr>
          <w:rFonts w:hint="default" w:ascii="Times New Roman" w:hAnsi="Times New Roman" w:cs="Times New Roman"/>
          <w:bCs/>
          <w:color w:val="000000" w:themeColor="text1"/>
          <w:sz w:val="24"/>
          <w14:textFill>
            <w14:solidFill>
              <w14:schemeClr w14:val="tx1"/>
            </w14:solidFill>
          </w14:textFill>
        </w:rPr>
        <w:t>产生量为</w:t>
      </w:r>
      <w:r>
        <w:rPr>
          <w:rFonts w:hint="default" w:ascii="Times New Roman" w:hAnsi="Times New Roman" w:cs="Times New Roman"/>
          <w:bCs/>
          <w:color w:val="000000" w:themeColor="text1"/>
          <w:sz w:val="24"/>
          <w:lang w:val="en-US" w:eastAsia="zh-CN"/>
          <w14:textFill>
            <w14:solidFill>
              <w14:schemeClr w14:val="tx1"/>
            </w14:solidFill>
          </w14:textFill>
        </w:rPr>
        <w:t>2.21</w:t>
      </w:r>
      <w:r>
        <w:rPr>
          <w:rFonts w:hint="default" w:ascii="Times New Roman" w:hAnsi="Times New Roman" w:cs="Times New Roman"/>
          <w:bCs/>
          <w:color w:val="000000" w:themeColor="text1"/>
          <w:sz w:val="24"/>
          <w14:textFill>
            <w14:solidFill>
              <w14:schemeClr w14:val="tx1"/>
            </w14:solidFill>
          </w14:textFill>
        </w:rPr>
        <w:t>t/a。在</w:t>
      </w:r>
      <w:r>
        <w:rPr>
          <w:rFonts w:hint="default" w:ascii="Times New Roman" w:hAnsi="Times New Roman" w:cs="Times New Roman"/>
          <w:bCs/>
          <w:color w:val="000000" w:themeColor="text1"/>
          <w:sz w:val="24"/>
          <w:lang w:eastAsia="zh-CN"/>
          <w14:textFill>
            <w14:solidFill>
              <w14:schemeClr w14:val="tx1"/>
            </w14:solidFill>
          </w14:textFill>
        </w:rPr>
        <w:t>设备</w:t>
      </w:r>
      <w:r>
        <w:rPr>
          <w:rFonts w:hint="default" w:ascii="Times New Roman" w:hAnsi="Times New Roman" w:cs="Times New Roman"/>
          <w:bCs/>
          <w:color w:val="000000" w:themeColor="text1"/>
          <w:sz w:val="24"/>
          <w14:textFill>
            <w14:solidFill>
              <w14:schemeClr w14:val="tx1"/>
            </w14:solidFill>
          </w14:textFill>
        </w:rPr>
        <w:t>上方安装集气罩</w:t>
      </w:r>
      <w:r>
        <w:rPr>
          <w:rFonts w:hint="default" w:ascii="Times New Roman" w:hAnsi="Times New Roman" w:cs="Times New Roman"/>
          <w:bCs/>
          <w:color w:val="000000" w:themeColor="text1"/>
          <w:sz w:val="24"/>
          <w:lang w:val="en-US" w:eastAsia="zh-CN"/>
          <w14:textFill>
            <w14:solidFill>
              <w14:schemeClr w14:val="tx1"/>
            </w14:solidFill>
          </w14:textFill>
        </w:rPr>
        <w:t>，</w:t>
      </w:r>
      <w:r>
        <w:rPr>
          <w:rFonts w:hint="eastAsia" w:cs="Times New Roman"/>
          <w:bCs/>
          <w:color w:val="000000" w:themeColor="text1"/>
          <w:sz w:val="24"/>
          <w:lang w:val="en-US" w:eastAsia="zh-CN"/>
          <w14:textFill>
            <w14:solidFill>
              <w14:schemeClr w14:val="tx1"/>
            </w14:solidFill>
          </w14:textFill>
        </w:rPr>
        <w:t>集气罩尺寸为1.5m×1.8m</w:t>
      </w:r>
      <w:r>
        <w:rPr>
          <w:rFonts w:hint="default" w:ascii="Times New Roman" w:hAnsi="Times New Roman" w:cs="Times New Roman"/>
          <w:bCs/>
          <w:color w:val="000000" w:themeColor="text1"/>
          <w:sz w:val="24"/>
          <w:lang w:val="en-US" w:eastAsia="zh-CN"/>
          <w14:textFill>
            <w14:solidFill>
              <w14:schemeClr w14:val="tx1"/>
            </w14:solidFill>
          </w14:textFill>
        </w:rPr>
        <w:t>，</w:t>
      </w:r>
      <w:r>
        <w:rPr>
          <w:rFonts w:hint="eastAsia" w:cs="Times New Roman"/>
          <w:bCs/>
          <w:color w:val="000000" w:themeColor="text1"/>
          <w:sz w:val="24"/>
          <w:lang w:val="en-US" w:eastAsia="zh-CN"/>
          <w14:textFill>
            <w14:solidFill>
              <w14:schemeClr w14:val="tx1"/>
            </w14:solidFill>
          </w14:textFill>
        </w:rPr>
        <w:t>则</w:t>
      </w:r>
      <w:r>
        <w:rPr>
          <w:rFonts w:hint="default" w:ascii="Times New Roman" w:hAnsi="Times New Roman" w:cs="Times New Roman"/>
          <w:bCs/>
          <w:color w:val="000000" w:themeColor="text1"/>
          <w:sz w:val="24"/>
          <w14:textFill>
            <w14:solidFill>
              <w14:schemeClr w14:val="tx1"/>
            </w14:solidFill>
          </w14:textFill>
        </w:rPr>
        <w:t>风量</w:t>
      </w:r>
      <w:r>
        <w:rPr>
          <w:rFonts w:hint="default" w:ascii="Times New Roman" w:hAnsi="Times New Roman" w:cs="Times New Roman"/>
          <w:bCs/>
          <w:color w:val="000000" w:themeColor="text1"/>
          <w:sz w:val="24"/>
          <w:lang w:eastAsia="zh-CN"/>
          <w14:textFill>
            <w14:solidFill>
              <w14:schemeClr w14:val="tx1"/>
            </w14:solidFill>
          </w14:textFill>
        </w:rPr>
        <w:t>为</w:t>
      </w:r>
      <w:r>
        <w:rPr>
          <w:rFonts w:hint="eastAsia" w:cs="Times New Roman"/>
          <w:bCs/>
          <w:color w:val="000000" w:themeColor="text1"/>
          <w:sz w:val="24"/>
          <w:lang w:val="en-US" w:eastAsia="zh-CN"/>
          <w14:textFill>
            <w14:solidFill>
              <w14:schemeClr w14:val="tx1"/>
            </w14:solidFill>
          </w14:textFill>
        </w:rPr>
        <w:t>55</w:t>
      </w:r>
      <w:r>
        <w:rPr>
          <w:rFonts w:hint="default" w:ascii="Times New Roman" w:hAnsi="Times New Roman" w:cs="Times New Roman"/>
          <w:bCs/>
          <w:color w:val="000000" w:themeColor="text1"/>
          <w:sz w:val="24"/>
          <w14:textFill>
            <w14:solidFill>
              <w14:schemeClr w14:val="tx1"/>
            </w14:solidFill>
          </w14:textFill>
        </w:rPr>
        <w:t>00m</w:t>
      </w:r>
      <w:r>
        <w:rPr>
          <w:rFonts w:hint="default" w:ascii="Times New Roman" w:hAnsi="Times New Roman" w:cs="Times New Roman"/>
          <w:bCs/>
          <w:color w:val="000000" w:themeColor="text1"/>
          <w:sz w:val="24"/>
          <w:vertAlign w:val="superscript"/>
          <w14:textFill>
            <w14:solidFill>
              <w14:schemeClr w14:val="tx1"/>
            </w14:solidFill>
          </w14:textFill>
        </w:rPr>
        <w:t>3</w:t>
      </w:r>
      <w:r>
        <w:rPr>
          <w:rFonts w:hint="default" w:ascii="Times New Roman" w:hAnsi="Times New Roman" w:cs="Times New Roman"/>
          <w:bCs/>
          <w:color w:val="000000" w:themeColor="text1"/>
          <w:sz w:val="24"/>
          <w14:textFill>
            <w14:solidFill>
              <w14:schemeClr w14:val="tx1"/>
            </w14:solidFill>
          </w14:textFill>
        </w:rPr>
        <w:t>/h，收集效率为9</w:t>
      </w:r>
      <w:r>
        <w:rPr>
          <w:rFonts w:hint="default" w:ascii="Times New Roman" w:hAnsi="Times New Roman" w:cs="Times New Roman"/>
          <w:bCs/>
          <w:color w:val="000000" w:themeColor="text1"/>
          <w:sz w:val="24"/>
          <w:lang w:val="en-US" w:eastAsia="zh-CN"/>
          <w14:textFill>
            <w14:solidFill>
              <w14:schemeClr w14:val="tx1"/>
            </w14:solidFill>
          </w14:textFill>
        </w:rPr>
        <w:t>5</w:t>
      </w:r>
      <w:r>
        <w:rPr>
          <w:rFonts w:hint="default" w:ascii="Times New Roman" w:hAnsi="Times New Roman" w:cs="Times New Roman"/>
          <w:bCs/>
          <w:color w:val="000000" w:themeColor="text1"/>
          <w:sz w:val="24"/>
          <w14:textFill>
            <w14:solidFill>
              <w14:schemeClr w14:val="tx1"/>
            </w14:solidFill>
          </w14:textFill>
        </w:rPr>
        <w:t>%，收集的</w:t>
      </w:r>
      <w:r>
        <w:rPr>
          <w:rFonts w:hint="default" w:ascii="Times New Roman" w:hAnsi="Times New Roman" w:cs="Times New Roman"/>
          <w:bCs/>
          <w:color w:val="000000" w:themeColor="text1"/>
          <w:sz w:val="24"/>
          <w:lang w:eastAsia="zh-CN"/>
          <w14:textFill>
            <w14:solidFill>
              <w14:schemeClr w14:val="tx1"/>
            </w14:solidFill>
          </w14:textFill>
        </w:rPr>
        <w:t>粉尘</w:t>
      </w:r>
      <w:r>
        <w:rPr>
          <w:rFonts w:hint="default" w:ascii="Times New Roman" w:hAnsi="Times New Roman" w:cs="Times New Roman"/>
          <w:bCs/>
          <w:color w:val="000000" w:themeColor="text1"/>
          <w:sz w:val="24"/>
          <w14:textFill>
            <w14:solidFill>
              <w14:schemeClr w14:val="tx1"/>
            </w14:solidFill>
          </w14:textFill>
        </w:rPr>
        <w:t>为</w:t>
      </w:r>
      <w:r>
        <w:rPr>
          <w:rFonts w:hint="default" w:ascii="Times New Roman" w:hAnsi="Times New Roman" w:cs="Times New Roman"/>
          <w:bCs/>
          <w:color w:val="000000" w:themeColor="text1"/>
          <w:sz w:val="24"/>
          <w:lang w:val="en-US" w:eastAsia="zh-CN"/>
          <w14:textFill>
            <w14:solidFill>
              <w14:schemeClr w14:val="tx1"/>
            </w14:solidFill>
          </w14:textFill>
        </w:rPr>
        <w:t>2.1</w:t>
      </w:r>
      <w:r>
        <w:rPr>
          <w:rFonts w:hint="default" w:ascii="Times New Roman" w:hAnsi="Times New Roman" w:cs="Times New Roman"/>
          <w:bCs/>
          <w:color w:val="000000" w:themeColor="text1"/>
          <w:sz w:val="24"/>
          <w14:textFill>
            <w14:solidFill>
              <w14:schemeClr w14:val="tx1"/>
            </w14:solidFill>
          </w14:textFill>
        </w:rPr>
        <w:t>t/a，</w:t>
      </w:r>
      <w:r>
        <w:rPr>
          <w:rFonts w:hint="default" w:ascii="Times New Roman" w:hAnsi="Times New Roman" w:cs="Times New Roman"/>
          <w:bCs/>
          <w:color w:val="000000" w:themeColor="text1"/>
          <w:sz w:val="24"/>
          <w:lang w:val="en-US" w:eastAsia="zh-CN"/>
          <w14:textFill>
            <w14:solidFill>
              <w14:schemeClr w14:val="tx1"/>
            </w14:solidFill>
          </w14:textFill>
        </w:rPr>
        <w:t>经“布袋除尘器”</w:t>
      </w:r>
      <w:r>
        <w:rPr>
          <w:rFonts w:hint="default" w:ascii="Times New Roman" w:hAnsi="Times New Roman" w:cs="Times New Roman"/>
          <w:bCs/>
          <w:color w:val="000000" w:themeColor="text1"/>
          <w:sz w:val="24"/>
          <w14:textFill>
            <w14:solidFill>
              <w14:schemeClr w14:val="tx1"/>
            </w14:solidFill>
          </w14:textFill>
        </w:rPr>
        <w:t>环保设施处理</w:t>
      </w:r>
      <w:r>
        <w:rPr>
          <w:rFonts w:hint="default" w:ascii="Times New Roman" w:hAnsi="Times New Roman" w:cs="Times New Roman"/>
          <w:bCs/>
          <w:color w:val="000000" w:themeColor="text1"/>
          <w:sz w:val="24"/>
          <w:lang w:eastAsia="zh-CN"/>
          <w14:textFill>
            <w14:solidFill>
              <w14:schemeClr w14:val="tx1"/>
            </w14:solidFill>
          </w14:textFill>
        </w:rPr>
        <w:t>，处理效率为</w:t>
      </w:r>
      <w:r>
        <w:rPr>
          <w:rFonts w:hint="default" w:ascii="Times New Roman" w:hAnsi="Times New Roman" w:cs="Times New Roman"/>
          <w:bCs/>
          <w:color w:val="000000" w:themeColor="text1"/>
          <w:sz w:val="24"/>
          <w:lang w:val="en-US" w:eastAsia="zh-CN"/>
          <w14:textFill>
            <w14:solidFill>
              <w14:schemeClr w14:val="tx1"/>
            </w14:solidFill>
          </w14:textFill>
        </w:rPr>
        <w:t>99%，粉尘的最终排放量为0.021t/a，</w:t>
      </w:r>
      <w:r>
        <w:rPr>
          <w:rFonts w:hint="default" w:ascii="Times New Roman" w:hAnsi="Times New Roman" w:cs="Times New Roman"/>
          <w:bCs/>
          <w:color w:val="000000" w:themeColor="text1"/>
          <w:sz w:val="24"/>
          <w14:textFill>
            <w14:solidFill>
              <w14:schemeClr w14:val="tx1"/>
            </w14:solidFill>
          </w14:textFill>
        </w:rPr>
        <w:t>由1根15m高（</w:t>
      </w:r>
      <w:r>
        <w:rPr>
          <w:rFonts w:hint="default" w:ascii="Times New Roman" w:hAnsi="Times New Roman" w:cs="Times New Roman"/>
          <w:bCs/>
          <w:color w:val="000000" w:themeColor="text1"/>
          <w:sz w:val="24"/>
          <w:lang w:val="en-US" w:eastAsia="zh-CN"/>
          <w14:textFill>
            <w14:solidFill>
              <w14:schemeClr w14:val="tx1"/>
            </w14:solidFill>
          </w14:textFill>
        </w:rPr>
        <w:t>2</w:t>
      </w:r>
      <w:r>
        <w:rPr>
          <w:rFonts w:hint="default" w:ascii="Times New Roman" w:hAnsi="Times New Roman" w:cs="Times New Roman"/>
          <w:bCs/>
          <w:color w:val="000000" w:themeColor="text1"/>
          <w:sz w:val="24"/>
          <w14:textFill>
            <w14:solidFill>
              <w14:schemeClr w14:val="tx1"/>
            </w14:solidFill>
          </w14:textFill>
        </w:rPr>
        <w:t>#）排气筒高空排放。</w:t>
      </w:r>
    </w:p>
    <w:p w14:paraId="52E37AF9">
      <w:pPr>
        <w:keepNext w:val="0"/>
        <w:keepLines w:val="0"/>
        <w:pageBreakBefore w:val="0"/>
        <w:kinsoku/>
        <w:wordWrap/>
        <w:overflowPunct/>
        <w:topLinePunct w:val="0"/>
        <w:bidi w:val="0"/>
        <w:spacing w:line="360" w:lineRule="auto"/>
        <w:ind w:firstLine="482"/>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集气罩风量计算</w:t>
      </w:r>
    </w:p>
    <w:p w14:paraId="69BC4045">
      <w:pPr>
        <w:keepNext w:val="0"/>
        <w:keepLines w:val="0"/>
        <w:pageBreakBefore w:val="0"/>
        <w:kinsoku/>
        <w:wordWrap/>
        <w:overflowPunct/>
        <w:topLinePunct w:val="0"/>
        <w:bidi w:val="0"/>
        <w:adjustRightInd w:val="0"/>
        <w:spacing w:line="360" w:lineRule="auto"/>
        <w:ind w:firstLine="480"/>
        <w:textAlignment w:val="auto"/>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项目在</w:t>
      </w:r>
      <w:r>
        <w:rPr>
          <w:rFonts w:hint="default" w:ascii="Times New Roman" w:hAnsi="Times New Roman" w:cs="Times New Roman"/>
          <w:bCs/>
          <w:color w:val="000000" w:themeColor="text1"/>
          <w:sz w:val="24"/>
          <w:lang w:val="en-US" w:eastAsia="zh-CN"/>
          <w14:textFill>
            <w14:solidFill>
              <w14:schemeClr w14:val="tx1"/>
            </w14:solidFill>
          </w14:textFill>
        </w:rPr>
        <w:t>团粒机出料口</w:t>
      </w:r>
      <w:r>
        <w:rPr>
          <w:rFonts w:hint="default" w:ascii="Times New Roman" w:hAnsi="Times New Roman" w:eastAsia="宋体" w:cs="Times New Roman"/>
          <w:bCs/>
          <w:color w:val="000000" w:themeColor="text1"/>
          <w:sz w:val="24"/>
          <w:szCs w:val="24"/>
          <w14:textFill>
            <w14:solidFill>
              <w14:schemeClr w14:val="tx1"/>
            </w14:solidFill>
          </w14:textFill>
        </w:rPr>
        <w:t>设置集气罩收集</w:t>
      </w:r>
      <w:r>
        <w:rPr>
          <w:rFonts w:hint="eastAsia" w:ascii="Times New Roman" w:hAnsi="Times New Roman" w:eastAsia="宋体" w:cs="Times New Roman"/>
          <w:bCs/>
          <w:color w:val="000000" w:themeColor="text1"/>
          <w:sz w:val="24"/>
          <w:szCs w:val="24"/>
          <w:lang w:eastAsia="zh-CN"/>
          <w14:textFill>
            <w14:solidFill>
              <w14:schemeClr w14:val="tx1"/>
            </w14:solidFill>
          </w14:textFill>
        </w:rPr>
        <w:t>高温分选</w:t>
      </w:r>
      <w:r>
        <w:rPr>
          <w:rFonts w:hint="default" w:ascii="Times New Roman" w:hAnsi="Times New Roman" w:eastAsia="宋体" w:cs="Times New Roman"/>
          <w:bCs/>
          <w:color w:val="000000" w:themeColor="text1"/>
          <w:sz w:val="24"/>
          <w:szCs w:val="24"/>
          <w14:textFill>
            <w14:solidFill>
              <w14:schemeClr w14:val="tx1"/>
            </w14:solidFill>
          </w14:textFill>
        </w:rPr>
        <w:t>废气。根据《环境工程设计手册》，集气罩风量可按照以下公式计算：</w:t>
      </w:r>
    </w:p>
    <w:p w14:paraId="2C9F53E5">
      <w:pPr>
        <w:keepNext w:val="0"/>
        <w:keepLines w:val="0"/>
        <w:pageBreakBefore w:val="0"/>
        <w:kinsoku/>
        <w:wordWrap/>
        <w:overflowPunct/>
        <w:topLinePunct w:val="0"/>
        <w:bidi w:val="0"/>
        <w:adjustRightInd w:val="0"/>
        <w:spacing w:line="360" w:lineRule="auto"/>
        <w:ind w:firstLine="480"/>
        <w:jc w:val="center"/>
        <w:textAlignment w:val="auto"/>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L=3600(5X</w:t>
      </w:r>
      <w:r>
        <w:rPr>
          <w:rFonts w:hint="default" w:ascii="Times New Roman" w:hAnsi="Times New Roman" w:eastAsia="宋体" w:cs="Times New Roman"/>
          <w:bCs/>
          <w:color w:val="000000" w:themeColor="text1"/>
          <w:sz w:val="24"/>
          <w:szCs w:val="24"/>
          <w:vertAlign w:val="superscript"/>
          <w14:textFill>
            <w14:solidFill>
              <w14:schemeClr w14:val="tx1"/>
            </w14:solidFill>
          </w14:textFill>
        </w:rPr>
        <w:t>2</w:t>
      </w:r>
      <w:r>
        <w:rPr>
          <w:rFonts w:hint="default" w:ascii="Times New Roman" w:hAnsi="Times New Roman" w:eastAsia="宋体" w:cs="Times New Roman"/>
          <w:bCs/>
          <w:color w:val="000000" w:themeColor="text1"/>
          <w:sz w:val="24"/>
          <w:szCs w:val="24"/>
          <w14:textFill>
            <w14:solidFill>
              <w14:schemeClr w14:val="tx1"/>
            </w14:solidFill>
          </w14:textFill>
        </w:rPr>
        <w:t>+F)Vx</w:t>
      </w:r>
    </w:p>
    <w:p w14:paraId="68626F29">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其中：L—风量，m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/h；</w:t>
      </w:r>
    </w:p>
    <w:p w14:paraId="634446D6">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X--集气罩至污染源的距离（取0.2m）；</w:t>
      </w:r>
    </w:p>
    <w:p w14:paraId="07C797A0">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F--集气罩口面积；Vx--控制风速；</w:t>
      </w:r>
    </w:p>
    <w:p w14:paraId="58F2031B">
      <w:pPr>
        <w:numPr>
          <w:ilvl w:val="0"/>
          <w:numId w:val="0"/>
        </w:numPr>
        <w:spacing w:line="360" w:lineRule="auto"/>
        <w:rPr>
          <w:rFonts w:hint="default" w:ascii="Times New Roman" w:hAnsi="Times New Roman" w:cs="Times New Roman"/>
          <w:bCs/>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集气罩的长宽为1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1.8</w:t>
      </w:r>
      <w:r>
        <w:rPr>
          <w:rFonts w:hint="default" w:ascii="Times New Roman" w:hAnsi="Times New Roman" w:eastAsia="宋体" w:cs="Times New Roman"/>
          <w:color w:val="000000" w:themeColor="text1"/>
          <w:sz w:val="24"/>
          <w:szCs w:val="24"/>
          <w14:textFill>
            <w14:solidFill>
              <w14:schemeClr w14:val="tx1"/>
            </w14:solidFill>
          </w14:textFill>
        </w:rPr>
        <w:t>m，风速为0.5m/s，则集气罩风量为</w:t>
      </w:r>
      <w:r>
        <w:rPr>
          <w:rFonts w:hint="eastAsia" w:cs="Times New Roman"/>
          <w:color w:val="000000" w:themeColor="text1"/>
          <w:sz w:val="24"/>
          <w:szCs w:val="24"/>
          <w:lang w:val="en-US" w:eastAsia="zh-CN"/>
          <w14:textFill>
            <w14:solidFill>
              <w14:schemeClr w14:val="tx1"/>
            </w14:solidFill>
          </w14:textFill>
        </w:rPr>
        <w:t>5220</w:t>
      </w:r>
      <w:r>
        <w:rPr>
          <w:rFonts w:hint="default" w:ascii="Times New Roman" w:hAnsi="Times New Roman" w:eastAsia="宋体" w:cs="Times New Roman"/>
          <w:bCs/>
          <w:color w:val="000000" w:themeColor="text1"/>
          <w:sz w:val="24"/>
          <w:szCs w:val="24"/>
          <w14:textFill>
            <w14:solidFill>
              <w14:schemeClr w14:val="tx1"/>
            </w14:solidFill>
          </w14:textFill>
        </w:rPr>
        <w:t>m</w:t>
      </w:r>
      <w:r>
        <w:rPr>
          <w:rFonts w:hint="default" w:ascii="Times New Roman" w:hAnsi="Times New Roman" w:eastAsia="宋体" w:cs="Times New Roman"/>
          <w:bCs/>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bCs/>
          <w:color w:val="000000" w:themeColor="text1"/>
          <w:sz w:val="24"/>
          <w:szCs w:val="24"/>
          <w14:textFill>
            <w14:solidFill>
              <w14:schemeClr w14:val="tx1"/>
            </w14:solidFill>
          </w14:textFill>
        </w:rPr>
        <w:t>/h，</w:t>
      </w:r>
      <w:r>
        <w:rPr>
          <w:rFonts w:hint="default" w:ascii="Times New Roman" w:hAnsi="Times New Roman" w:eastAsia="宋体" w:cs="Times New Roman"/>
          <w:color w:val="000000" w:themeColor="text1"/>
          <w:sz w:val="24"/>
          <w:szCs w:val="24"/>
          <w14:textFill>
            <w14:solidFill>
              <w14:schemeClr w14:val="tx1"/>
            </w14:solidFill>
          </w14:textFill>
        </w:rPr>
        <w:t>考虑到风管的阻力，得出所需风量为5</w:t>
      </w:r>
      <w:r>
        <w:rPr>
          <w:rFonts w:hint="eastAsia"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00m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/h。</w:t>
      </w:r>
    </w:p>
    <w:p w14:paraId="4369E8E7">
      <w:pPr>
        <w:numPr>
          <w:ilvl w:val="0"/>
          <w:numId w:val="0"/>
        </w:numPr>
        <w:spacing w:line="360" w:lineRule="auto"/>
        <w:ind w:firstLine="472" w:firstLineChars="200"/>
        <w:rPr>
          <w:rFonts w:hint="default" w:ascii="Times New Roman" w:hAnsi="Times New Roman" w:cs="Times New Roman"/>
          <w:bCs/>
          <w:color w:val="000000" w:themeColor="text1"/>
          <w:sz w:val="24"/>
          <w14:textFill>
            <w14:solidFill>
              <w14:schemeClr w14:val="tx1"/>
            </w14:solidFill>
          </w14:textFill>
        </w:rPr>
      </w:pPr>
      <w:r>
        <w:rPr>
          <w:rFonts w:hint="eastAsia" w:cs="Times New Roman"/>
          <w:bCs/>
          <w:color w:val="000000" w:themeColor="text1"/>
          <w:sz w:val="24"/>
          <w:lang w:eastAsia="zh-CN"/>
          <w14:textFill>
            <w14:solidFill>
              <w14:schemeClr w14:val="tx1"/>
            </w14:solidFill>
          </w14:textFill>
        </w:rPr>
        <w:t>（</w:t>
      </w:r>
      <w:r>
        <w:rPr>
          <w:rFonts w:hint="eastAsia" w:cs="Times New Roman"/>
          <w:bCs/>
          <w:color w:val="000000" w:themeColor="text1"/>
          <w:sz w:val="24"/>
          <w:lang w:val="en-US" w:eastAsia="zh-CN"/>
          <w14:textFill>
            <w14:solidFill>
              <w14:schemeClr w14:val="tx1"/>
            </w14:solidFill>
          </w14:textFill>
        </w:rPr>
        <w:t>5</w:t>
      </w:r>
      <w:r>
        <w:rPr>
          <w:rFonts w:hint="eastAsia" w:cs="Times New Roman"/>
          <w:bCs/>
          <w:color w:val="000000" w:themeColor="text1"/>
          <w:sz w:val="24"/>
          <w:lang w:eastAsia="zh-CN"/>
          <w14:textFill>
            <w14:solidFill>
              <w14:schemeClr w14:val="tx1"/>
            </w14:solidFill>
          </w14:textFill>
        </w:rPr>
        <w:t>）</w:t>
      </w:r>
      <w:r>
        <w:rPr>
          <w:rFonts w:hint="default" w:ascii="Times New Roman" w:hAnsi="Times New Roman" w:cs="Times New Roman"/>
          <w:bCs/>
          <w:color w:val="000000" w:themeColor="text1"/>
          <w:sz w:val="24"/>
          <w:lang w:eastAsia="zh-CN"/>
          <w14:textFill>
            <w14:solidFill>
              <w14:schemeClr w14:val="tx1"/>
            </w14:solidFill>
          </w14:textFill>
        </w:rPr>
        <w:t>污水站</w:t>
      </w:r>
      <w:r>
        <w:rPr>
          <w:rFonts w:hint="default" w:ascii="Times New Roman" w:hAnsi="Times New Roman" w:cs="Times New Roman"/>
          <w:bCs/>
          <w:color w:val="000000" w:themeColor="text1"/>
          <w:sz w:val="24"/>
          <w14:textFill>
            <w14:solidFill>
              <w14:schemeClr w14:val="tx1"/>
            </w14:solidFill>
          </w14:textFill>
        </w:rPr>
        <w:t>废气</w:t>
      </w:r>
    </w:p>
    <w:p w14:paraId="2FCDC945">
      <w:pPr>
        <w:numPr>
          <w:ilvl w:val="0"/>
          <w:numId w:val="0"/>
        </w:numPr>
        <w:spacing w:line="360" w:lineRule="auto"/>
        <w:ind w:firstLine="464"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污水处理站产生废气的主要部位是格栅、调节池、生物接触氧化池、沉淀池和污泥</w:t>
      </w:r>
      <w:r>
        <w:rPr>
          <w:rFonts w:hint="default" w:ascii="Times New Roman" w:hAnsi="Times New Roman" w:eastAsia="宋体" w:cs="Times New Roman"/>
          <w:color w:val="000000" w:themeColor="text1"/>
          <w:spacing w:val="-1"/>
          <w:sz w:val="24"/>
          <w:szCs w:val="24"/>
          <w14:textFill>
            <w14:solidFill>
              <w14:schemeClr w14:val="tx1"/>
            </w14:solidFill>
          </w14:textFill>
        </w:rPr>
        <w:t>池。本项目污水处理站为地埋式，废气主要成份为</w:t>
      </w:r>
      <w:r>
        <w:rPr>
          <w:rFonts w:hint="default" w:ascii="Times New Roman" w:hAnsi="Times New Roman" w:eastAsia="Times New Roman" w:cs="Times New Roman"/>
          <w:color w:val="000000" w:themeColor="text1"/>
          <w:spacing w:val="-1"/>
          <w:sz w:val="24"/>
          <w:szCs w:val="24"/>
          <w14:textFill>
            <w14:solidFill>
              <w14:schemeClr w14:val="tx1"/>
            </w14:solidFill>
          </w14:textFill>
        </w:rPr>
        <w:t>NH</w:t>
      </w:r>
      <w:r>
        <w:rPr>
          <w:rFonts w:hint="default" w:ascii="Times New Roman" w:hAnsi="Times New Roman" w:eastAsia="Times New Roman" w:cs="Times New Roman"/>
          <w:color w:val="000000" w:themeColor="text1"/>
          <w:spacing w:val="-1"/>
          <w:position w:val="-1"/>
          <w:sz w:val="15"/>
          <w:szCs w:val="15"/>
          <w14:textFill>
            <w14:solidFill>
              <w14:schemeClr w14:val="tx1"/>
            </w14:solidFill>
          </w14:textFill>
        </w:rPr>
        <w:t>3</w:t>
      </w:r>
      <w:r>
        <w:rPr>
          <w:rFonts w:hint="default" w:ascii="Times New Roman" w:hAnsi="Times New Roman" w:eastAsia="宋体" w:cs="Times New Roman"/>
          <w:color w:val="000000" w:themeColor="text1"/>
          <w:spacing w:val="-1"/>
          <w:sz w:val="24"/>
          <w:szCs w:val="24"/>
          <w14:textFill>
            <w14:solidFill>
              <w14:schemeClr w14:val="tx1"/>
            </w14:solidFill>
          </w14:textFill>
        </w:rPr>
        <w:t>和</w:t>
      </w:r>
      <w:r>
        <w:rPr>
          <w:rFonts w:hint="default" w:ascii="Times New Roman" w:hAnsi="Times New Roman" w:eastAsia="Times New Roman" w:cs="Times New Roman"/>
          <w:color w:val="000000" w:themeColor="text1"/>
          <w:spacing w:val="-2"/>
          <w:sz w:val="24"/>
          <w:szCs w:val="24"/>
          <w14:textFill>
            <w14:solidFill>
              <w14:schemeClr w14:val="tx1"/>
            </w14:solidFill>
          </w14:textFill>
        </w:rPr>
        <w:t>H</w:t>
      </w:r>
      <w:r>
        <w:rPr>
          <w:rFonts w:hint="default" w:ascii="Times New Roman" w:hAnsi="Times New Roman" w:eastAsia="Times New Roman" w:cs="Times New Roman"/>
          <w:color w:val="000000" w:themeColor="text1"/>
          <w:spacing w:val="-2"/>
          <w:position w:val="-1"/>
          <w:sz w:val="15"/>
          <w:szCs w:val="15"/>
          <w14:textFill>
            <w14:solidFill>
              <w14:schemeClr w14:val="tx1"/>
            </w14:solidFill>
          </w14:textFill>
        </w:rPr>
        <w:t>2</w:t>
      </w:r>
      <w:r>
        <w:rPr>
          <w:rFonts w:hint="default" w:ascii="Times New Roman" w:hAnsi="Times New Roman" w:eastAsia="Times New Roman" w:cs="Times New Roman"/>
          <w:color w:val="000000" w:themeColor="text1"/>
          <w:spacing w:val="-2"/>
          <w:sz w:val="24"/>
          <w:szCs w:val="24"/>
          <w14:textFill>
            <w14:solidFill>
              <w14:schemeClr w14:val="tx1"/>
            </w14:solidFill>
          </w14:textFill>
        </w:rPr>
        <w:t>S</w:t>
      </w:r>
      <w:r>
        <w:rPr>
          <w:rFonts w:hint="default" w:ascii="Times New Roman" w:hAnsi="Times New Roman" w:eastAsia="宋体" w:cs="Times New Roman"/>
          <w:color w:val="000000" w:themeColor="text1"/>
          <w:spacing w:val="-2"/>
          <w:sz w:val="24"/>
          <w:szCs w:val="24"/>
          <w14:textFill>
            <w14:solidFill>
              <w14:schemeClr w14:val="tx1"/>
            </w14:solidFill>
          </w14:textFill>
        </w:rPr>
        <w:t>，排放量较小。</w:t>
      </w:r>
    </w:p>
    <w:p w14:paraId="4113EB74">
      <w:pPr>
        <w:spacing w:before="1" w:line="377" w:lineRule="auto"/>
        <w:ind w:left="44" w:firstLine="48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5"/>
          <w:sz w:val="24"/>
          <w:szCs w:val="24"/>
          <w14:textFill>
            <w14:solidFill>
              <w14:schemeClr w14:val="tx1"/>
            </w14:solidFill>
          </w14:textFill>
        </w:rPr>
        <w:t>根据美国</w:t>
      </w:r>
      <w:r>
        <w:rPr>
          <w:rFonts w:hint="default" w:ascii="Times New Roman" w:hAnsi="Times New Roman" w:eastAsia="Times New Roman" w:cs="Times New Roman"/>
          <w:color w:val="000000" w:themeColor="text1"/>
          <w:spacing w:val="-5"/>
          <w:sz w:val="24"/>
          <w:szCs w:val="24"/>
          <w14:textFill>
            <w14:solidFill>
              <w14:schemeClr w14:val="tx1"/>
            </w14:solidFill>
          </w14:textFill>
        </w:rPr>
        <w:t>EPA</w:t>
      </w:r>
      <w:r>
        <w:rPr>
          <w:rFonts w:hint="default" w:ascii="Times New Roman" w:hAnsi="Times New Roman" w:eastAsia="宋体" w:cs="Times New Roman"/>
          <w:color w:val="000000" w:themeColor="text1"/>
          <w:spacing w:val="-5"/>
          <w:sz w:val="24"/>
          <w:szCs w:val="24"/>
          <w14:textFill>
            <w14:solidFill>
              <w14:schemeClr w14:val="tx1"/>
            </w14:solidFill>
          </w14:textFill>
        </w:rPr>
        <w:t>对城市污水处理厂恶臭污染物产生情况的研究，每处理</w:t>
      </w:r>
      <w:r>
        <w:rPr>
          <w:rFonts w:hint="default" w:ascii="Times New Roman" w:hAnsi="Times New Roman" w:eastAsia="Times New Roman" w:cs="Times New Roman"/>
          <w:color w:val="000000" w:themeColor="text1"/>
          <w:spacing w:val="-5"/>
          <w:sz w:val="24"/>
          <w:szCs w:val="24"/>
          <w14:textFill>
            <w14:solidFill>
              <w14:schemeClr w14:val="tx1"/>
            </w14:solidFill>
          </w14:textFill>
        </w:rPr>
        <w:t>1g</w:t>
      </w:r>
      <w:r>
        <w:rPr>
          <w:rFonts w:hint="default" w:ascii="Times New Roman" w:hAnsi="Times New Roman" w:eastAsia="宋体" w:cs="Times New Roman"/>
          <w:color w:val="000000" w:themeColor="text1"/>
          <w:spacing w:val="-5"/>
          <w:sz w:val="24"/>
          <w:szCs w:val="24"/>
          <w14:textFill>
            <w14:solidFill>
              <w14:schemeClr w14:val="tx1"/>
            </w14:solidFill>
          </w14:textFill>
        </w:rPr>
        <w:t>的</w:t>
      </w:r>
      <w:r>
        <w:rPr>
          <w:rFonts w:hint="default" w:ascii="Times New Roman" w:hAnsi="Times New Roman" w:eastAsia="Times New Roman" w:cs="Times New Roman"/>
          <w:color w:val="000000" w:themeColor="text1"/>
          <w:spacing w:val="-5"/>
          <w:sz w:val="24"/>
          <w:szCs w:val="24"/>
          <w14:textFill>
            <w14:solidFill>
              <w14:schemeClr w14:val="tx1"/>
            </w14:solidFill>
          </w14:textFill>
        </w:rPr>
        <w:t>BOD</w:t>
      </w:r>
      <w:r>
        <w:rPr>
          <w:rFonts w:hint="default" w:ascii="Times New Roman" w:hAnsi="Times New Roman" w:eastAsia="Times New Roman" w:cs="Times New Roman"/>
          <w:color w:val="000000" w:themeColor="text1"/>
          <w:spacing w:val="-5"/>
          <w:position w:val="-1"/>
          <w:sz w:val="15"/>
          <w:szCs w:val="15"/>
          <w14:textFill>
            <w14:solidFill>
              <w14:schemeClr w14:val="tx1"/>
            </w14:solidFill>
          </w14:textFill>
        </w:rPr>
        <w:t>5</w:t>
      </w:r>
      <w:r>
        <w:rPr>
          <w:rFonts w:hint="default" w:ascii="Times New Roman" w:hAnsi="Times New Roman" w:eastAsia="宋体" w:cs="Times New Roman"/>
          <w:color w:val="000000" w:themeColor="text1"/>
          <w:spacing w:val="-5"/>
          <w:sz w:val="24"/>
          <w:szCs w:val="24"/>
          <w14:textFill>
            <w14:solidFill>
              <w14:schemeClr w14:val="tx1"/>
            </w14:solidFill>
          </w14:textFill>
        </w:rPr>
        <w:t>，</w:t>
      </w:r>
      <w:r>
        <w:rPr>
          <w:rFonts w:hint="default" w:ascii="Times New Roman" w:hAnsi="Times New Roman" w:eastAsia="宋体" w:cs="Times New Roman"/>
          <w:color w:val="000000" w:themeColor="text1"/>
          <w:spacing w:val="-2"/>
          <w:sz w:val="24"/>
          <w:szCs w:val="24"/>
          <w14:textFill>
            <w14:solidFill>
              <w14:schemeClr w14:val="tx1"/>
            </w14:solidFill>
          </w14:textFill>
        </w:rPr>
        <w:t>可产生</w:t>
      </w:r>
      <w:r>
        <w:rPr>
          <w:rFonts w:hint="default" w:ascii="Times New Roman" w:hAnsi="Times New Roman" w:eastAsia="Times New Roman" w:cs="Times New Roman"/>
          <w:color w:val="000000" w:themeColor="text1"/>
          <w:spacing w:val="-2"/>
          <w:sz w:val="24"/>
          <w:szCs w:val="24"/>
          <w14:textFill>
            <w14:solidFill>
              <w14:schemeClr w14:val="tx1"/>
            </w14:solidFill>
          </w14:textFill>
        </w:rPr>
        <w:t>0.0031gNH</w:t>
      </w:r>
      <w:r>
        <w:rPr>
          <w:rFonts w:hint="default" w:ascii="Times New Roman" w:hAnsi="Times New Roman" w:eastAsia="Times New Roman" w:cs="Times New Roman"/>
          <w:color w:val="000000" w:themeColor="text1"/>
          <w:spacing w:val="-2"/>
          <w:position w:val="-1"/>
          <w:sz w:val="15"/>
          <w:szCs w:val="15"/>
          <w14:textFill>
            <w14:solidFill>
              <w14:schemeClr w14:val="tx1"/>
            </w14:solidFill>
          </w14:textFill>
        </w:rPr>
        <w:t>3</w:t>
      </w:r>
      <w:r>
        <w:rPr>
          <w:rFonts w:hint="default" w:ascii="Times New Roman" w:hAnsi="Times New Roman" w:eastAsia="宋体" w:cs="Times New Roman"/>
          <w:color w:val="000000" w:themeColor="text1"/>
          <w:spacing w:val="-2"/>
          <w:sz w:val="24"/>
          <w:szCs w:val="24"/>
          <w14:textFill>
            <w14:solidFill>
              <w14:schemeClr w14:val="tx1"/>
            </w14:solidFill>
          </w14:textFill>
        </w:rPr>
        <w:t>和</w:t>
      </w:r>
      <w:r>
        <w:rPr>
          <w:rFonts w:hint="default" w:ascii="Times New Roman" w:hAnsi="Times New Roman" w:eastAsia="Times New Roman" w:cs="Times New Roman"/>
          <w:color w:val="000000" w:themeColor="text1"/>
          <w:spacing w:val="-2"/>
          <w:sz w:val="24"/>
          <w:szCs w:val="24"/>
          <w14:textFill>
            <w14:solidFill>
              <w14:schemeClr w14:val="tx1"/>
            </w14:solidFill>
          </w14:textFill>
        </w:rPr>
        <w:t>0.0001</w:t>
      </w:r>
      <w:r>
        <w:rPr>
          <w:rFonts w:hint="default" w:ascii="Times New Roman" w:hAnsi="Times New Roman" w:eastAsia="Times New Roman" w:cs="Times New Roman"/>
          <w:color w:val="000000" w:themeColor="text1"/>
          <w:spacing w:val="-3"/>
          <w:sz w:val="24"/>
          <w:szCs w:val="24"/>
          <w14:textFill>
            <w14:solidFill>
              <w14:schemeClr w14:val="tx1"/>
            </w14:solidFill>
          </w14:textFill>
        </w:rPr>
        <w:t>2g</w:t>
      </w:r>
      <w:r>
        <w:rPr>
          <w:rFonts w:hint="default" w:ascii="Times New Roman" w:hAnsi="Times New Roman" w:eastAsia="宋体" w:cs="Times New Roman"/>
          <w:color w:val="000000" w:themeColor="text1"/>
          <w:spacing w:val="-3"/>
          <w:sz w:val="24"/>
          <w:szCs w:val="24"/>
          <w14:textFill>
            <w14:solidFill>
              <w14:schemeClr w14:val="tx1"/>
            </w14:solidFill>
          </w14:textFill>
        </w:rPr>
        <w:t>的</w:t>
      </w:r>
      <w:r>
        <w:rPr>
          <w:rFonts w:hint="default" w:ascii="Times New Roman" w:hAnsi="Times New Roman" w:eastAsia="Times New Roman" w:cs="Times New Roman"/>
          <w:color w:val="000000" w:themeColor="text1"/>
          <w:spacing w:val="-3"/>
          <w:sz w:val="24"/>
          <w:szCs w:val="24"/>
          <w14:textFill>
            <w14:solidFill>
              <w14:schemeClr w14:val="tx1"/>
            </w14:solidFill>
          </w14:textFill>
        </w:rPr>
        <w:t>H</w:t>
      </w:r>
      <w:r>
        <w:rPr>
          <w:rFonts w:hint="default" w:ascii="Times New Roman" w:hAnsi="Times New Roman" w:eastAsia="Times New Roman" w:cs="Times New Roman"/>
          <w:color w:val="000000" w:themeColor="text1"/>
          <w:spacing w:val="-3"/>
          <w:position w:val="-1"/>
          <w:sz w:val="15"/>
          <w:szCs w:val="15"/>
          <w14:textFill>
            <w14:solidFill>
              <w14:schemeClr w14:val="tx1"/>
            </w14:solidFill>
          </w14:textFill>
        </w:rPr>
        <w:t>2</w:t>
      </w:r>
      <w:r>
        <w:rPr>
          <w:rFonts w:hint="default" w:ascii="Times New Roman" w:hAnsi="Times New Roman" w:eastAsia="Times New Roman" w:cs="Times New Roman"/>
          <w:color w:val="000000" w:themeColor="text1"/>
          <w:spacing w:val="-3"/>
          <w:sz w:val="24"/>
          <w:szCs w:val="24"/>
          <w14:textFill>
            <w14:solidFill>
              <w14:schemeClr w14:val="tx1"/>
            </w14:solidFill>
          </w14:textFill>
        </w:rPr>
        <w:t>S</w:t>
      </w:r>
      <w:r>
        <w:rPr>
          <w:rFonts w:hint="default" w:ascii="Times New Roman" w:hAnsi="Times New Roman" w:eastAsia="宋体" w:cs="Times New Roman"/>
          <w:color w:val="000000" w:themeColor="text1"/>
          <w:spacing w:val="-3"/>
          <w:sz w:val="24"/>
          <w:szCs w:val="24"/>
          <w14:textFill>
            <w14:solidFill>
              <w14:schemeClr w14:val="tx1"/>
            </w14:solidFill>
          </w14:textFill>
        </w:rPr>
        <w:t>，本项目</w:t>
      </w:r>
      <w:r>
        <w:rPr>
          <w:rFonts w:hint="default" w:ascii="Times New Roman" w:hAnsi="Times New Roman" w:eastAsia="Times New Roman" w:cs="Times New Roman"/>
          <w:color w:val="000000" w:themeColor="text1"/>
          <w:spacing w:val="-3"/>
          <w:sz w:val="24"/>
          <w:szCs w:val="24"/>
          <w14:textFill>
            <w14:solidFill>
              <w14:schemeClr w14:val="tx1"/>
            </w14:solidFill>
          </w14:textFill>
        </w:rPr>
        <w:t>BOD</w:t>
      </w:r>
      <w:r>
        <w:rPr>
          <w:rFonts w:hint="default" w:ascii="Times New Roman" w:hAnsi="Times New Roman" w:eastAsia="Times New Roman" w:cs="Times New Roman"/>
          <w:color w:val="000000" w:themeColor="text1"/>
          <w:spacing w:val="-3"/>
          <w:position w:val="-1"/>
          <w:sz w:val="15"/>
          <w:szCs w:val="15"/>
          <w14:textFill>
            <w14:solidFill>
              <w14:schemeClr w14:val="tx1"/>
            </w14:solidFill>
          </w14:textFill>
        </w:rPr>
        <w:t>5</w:t>
      </w:r>
      <w:r>
        <w:rPr>
          <w:rFonts w:hint="default" w:ascii="Times New Roman" w:hAnsi="Times New Roman" w:eastAsia="宋体" w:cs="Times New Roman"/>
          <w:color w:val="000000" w:themeColor="text1"/>
          <w:spacing w:val="-3"/>
          <w:sz w:val="24"/>
          <w:szCs w:val="24"/>
          <w14:textFill>
            <w14:solidFill>
              <w14:schemeClr w14:val="tx1"/>
            </w14:solidFill>
          </w14:textFill>
        </w:rPr>
        <w:t>处理量为</w:t>
      </w:r>
      <w:r>
        <w:rPr>
          <w:rFonts w:hint="eastAsia" w:cs="Times New Roman"/>
          <w:color w:val="000000" w:themeColor="text1"/>
          <w:spacing w:val="-3"/>
          <w:sz w:val="24"/>
          <w:szCs w:val="24"/>
          <w:lang w:val="en-US" w:eastAsia="zh-CN"/>
          <w14:textFill>
            <w14:solidFill>
              <w14:schemeClr w14:val="tx1"/>
            </w14:solidFill>
          </w14:textFill>
        </w:rPr>
        <w:t>87.447</w:t>
      </w:r>
      <w:r>
        <w:rPr>
          <w:rFonts w:hint="default" w:ascii="Times New Roman" w:hAnsi="Times New Roman" w:eastAsia="Times New Roman" w:cs="Times New Roman"/>
          <w:color w:val="000000" w:themeColor="text1"/>
          <w:spacing w:val="-3"/>
          <w:sz w:val="24"/>
          <w:szCs w:val="24"/>
          <w14:textFill>
            <w14:solidFill>
              <w14:schemeClr w14:val="tx1"/>
            </w14:solidFill>
          </w14:textFill>
        </w:rPr>
        <w:t>t/a</w:t>
      </w:r>
      <w:r>
        <w:rPr>
          <w:rFonts w:hint="default" w:ascii="Times New Roman" w:hAnsi="Times New Roman" w:eastAsia="宋体" w:cs="Times New Roman"/>
          <w:color w:val="000000" w:themeColor="text1"/>
          <w:spacing w:val="-3"/>
          <w:sz w:val="24"/>
          <w:szCs w:val="24"/>
          <w14:textFill>
            <w14:solidFill>
              <w14:schemeClr w14:val="tx1"/>
            </w14:solidFill>
          </w14:textFill>
        </w:rPr>
        <w:t>。因此</w:t>
      </w:r>
      <w:r>
        <w:rPr>
          <w:rFonts w:hint="default" w:ascii="Times New Roman" w:hAnsi="Times New Roman" w:eastAsia="Times New Roman" w:cs="Times New Roman"/>
          <w:color w:val="000000" w:themeColor="text1"/>
          <w:spacing w:val="-3"/>
          <w:sz w:val="24"/>
          <w:szCs w:val="24"/>
          <w14:textFill>
            <w14:solidFill>
              <w14:schemeClr w14:val="tx1"/>
            </w14:solidFill>
          </w14:textFill>
        </w:rPr>
        <w:t>NH</w:t>
      </w:r>
      <w:r>
        <w:rPr>
          <w:rFonts w:hint="default" w:ascii="Times New Roman" w:hAnsi="Times New Roman" w:eastAsia="Times New Roman" w:cs="Times New Roman"/>
          <w:color w:val="000000" w:themeColor="text1"/>
          <w:spacing w:val="-3"/>
          <w:position w:val="-1"/>
          <w:sz w:val="15"/>
          <w:szCs w:val="15"/>
          <w14:textFill>
            <w14:solidFill>
              <w14:schemeClr w14:val="tx1"/>
            </w14:solidFill>
          </w14:textFill>
        </w:rPr>
        <w:t>3</w:t>
      </w:r>
      <w:r>
        <w:rPr>
          <w:rFonts w:hint="default" w:ascii="Times New Roman" w:hAnsi="Times New Roman" w:eastAsia="宋体" w:cs="Times New Roman"/>
          <w:color w:val="000000" w:themeColor="text1"/>
          <w:spacing w:val="-3"/>
          <w:sz w:val="24"/>
          <w:szCs w:val="24"/>
          <w14:textFill>
            <w14:solidFill>
              <w14:schemeClr w14:val="tx1"/>
            </w14:solidFill>
          </w14:textFill>
        </w:rPr>
        <w:t>产生</w:t>
      </w:r>
      <w:r>
        <w:rPr>
          <w:rFonts w:hint="default" w:ascii="Times New Roman" w:hAnsi="Times New Roman" w:eastAsia="宋体" w:cs="Times New Roman"/>
          <w:color w:val="000000" w:themeColor="text1"/>
          <w:spacing w:val="-9"/>
          <w:sz w:val="24"/>
          <w:szCs w:val="24"/>
          <w14:textFill>
            <w14:solidFill>
              <w14:schemeClr w14:val="tx1"/>
            </w14:solidFill>
          </w14:textFill>
        </w:rPr>
        <w:t>量为</w:t>
      </w:r>
      <w:r>
        <w:rPr>
          <w:rFonts w:hint="default" w:ascii="Times New Roman" w:hAnsi="Times New Roman" w:eastAsia="Times New Roman" w:cs="Times New Roman"/>
          <w:color w:val="000000" w:themeColor="text1"/>
          <w:spacing w:val="-9"/>
          <w:sz w:val="24"/>
          <w:szCs w:val="24"/>
          <w14:textFill>
            <w14:solidFill>
              <w14:schemeClr w14:val="tx1"/>
            </w14:solidFill>
          </w14:textFill>
        </w:rPr>
        <w:t>0.</w:t>
      </w:r>
      <w:r>
        <w:rPr>
          <w:rFonts w:hint="eastAsia" w:cs="Times New Roman"/>
          <w:color w:val="000000" w:themeColor="text1"/>
          <w:spacing w:val="-9"/>
          <w:sz w:val="24"/>
          <w:szCs w:val="24"/>
          <w:lang w:val="en-US" w:eastAsia="zh-CN"/>
          <w14:textFill>
            <w14:solidFill>
              <w14:schemeClr w14:val="tx1"/>
            </w14:solidFill>
          </w14:textFill>
        </w:rPr>
        <w:t>271</w:t>
      </w:r>
      <w:r>
        <w:rPr>
          <w:rFonts w:hint="default" w:ascii="Times New Roman" w:hAnsi="Times New Roman" w:eastAsia="Times New Roman" w:cs="Times New Roman"/>
          <w:color w:val="000000" w:themeColor="text1"/>
          <w:spacing w:val="-9"/>
          <w:sz w:val="24"/>
          <w:szCs w:val="24"/>
          <w14:textFill>
            <w14:solidFill>
              <w14:schemeClr w14:val="tx1"/>
            </w14:solidFill>
          </w14:textFill>
        </w:rPr>
        <w:t>t/a</w:t>
      </w:r>
      <w:r>
        <w:rPr>
          <w:rFonts w:hint="default" w:ascii="Times New Roman" w:hAnsi="Times New Roman" w:eastAsia="宋体" w:cs="Times New Roman"/>
          <w:color w:val="000000" w:themeColor="text1"/>
          <w:spacing w:val="-9"/>
          <w:sz w:val="24"/>
          <w:szCs w:val="24"/>
          <w14:textFill>
            <w14:solidFill>
              <w14:schemeClr w14:val="tx1"/>
            </w14:solidFill>
          </w14:textFill>
        </w:rPr>
        <w:t>，产生速率为</w:t>
      </w:r>
      <w:r>
        <w:rPr>
          <w:rFonts w:hint="default" w:ascii="Times New Roman" w:hAnsi="Times New Roman" w:eastAsia="Times New Roman" w:cs="Times New Roman"/>
          <w:color w:val="000000" w:themeColor="text1"/>
          <w:spacing w:val="-9"/>
          <w:sz w:val="24"/>
          <w:szCs w:val="24"/>
          <w14:textFill>
            <w14:solidFill>
              <w14:schemeClr w14:val="tx1"/>
            </w14:solidFill>
          </w14:textFill>
        </w:rPr>
        <w:t>0.0</w:t>
      </w:r>
      <w:r>
        <w:rPr>
          <w:rFonts w:hint="eastAsia" w:cs="Times New Roman"/>
          <w:color w:val="000000" w:themeColor="text1"/>
          <w:spacing w:val="-9"/>
          <w:sz w:val="24"/>
          <w:szCs w:val="24"/>
          <w:lang w:val="en-US" w:eastAsia="zh-CN"/>
          <w14:textFill>
            <w14:solidFill>
              <w14:schemeClr w14:val="tx1"/>
            </w14:solidFill>
          </w14:textFill>
        </w:rPr>
        <w:t>565</w:t>
      </w:r>
      <w:r>
        <w:rPr>
          <w:rFonts w:hint="default" w:ascii="Times New Roman" w:hAnsi="Times New Roman" w:eastAsia="Times New Roman" w:cs="Times New Roman"/>
          <w:color w:val="000000" w:themeColor="text1"/>
          <w:spacing w:val="-10"/>
          <w:sz w:val="24"/>
          <w:szCs w:val="24"/>
          <w14:textFill>
            <w14:solidFill>
              <w14:schemeClr w14:val="tx1"/>
            </w14:solidFill>
          </w14:textFill>
        </w:rPr>
        <w:t>kg/h</w:t>
      </w:r>
      <w:r>
        <w:rPr>
          <w:rFonts w:hint="default" w:ascii="Times New Roman" w:hAnsi="Times New Roman" w:eastAsia="宋体" w:cs="Times New Roman"/>
          <w:color w:val="000000" w:themeColor="text1"/>
          <w:spacing w:val="-10"/>
          <w:sz w:val="24"/>
          <w:szCs w:val="24"/>
          <w14:textFill>
            <w14:solidFill>
              <w14:schemeClr w14:val="tx1"/>
            </w14:solidFill>
          </w14:textFill>
        </w:rPr>
        <w:t>，</w:t>
      </w:r>
      <w:r>
        <w:rPr>
          <w:rFonts w:hint="default" w:ascii="Times New Roman" w:hAnsi="Times New Roman" w:eastAsia="Times New Roman" w:cs="Times New Roman"/>
          <w:color w:val="000000" w:themeColor="text1"/>
          <w:spacing w:val="-10"/>
          <w:sz w:val="24"/>
          <w:szCs w:val="24"/>
          <w14:textFill>
            <w14:solidFill>
              <w14:schemeClr w14:val="tx1"/>
            </w14:solidFill>
          </w14:textFill>
        </w:rPr>
        <w:t>H</w:t>
      </w:r>
      <w:r>
        <w:rPr>
          <w:rFonts w:hint="default" w:ascii="Times New Roman" w:hAnsi="Times New Roman" w:eastAsia="Times New Roman" w:cs="Times New Roman"/>
          <w:color w:val="000000" w:themeColor="text1"/>
          <w:spacing w:val="-5"/>
          <w:position w:val="-1"/>
          <w:sz w:val="15"/>
          <w:szCs w:val="15"/>
          <w14:textFill>
            <w14:solidFill>
              <w14:schemeClr w14:val="tx1"/>
            </w14:solidFill>
          </w14:textFill>
        </w:rPr>
        <w:t>2</w:t>
      </w:r>
      <w:r>
        <w:rPr>
          <w:rFonts w:hint="default" w:ascii="Times New Roman" w:hAnsi="Times New Roman" w:eastAsia="Times New Roman" w:cs="Times New Roman"/>
          <w:color w:val="000000" w:themeColor="text1"/>
          <w:spacing w:val="-5"/>
          <w:sz w:val="24"/>
          <w:szCs w:val="24"/>
          <w14:textFill>
            <w14:solidFill>
              <w14:schemeClr w14:val="tx1"/>
            </w14:solidFill>
          </w14:textFill>
        </w:rPr>
        <w:t>S</w:t>
      </w:r>
      <w:r>
        <w:rPr>
          <w:rFonts w:hint="default" w:ascii="Times New Roman" w:hAnsi="Times New Roman" w:eastAsia="宋体" w:cs="Times New Roman"/>
          <w:color w:val="000000" w:themeColor="text1"/>
          <w:spacing w:val="-5"/>
          <w:sz w:val="24"/>
          <w:szCs w:val="24"/>
          <w14:textFill>
            <w14:solidFill>
              <w14:schemeClr w14:val="tx1"/>
            </w14:solidFill>
          </w14:textFill>
        </w:rPr>
        <w:t>产生量为</w:t>
      </w:r>
      <w:r>
        <w:rPr>
          <w:rFonts w:hint="default" w:ascii="Times New Roman" w:hAnsi="Times New Roman" w:eastAsia="Times New Roman" w:cs="Times New Roman"/>
          <w:color w:val="000000" w:themeColor="text1"/>
          <w:spacing w:val="-5"/>
          <w:sz w:val="24"/>
          <w:szCs w:val="24"/>
          <w14:textFill>
            <w14:solidFill>
              <w14:schemeClr w14:val="tx1"/>
            </w14:solidFill>
          </w14:textFill>
        </w:rPr>
        <w:t>0.0</w:t>
      </w:r>
      <w:r>
        <w:rPr>
          <w:rFonts w:hint="eastAsia" w:eastAsia="宋体" w:cs="Times New Roman"/>
          <w:color w:val="000000" w:themeColor="text1"/>
          <w:spacing w:val="-5"/>
          <w:sz w:val="24"/>
          <w:szCs w:val="24"/>
          <w:lang w:val="en-US" w:eastAsia="zh-CN"/>
          <w14:textFill>
            <w14:solidFill>
              <w14:schemeClr w14:val="tx1"/>
            </w14:solidFill>
          </w14:textFill>
        </w:rPr>
        <w:t>105</w:t>
      </w:r>
      <w:r>
        <w:rPr>
          <w:rFonts w:hint="default" w:ascii="Times New Roman" w:hAnsi="Times New Roman" w:eastAsia="Times New Roman" w:cs="Times New Roman"/>
          <w:color w:val="000000" w:themeColor="text1"/>
          <w:spacing w:val="-5"/>
          <w:sz w:val="24"/>
          <w:szCs w:val="24"/>
          <w14:textFill>
            <w14:solidFill>
              <w14:schemeClr w14:val="tx1"/>
            </w14:solidFill>
          </w14:textFill>
        </w:rPr>
        <w:t>t/a</w:t>
      </w:r>
      <w:r>
        <w:rPr>
          <w:rFonts w:hint="default" w:ascii="Times New Roman" w:hAnsi="Times New Roman" w:eastAsia="宋体" w:cs="Times New Roman"/>
          <w:color w:val="000000" w:themeColor="text1"/>
          <w:spacing w:val="-5"/>
          <w:sz w:val="24"/>
          <w:szCs w:val="24"/>
          <w14:textFill>
            <w14:solidFill>
              <w14:schemeClr w14:val="tx1"/>
            </w14:solidFill>
          </w14:textFill>
        </w:rPr>
        <w:t>，产生速率为</w:t>
      </w:r>
      <w:r>
        <w:rPr>
          <w:rFonts w:hint="default" w:ascii="Times New Roman" w:hAnsi="Times New Roman" w:eastAsia="Times New Roman" w:cs="Times New Roman"/>
          <w:color w:val="000000" w:themeColor="text1"/>
          <w:spacing w:val="-5"/>
          <w:sz w:val="24"/>
          <w:szCs w:val="24"/>
          <w14:textFill>
            <w14:solidFill>
              <w14:schemeClr w14:val="tx1"/>
            </w14:solidFill>
          </w14:textFill>
        </w:rPr>
        <w:t>0.00</w:t>
      </w:r>
      <w:r>
        <w:rPr>
          <w:rFonts w:hint="eastAsia" w:cs="Times New Roman"/>
          <w:color w:val="000000" w:themeColor="text1"/>
          <w:spacing w:val="-5"/>
          <w:sz w:val="24"/>
          <w:szCs w:val="24"/>
          <w:lang w:val="en-US" w:eastAsia="zh-CN"/>
          <w14:textFill>
            <w14:solidFill>
              <w14:schemeClr w14:val="tx1"/>
            </w14:solidFill>
          </w14:textFill>
        </w:rPr>
        <w:t>22</w:t>
      </w:r>
      <w:r>
        <w:rPr>
          <w:rFonts w:hint="default" w:ascii="Times New Roman" w:hAnsi="Times New Roman" w:eastAsia="Times New Roman" w:cs="Times New Roman"/>
          <w:color w:val="000000" w:themeColor="text1"/>
          <w:spacing w:val="-5"/>
          <w:sz w:val="24"/>
          <w:szCs w:val="24"/>
          <w14:textFill>
            <w14:solidFill>
              <w14:schemeClr w14:val="tx1"/>
            </w14:solidFill>
          </w14:textFill>
        </w:rPr>
        <w:t>kg/h</w:t>
      </w:r>
      <w:r>
        <w:rPr>
          <w:rFonts w:hint="default" w:ascii="Times New Roman" w:hAnsi="Times New Roman" w:eastAsia="宋体" w:cs="Times New Roman"/>
          <w:color w:val="000000" w:themeColor="text1"/>
          <w:spacing w:val="-5"/>
          <w:sz w:val="24"/>
          <w:szCs w:val="24"/>
          <w14:textFill>
            <w14:solidFill>
              <w14:schemeClr w14:val="tx1"/>
            </w14:solidFill>
          </w14:textFill>
        </w:rPr>
        <w:t>。</w:t>
      </w:r>
    </w:p>
    <w:p w14:paraId="18FC1495">
      <w:pPr>
        <w:spacing w:before="22" w:line="366" w:lineRule="auto"/>
        <w:ind w:left="46" w:right="80" w:firstLine="479"/>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恶臭污染物主要包括氨气、硫化氢等。恶臭属于感觉公害，它可以直接作用于人们</w:t>
      </w:r>
      <w:r>
        <w:rPr>
          <w:rFonts w:hint="default" w:ascii="Times New Roman" w:hAnsi="Times New Roman" w:eastAsia="宋体" w:cs="Times New Roman"/>
          <w:color w:val="000000" w:themeColor="text1"/>
          <w:spacing w:val="-3"/>
          <w:sz w:val="24"/>
          <w:szCs w:val="24"/>
          <w14:textFill>
            <w14:solidFill>
              <w14:schemeClr w14:val="tx1"/>
            </w14:solidFill>
          </w14:textFill>
        </w:rPr>
        <w:t>的嗅觉并危害人们的身体健康。拟对污水处理系统</w:t>
      </w:r>
      <w:r>
        <w:rPr>
          <w:rFonts w:hint="default" w:ascii="Times New Roman" w:hAnsi="Times New Roman" w:eastAsia="宋体" w:cs="Times New Roman"/>
          <w:color w:val="000000" w:themeColor="text1"/>
          <w:spacing w:val="-4"/>
          <w:sz w:val="24"/>
          <w:szCs w:val="24"/>
          <w14:textFill>
            <w14:solidFill>
              <w14:schemeClr w14:val="tx1"/>
            </w14:solidFill>
          </w14:textFill>
        </w:rPr>
        <w:t>中产生的废气进行密闭</w:t>
      </w:r>
      <w:r>
        <w:rPr>
          <w:rFonts w:hint="eastAsia" w:cs="Times New Roman"/>
          <w:color w:val="000000" w:themeColor="text1"/>
          <w:spacing w:val="-4"/>
          <w:sz w:val="24"/>
          <w:szCs w:val="24"/>
          <w:lang w:eastAsia="zh-CN"/>
          <w14:textFill>
            <w14:solidFill>
              <w14:schemeClr w14:val="tx1"/>
            </w14:solidFill>
          </w14:textFill>
        </w:rPr>
        <w:t>负压</w:t>
      </w:r>
      <w:r>
        <w:rPr>
          <w:rFonts w:hint="default" w:ascii="Times New Roman" w:hAnsi="Times New Roman" w:eastAsia="宋体" w:cs="Times New Roman"/>
          <w:color w:val="000000" w:themeColor="text1"/>
          <w:spacing w:val="-4"/>
          <w:sz w:val="24"/>
          <w:szCs w:val="24"/>
          <w14:textFill>
            <w14:solidFill>
              <w14:schemeClr w14:val="tx1"/>
            </w14:solidFill>
          </w14:textFill>
        </w:rPr>
        <w:t>收集，</w:t>
      </w:r>
      <w:r>
        <w:rPr>
          <w:rFonts w:hint="default" w:ascii="Times New Roman" w:hAnsi="Times New Roman" w:cs="Times New Roman"/>
          <w:bCs/>
          <w:color w:val="000000" w:themeColor="text1"/>
          <w:sz w:val="24"/>
          <w:lang w:eastAsia="zh-CN"/>
          <w14:textFill>
            <w14:solidFill>
              <w14:schemeClr w14:val="tx1"/>
            </w14:solidFill>
          </w14:textFill>
        </w:rPr>
        <w:t>封闭区域为</w:t>
      </w:r>
      <w:r>
        <w:rPr>
          <w:rFonts w:hint="eastAsia" w:cs="Times New Roman"/>
          <w:bCs/>
          <w:color w:val="000000" w:themeColor="text1"/>
          <w:sz w:val="24"/>
          <w:lang w:val="en-US" w:eastAsia="zh-CN"/>
          <w14:textFill>
            <w14:solidFill>
              <w14:schemeClr w14:val="tx1"/>
            </w14:solidFill>
          </w14:textFill>
        </w:rPr>
        <w:t>5</w:t>
      </w:r>
      <w:r>
        <w:rPr>
          <w:rFonts w:hint="default" w:ascii="Times New Roman" w:hAnsi="Times New Roman" w:cs="Times New Roman"/>
          <w:bCs/>
          <w:color w:val="000000" w:themeColor="text1"/>
          <w:sz w:val="24"/>
          <w:lang w:val="en-US" w:eastAsia="zh-CN"/>
          <w14:textFill>
            <w14:solidFill>
              <w14:schemeClr w14:val="tx1"/>
            </w14:solidFill>
          </w14:textFill>
        </w:rPr>
        <w:t>m*</w:t>
      </w:r>
      <w:r>
        <w:rPr>
          <w:rFonts w:hint="eastAsia" w:cs="Times New Roman"/>
          <w:bCs/>
          <w:color w:val="000000" w:themeColor="text1"/>
          <w:sz w:val="24"/>
          <w:lang w:val="en-US" w:eastAsia="zh-CN"/>
          <w14:textFill>
            <w14:solidFill>
              <w14:schemeClr w14:val="tx1"/>
            </w14:solidFill>
          </w14:textFill>
        </w:rPr>
        <w:t>10</w:t>
      </w:r>
      <w:r>
        <w:rPr>
          <w:rFonts w:hint="default" w:ascii="Times New Roman" w:hAnsi="Times New Roman" w:cs="Times New Roman"/>
          <w:bCs/>
          <w:color w:val="000000" w:themeColor="text1"/>
          <w:sz w:val="24"/>
          <w:lang w:val="en-US" w:eastAsia="zh-CN"/>
          <w14:textFill>
            <w14:solidFill>
              <w14:schemeClr w14:val="tx1"/>
            </w14:solidFill>
          </w14:textFill>
        </w:rPr>
        <w:t>m*</w:t>
      </w:r>
      <w:r>
        <w:rPr>
          <w:rFonts w:hint="eastAsia" w:cs="Times New Roman"/>
          <w:bCs/>
          <w:color w:val="000000" w:themeColor="text1"/>
          <w:sz w:val="24"/>
          <w:lang w:val="en-US" w:eastAsia="zh-CN"/>
          <w14:textFill>
            <w14:solidFill>
              <w14:schemeClr w14:val="tx1"/>
            </w14:solidFill>
          </w14:textFill>
        </w:rPr>
        <w:t>3</w:t>
      </w:r>
      <w:r>
        <w:rPr>
          <w:rFonts w:hint="default" w:ascii="Times New Roman" w:hAnsi="Times New Roman" w:cs="Times New Roman"/>
          <w:bCs/>
          <w:color w:val="000000" w:themeColor="text1"/>
          <w:sz w:val="24"/>
          <w:lang w:val="en-US" w:eastAsia="zh-CN"/>
          <w14:textFill>
            <w14:solidFill>
              <w14:schemeClr w14:val="tx1"/>
            </w14:solidFill>
          </w14:textFill>
        </w:rPr>
        <w:t>m，换气次数按20次/h计，则</w:t>
      </w:r>
      <w:r>
        <w:rPr>
          <w:rFonts w:hint="default" w:ascii="Times New Roman" w:hAnsi="Times New Roman" w:cs="Times New Roman"/>
          <w:bCs/>
          <w:color w:val="000000" w:themeColor="text1"/>
          <w:sz w:val="24"/>
          <w14:textFill>
            <w14:solidFill>
              <w14:schemeClr w14:val="tx1"/>
            </w14:solidFill>
          </w14:textFill>
        </w:rPr>
        <w:t>风量</w:t>
      </w:r>
      <w:r>
        <w:rPr>
          <w:rFonts w:hint="default" w:ascii="Times New Roman" w:hAnsi="Times New Roman" w:cs="Times New Roman"/>
          <w:bCs/>
          <w:color w:val="000000" w:themeColor="text1"/>
          <w:sz w:val="24"/>
          <w:lang w:eastAsia="zh-CN"/>
          <w14:textFill>
            <w14:solidFill>
              <w14:schemeClr w14:val="tx1"/>
            </w14:solidFill>
          </w14:textFill>
        </w:rPr>
        <w:t>为</w:t>
      </w:r>
      <w:r>
        <w:rPr>
          <w:rFonts w:hint="eastAsia" w:cs="Times New Roman"/>
          <w:bCs/>
          <w:color w:val="000000" w:themeColor="text1"/>
          <w:sz w:val="24"/>
          <w:lang w:val="en-US" w:eastAsia="zh-CN"/>
          <w14:textFill>
            <w14:solidFill>
              <w14:schemeClr w14:val="tx1"/>
            </w14:solidFill>
          </w14:textFill>
        </w:rPr>
        <w:t>3</w:t>
      </w:r>
      <w:r>
        <w:rPr>
          <w:rFonts w:hint="default" w:ascii="Times New Roman" w:hAnsi="Times New Roman" w:cs="Times New Roman"/>
          <w:bCs/>
          <w:color w:val="000000" w:themeColor="text1"/>
          <w:sz w:val="24"/>
          <w14:textFill>
            <w14:solidFill>
              <w14:schemeClr w14:val="tx1"/>
            </w14:solidFill>
          </w14:textFill>
        </w:rPr>
        <w:t>000m</w:t>
      </w:r>
      <w:r>
        <w:rPr>
          <w:rFonts w:hint="default" w:ascii="Times New Roman" w:hAnsi="Times New Roman" w:cs="Times New Roman"/>
          <w:bCs/>
          <w:color w:val="000000" w:themeColor="text1"/>
          <w:sz w:val="24"/>
          <w:vertAlign w:val="superscript"/>
          <w14:textFill>
            <w14:solidFill>
              <w14:schemeClr w14:val="tx1"/>
            </w14:solidFill>
          </w14:textFill>
        </w:rPr>
        <w:t>3</w:t>
      </w:r>
      <w:r>
        <w:rPr>
          <w:rFonts w:hint="default" w:ascii="Times New Roman" w:hAnsi="Times New Roman" w:cs="Times New Roman"/>
          <w:bCs/>
          <w:color w:val="000000" w:themeColor="text1"/>
          <w:sz w:val="24"/>
          <w14:textFill>
            <w14:solidFill>
              <w14:schemeClr w14:val="tx1"/>
            </w14:solidFill>
          </w14:textFill>
        </w:rPr>
        <w:t>/h，</w:t>
      </w:r>
      <w:r>
        <w:rPr>
          <w:rFonts w:hint="default" w:ascii="Times New Roman" w:hAnsi="Times New Roman" w:eastAsia="宋体" w:cs="Times New Roman"/>
          <w:color w:val="000000" w:themeColor="text1"/>
          <w:spacing w:val="-4"/>
          <w:sz w:val="24"/>
          <w:szCs w:val="24"/>
          <w14:textFill>
            <w14:solidFill>
              <w14:schemeClr w14:val="tx1"/>
            </w14:solidFill>
          </w14:textFill>
        </w:rPr>
        <w:t>经两级活性炭吸附装置</w:t>
      </w:r>
      <w:r>
        <w:rPr>
          <w:rFonts w:hint="default" w:ascii="Times New Roman" w:hAnsi="Times New Roman" w:eastAsia="宋体" w:cs="Times New Roman"/>
          <w:color w:val="000000" w:themeColor="text1"/>
          <w:sz w:val="24"/>
          <w:szCs w:val="24"/>
          <w14:textFill>
            <w14:solidFill>
              <w14:schemeClr w14:val="tx1"/>
            </w14:solidFill>
          </w14:textFill>
        </w:rPr>
        <w:t>（处理效率为</w:t>
      </w:r>
      <w:r>
        <w:rPr>
          <w:rFonts w:hint="default" w:ascii="Times New Roman" w:hAnsi="Times New Roman" w:eastAsia="Times New Roman" w:cs="Times New Roman"/>
          <w:color w:val="000000" w:themeColor="text1"/>
          <w:sz w:val="24"/>
          <w:szCs w:val="24"/>
          <w14:textFill>
            <w14:solidFill>
              <w14:schemeClr w14:val="tx1"/>
            </w14:solidFill>
          </w14:textFill>
        </w:rPr>
        <w:t>9</w:t>
      </w:r>
      <w:r>
        <w:rPr>
          <w:rFonts w:hint="eastAsia" w:eastAsia="宋体" w:cs="Times New Roman"/>
          <w:color w:val="000000" w:themeColor="text1"/>
          <w:sz w:val="24"/>
          <w:szCs w:val="24"/>
          <w:lang w:val="en-US" w:eastAsia="zh-CN"/>
          <w14:textFill>
            <w14:solidFill>
              <w14:schemeClr w14:val="tx1"/>
            </w14:solidFill>
          </w14:textFill>
        </w:rPr>
        <w:t>0</w:t>
      </w:r>
      <w:r>
        <w:rPr>
          <w:rFonts w:hint="default" w:ascii="Times New Roman" w:hAnsi="Times New Roman" w:eastAsia="Times New Roman"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）处理后</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少量尾气通过</w:t>
      </w:r>
      <w:r>
        <w:rPr>
          <w:rFonts w:hint="default" w:ascii="Times New Roman" w:hAnsi="Times New Roman" w:cs="Times New Roman"/>
          <w:color w:val="000000" w:themeColor="text1"/>
          <w:sz w:val="24"/>
          <w:szCs w:val="24"/>
          <w:lang w:val="en-US" w:eastAsia="zh-CN"/>
          <w14:textFill>
            <w14:solidFill>
              <w14:schemeClr w14:val="tx1"/>
            </w14:solidFill>
          </w14:textFill>
        </w:rPr>
        <w:t>1根</w:t>
      </w:r>
      <w:r>
        <w:rPr>
          <w:rFonts w:hint="default" w:ascii="Times New Roman" w:hAnsi="Times New Roman" w:eastAsia="Times New Roman" w:cs="Times New Roman"/>
          <w:color w:val="000000" w:themeColor="text1"/>
          <w:sz w:val="24"/>
          <w:szCs w:val="24"/>
          <w14:textFill>
            <w14:solidFill>
              <w14:schemeClr w14:val="tx1"/>
            </w14:solidFill>
          </w14:textFill>
        </w:rPr>
        <w:t>15m</w:t>
      </w:r>
      <w:r>
        <w:rPr>
          <w:rFonts w:hint="default" w:ascii="Times New Roman" w:hAnsi="Times New Roman" w:eastAsia="宋体" w:cs="Times New Roman"/>
          <w:color w:val="000000" w:themeColor="text1"/>
          <w:sz w:val="24"/>
          <w:szCs w:val="24"/>
          <w:lang w:eastAsia="zh-CN"/>
          <w14:textFill>
            <w14:solidFill>
              <w14:schemeClr w14:val="tx1"/>
            </w14:solidFill>
          </w14:textFill>
        </w:rPr>
        <w:t>高（</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排气筒排放，详见表</w:t>
      </w:r>
      <w:r>
        <w:rPr>
          <w:rFonts w:hint="default" w:ascii="Times New Roman" w:hAnsi="Times New Roman" w:eastAsia="宋体" w:cs="Times New Roman"/>
          <w:color w:val="000000" w:themeColor="text1"/>
          <w:spacing w:val="-50"/>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z w:val="24"/>
          <w:szCs w:val="24"/>
          <w14:textFill>
            <w14:solidFill>
              <w14:schemeClr w14:val="tx1"/>
            </w14:solidFill>
          </w14:textFill>
        </w:rPr>
        <w:t>3.</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14:textFill>
            <w14:solidFill>
              <w14:schemeClr w14:val="tx1"/>
            </w14:solidFill>
          </w14:textFill>
        </w:rPr>
        <w:t>。</w:t>
      </w:r>
    </w:p>
    <w:p w14:paraId="1BA57CF9">
      <w:pPr>
        <w:pStyle w:val="34"/>
        <w:spacing w:after="0"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表3.</w:t>
      </w:r>
      <w:r>
        <w:rPr>
          <w:rFonts w:hint="default" w:ascii="Times New Roman" w:hAnsi="Times New Roman" w:eastAsia="黑体" w:cs="Times New Roman"/>
          <w:bCs/>
          <w:color w:val="000000" w:themeColor="text1"/>
          <w:sz w:val="24"/>
          <w:lang w:val="en-US" w:eastAsia="zh-CN"/>
          <w14:textFill>
            <w14:solidFill>
              <w14:schemeClr w14:val="tx1"/>
            </w14:solidFill>
          </w14:textFill>
        </w:rPr>
        <w:t>3</w:t>
      </w:r>
      <w:r>
        <w:rPr>
          <w:rFonts w:hint="default" w:ascii="Times New Roman" w:hAnsi="Times New Roman" w:eastAsia="黑体" w:cs="Times New Roman"/>
          <w:bCs/>
          <w:color w:val="000000" w:themeColor="text1"/>
          <w:sz w:val="24"/>
          <w14:textFill>
            <w14:solidFill>
              <w14:schemeClr w14:val="tx1"/>
            </w14:solidFill>
          </w14:textFill>
        </w:rPr>
        <w:t>-</w:t>
      </w:r>
      <w:r>
        <w:rPr>
          <w:rFonts w:hint="default" w:ascii="Times New Roman" w:hAnsi="Times New Roman" w:eastAsia="黑体" w:cs="Times New Roman"/>
          <w:bCs/>
          <w:color w:val="000000" w:themeColor="text1"/>
          <w:sz w:val="24"/>
          <w:lang w:val="en-US" w:eastAsia="zh-CN"/>
          <w14:textFill>
            <w14:solidFill>
              <w14:schemeClr w14:val="tx1"/>
            </w14:solidFill>
          </w14:textFill>
        </w:rPr>
        <w:t>1</w:t>
      </w:r>
      <w:r>
        <w:rPr>
          <w:rFonts w:hint="default" w:ascii="Times New Roman" w:hAnsi="Times New Roman" w:eastAsia="黑体" w:cs="Times New Roman"/>
          <w:bCs/>
          <w:color w:val="000000" w:themeColor="text1"/>
          <w:sz w:val="24"/>
          <w14:textFill>
            <w14:solidFill>
              <w14:schemeClr w14:val="tx1"/>
            </w14:solidFill>
          </w14:textFill>
        </w:rPr>
        <w:t>污水站恶臭气体产生源强表</w:t>
      </w:r>
    </w:p>
    <w:tbl>
      <w:tblPr>
        <w:tblStyle w:val="4092"/>
        <w:tblW w:w="4995"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626"/>
        <w:gridCol w:w="631"/>
        <w:gridCol w:w="900"/>
        <w:gridCol w:w="874"/>
        <w:gridCol w:w="797"/>
        <w:gridCol w:w="1080"/>
        <w:gridCol w:w="694"/>
        <w:gridCol w:w="887"/>
        <w:gridCol w:w="928"/>
        <w:gridCol w:w="881"/>
      </w:tblGrid>
      <w:tr w14:paraId="443FBA2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757" w:type="pct"/>
            <w:gridSpan w:val="2"/>
            <w:tcBorders>
              <w:tl2br w:val="nil"/>
              <w:tr2bl w:val="nil"/>
            </w:tcBorders>
            <w:vAlign w:val="center"/>
          </w:tcPr>
          <w:p w14:paraId="65DD87CC">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污染物名称</w:t>
            </w:r>
          </w:p>
        </w:tc>
        <w:tc>
          <w:tcPr>
            <w:tcW w:w="542" w:type="pct"/>
            <w:tcBorders>
              <w:tl2br w:val="nil"/>
              <w:tr2bl w:val="nil"/>
            </w:tcBorders>
            <w:vAlign w:val="center"/>
          </w:tcPr>
          <w:p w14:paraId="5771912B">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产生浓度(mg/m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w:t>
            </w:r>
          </w:p>
        </w:tc>
        <w:tc>
          <w:tcPr>
            <w:tcW w:w="526" w:type="pct"/>
            <w:tcBorders>
              <w:tl2br w:val="nil"/>
              <w:tr2bl w:val="nil"/>
            </w:tcBorders>
            <w:vAlign w:val="center"/>
          </w:tcPr>
          <w:p w14:paraId="6257B378">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产生速率（kg/h）</w:t>
            </w:r>
          </w:p>
        </w:tc>
        <w:tc>
          <w:tcPr>
            <w:tcW w:w="480" w:type="pct"/>
            <w:tcBorders>
              <w:tl2br w:val="nil"/>
              <w:tr2bl w:val="nil"/>
            </w:tcBorders>
            <w:vAlign w:val="center"/>
          </w:tcPr>
          <w:p w14:paraId="221C352E">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产生量（t/a）</w:t>
            </w:r>
          </w:p>
        </w:tc>
        <w:tc>
          <w:tcPr>
            <w:tcW w:w="650" w:type="pct"/>
            <w:tcBorders>
              <w:tl2br w:val="nil"/>
              <w:tr2bl w:val="nil"/>
            </w:tcBorders>
            <w:vAlign w:val="center"/>
          </w:tcPr>
          <w:p w14:paraId="3836CFA7">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采取措施</w:t>
            </w:r>
          </w:p>
        </w:tc>
        <w:tc>
          <w:tcPr>
            <w:tcW w:w="418" w:type="pct"/>
            <w:tcBorders>
              <w:tl2br w:val="nil"/>
              <w:tr2bl w:val="nil"/>
            </w:tcBorders>
            <w:vAlign w:val="center"/>
          </w:tcPr>
          <w:p w14:paraId="1B294B89">
            <w:pPr>
              <w:widowControl/>
              <w:spacing w:line="240" w:lineRule="auto"/>
              <w:jc w:val="center"/>
              <w:textAlignment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处理效率</w:t>
            </w:r>
          </w:p>
        </w:tc>
        <w:tc>
          <w:tcPr>
            <w:tcW w:w="534" w:type="pct"/>
            <w:tcBorders>
              <w:tl2br w:val="nil"/>
              <w:tr2bl w:val="nil"/>
            </w:tcBorders>
            <w:vAlign w:val="center"/>
          </w:tcPr>
          <w:p w14:paraId="388FEF25">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排放浓度(mg/m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w:t>
            </w:r>
          </w:p>
        </w:tc>
        <w:tc>
          <w:tcPr>
            <w:tcW w:w="559" w:type="pct"/>
            <w:tcBorders>
              <w:tl2br w:val="nil"/>
              <w:tr2bl w:val="nil"/>
            </w:tcBorders>
            <w:vAlign w:val="center"/>
          </w:tcPr>
          <w:p w14:paraId="54F64915">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排放速率(kg/h)</w:t>
            </w:r>
          </w:p>
        </w:tc>
        <w:tc>
          <w:tcPr>
            <w:tcW w:w="530" w:type="pct"/>
            <w:tcBorders>
              <w:tl2br w:val="nil"/>
              <w:tr2bl w:val="nil"/>
            </w:tcBorders>
            <w:vAlign w:val="center"/>
          </w:tcPr>
          <w:p w14:paraId="5D3FEBEB">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排放量(t/a)</w:t>
            </w:r>
          </w:p>
        </w:tc>
      </w:tr>
      <w:tr w14:paraId="372B03C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79" w:hRule="atLeast"/>
          <w:jc w:val="center"/>
        </w:trPr>
        <w:tc>
          <w:tcPr>
            <w:tcW w:w="377" w:type="pct"/>
            <w:vMerge w:val="restart"/>
            <w:tcBorders>
              <w:tl2br w:val="nil"/>
              <w:tr2bl w:val="nil"/>
            </w:tcBorders>
            <w:vAlign w:val="center"/>
          </w:tcPr>
          <w:p w14:paraId="653E5E35">
            <w:pPr>
              <w:widowControl/>
              <w:spacing w:line="240" w:lineRule="auto"/>
              <w:jc w:val="center"/>
              <w:textAlignment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污水站废气</w:t>
            </w:r>
          </w:p>
        </w:tc>
        <w:tc>
          <w:tcPr>
            <w:tcW w:w="380" w:type="pct"/>
            <w:tcBorders>
              <w:tl2br w:val="nil"/>
              <w:tr2bl w:val="nil"/>
            </w:tcBorders>
            <w:vAlign w:val="center"/>
          </w:tcPr>
          <w:p w14:paraId="3DCE48D7">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p>
        </w:tc>
        <w:tc>
          <w:tcPr>
            <w:tcW w:w="542" w:type="pct"/>
            <w:tcBorders>
              <w:tl2br w:val="nil"/>
              <w:tr2bl w:val="nil"/>
            </w:tcBorders>
            <w:vAlign w:val="center"/>
          </w:tcPr>
          <w:p w14:paraId="6CDF4CE7">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18.82</w:t>
            </w:r>
          </w:p>
        </w:tc>
        <w:tc>
          <w:tcPr>
            <w:tcW w:w="526" w:type="pct"/>
            <w:tcBorders>
              <w:tl2br w:val="nil"/>
              <w:tr2bl w:val="nil"/>
            </w:tcBorders>
            <w:vAlign w:val="center"/>
          </w:tcPr>
          <w:p w14:paraId="4015B092">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565</w:t>
            </w:r>
          </w:p>
        </w:tc>
        <w:tc>
          <w:tcPr>
            <w:tcW w:w="480" w:type="pct"/>
            <w:tcBorders>
              <w:tl2br w:val="nil"/>
              <w:tr2bl w:val="nil"/>
            </w:tcBorders>
            <w:vAlign w:val="center"/>
          </w:tcPr>
          <w:p w14:paraId="4597533A">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271</w:t>
            </w:r>
          </w:p>
        </w:tc>
        <w:tc>
          <w:tcPr>
            <w:tcW w:w="650" w:type="pct"/>
            <w:vMerge w:val="restart"/>
            <w:tcBorders>
              <w:tl2br w:val="nil"/>
              <w:tr2bl w:val="nil"/>
            </w:tcBorders>
            <w:vAlign w:val="center"/>
          </w:tcPr>
          <w:p w14:paraId="55923991">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封闭负压</w:t>
            </w:r>
            <w:r>
              <w:rPr>
                <w:rFonts w:hint="default" w:ascii="Times New Roman" w:hAnsi="Times New Roman" w:cs="Times New Roman"/>
                <w:color w:val="000000" w:themeColor="text1"/>
                <w:sz w:val="21"/>
                <w:szCs w:val="21"/>
                <w14:textFill>
                  <w14:solidFill>
                    <w14:schemeClr w14:val="tx1"/>
                  </w14:solidFill>
                </w14:textFill>
              </w:rPr>
              <w:t>+两级活性炭吸附装置+15m高排气筒排放</w:t>
            </w:r>
          </w:p>
        </w:tc>
        <w:tc>
          <w:tcPr>
            <w:tcW w:w="418" w:type="pct"/>
            <w:vMerge w:val="restart"/>
            <w:tcBorders>
              <w:tl2br w:val="nil"/>
              <w:tr2bl w:val="nil"/>
            </w:tcBorders>
            <w:vAlign w:val="center"/>
          </w:tcPr>
          <w:p w14:paraId="55FE5651">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9</w:t>
            </w:r>
            <w:r>
              <w:rPr>
                <w:rFonts w:hint="eastAsia" w:cs="Times New Roman"/>
                <w:color w:val="000000" w:themeColor="text1"/>
                <w:sz w:val="21"/>
                <w:szCs w:val="21"/>
                <w:lang w:val="en-US" w:eastAsia="zh-CN"/>
                <w14:textFill>
                  <w14:solidFill>
                    <w14:schemeClr w14:val="tx1"/>
                  </w14:solidFill>
                </w14:textFill>
              </w:rPr>
              <w:t>0</w:t>
            </w: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534" w:type="pct"/>
            <w:tcBorders>
              <w:tl2br w:val="nil"/>
              <w:tr2bl w:val="nil"/>
            </w:tcBorders>
            <w:vAlign w:val="center"/>
          </w:tcPr>
          <w:p w14:paraId="2B6AF124">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1.882</w:t>
            </w:r>
          </w:p>
        </w:tc>
        <w:tc>
          <w:tcPr>
            <w:tcW w:w="559" w:type="pct"/>
            <w:tcBorders>
              <w:tl2br w:val="nil"/>
              <w:tr2bl w:val="nil"/>
            </w:tcBorders>
            <w:vAlign w:val="center"/>
          </w:tcPr>
          <w:p w14:paraId="4416F093">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565</w:t>
            </w:r>
          </w:p>
        </w:tc>
        <w:tc>
          <w:tcPr>
            <w:tcW w:w="530" w:type="pct"/>
            <w:tcBorders>
              <w:tl2br w:val="nil"/>
              <w:tr2bl w:val="nil"/>
            </w:tcBorders>
            <w:vAlign w:val="center"/>
          </w:tcPr>
          <w:p w14:paraId="208E3617">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271</w:t>
            </w:r>
          </w:p>
        </w:tc>
      </w:tr>
      <w:tr w14:paraId="5CB3227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377" w:type="pct"/>
            <w:vMerge w:val="continue"/>
            <w:tcBorders>
              <w:tl2br w:val="nil"/>
              <w:tr2bl w:val="nil"/>
            </w:tcBorders>
            <w:vAlign w:val="center"/>
          </w:tcPr>
          <w:p w14:paraId="58818D92">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380" w:type="pct"/>
            <w:tcBorders>
              <w:tl2br w:val="nil"/>
              <w:tr2bl w:val="nil"/>
            </w:tcBorders>
            <w:vAlign w:val="center"/>
          </w:tcPr>
          <w:p w14:paraId="56719886">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w:t>
            </w:r>
            <w:r>
              <w:rPr>
                <w:rFonts w:hint="default" w:ascii="Times New Roman" w:hAnsi="Times New Roman" w:cs="Times New Roman"/>
                <w:color w:val="000000" w:themeColor="text1"/>
                <w:sz w:val="21"/>
                <w:szCs w:val="21"/>
                <w:vertAlign w:val="sub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S</w:t>
            </w:r>
          </w:p>
        </w:tc>
        <w:tc>
          <w:tcPr>
            <w:tcW w:w="542" w:type="pct"/>
            <w:tcBorders>
              <w:tl2br w:val="nil"/>
              <w:tr2bl w:val="nil"/>
            </w:tcBorders>
            <w:vAlign w:val="center"/>
          </w:tcPr>
          <w:p w14:paraId="56F0C1CC">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729</w:t>
            </w:r>
          </w:p>
        </w:tc>
        <w:tc>
          <w:tcPr>
            <w:tcW w:w="526" w:type="pct"/>
            <w:tcBorders>
              <w:tl2br w:val="nil"/>
              <w:tr2bl w:val="nil"/>
            </w:tcBorders>
            <w:vAlign w:val="center"/>
          </w:tcPr>
          <w:p w14:paraId="54B41283">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22</w:t>
            </w:r>
          </w:p>
        </w:tc>
        <w:tc>
          <w:tcPr>
            <w:tcW w:w="480" w:type="pct"/>
            <w:tcBorders>
              <w:tl2br w:val="nil"/>
              <w:tr2bl w:val="nil"/>
            </w:tcBorders>
            <w:vAlign w:val="center"/>
          </w:tcPr>
          <w:p w14:paraId="4F85B8B1">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105</w:t>
            </w:r>
          </w:p>
        </w:tc>
        <w:tc>
          <w:tcPr>
            <w:tcW w:w="650" w:type="pct"/>
            <w:vMerge w:val="continue"/>
            <w:tcBorders>
              <w:tl2br w:val="nil"/>
              <w:tr2bl w:val="nil"/>
            </w:tcBorders>
            <w:vAlign w:val="center"/>
          </w:tcPr>
          <w:p w14:paraId="1A16CE16">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418" w:type="pct"/>
            <w:vMerge w:val="continue"/>
            <w:tcBorders>
              <w:tl2br w:val="nil"/>
              <w:tr2bl w:val="nil"/>
            </w:tcBorders>
            <w:vAlign w:val="center"/>
          </w:tcPr>
          <w:p w14:paraId="393E7D6A">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534" w:type="pct"/>
            <w:tcBorders>
              <w:tl2br w:val="nil"/>
              <w:tr2bl w:val="nil"/>
            </w:tcBorders>
            <w:vAlign w:val="center"/>
          </w:tcPr>
          <w:p w14:paraId="0942D0E8">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729</w:t>
            </w:r>
          </w:p>
        </w:tc>
        <w:tc>
          <w:tcPr>
            <w:tcW w:w="559" w:type="pct"/>
            <w:tcBorders>
              <w:tl2br w:val="nil"/>
              <w:tr2bl w:val="nil"/>
            </w:tcBorders>
            <w:vAlign w:val="center"/>
          </w:tcPr>
          <w:p w14:paraId="60BCA4DA">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0.000</w:t>
            </w:r>
            <w:r>
              <w:rPr>
                <w:rFonts w:hint="eastAsia" w:cs="Times New Roman"/>
                <w:color w:val="000000" w:themeColor="text1"/>
                <w:sz w:val="21"/>
                <w:szCs w:val="21"/>
                <w:lang w:val="en-US" w:eastAsia="zh-CN"/>
                <w14:textFill>
                  <w14:solidFill>
                    <w14:schemeClr w14:val="tx1"/>
                  </w14:solidFill>
                </w14:textFill>
              </w:rPr>
              <w:t>22</w:t>
            </w:r>
          </w:p>
        </w:tc>
        <w:tc>
          <w:tcPr>
            <w:tcW w:w="530" w:type="pct"/>
            <w:tcBorders>
              <w:tl2br w:val="nil"/>
              <w:tr2bl w:val="nil"/>
            </w:tcBorders>
            <w:vAlign w:val="center"/>
          </w:tcPr>
          <w:p w14:paraId="29A1BE9D">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11</w:t>
            </w:r>
          </w:p>
        </w:tc>
      </w:tr>
    </w:tbl>
    <w:p w14:paraId="4521A97D">
      <w:pPr>
        <w:spacing w:line="360" w:lineRule="auto"/>
        <w:rPr>
          <w:rFonts w:hint="default" w:ascii="Times New Roman" w:hAnsi="Times New Roman" w:cs="Times New Roman"/>
          <w:bCs/>
          <w:color w:val="000000" w:themeColor="text1"/>
          <w:sz w:val="24"/>
          <w14:textFill>
            <w14:solidFill>
              <w14:schemeClr w14:val="tx1"/>
            </w14:solidFill>
          </w14:textFill>
        </w:rPr>
      </w:pPr>
    </w:p>
    <w:p w14:paraId="25C43ECD">
      <w:pPr>
        <w:spacing w:line="360" w:lineRule="auto"/>
        <w:ind w:firstLine="472" w:firstLineChars="200"/>
        <w:rPr>
          <w:rFonts w:hint="default" w:ascii="Times New Roman" w:hAnsi="Times New Roman" w:cs="Times New Roman"/>
          <w:bCs/>
          <w:color w:val="000000" w:themeColor="text1"/>
          <w:sz w:val="24"/>
          <w14:textFill>
            <w14:solidFill>
              <w14:schemeClr w14:val="tx1"/>
            </w14:solidFill>
          </w14:textFill>
        </w:rPr>
        <w:sectPr>
          <w:footerReference r:id="rId9"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39DF7FA8">
      <w:pPr>
        <w:pStyle w:val="37"/>
        <w:spacing w:after="0" w:line="360" w:lineRule="auto"/>
        <w:ind w:left="0" w:leftChars="0" w:firstLine="0" w:firstLineChars="0"/>
        <w:jc w:val="center"/>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szCs w:val="21"/>
          <w:lang w:val="zh-CN"/>
          <w14:textFill>
            <w14:solidFill>
              <w14:schemeClr w14:val="tx1"/>
            </w14:solidFill>
          </w14:textFill>
        </w:rPr>
        <w:t>表</w:t>
      </w:r>
      <w:r>
        <w:rPr>
          <w:rFonts w:hint="default" w:ascii="Times New Roman" w:hAnsi="Times New Roman" w:eastAsia="黑体" w:cs="Times New Roman"/>
          <w:color w:val="000000" w:themeColor="text1"/>
          <w:sz w:val="24"/>
          <w:szCs w:val="21"/>
          <w14:textFill>
            <w14:solidFill>
              <w14:schemeClr w14:val="tx1"/>
            </w14:solidFill>
          </w14:textFill>
        </w:rPr>
        <w:t>3.</w:t>
      </w:r>
      <w:r>
        <w:rPr>
          <w:rFonts w:hint="default" w:ascii="Times New Roman" w:hAnsi="Times New Roman" w:eastAsia="黑体" w:cs="Times New Roman"/>
          <w:color w:val="000000" w:themeColor="text1"/>
          <w:sz w:val="24"/>
          <w:szCs w:val="21"/>
          <w:lang w:val="en-US" w:eastAsia="zh-CN"/>
          <w14:textFill>
            <w14:solidFill>
              <w14:schemeClr w14:val="tx1"/>
            </w14:solidFill>
          </w14:textFill>
        </w:rPr>
        <w:t>3</w:t>
      </w:r>
      <w:r>
        <w:rPr>
          <w:rFonts w:hint="default" w:ascii="Times New Roman" w:hAnsi="Times New Roman" w:eastAsia="黑体" w:cs="Times New Roman"/>
          <w:color w:val="000000" w:themeColor="text1"/>
          <w:sz w:val="24"/>
          <w:szCs w:val="21"/>
          <w14:textFill>
            <w14:solidFill>
              <w14:schemeClr w14:val="tx1"/>
            </w14:solidFill>
          </w14:textFill>
        </w:rPr>
        <w:t>-</w:t>
      </w:r>
      <w:r>
        <w:rPr>
          <w:rFonts w:hint="default" w:ascii="Times New Roman" w:hAnsi="Times New Roman" w:eastAsia="黑体" w:cs="Times New Roman"/>
          <w:color w:val="000000" w:themeColor="text1"/>
          <w:sz w:val="24"/>
          <w:szCs w:val="21"/>
          <w:lang w:val="en-US" w:eastAsia="zh-CN"/>
          <w14:textFill>
            <w14:solidFill>
              <w14:schemeClr w14:val="tx1"/>
            </w14:solidFill>
          </w14:textFill>
        </w:rPr>
        <w:t>2</w:t>
      </w:r>
      <w:r>
        <w:rPr>
          <w:rFonts w:hint="default" w:ascii="Times New Roman" w:hAnsi="Times New Roman" w:eastAsia="黑体" w:cs="Times New Roman"/>
          <w:color w:val="000000" w:themeColor="text1"/>
          <w:sz w:val="24"/>
          <w:szCs w:val="21"/>
          <w14:textFill>
            <w14:solidFill>
              <w14:schemeClr w14:val="tx1"/>
            </w14:solidFill>
          </w14:textFill>
        </w:rPr>
        <w:t>全厂有组织</w:t>
      </w:r>
      <w:r>
        <w:rPr>
          <w:rFonts w:hint="default" w:ascii="Times New Roman" w:hAnsi="Times New Roman" w:eastAsia="黑体" w:cs="Times New Roman"/>
          <w:color w:val="000000" w:themeColor="text1"/>
          <w:sz w:val="24"/>
          <w:szCs w:val="21"/>
          <w:lang w:val="zh-CN"/>
          <w14:textFill>
            <w14:solidFill>
              <w14:schemeClr w14:val="tx1"/>
            </w14:solidFill>
          </w14:textFill>
        </w:rPr>
        <w:t>废气产生和排放情况汇总表</w:t>
      </w:r>
    </w:p>
    <w:tbl>
      <w:tblPr>
        <w:tblStyle w:val="8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0"/>
        <w:gridCol w:w="943"/>
        <w:gridCol w:w="737"/>
        <w:gridCol w:w="856"/>
        <w:gridCol w:w="782"/>
        <w:gridCol w:w="868"/>
        <w:gridCol w:w="2677"/>
        <w:gridCol w:w="797"/>
        <w:gridCol w:w="885"/>
        <w:gridCol w:w="885"/>
        <w:gridCol w:w="885"/>
        <w:gridCol w:w="868"/>
        <w:gridCol w:w="757"/>
        <w:gridCol w:w="598"/>
        <w:gridCol w:w="627"/>
      </w:tblGrid>
      <w:tr w14:paraId="5E9651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restart"/>
            <w:shd w:val="clear" w:color="auto" w:fill="auto"/>
            <w:vAlign w:val="center"/>
          </w:tcPr>
          <w:p w14:paraId="66404529">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污染源</w:t>
            </w:r>
          </w:p>
        </w:tc>
        <w:tc>
          <w:tcPr>
            <w:tcW w:w="333" w:type="pct"/>
            <w:vMerge w:val="restart"/>
            <w:shd w:val="clear" w:color="auto" w:fill="auto"/>
            <w:vAlign w:val="center"/>
          </w:tcPr>
          <w:p w14:paraId="24461ACE">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排气筒编号</w:t>
            </w:r>
          </w:p>
        </w:tc>
        <w:tc>
          <w:tcPr>
            <w:tcW w:w="260" w:type="pct"/>
            <w:vMerge w:val="restart"/>
            <w:shd w:val="clear" w:color="auto" w:fill="auto"/>
            <w:vAlign w:val="center"/>
          </w:tcPr>
          <w:p w14:paraId="6B735CB6">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污染物</w:t>
            </w:r>
          </w:p>
        </w:tc>
        <w:tc>
          <w:tcPr>
            <w:tcW w:w="883" w:type="pct"/>
            <w:gridSpan w:val="3"/>
            <w:shd w:val="clear" w:color="auto" w:fill="auto"/>
          </w:tcPr>
          <w:p w14:paraId="34478352">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污染物产生</w:t>
            </w:r>
          </w:p>
        </w:tc>
        <w:tc>
          <w:tcPr>
            <w:tcW w:w="944" w:type="pct"/>
            <w:vMerge w:val="restart"/>
            <w:shd w:val="clear" w:color="auto" w:fill="auto"/>
            <w:vAlign w:val="center"/>
          </w:tcPr>
          <w:p w14:paraId="4F7EB602">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收集/治理措施</w:t>
            </w:r>
          </w:p>
        </w:tc>
        <w:tc>
          <w:tcPr>
            <w:tcW w:w="281" w:type="pct"/>
            <w:vMerge w:val="restart"/>
            <w:shd w:val="clear" w:color="auto" w:fill="auto"/>
            <w:vAlign w:val="center"/>
          </w:tcPr>
          <w:p w14:paraId="1D3912F0">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排气量m</w:t>
            </w:r>
            <w:r>
              <w:rPr>
                <w:rFonts w:hint="default" w:ascii="Times New Roman" w:hAnsi="Times New Roman" w:cs="Times New Roman"/>
                <w:b/>
                <w:bCs/>
                <w:color w:val="000000" w:themeColor="text1"/>
                <w:sz w:val="21"/>
                <w:szCs w:val="21"/>
                <w:vertAlign w:val="superscript"/>
                <w14:textFill>
                  <w14:solidFill>
                    <w14:schemeClr w14:val="tx1"/>
                  </w14:solidFill>
                </w14:textFill>
              </w:rPr>
              <w:t>3</w:t>
            </w:r>
            <w:r>
              <w:rPr>
                <w:rFonts w:hint="default" w:ascii="Times New Roman" w:hAnsi="Times New Roman" w:cs="Times New Roman"/>
                <w:b/>
                <w:bCs/>
                <w:color w:val="000000" w:themeColor="text1"/>
                <w:sz w:val="21"/>
                <w:szCs w:val="21"/>
                <w14:textFill>
                  <w14:solidFill>
                    <w14:schemeClr w14:val="tx1"/>
                  </w14:solidFill>
                </w14:textFill>
              </w:rPr>
              <w:t>/h</w:t>
            </w:r>
          </w:p>
        </w:tc>
        <w:tc>
          <w:tcPr>
            <w:tcW w:w="936" w:type="pct"/>
            <w:gridSpan w:val="3"/>
            <w:shd w:val="clear" w:color="auto" w:fill="auto"/>
            <w:vAlign w:val="center"/>
          </w:tcPr>
          <w:p w14:paraId="2A0CAD14">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污染物排放</w:t>
            </w:r>
          </w:p>
        </w:tc>
        <w:tc>
          <w:tcPr>
            <w:tcW w:w="573" w:type="pct"/>
            <w:gridSpan w:val="2"/>
            <w:shd w:val="clear" w:color="auto" w:fill="FFFFFF"/>
            <w:vAlign w:val="center"/>
          </w:tcPr>
          <w:p w14:paraId="7993D09F">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标准</w:t>
            </w:r>
          </w:p>
        </w:tc>
        <w:tc>
          <w:tcPr>
            <w:tcW w:w="432" w:type="pct"/>
            <w:gridSpan w:val="2"/>
            <w:vAlign w:val="center"/>
          </w:tcPr>
          <w:p w14:paraId="22922931">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排气筒</w:t>
            </w:r>
          </w:p>
        </w:tc>
      </w:tr>
      <w:tr w14:paraId="71B521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continue"/>
            <w:vAlign w:val="center"/>
          </w:tcPr>
          <w:p w14:paraId="6401D6F1">
            <w:pPr>
              <w:widowControl/>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p>
        </w:tc>
        <w:tc>
          <w:tcPr>
            <w:tcW w:w="333" w:type="pct"/>
            <w:vMerge w:val="continue"/>
            <w:vAlign w:val="center"/>
          </w:tcPr>
          <w:p w14:paraId="52EE8EDA">
            <w:pPr>
              <w:widowControl/>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p>
        </w:tc>
        <w:tc>
          <w:tcPr>
            <w:tcW w:w="260" w:type="pct"/>
            <w:vMerge w:val="continue"/>
            <w:vAlign w:val="center"/>
          </w:tcPr>
          <w:p w14:paraId="1E309C11">
            <w:pPr>
              <w:widowControl/>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p>
        </w:tc>
        <w:tc>
          <w:tcPr>
            <w:tcW w:w="302" w:type="pct"/>
            <w:vAlign w:val="center"/>
          </w:tcPr>
          <w:p w14:paraId="24F10D20">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浓度</w:t>
            </w:r>
          </w:p>
          <w:p w14:paraId="1D4F70C7">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mg/m³</w:t>
            </w:r>
          </w:p>
        </w:tc>
        <w:tc>
          <w:tcPr>
            <w:tcW w:w="275" w:type="pct"/>
            <w:vAlign w:val="center"/>
          </w:tcPr>
          <w:p w14:paraId="2A115C21">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速率</w:t>
            </w:r>
          </w:p>
          <w:p w14:paraId="07691B16">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kg/h</w:t>
            </w:r>
          </w:p>
        </w:tc>
        <w:tc>
          <w:tcPr>
            <w:tcW w:w="304" w:type="pct"/>
            <w:vAlign w:val="center"/>
          </w:tcPr>
          <w:p w14:paraId="78A62AB0">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产生量t/a</w:t>
            </w:r>
          </w:p>
        </w:tc>
        <w:tc>
          <w:tcPr>
            <w:tcW w:w="944" w:type="pct"/>
            <w:vMerge w:val="continue"/>
            <w:vAlign w:val="center"/>
          </w:tcPr>
          <w:p w14:paraId="2526D391">
            <w:pPr>
              <w:widowControl/>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p>
        </w:tc>
        <w:tc>
          <w:tcPr>
            <w:tcW w:w="281" w:type="pct"/>
            <w:vMerge w:val="continue"/>
            <w:vAlign w:val="center"/>
          </w:tcPr>
          <w:p w14:paraId="2A2FF092">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p>
        </w:tc>
        <w:tc>
          <w:tcPr>
            <w:tcW w:w="312" w:type="pct"/>
            <w:vAlign w:val="center"/>
          </w:tcPr>
          <w:p w14:paraId="1E1D45AF">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浓度</w:t>
            </w:r>
          </w:p>
          <w:p w14:paraId="3D3CA4B8">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mg/m³</w:t>
            </w:r>
          </w:p>
        </w:tc>
        <w:tc>
          <w:tcPr>
            <w:tcW w:w="312" w:type="pct"/>
            <w:vAlign w:val="center"/>
          </w:tcPr>
          <w:p w14:paraId="7E19337B">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速率</w:t>
            </w:r>
          </w:p>
          <w:p w14:paraId="5CDE9A34">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kg/h</w:t>
            </w:r>
          </w:p>
        </w:tc>
        <w:tc>
          <w:tcPr>
            <w:tcW w:w="312" w:type="pct"/>
            <w:vAlign w:val="center"/>
          </w:tcPr>
          <w:p w14:paraId="5865E1A4">
            <w:pPr>
              <w:spacing w:line="274"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排放量t/a</w:t>
            </w:r>
          </w:p>
        </w:tc>
        <w:tc>
          <w:tcPr>
            <w:tcW w:w="306" w:type="pct"/>
            <w:vAlign w:val="center"/>
          </w:tcPr>
          <w:p w14:paraId="1EA8BC5A">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浓度mg/m</w:t>
            </w:r>
            <w:r>
              <w:rPr>
                <w:rFonts w:hint="default" w:ascii="Times New Roman" w:hAnsi="Times New Roman" w:cs="Times New Roman"/>
                <w:b/>
                <w:bCs/>
                <w:color w:val="000000" w:themeColor="text1"/>
                <w:sz w:val="21"/>
                <w:szCs w:val="21"/>
                <w:vertAlign w:val="superscript"/>
                <w14:textFill>
                  <w14:solidFill>
                    <w14:schemeClr w14:val="tx1"/>
                  </w14:solidFill>
                </w14:textFill>
              </w:rPr>
              <w:t>3</w:t>
            </w:r>
          </w:p>
        </w:tc>
        <w:tc>
          <w:tcPr>
            <w:tcW w:w="267" w:type="pct"/>
            <w:vAlign w:val="center"/>
          </w:tcPr>
          <w:p w14:paraId="6B7FBB3A">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速率kg/h</w:t>
            </w:r>
          </w:p>
        </w:tc>
        <w:tc>
          <w:tcPr>
            <w:tcW w:w="211" w:type="pct"/>
            <w:vAlign w:val="center"/>
          </w:tcPr>
          <w:p w14:paraId="63F3A885">
            <w:pPr>
              <w:widowControl/>
              <w:spacing w:line="274" w:lineRule="auto"/>
              <w:jc w:val="center"/>
              <w:textAlignment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高度</w:t>
            </w:r>
          </w:p>
          <w:p w14:paraId="2C6838FC">
            <w:pPr>
              <w:widowControl/>
              <w:spacing w:line="274" w:lineRule="auto"/>
              <w:jc w:val="center"/>
              <w:textAlignment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m</w:t>
            </w:r>
          </w:p>
        </w:tc>
        <w:tc>
          <w:tcPr>
            <w:tcW w:w="221" w:type="pct"/>
            <w:vAlign w:val="center"/>
          </w:tcPr>
          <w:p w14:paraId="5490B57D">
            <w:pPr>
              <w:widowControl/>
              <w:spacing w:line="274" w:lineRule="auto"/>
              <w:jc w:val="center"/>
              <w:textAlignment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内径</w:t>
            </w:r>
          </w:p>
          <w:p w14:paraId="6E0DC0F0">
            <w:pPr>
              <w:widowControl/>
              <w:spacing w:line="274" w:lineRule="auto"/>
              <w:jc w:val="center"/>
              <w:textAlignment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m</w:t>
            </w:r>
          </w:p>
        </w:tc>
      </w:tr>
      <w:tr w14:paraId="740DAF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Align w:val="center"/>
          </w:tcPr>
          <w:p w14:paraId="319952EC">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改性粒子熔融挤出</w:t>
            </w:r>
            <w:r>
              <w:rPr>
                <w:rFonts w:hint="default" w:ascii="Times New Roman" w:hAnsi="Times New Roman" w:cs="Times New Roman"/>
                <w:color w:val="000000" w:themeColor="text1"/>
                <w:sz w:val="21"/>
                <w:szCs w:val="21"/>
                <w14:textFill>
                  <w14:solidFill>
                    <w14:schemeClr w14:val="tx1"/>
                  </w14:solidFill>
                </w14:textFill>
              </w:rPr>
              <w:t>废气</w:t>
            </w:r>
          </w:p>
        </w:tc>
        <w:tc>
          <w:tcPr>
            <w:tcW w:w="333" w:type="pct"/>
            <w:vMerge w:val="restart"/>
            <w:vAlign w:val="center"/>
          </w:tcPr>
          <w:p w14:paraId="074925F3">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DA001</w:t>
            </w:r>
          </w:p>
        </w:tc>
        <w:tc>
          <w:tcPr>
            <w:tcW w:w="260" w:type="pct"/>
            <w:vAlign w:val="center"/>
          </w:tcPr>
          <w:p w14:paraId="405A2B97">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302" w:type="pct"/>
            <w:vAlign w:val="center"/>
          </w:tcPr>
          <w:p w14:paraId="158AD814">
            <w:pPr>
              <w:widowControl/>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34.58</w:t>
            </w:r>
          </w:p>
        </w:tc>
        <w:tc>
          <w:tcPr>
            <w:tcW w:w="275" w:type="pct"/>
            <w:vAlign w:val="center"/>
          </w:tcPr>
          <w:p w14:paraId="158E6A5D">
            <w:pPr>
              <w:widowControl/>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0.173</w:t>
            </w:r>
          </w:p>
        </w:tc>
        <w:tc>
          <w:tcPr>
            <w:tcW w:w="304" w:type="pct"/>
            <w:vAlign w:val="center"/>
          </w:tcPr>
          <w:p w14:paraId="7B2BDE5B">
            <w:pPr>
              <w:widowControl/>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0.83</w:t>
            </w:r>
          </w:p>
        </w:tc>
        <w:tc>
          <w:tcPr>
            <w:tcW w:w="944" w:type="pct"/>
            <w:vAlign w:val="center"/>
          </w:tcPr>
          <w:p w14:paraId="351F3AA6">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lang w:eastAsia="zh-CN"/>
                <w14:textFill>
                  <w14:solidFill>
                    <w14:schemeClr w14:val="tx1"/>
                  </w14:solidFill>
                </w14:textFill>
              </w:rPr>
              <w:t>区域封闭</w:t>
            </w:r>
            <w:r>
              <w:rPr>
                <w:rFonts w:hint="default" w:ascii="Times New Roman" w:hAnsi="Times New Roman" w:cs="Times New Roman"/>
                <w:bCs/>
                <w:color w:val="000000" w:themeColor="text1"/>
                <w:sz w:val="21"/>
                <w:szCs w:val="21"/>
                <w:lang w:val="en-US" w:eastAsia="zh-CN"/>
                <w14:textFill>
                  <w14:solidFill>
                    <w14:schemeClr w14:val="tx1"/>
                  </w14:solidFill>
                </w14:textFill>
              </w:rPr>
              <w:t>+</w:t>
            </w:r>
            <w:r>
              <w:rPr>
                <w:rFonts w:hint="default" w:ascii="Times New Roman" w:hAnsi="Times New Roman" w:cs="Times New Roman"/>
                <w:bCs/>
                <w:color w:val="000000" w:themeColor="text1"/>
                <w:sz w:val="21"/>
                <w:szCs w:val="21"/>
                <w14:textFill>
                  <w14:solidFill>
                    <w14:schemeClr w14:val="tx1"/>
                  </w14:solidFill>
                </w14:textFill>
              </w:rPr>
              <w:t>集气罩</w:t>
            </w:r>
            <w:r>
              <w:rPr>
                <w:rFonts w:hint="default" w:ascii="Times New Roman" w:hAnsi="Times New Roman" w:cs="Times New Roman"/>
                <w:bCs/>
                <w:color w:val="000000" w:themeColor="text1"/>
                <w:sz w:val="21"/>
                <w:szCs w:val="21"/>
                <w:lang w:eastAsia="zh-CN"/>
                <w14:textFill>
                  <w14:solidFill>
                    <w14:schemeClr w14:val="tx1"/>
                  </w14:solidFill>
                </w14:textFill>
              </w:rPr>
              <w:t>（</w:t>
            </w:r>
            <w:r>
              <w:rPr>
                <w:rFonts w:hint="default" w:ascii="Times New Roman" w:hAnsi="Times New Roman" w:cs="Times New Roman"/>
                <w:bCs/>
                <w:color w:val="000000" w:themeColor="text1"/>
                <w:sz w:val="21"/>
                <w:szCs w:val="21"/>
                <w14:textFill>
                  <w14:solidFill>
                    <w14:schemeClr w14:val="tx1"/>
                  </w14:solidFill>
                </w14:textFill>
              </w:rPr>
              <w:t>收集</w:t>
            </w:r>
            <w:r>
              <w:rPr>
                <w:rFonts w:hint="default" w:ascii="Times New Roman" w:hAnsi="Times New Roman" w:cs="Times New Roman"/>
                <w:bCs/>
                <w:color w:val="000000" w:themeColor="text1"/>
                <w:sz w:val="21"/>
                <w:szCs w:val="21"/>
                <w:lang w:eastAsia="zh-CN"/>
                <w14:textFill>
                  <w14:solidFill>
                    <w14:schemeClr w14:val="tx1"/>
                  </w14:solidFill>
                </w14:textFill>
              </w:rPr>
              <w:t>效率</w:t>
            </w:r>
            <w:r>
              <w:rPr>
                <w:rFonts w:hint="default" w:ascii="Times New Roman" w:hAnsi="Times New Roman" w:cs="Times New Roman"/>
                <w:color w:val="000000" w:themeColor="text1"/>
                <w:sz w:val="21"/>
                <w:szCs w:val="21"/>
                <w14:textFill>
                  <w14:solidFill>
                    <w14:schemeClr w14:val="tx1"/>
                  </w14:solidFill>
                </w14:textFill>
              </w:rPr>
              <w:t>9</w:t>
            </w:r>
            <w:r>
              <w:rPr>
                <w:rFonts w:hint="default" w:ascii="Times New Roman" w:hAnsi="Times New Roman" w:cs="Times New Roman"/>
                <w:color w:val="000000" w:themeColor="text1"/>
                <w:sz w:val="21"/>
                <w:szCs w:val="21"/>
                <w:lang w:val="en-US" w:eastAsia="zh-CN"/>
                <w14:textFill>
                  <w14:solidFill>
                    <w14:schemeClr w14:val="tx1"/>
                  </w14:solidFill>
                </w14:textFill>
              </w:rPr>
              <w:t>8</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lang w:eastAsia="zh-CN"/>
                <w14:textFill>
                  <w14:solidFill>
                    <w14:schemeClr w14:val="tx1"/>
                  </w14:solidFill>
                </w14:textFill>
              </w:rPr>
              <w:t>油烟净化器</w:t>
            </w:r>
            <w:r>
              <w:rPr>
                <w:rFonts w:hint="default" w:ascii="Times New Roman" w:hAnsi="Times New Roman" w:cs="Times New Roman"/>
                <w:bCs/>
                <w:color w:val="000000" w:themeColor="text1"/>
                <w:sz w:val="21"/>
                <w:szCs w:val="21"/>
                <w14:textFill>
                  <w14:solidFill>
                    <w14:schemeClr w14:val="tx1"/>
                  </w14:solidFill>
                </w14:textFill>
              </w:rPr>
              <w:t>+两级活性炭吸附装置（处理效率90%）（TA001）</w:t>
            </w:r>
          </w:p>
        </w:tc>
        <w:tc>
          <w:tcPr>
            <w:tcW w:w="281" w:type="pct"/>
            <w:vAlign w:val="center"/>
          </w:tcPr>
          <w:p w14:paraId="3F8B6EAB">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000</w:t>
            </w:r>
          </w:p>
        </w:tc>
        <w:tc>
          <w:tcPr>
            <w:tcW w:w="312" w:type="pct"/>
            <w:vAlign w:val="center"/>
          </w:tcPr>
          <w:p w14:paraId="464084A5">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3.458</w:t>
            </w:r>
          </w:p>
        </w:tc>
        <w:tc>
          <w:tcPr>
            <w:tcW w:w="312" w:type="pct"/>
            <w:vAlign w:val="center"/>
          </w:tcPr>
          <w:p w14:paraId="04FD5AEC">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017</w:t>
            </w:r>
          </w:p>
        </w:tc>
        <w:tc>
          <w:tcPr>
            <w:tcW w:w="312" w:type="pct"/>
            <w:vAlign w:val="center"/>
          </w:tcPr>
          <w:p w14:paraId="72830B46">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083</w:t>
            </w:r>
          </w:p>
        </w:tc>
        <w:tc>
          <w:tcPr>
            <w:tcW w:w="306" w:type="pct"/>
            <w:vMerge w:val="restart"/>
            <w:vAlign w:val="center"/>
          </w:tcPr>
          <w:p w14:paraId="78B1DD92">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40</w:t>
            </w:r>
          </w:p>
        </w:tc>
        <w:tc>
          <w:tcPr>
            <w:tcW w:w="267" w:type="pct"/>
            <w:vMerge w:val="restart"/>
            <w:vAlign w:val="center"/>
          </w:tcPr>
          <w:p w14:paraId="4FC9896E">
            <w:pPr>
              <w:widowControl/>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1.6</w:t>
            </w:r>
          </w:p>
        </w:tc>
        <w:tc>
          <w:tcPr>
            <w:tcW w:w="211" w:type="pct"/>
            <w:vMerge w:val="restart"/>
            <w:vAlign w:val="center"/>
          </w:tcPr>
          <w:p w14:paraId="5DCC87AE">
            <w:pPr>
              <w:widowControl/>
              <w:spacing w:line="274" w:lineRule="auto"/>
              <w:jc w:val="center"/>
              <w:textAlignment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default" w:ascii="Times New Roman" w:hAnsi="Times New Roman" w:cs="Times New Roman"/>
                <w:color w:val="000000" w:themeColor="text1"/>
                <w:sz w:val="21"/>
                <w:szCs w:val="21"/>
                <w:lang w:val="en-US" w:eastAsia="zh-CN"/>
                <w14:textFill>
                  <w14:solidFill>
                    <w14:schemeClr w14:val="tx1"/>
                  </w14:solidFill>
                </w14:textFill>
              </w:rPr>
              <w:t>5</w:t>
            </w:r>
          </w:p>
        </w:tc>
        <w:tc>
          <w:tcPr>
            <w:tcW w:w="221" w:type="pct"/>
            <w:vMerge w:val="restart"/>
            <w:vAlign w:val="center"/>
          </w:tcPr>
          <w:p w14:paraId="4BDBD907">
            <w:pPr>
              <w:widowControl/>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default" w:ascii="Times New Roman" w:hAnsi="Times New Roman" w:cs="Times New Roman"/>
                <w:color w:val="000000" w:themeColor="text1"/>
                <w:sz w:val="21"/>
                <w:szCs w:val="21"/>
                <w:lang w:val="en-US"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4</w:t>
            </w:r>
          </w:p>
        </w:tc>
      </w:tr>
      <w:tr w14:paraId="3FE595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Align w:val="center"/>
          </w:tcPr>
          <w:p w14:paraId="5CA7161B">
            <w:pPr>
              <w:spacing w:line="274" w:lineRule="auto"/>
              <w:jc w:val="center"/>
              <w:textAlignment w:val="center"/>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标签纸</w:t>
            </w:r>
            <w:r>
              <w:rPr>
                <w:rFonts w:hint="eastAsia" w:cs="Times New Roman"/>
                <w:color w:val="000000" w:themeColor="text1"/>
                <w:sz w:val="21"/>
                <w:szCs w:val="21"/>
                <w:lang w:eastAsia="zh-CN"/>
                <w14:textFill>
                  <w14:solidFill>
                    <w14:schemeClr w14:val="tx1"/>
                  </w14:solidFill>
                </w14:textFill>
              </w:rPr>
              <w:t>高温分选</w:t>
            </w:r>
            <w:r>
              <w:rPr>
                <w:rFonts w:hint="default" w:ascii="Times New Roman" w:hAnsi="Times New Roman" w:cs="Times New Roman"/>
                <w:color w:val="000000" w:themeColor="text1"/>
                <w:sz w:val="21"/>
                <w:szCs w:val="21"/>
                <w:lang w:eastAsia="zh-CN"/>
                <w14:textFill>
                  <w14:solidFill>
                    <w14:schemeClr w14:val="tx1"/>
                  </w14:solidFill>
                </w14:textFill>
              </w:rPr>
              <w:t>废气</w:t>
            </w:r>
          </w:p>
        </w:tc>
        <w:tc>
          <w:tcPr>
            <w:tcW w:w="333" w:type="pct"/>
            <w:vMerge w:val="continue"/>
            <w:vAlign w:val="center"/>
          </w:tcPr>
          <w:p w14:paraId="1D68115E">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260" w:type="pct"/>
            <w:vAlign w:val="center"/>
          </w:tcPr>
          <w:p w14:paraId="48B07C11">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302" w:type="pct"/>
            <w:shd w:val="clear" w:color="auto" w:fill="auto"/>
            <w:vAlign w:val="center"/>
          </w:tcPr>
          <w:p w14:paraId="36FF29AB">
            <w:pPr>
              <w:widowControl/>
              <w:spacing w:line="274"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27.58</w:t>
            </w:r>
          </w:p>
        </w:tc>
        <w:tc>
          <w:tcPr>
            <w:tcW w:w="275" w:type="pct"/>
            <w:shd w:val="clear" w:color="auto" w:fill="auto"/>
            <w:vAlign w:val="center"/>
          </w:tcPr>
          <w:p w14:paraId="752CBD9D">
            <w:pPr>
              <w:widowControl/>
              <w:spacing w:line="274"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0.1</w:t>
            </w:r>
            <w:r>
              <w:rPr>
                <w:rFonts w:hint="eastAsia" w:cs="Times New Roman"/>
                <w:color w:val="000000" w:themeColor="text1"/>
                <w:sz w:val="21"/>
                <w:szCs w:val="21"/>
                <w:lang w:val="en-US" w:eastAsia="zh-CN"/>
                <w14:textFill>
                  <w14:solidFill>
                    <w14:schemeClr w14:val="tx1"/>
                  </w14:solidFill>
                </w14:textFill>
              </w:rPr>
              <w:t>38</w:t>
            </w:r>
          </w:p>
        </w:tc>
        <w:tc>
          <w:tcPr>
            <w:tcW w:w="304" w:type="pct"/>
            <w:shd w:val="clear" w:color="auto" w:fill="auto"/>
            <w:vAlign w:val="center"/>
          </w:tcPr>
          <w:p w14:paraId="710F45EC">
            <w:pPr>
              <w:widowControl/>
              <w:spacing w:line="274"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0.662</w:t>
            </w:r>
          </w:p>
        </w:tc>
        <w:tc>
          <w:tcPr>
            <w:tcW w:w="944" w:type="pct"/>
            <w:vAlign w:val="center"/>
          </w:tcPr>
          <w:p w14:paraId="66B82078">
            <w:pPr>
              <w:spacing w:line="274" w:lineRule="auto"/>
              <w:jc w:val="center"/>
              <w:textAlignment w:val="center"/>
              <w:rPr>
                <w:rFonts w:hint="default" w:ascii="Times New Roman" w:hAnsi="Times New Roman" w:cs="Times New Roman"/>
                <w:bCs/>
                <w:color w:val="000000" w:themeColor="text1"/>
                <w:sz w:val="21"/>
                <w:szCs w:val="21"/>
                <w:lang w:eastAsia="zh-CN"/>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集气罩</w:t>
            </w:r>
            <w:r>
              <w:rPr>
                <w:rFonts w:hint="default" w:ascii="Times New Roman" w:hAnsi="Times New Roman" w:cs="Times New Roman"/>
                <w:bCs/>
                <w:color w:val="000000" w:themeColor="text1"/>
                <w:sz w:val="21"/>
                <w:szCs w:val="21"/>
                <w:lang w:eastAsia="zh-CN"/>
                <w14:textFill>
                  <w14:solidFill>
                    <w14:schemeClr w14:val="tx1"/>
                  </w14:solidFill>
                </w14:textFill>
              </w:rPr>
              <w:t>（</w:t>
            </w:r>
            <w:r>
              <w:rPr>
                <w:rFonts w:hint="default" w:ascii="Times New Roman" w:hAnsi="Times New Roman" w:cs="Times New Roman"/>
                <w:bCs/>
                <w:color w:val="000000" w:themeColor="text1"/>
                <w:sz w:val="21"/>
                <w:szCs w:val="21"/>
                <w14:textFill>
                  <w14:solidFill>
                    <w14:schemeClr w14:val="tx1"/>
                  </w14:solidFill>
                </w14:textFill>
              </w:rPr>
              <w:t>收集</w:t>
            </w:r>
            <w:r>
              <w:rPr>
                <w:rFonts w:hint="default" w:ascii="Times New Roman" w:hAnsi="Times New Roman" w:cs="Times New Roman"/>
                <w:bCs/>
                <w:color w:val="000000" w:themeColor="text1"/>
                <w:sz w:val="21"/>
                <w:szCs w:val="21"/>
                <w:lang w:eastAsia="zh-CN"/>
                <w14:textFill>
                  <w14:solidFill>
                    <w14:schemeClr w14:val="tx1"/>
                  </w14:solidFill>
                </w14:textFill>
              </w:rPr>
              <w:t>效率</w:t>
            </w:r>
            <w:r>
              <w:rPr>
                <w:rFonts w:hint="default" w:ascii="Times New Roman" w:hAnsi="Times New Roman" w:cs="Times New Roman"/>
                <w:color w:val="000000" w:themeColor="text1"/>
                <w:sz w:val="21"/>
                <w:szCs w:val="21"/>
                <w14:textFill>
                  <w14:solidFill>
                    <w14:schemeClr w14:val="tx1"/>
                  </w14:solidFill>
                </w14:textFill>
              </w:rPr>
              <w:t>9</w:t>
            </w: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lang w:eastAsia="zh-CN"/>
                <w14:textFill>
                  <w14:solidFill>
                    <w14:schemeClr w14:val="tx1"/>
                  </w14:solidFill>
                </w14:textFill>
              </w:rPr>
              <w:t>油烟净化器</w:t>
            </w:r>
            <w:r>
              <w:rPr>
                <w:rFonts w:hint="default" w:ascii="Times New Roman" w:hAnsi="Times New Roman" w:cs="Times New Roman"/>
                <w:bCs/>
                <w:color w:val="000000" w:themeColor="text1"/>
                <w:sz w:val="21"/>
                <w:szCs w:val="21"/>
                <w14:textFill>
                  <w14:solidFill>
                    <w14:schemeClr w14:val="tx1"/>
                  </w14:solidFill>
                </w14:textFill>
              </w:rPr>
              <w:t>+两级活性炭吸附装置（处理效率90%）（TA001）</w:t>
            </w:r>
          </w:p>
        </w:tc>
        <w:tc>
          <w:tcPr>
            <w:tcW w:w="281" w:type="pct"/>
            <w:vAlign w:val="center"/>
          </w:tcPr>
          <w:p w14:paraId="6E4817BD">
            <w:pPr>
              <w:spacing w:line="274" w:lineRule="auto"/>
              <w:jc w:val="center"/>
              <w:textAlignment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lang w:val="en-US" w:eastAsia="zh-CN"/>
                <w14:textFill>
                  <w14:solidFill>
                    <w14:schemeClr w14:val="tx1"/>
                  </w14:solidFill>
                </w14:textFill>
              </w:rPr>
              <w:t>000</w:t>
            </w:r>
          </w:p>
        </w:tc>
        <w:tc>
          <w:tcPr>
            <w:tcW w:w="312" w:type="pct"/>
            <w:vAlign w:val="center"/>
          </w:tcPr>
          <w:p w14:paraId="24D4E5C9">
            <w:pPr>
              <w:spacing w:line="274" w:lineRule="auto"/>
              <w:jc w:val="center"/>
              <w:textAlignment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2.758</w:t>
            </w:r>
          </w:p>
        </w:tc>
        <w:tc>
          <w:tcPr>
            <w:tcW w:w="312" w:type="pct"/>
            <w:vAlign w:val="center"/>
          </w:tcPr>
          <w:p w14:paraId="3294D29C">
            <w:pPr>
              <w:spacing w:line="274" w:lineRule="auto"/>
              <w:jc w:val="center"/>
              <w:textAlignment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0.01</w:t>
            </w:r>
            <w:r>
              <w:rPr>
                <w:rFonts w:hint="eastAsia" w:cs="Times New Roman"/>
                <w:color w:val="000000" w:themeColor="text1"/>
                <w:sz w:val="21"/>
                <w:szCs w:val="21"/>
                <w:lang w:val="en-US" w:eastAsia="zh-CN"/>
                <w14:textFill>
                  <w14:solidFill>
                    <w14:schemeClr w14:val="tx1"/>
                  </w14:solidFill>
                </w14:textFill>
              </w:rPr>
              <w:t>4</w:t>
            </w:r>
          </w:p>
        </w:tc>
        <w:tc>
          <w:tcPr>
            <w:tcW w:w="312" w:type="pct"/>
            <w:vAlign w:val="center"/>
          </w:tcPr>
          <w:p w14:paraId="7A17ABC9">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0.066</w:t>
            </w:r>
          </w:p>
        </w:tc>
        <w:tc>
          <w:tcPr>
            <w:tcW w:w="306" w:type="pct"/>
            <w:vMerge w:val="continue"/>
            <w:vAlign w:val="center"/>
          </w:tcPr>
          <w:p w14:paraId="18D595AF">
            <w:pPr>
              <w:spacing w:line="274" w:lineRule="auto"/>
              <w:jc w:val="center"/>
              <w:textAlignment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c>
          <w:tcPr>
            <w:tcW w:w="267" w:type="pct"/>
            <w:vMerge w:val="continue"/>
            <w:vAlign w:val="center"/>
          </w:tcPr>
          <w:p w14:paraId="40367915">
            <w:pPr>
              <w:widowControl/>
              <w:spacing w:line="274" w:lineRule="auto"/>
              <w:jc w:val="center"/>
              <w:textAlignment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c>
          <w:tcPr>
            <w:tcW w:w="211" w:type="pct"/>
            <w:vMerge w:val="continue"/>
            <w:vAlign w:val="center"/>
          </w:tcPr>
          <w:p w14:paraId="291C68A8">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221" w:type="pct"/>
            <w:vMerge w:val="continue"/>
            <w:vAlign w:val="center"/>
          </w:tcPr>
          <w:p w14:paraId="67839F07">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r>
      <w:tr w14:paraId="26AAA0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Align w:val="center"/>
          </w:tcPr>
          <w:p w14:paraId="3C9CDFA1">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拆包</w:t>
            </w:r>
            <w:r>
              <w:rPr>
                <w:rFonts w:hint="default" w:ascii="Times New Roman" w:hAnsi="Times New Roman" w:cs="Times New Roman"/>
                <w:color w:val="000000" w:themeColor="text1"/>
                <w:sz w:val="21"/>
                <w:szCs w:val="21"/>
                <w14:textFill>
                  <w14:solidFill>
                    <w14:schemeClr w14:val="tx1"/>
                  </w14:solidFill>
                </w14:textFill>
              </w:rPr>
              <w:t>废气</w:t>
            </w:r>
          </w:p>
        </w:tc>
        <w:tc>
          <w:tcPr>
            <w:tcW w:w="333" w:type="pct"/>
            <w:vMerge w:val="restart"/>
            <w:vAlign w:val="center"/>
          </w:tcPr>
          <w:p w14:paraId="57862798">
            <w:pP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DA002</w:t>
            </w:r>
          </w:p>
        </w:tc>
        <w:tc>
          <w:tcPr>
            <w:tcW w:w="260" w:type="pct"/>
            <w:vAlign w:val="center"/>
          </w:tcPr>
          <w:p w14:paraId="74E18782">
            <w:pPr>
              <w:pStyle w:val="1114"/>
              <w:adjustRightInd/>
              <w:spacing w:before="0" w:after="0" w:line="274"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颗粒物</w:t>
            </w:r>
          </w:p>
        </w:tc>
        <w:tc>
          <w:tcPr>
            <w:tcW w:w="302" w:type="pct"/>
            <w:vAlign w:val="center"/>
          </w:tcPr>
          <w:p w14:paraId="682A42FD">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385.61</w:t>
            </w:r>
          </w:p>
        </w:tc>
        <w:tc>
          <w:tcPr>
            <w:tcW w:w="275" w:type="pct"/>
            <w:vAlign w:val="center"/>
          </w:tcPr>
          <w:p w14:paraId="3511677A">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2.121</w:t>
            </w:r>
          </w:p>
        </w:tc>
        <w:tc>
          <w:tcPr>
            <w:tcW w:w="304" w:type="pct"/>
            <w:vAlign w:val="center"/>
          </w:tcPr>
          <w:p w14:paraId="6BBAA6DB">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10.18</w:t>
            </w:r>
          </w:p>
        </w:tc>
        <w:tc>
          <w:tcPr>
            <w:tcW w:w="944" w:type="pct"/>
            <w:vAlign w:val="center"/>
          </w:tcPr>
          <w:p w14:paraId="6E969AA9">
            <w:pPr>
              <w:spacing w:line="274" w:lineRule="auto"/>
              <w:jc w:val="center"/>
              <w:textAlignment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软帘</w:t>
            </w:r>
            <w:r>
              <w:rPr>
                <w:rFonts w:hint="default" w:ascii="Times New Roman" w:hAnsi="Times New Roman"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lang w:eastAsia="zh-CN"/>
                <w14:textFill>
                  <w14:solidFill>
                    <w14:schemeClr w14:val="tx1"/>
                  </w14:solidFill>
                </w14:textFill>
              </w:rPr>
              <w:t>集气罩</w:t>
            </w:r>
            <w:r>
              <w:rPr>
                <w:rFonts w:hint="default" w:ascii="Times New Roman" w:hAnsi="Times New Roman" w:cs="Times New Roman"/>
                <w:bCs/>
                <w:color w:val="000000" w:themeColor="text1"/>
                <w:sz w:val="21"/>
                <w:szCs w:val="21"/>
                <w:lang w:eastAsia="zh-CN"/>
                <w14:textFill>
                  <w14:solidFill>
                    <w14:schemeClr w14:val="tx1"/>
                  </w14:solidFill>
                </w14:textFill>
              </w:rPr>
              <w:t>（</w:t>
            </w:r>
            <w:r>
              <w:rPr>
                <w:rFonts w:hint="default" w:ascii="Times New Roman" w:hAnsi="Times New Roman" w:cs="Times New Roman"/>
                <w:bCs/>
                <w:color w:val="000000" w:themeColor="text1"/>
                <w:sz w:val="21"/>
                <w:szCs w:val="21"/>
                <w14:textFill>
                  <w14:solidFill>
                    <w14:schemeClr w14:val="tx1"/>
                  </w14:solidFill>
                </w14:textFill>
              </w:rPr>
              <w:t>收集</w:t>
            </w:r>
            <w:r>
              <w:rPr>
                <w:rFonts w:hint="default" w:ascii="Times New Roman" w:hAnsi="Times New Roman" w:cs="Times New Roman"/>
                <w:bCs/>
                <w:color w:val="000000" w:themeColor="text1"/>
                <w:sz w:val="21"/>
                <w:szCs w:val="21"/>
                <w:lang w:eastAsia="zh-CN"/>
                <w14:textFill>
                  <w14:solidFill>
                    <w14:schemeClr w14:val="tx1"/>
                  </w14:solidFill>
                </w14:textFill>
              </w:rPr>
              <w:t>效率</w:t>
            </w:r>
            <w:r>
              <w:rPr>
                <w:rFonts w:hint="default" w:ascii="Times New Roman" w:hAnsi="Times New Roman" w:cs="Times New Roman"/>
                <w:color w:val="000000" w:themeColor="text1"/>
                <w:sz w:val="21"/>
                <w:szCs w:val="21"/>
                <w14:textFill>
                  <w14:solidFill>
                    <w14:schemeClr w14:val="tx1"/>
                  </w14:solidFill>
                </w14:textFill>
              </w:rPr>
              <w:t>9</w:t>
            </w:r>
            <w:r>
              <w:rPr>
                <w:rFonts w:hint="default" w:ascii="Times New Roman" w:hAnsi="Times New Roman"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+布袋除尘器（</w:t>
            </w:r>
            <w:r>
              <w:rPr>
                <w:rFonts w:hint="default" w:ascii="Times New Roman" w:hAnsi="Times New Roman" w:cs="Times New Roman"/>
                <w:color w:val="000000" w:themeColor="text1"/>
                <w:sz w:val="21"/>
                <w:szCs w:val="21"/>
                <w:lang w:eastAsia="zh-CN"/>
                <w14:textFill>
                  <w14:solidFill>
                    <w14:schemeClr w14:val="tx1"/>
                  </w14:solidFill>
                </w14:textFill>
              </w:rPr>
              <w:t>处理</w:t>
            </w:r>
            <w:r>
              <w:rPr>
                <w:rFonts w:hint="default" w:ascii="Times New Roman" w:hAnsi="Times New Roman" w:cs="Times New Roman"/>
                <w:color w:val="000000" w:themeColor="text1"/>
                <w:sz w:val="21"/>
                <w:szCs w:val="21"/>
                <w14:textFill>
                  <w14:solidFill>
                    <w14:schemeClr w14:val="tx1"/>
                  </w14:solidFill>
                </w14:textFill>
              </w:rPr>
              <w:t>效率99%）</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TA002</w:t>
            </w:r>
            <w:r>
              <w:rPr>
                <w:rFonts w:hint="default" w:ascii="Times New Roman" w:hAnsi="Times New Roman" w:cs="Times New Roman"/>
                <w:color w:val="000000" w:themeColor="text1"/>
                <w:sz w:val="21"/>
                <w:szCs w:val="21"/>
                <w:lang w:eastAsia="zh-CN"/>
                <w14:textFill>
                  <w14:solidFill>
                    <w14:schemeClr w14:val="tx1"/>
                  </w14:solidFill>
                </w14:textFill>
              </w:rPr>
              <w:t>）</w:t>
            </w:r>
          </w:p>
        </w:tc>
        <w:tc>
          <w:tcPr>
            <w:tcW w:w="281" w:type="pct"/>
            <w:vAlign w:val="center"/>
          </w:tcPr>
          <w:p w14:paraId="2EE5E8F1">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55</w:t>
            </w:r>
            <w:r>
              <w:rPr>
                <w:rFonts w:hint="default" w:ascii="Times New Roman" w:hAnsi="Times New Roman" w:cs="Times New Roman"/>
                <w:color w:val="000000" w:themeColor="text1"/>
                <w:sz w:val="21"/>
                <w:szCs w:val="21"/>
                <w14:textFill>
                  <w14:solidFill>
                    <w14:schemeClr w14:val="tx1"/>
                  </w14:solidFill>
                </w14:textFill>
              </w:rPr>
              <w:t>00</w:t>
            </w:r>
          </w:p>
        </w:tc>
        <w:tc>
          <w:tcPr>
            <w:tcW w:w="312" w:type="pct"/>
            <w:vAlign w:val="center"/>
          </w:tcPr>
          <w:p w14:paraId="3C2DFA50">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3.856</w:t>
            </w:r>
          </w:p>
        </w:tc>
        <w:tc>
          <w:tcPr>
            <w:tcW w:w="312" w:type="pct"/>
            <w:vAlign w:val="center"/>
          </w:tcPr>
          <w:p w14:paraId="0FE995C6">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21</w:t>
            </w:r>
          </w:p>
        </w:tc>
        <w:tc>
          <w:tcPr>
            <w:tcW w:w="312" w:type="pct"/>
            <w:vAlign w:val="center"/>
          </w:tcPr>
          <w:p w14:paraId="36744334">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0.102</w:t>
            </w:r>
          </w:p>
        </w:tc>
        <w:tc>
          <w:tcPr>
            <w:tcW w:w="306" w:type="pct"/>
            <w:vMerge w:val="restart"/>
            <w:vAlign w:val="center"/>
          </w:tcPr>
          <w:p w14:paraId="4E07F63A">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120</w:t>
            </w:r>
          </w:p>
        </w:tc>
        <w:tc>
          <w:tcPr>
            <w:tcW w:w="267" w:type="pct"/>
            <w:vMerge w:val="restart"/>
            <w:vAlign w:val="center"/>
          </w:tcPr>
          <w:p w14:paraId="068E368A">
            <w:pPr>
              <w:widowControl/>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3.5</w:t>
            </w:r>
          </w:p>
        </w:tc>
        <w:tc>
          <w:tcPr>
            <w:tcW w:w="211" w:type="pct"/>
            <w:vMerge w:val="restart"/>
            <w:vAlign w:val="center"/>
          </w:tcPr>
          <w:p w14:paraId="4FEC682F">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r>
              <w:rPr>
                <w:rFonts w:hint="default" w:ascii="Times New Roman" w:hAnsi="Times New Roman" w:cs="Times New Roman"/>
                <w:color w:val="000000" w:themeColor="text1"/>
                <w:sz w:val="21"/>
                <w:szCs w:val="21"/>
                <w14:textFill>
                  <w14:solidFill>
                    <w14:schemeClr w14:val="tx1"/>
                  </w14:solidFill>
                </w14:textFill>
              </w:rPr>
              <w:t>5</w:t>
            </w:r>
          </w:p>
        </w:tc>
        <w:tc>
          <w:tcPr>
            <w:tcW w:w="221" w:type="pct"/>
            <w:vMerge w:val="restart"/>
            <w:vAlign w:val="center"/>
          </w:tcPr>
          <w:p w14:paraId="3E0B3E9C">
            <w:pPr>
              <w:widowControl/>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4</w:t>
            </w:r>
          </w:p>
        </w:tc>
      </w:tr>
      <w:tr w14:paraId="4A20FE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Align w:val="center"/>
          </w:tcPr>
          <w:p w14:paraId="4E15DB06">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标签纸磨粉</w:t>
            </w:r>
            <w:r>
              <w:rPr>
                <w:rFonts w:hint="default" w:ascii="Times New Roman" w:hAnsi="Times New Roman" w:cs="Times New Roman"/>
                <w:color w:val="000000" w:themeColor="text1"/>
                <w:sz w:val="21"/>
                <w:szCs w:val="21"/>
                <w14:textFill>
                  <w14:solidFill>
                    <w14:schemeClr w14:val="tx1"/>
                  </w14:solidFill>
                </w14:textFill>
              </w:rPr>
              <w:t>废气</w:t>
            </w:r>
          </w:p>
        </w:tc>
        <w:tc>
          <w:tcPr>
            <w:tcW w:w="333" w:type="pct"/>
            <w:vMerge w:val="continue"/>
            <w:vAlign w:val="center"/>
          </w:tcPr>
          <w:p w14:paraId="77145D3C">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260" w:type="pct"/>
            <w:vAlign w:val="center"/>
          </w:tcPr>
          <w:p w14:paraId="4879B66B">
            <w:pPr>
              <w:pStyle w:val="1114"/>
              <w:adjustRightInd/>
              <w:spacing w:before="0" w:after="0" w:line="274"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颗粒物</w:t>
            </w:r>
          </w:p>
        </w:tc>
        <w:tc>
          <w:tcPr>
            <w:tcW w:w="302" w:type="pct"/>
            <w:vAlign w:val="center"/>
          </w:tcPr>
          <w:p w14:paraId="06519951">
            <w:pPr>
              <w:spacing w:line="274" w:lineRule="auto"/>
              <w:jc w:val="center"/>
              <w:textAlignment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79.55</w:t>
            </w:r>
          </w:p>
        </w:tc>
        <w:tc>
          <w:tcPr>
            <w:tcW w:w="275" w:type="pct"/>
            <w:vAlign w:val="center"/>
          </w:tcPr>
          <w:p w14:paraId="28ED1E33">
            <w:pPr>
              <w:spacing w:line="274" w:lineRule="auto"/>
              <w:jc w:val="center"/>
              <w:textAlignment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438</w:t>
            </w:r>
          </w:p>
        </w:tc>
        <w:tc>
          <w:tcPr>
            <w:tcW w:w="304" w:type="pct"/>
            <w:vAlign w:val="center"/>
          </w:tcPr>
          <w:p w14:paraId="5A21F76C">
            <w:pPr>
              <w:spacing w:line="274" w:lineRule="auto"/>
              <w:jc w:val="center"/>
              <w:textAlignment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2.1</w:t>
            </w:r>
          </w:p>
        </w:tc>
        <w:tc>
          <w:tcPr>
            <w:tcW w:w="944" w:type="pct"/>
            <w:vAlign w:val="center"/>
          </w:tcPr>
          <w:p w14:paraId="14B0ECF3">
            <w:pPr>
              <w:spacing w:line="274" w:lineRule="auto"/>
              <w:jc w:val="center"/>
              <w:textAlignment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设备密闭</w:t>
            </w:r>
            <w:r>
              <w:rPr>
                <w:rFonts w:hint="default" w:ascii="Times New Roman" w:hAnsi="Times New Roman"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lang w:eastAsia="zh-CN"/>
                <w14:textFill>
                  <w14:solidFill>
                    <w14:schemeClr w14:val="tx1"/>
                  </w14:solidFill>
                </w14:textFill>
              </w:rPr>
              <w:t>集气罩</w:t>
            </w:r>
            <w:r>
              <w:rPr>
                <w:rFonts w:hint="default" w:ascii="Times New Roman" w:hAnsi="Times New Roman" w:cs="Times New Roman"/>
                <w:bCs/>
                <w:color w:val="000000" w:themeColor="text1"/>
                <w:sz w:val="21"/>
                <w:szCs w:val="21"/>
                <w:lang w:eastAsia="zh-CN"/>
                <w14:textFill>
                  <w14:solidFill>
                    <w14:schemeClr w14:val="tx1"/>
                  </w14:solidFill>
                </w14:textFill>
              </w:rPr>
              <w:t>（</w:t>
            </w:r>
            <w:r>
              <w:rPr>
                <w:rFonts w:hint="default" w:ascii="Times New Roman" w:hAnsi="Times New Roman" w:cs="Times New Roman"/>
                <w:bCs/>
                <w:color w:val="000000" w:themeColor="text1"/>
                <w:sz w:val="21"/>
                <w:szCs w:val="21"/>
                <w14:textFill>
                  <w14:solidFill>
                    <w14:schemeClr w14:val="tx1"/>
                  </w14:solidFill>
                </w14:textFill>
              </w:rPr>
              <w:t>收集</w:t>
            </w:r>
            <w:r>
              <w:rPr>
                <w:rFonts w:hint="default" w:ascii="Times New Roman" w:hAnsi="Times New Roman" w:cs="Times New Roman"/>
                <w:bCs/>
                <w:color w:val="000000" w:themeColor="text1"/>
                <w:sz w:val="21"/>
                <w:szCs w:val="21"/>
                <w:lang w:eastAsia="zh-CN"/>
                <w14:textFill>
                  <w14:solidFill>
                    <w14:schemeClr w14:val="tx1"/>
                  </w14:solidFill>
                </w14:textFill>
              </w:rPr>
              <w:t>效率</w:t>
            </w:r>
            <w:r>
              <w:rPr>
                <w:rFonts w:hint="default" w:ascii="Times New Roman" w:hAnsi="Times New Roman" w:cs="Times New Roman"/>
                <w:color w:val="000000" w:themeColor="text1"/>
                <w:sz w:val="21"/>
                <w:szCs w:val="21"/>
                <w14:textFill>
                  <w14:solidFill>
                    <w14:schemeClr w14:val="tx1"/>
                  </w14:solidFill>
                </w14:textFill>
              </w:rPr>
              <w:t>9</w:t>
            </w:r>
            <w:r>
              <w:rPr>
                <w:rFonts w:hint="default" w:ascii="Times New Roman" w:hAnsi="Times New Roman"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+布袋除尘器（</w:t>
            </w:r>
            <w:r>
              <w:rPr>
                <w:rFonts w:hint="default" w:ascii="Times New Roman" w:hAnsi="Times New Roman" w:cs="Times New Roman"/>
                <w:color w:val="000000" w:themeColor="text1"/>
                <w:sz w:val="21"/>
                <w:szCs w:val="21"/>
                <w:lang w:eastAsia="zh-CN"/>
                <w14:textFill>
                  <w14:solidFill>
                    <w14:schemeClr w14:val="tx1"/>
                  </w14:solidFill>
                </w14:textFill>
              </w:rPr>
              <w:t>处理</w:t>
            </w:r>
            <w:r>
              <w:rPr>
                <w:rFonts w:hint="default" w:ascii="Times New Roman" w:hAnsi="Times New Roman" w:cs="Times New Roman"/>
                <w:color w:val="000000" w:themeColor="text1"/>
                <w:sz w:val="21"/>
                <w:szCs w:val="21"/>
                <w14:textFill>
                  <w14:solidFill>
                    <w14:schemeClr w14:val="tx1"/>
                  </w14:solidFill>
                </w14:textFill>
              </w:rPr>
              <w:t>效率99%）</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TA002</w:t>
            </w:r>
            <w:r>
              <w:rPr>
                <w:rFonts w:hint="default" w:ascii="Times New Roman" w:hAnsi="Times New Roman" w:cs="Times New Roman"/>
                <w:color w:val="000000" w:themeColor="text1"/>
                <w:sz w:val="21"/>
                <w:szCs w:val="21"/>
                <w:lang w:eastAsia="zh-CN"/>
                <w14:textFill>
                  <w14:solidFill>
                    <w14:schemeClr w14:val="tx1"/>
                  </w14:solidFill>
                </w14:textFill>
              </w:rPr>
              <w:t>）</w:t>
            </w:r>
          </w:p>
        </w:tc>
        <w:tc>
          <w:tcPr>
            <w:tcW w:w="281" w:type="pct"/>
            <w:vAlign w:val="center"/>
          </w:tcPr>
          <w:p w14:paraId="7A255E02">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55</w:t>
            </w:r>
            <w:r>
              <w:rPr>
                <w:rFonts w:hint="default" w:ascii="Times New Roman" w:hAnsi="Times New Roman" w:cs="Times New Roman"/>
                <w:color w:val="000000" w:themeColor="text1"/>
                <w:sz w:val="21"/>
                <w:szCs w:val="21"/>
                <w14:textFill>
                  <w14:solidFill>
                    <w14:schemeClr w14:val="tx1"/>
                  </w14:solidFill>
                </w14:textFill>
              </w:rPr>
              <w:t>00</w:t>
            </w:r>
          </w:p>
        </w:tc>
        <w:tc>
          <w:tcPr>
            <w:tcW w:w="312" w:type="pct"/>
            <w:vAlign w:val="center"/>
          </w:tcPr>
          <w:p w14:paraId="7651D029">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796</w:t>
            </w:r>
          </w:p>
        </w:tc>
        <w:tc>
          <w:tcPr>
            <w:tcW w:w="312" w:type="pct"/>
            <w:vAlign w:val="center"/>
          </w:tcPr>
          <w:p w14:paraId="608367D7">
            <w:pPr>
              <w:pStyle w:val="1114"/>
              <w:adjustRightInd/>
              <w:spacing w:before="0" w:after="0" w:line="274"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04</w:t>
            </w:r>
          </w:p>
        </w:tc>
        <w:tc>
          <w:tcPr>
            <w:tcW w:w="312" w:type="pct"/>
            <w:vAlign w:val="center"/>
          </w:tcPr>
          <w:p w14:paraId="1536350E">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0.021</w:t>
            </w:r>
          </w:p>
        </w:tc>
        <w:tc>
          <w:tcPr>
            <w:tcW w:w="306" w:type="pct"/>
            <w:vMerge w:val="continue"/>
            <w:vAlign w:val="center"/>
          </w:tcPr>
          <w:p w14:paraId="7542E623">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267" w:type="pct"/>
            <w:vMerge w:val="continue"/>
            <w:vAlign w:val="center"/>
          </w:tcPr>
          <w:p w14:paraId="0CC9F676">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211" w:type="pct"/>
            <w:vMerge w:val="continue"/>
            <w:vAlign w:val="center"/>
          </w:tcPr>
          <w:p w14:paraId="6D6B81D7">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221" w:type="pct"/>
            <w:vMerge w:val="continue"/>
            <w:vAlign w:val="center"/>
          </w:tcPr>
          <w:p w14:paraId="2CA29BD2">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r>
      <w:tr w14:paraId="598D75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restart"/>
            <w:vAlign w:val="center"/>
          </w:tcPr>
          <w:p w14:paraId="6955E886">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污水站废气</w:t>
            </w:r>
          </w:p>
        </w:tc>
        <w:tc>
          <w:tcPr>
            <w:tcW w:w="333" w:type="pct"/>
            <w:vMerge w:val="restart"/>
            <w:vAlign w:val="center"/>
          </w:tcPr>
          <w:p w14:paraId="3F1FE251">
            <w:pPr>
              <w:widowControl/>
              <w:spacing w:line="274" w:lineRule="auto"/>
              <w:jc w:val="center"/>
              <w:textAlignment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DA00</w:t>
            </w:r>
            <w:r>
              <w:rPr>
                <w:rFonts w:hint="eastAsia" w:cs="Times New Roman"/>
                <w:color w:val="000000" w:themeColor="text1"/>
                <w:sz w:val="21"/>
                <w:szCs w:val="21"/>
                <w:lang w:val="en-US" w:eastAsia="zh-CN"/>
                <w14:textFill>
                  <w14:solidFill>
                    <w14:schemeClr w14:val="tx1"/>
                  </w14:solidFill>
                </w14:textFill>
              </w:rPr>
              <w:t>3</w:t>
            </w:r>
          </w:p>
        </w:tc>
        <w:tc>
          <w:tcPr>
            <w:tcW w:w="260" w:type="pct"/>
            <w:vAlign w:val="center"/>
          </w:tcPr>
          <w:p w14:paraId="4B7526C8">
            <w:pPr>
              <w:widowControl/>
              <w:adjustRightInd w:val="0"/>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NH</w:t>
            </w:r>
            <w:r>
              <w:rPr>
                <w:rFonts w:hint="default" w:ascii="Times New Roman" w:hAnsi="Times New Roman" w:cs="Times New Roman"/>
                <w:color w:val="000000" w:themeColor="text1"/>
                <w:sz w:val="21"/>
                <w:szCs w:val="21"/>
                <w:vertAlign w:val="subscript"/>
                <w:lang w:val="en-US" w:eastAsia="zh-CN"/>
                <w14:textFill>
                  <w14:solidFill>
                    <w14:schemeClr w14:val="tx1"/>
                  </w14:solidFill>
                </w14:textFill>
              </w:rPr>
              <w:t>3</w:t>
            </w:r>
          </w:p>
        </w:tc>
        <w:tc>
          <w:tcPr>
            <w:tcW w:w="302" w:type="pct"/>
            <w:shd w:val="clear" w:color="auto" w:fill="auto"/>
            <w:vAlign w:val="center"/>
          </w:tcPr>
          <w:p w14:paraId="485BC289">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18.82</w:t>
            </w:r>
          </w:p>
        </w:tc>
        <w:tc>
          <w:tcPr>
            <w:tcW w:w="275" w:type="pct"/>
            <w:shd w:val="clear" w:color="auto" w:fill="auto"/>
            <w:vAlign w:val="center"/>
          </w:tcPr>
          <w:p w14:paraId="5FC9C5B8">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565</w:t>
            </w:r>
          </w:p>
        </w:tc>
        <w:tc>
          <w:tcPr>
            <w:tcW w:w="304" w:type="pct"/>
            <w:shd w:val="clear" w:color="auto" w:fill="auto"/>
            <w:vAlign w:val="center"/>
          </w:tcPr>
          <w:p w14:paraId="4B40CB2D">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271</w:t>
            </w:r>
          </w:p>
        </w:tc>
        <w:tc>
          <w:tcPr>
            <w:tcW w:w="944" w:type="pct"/>
            <w:vMerge w:val="restart"/>
            <w:vAlign w:val="center"/>
          </w:tcPr>
          <w:p w14:paraId="6A1EDB53">
            <w:pPr>
              <w:widowControl/>
              <w:spacing w:line="274" w:lineRule="auto"/>
              <w:jc w:val="center"/>
              <w:textAlignment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封闭负压</w:t>
            </w:r>
            <w:r>
              <w:rPr>
                <w:rFonts w:hint="default" w:ascii="Times New Roman" w:hAnsi="Times New Roman" w:cs="Times New Roman"/>
                <w:color w:val="000000" w:themeColor="text1"/>
                <w:sz w:val="21"/>
                <w:szCs w:val="21"/>
                <w14:textFill>
                  <w14:solidFill>
                    <w14:schemeClr w14:val="tx1"/>
                  </w14:solidFill>
                </w14:textFill>
              </w:rPr>
              <w:t>（收集效率</w:t>
            </w:r>
            <w:r>
              <w:rPr>
                <w:rFonts w:hint="default" w:ascii="Times New Roman" w:hAnsi="Times New Roman" w:cs="Times New Roman"/>
                <w:color w:val="000000" w:themeColor="text1"/>
                <w:sz w:val="21"/>
                <w:szCs w:val="21"/>
                <w:lang w:val="en-US" w:eastAsia="zh-CN"/>
                <w14:textFill>
                  <w14:solidFill>
                    <w14:schemeClr w14:val="tx1"/>
                  </w14:solidFill>
                </w14:textFill>
              </w:rPr>
              <w:t>100</w:t>
            </w: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eastAsia="zh-CN"/>
                <w14:textFill>
                  <w14:solidFill>
                    <w14:schemeClr w14:val="tx1"/>
                  </w14:solidFill>
                </w14:textFill>
              </w:rPr>
              <w:t>两级活性炭吸附装置</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eastAsia="zh-CN"/>
                <w14:textFill>
                  <w14:solidFill>
                    <w14:schemeClr w14:val="tx1"/>
                  </w14:solidFill>
                </w14:textFill>
              </w:rPr>
              <w:t>处理</w:t>
            </w:r>
            <w:r>
              <w:rPr>
                <w:rFonts w:hint="default" w:ascii="Times New Roman" w:hAnsi="Times New Roman" w:cs="Times New Roman"/>
                <w:color w:val="000000" w:themeColor="text1"/>
                <w:sz w:val="21"/>
                <w:szCs w:val="21"/>
                <w14:textFill>
                  <w14:solidFill>
                    <w14:schemeClr w14:val="tx1"/>
                  </w14:solidFill>
                </w14:textFill>
              </w:rPr>
              <w:t>效率9</w:t>
            </w:r>
            <w:r>
              <w:rPr>
                <w:rFonts w:hint="eastAsia" w:cs="Times New Roman"/>
                <w:color w:val="000000" w:themeColor="text1"/>
                <w:sz w:val="21"/>
                <w:szCs w:val="21"/>
                <w:lang w:val="en-US" w:eastAsia="zh-CN"/>
                <w14:textFill>
                  <w14:solidFill>
                    <w14:schemeClr w14:val="tx1"/>
                  </w14:solidFill>
                </w14:textFill>
              </w:rPr>
              <w:t>0</w:t>
            </w:r>
            <w:r>
              <w:rPr>
                <w:rFonts w:hint="default" w:ascii="Times New Roman" w:hAnsi="Times New Roman" w:cs="Times New Roman"/>
                <w:color w:val="000000" w:themeColor="text1"/>
                <w:sz w:val="21"/>
                <w:szCs w:val="21"/>
                <w14:textFill>
                  <w14:solidFill>
                    <w14:schemeClr w14:val="tx1"/>
                  </w14:solidFill>
                </w14:textFill>
              </w:rPr>
              <w:t>%）（TA00</w:t>
            </w:r>
            <w:r>
              <w:rPr>
                <w:rFonts w:hint="default" w:ascii="Times New Roman" w:hAnsi="Times New Roman" w:cs="Times New Roman"/>
                <w:color w:val="000000" w:themeColor="text1"/>
                <w:sz w:val="21"/>
                <w:szCs w:val="21"/>
                <w:lang w:val="en-US" w:eastAsia="zh-CN"/>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w:t>
            </w:r>
          </w:p>
        </w:tc>
        <w:tc>
          <w:tcPr>
            <w:tcW w:w="281" w:type="pct"/>
            <w:vMerge w:val="restart"/>
            <w:vAlign w:val="center"/>
          </w:tcPr>
          <w:p w14:paraId="514C3401">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000</w:t>
            </w:r>
          </w:p>
        </w:tc>
        <w:tc>
          <w:tcPr>
            <w:tcW w:w="312" w:type="pct"/>
            <w:shd w:val="clear" w:color="auto" w:fill="auto"/>
            <w:vAlign w:val="center"/>
          </w:tcPr>
          <w:p w14:paraId="6BC13AE3">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1.882</w:t>
            </w:r>
          </w:p>
        </w:tc>
        <w:tc>
          <w:tcPr>
            <w:tcW w:w="312" w:type="pct"/>
            <w:shd w:val="clear" w:color="auto" w:fill="auto"/>
            <w:vAlign w:val="center"/>
          </w:tcPr>
          <w:p w14:paraId="347F77E6">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565</w:t>
            </w:r>
          </w:p>
        </w:tc>
        <w:tc>
          <w:tcPr>
            <w:tcW w:w="312" w:type="pct"/>
            <w:shd w:val="clear" w:color="auto" w:fill="auto"/>
            <w:vAlign w:val="center"/>
          </w:tcPr>
          <w:p w14:paraId="10CC51C9">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271</w:t>
            </w:r>
          </w:p>
        </w:tc>
        <w:tc>
          <w:tcPr>
            <w:tcW w:w="306" w:type="pct"/>
            <w:vAlign w:val="center"/>
          </w:tcPr>
          <w:p w14:paraId="57727A1A">
            <w:pPr>
              <w:widowControl/>
              <w:spacing w:line="274" w:lineRule="auto"/>
              <w:jc w:val="center"/>
              <w:textAlignment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267" w:type="pct"/>
            <w:vAlign w:val="center"/>
          </w:tcPr>
          <w:p w14:paraId="27E0A862">
            <w:pPr>
              <w:widowControl/>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4.9</w:t>
            </w:r>
          </w:p>
        </w:tc>
        <w:tc>
          <w:tcPr>
            <w:tcW w:w="211" w:type="pct"/>
            <w:vMerge w:val="restart"/>
            <w:vAlign w:val="center"/>
          </w:tcPr>
          <w:p w14:paraId="7D6761C2">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r>
              <w:rPr>
                <w:rFonts w:hint="default" w:ascii="Times New Roman" w:hAnsi="Times New Roman" w:cs="Times New Roman"/>
                <w:color w:val="000000" w:themeColor="text1"/>
                <w:sz w:val="21"/>
                <w:szCs w:val="21"/>
                <w14:textFill>
                  <w14:solidFill>
                    <w14:schemeClr w14:val="tx1"/>
                  </w14:solidFill>
                </w14:textFill>
              </w:rPr>
              <w:t>5</w:t>
            </w:r>
          </w:p>
        </w:tc>
        <w:tc>
          <w:tcPr>
            <w:tcW w:w="221" w:type="pct"/>
            <w:vMerge w:val="restart"/>
            <w:vAlign w:val="center"/>
          </w:tcPr>
          <w:p w14:paraId="1601ACB6">
            <w:pPr>
              <w:widowControl/>
              <w:spacing w:line="274" w:lineRule="auto"/>
              <w:jc w:val="center"/>
              <w:textAlignment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default" w:ascii="Times New Roman" w:hAnsi="Times New Roman" w:cs="Times New Roman"/>
                <w:color w:val="000000" w:themeColor="text1"/>
                <w:sz w:val="21"/>
                <w:szCs w:val="21"/>
                <w:lang w:val="en-US" w:eastAsia="zh-CN"/>
                <w14:textFill>
                  <w14:solidFill>
                    <w14:schemeClr w14:val="tx1"/>
                  </w14:solidFill>
                </w14:textFill>
              </w:rPr>
              <w:t>3</w:t>
            </w:r>
          </w:p>
        </w:tc>
      </w:tr>
      <w:tr w14:paraId="26E6E5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continue"/>
            <w:vAlign w:val="center"/>
          </w:tcPr>
          <w:p w14:paraId="6B7CC8F1">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333" w:type="pct"/>
            <w:vMerge w:val="continue"/>
            <w:vAlign w:val="center"/>
          </w:tcPr>
          <w:p w14:paraId="5EDC584B">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260" w:type="pct"/>
            <w:vAlign w:val="center"/>
          </w:tcPr>
          <w:p w14:paraId="43F35D03">
            <w:pPr>
              <w:widowControl/>
              <w:adjustRightInd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H</w:t>
            </w:r>
            <w:r>
              <w:rPr>
                <w:rFonts w:hint="default" w:ascii="Times New Roman" w:hAnsi="Times New Roman" w:cs="Times New Roman"/>
                <w:color w:val="000000" w:themeColor="text1"/>
                <w:sz w:val="21"/>
                <w:szCs w:val="21"/>
                <w:vertAlign w:val="subscript"/>
                <w:lang w:val="en-US" w:eastAsia="zh-CN"/>
                <w14:textFill>
                  <w14:solidFill>
                    <w14:schemeClr w14:val="tx1"/>
                  </w14:solidFill>
                </w14:textFill>
              </w:rPr>
              <w:t>2</w:t>
            </w:r>
            <w:r>
              <w:rPr>
                <w:rFonts w:hint="default" w:ascii="Times New Roman" w:hAnsi="Times New Roman" w:cs="Times New Roman"/>
                <w:color w:val="000000" w:themeColor="text1"/>
                <w:sz w:val="21"/>
                <w:szCs w:val="21"/>
                <w:lang w:val="en-US" w:eastAsia="zh-CN"/>
                <w14:textFill>
                  <w14:solidFill>
                    <w14:schemeClr w14:val="tx1"/>
                  </w14:solidFill>
                </w14:textFill>
              </w:rPr>
              <w:t>S</w:t>
            </w:r>
          </w:p>
        </w:tc>
        <w:tc>
          <w:tcPr>
            <w:tcW w:w="302" w:type="pct"/>
            <w:shd w:val="clear" w:color="auto" w:fill="auto"/>
            <w:vAlign w:val="center"/>
          </w:tcPr>
          <w:p w14:paraId="20FF8D4D">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729</w:t>
            </w:r>
          </w:p>
        </w:tc>
        <w:tc>
          <w:tcPr>
            <w:tcW w:w="275" w:type="pct"/>
            <w:shd w:val="clear" w:color="auto" w:fill="auto"/>
            <w:vAlign w:val="center"/>
          </w:tcPr>
          <w:p w14:paraId="5768F8D9">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22</w:t>
            </w:r>
          </w:p>
        </w:tc>
        <w:tc>
          <w:tcPr>
            <w:tcW w:w="304" w:type="pct"/>
            <w:shd w:val="clear" w:color="auto" w:fill="auto"/>
            <w:vAlign w:val="center"/>
          </w:tcPr>
          <w:p w14:paraId="2EAA6ABF">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105</w:t>
            </w:r>
          </w:p>
        </w:tc>
        <w:tc>
          <w:tcPr>
            <w:tcW w:w="944" w:type="pct"/>
            <w:vMerge w:val="continue"/>
            <w:vAlign w:val="center"/>
          </w:tcPr>
          <w:p w14:paraId="3E04481D">
            <w:pPr>
              <w:widowControl/>
              <w:spacing w:line="274" w:lineRule="auto"/>
              <w:jc w:val="center"/>
              <w:textAlignment w:val="center"/>
              <w:rPr>
                <w:rFonts w:hint="default" w:ascii="Times New Roman" w:hAnsi="Times New Roman" w:cs="Times New Roman"/>
                <w:bCs/>
                <w:color w:val="000000" w:themeColor="text1"/>
                <w:sz w:val="21"/>
                <w:szCs w:val="21"/>
                <w14:textFill>
                  <w14:solidFill>
                    <w14:schemeClr w14:val="tx1"/>
                  </w14:solidFill>
                </w14:textFill>
              </w:rPr>
            </w:pPr>
          </w:p>
        </w:tc>
        <w:tc>
          <w:tcPr>
            <w:tcW w:w="281" w:type="pct"/>
            <w:vMerge w:val="continue"/>
            <w:vAlign w:val="center"/>
          </w:tcPr>
          <w:p w14:paraId="391426C3">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312" w:type="pct"/>
            <w:shd w:val="clear" w:color="auto" w:fill="auto"/>
            <w:vAlign w:val="center"/>
          </w:tcPr>
          <w:p w14:paraId="11E3163B">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729</w:t>
            </w:r>
          </w:p>
        </w:tc>
        <w:tc>
          <w:tcPr>
            <w:tcW w:w="312" w:type="pct"/>
            <w:shd w:val="clear" w:color="auto" w:fill="auto"/>
            <w:vAlign w:val="center"/>
          </w:tcPr>
          <w:p w14:paraId="17738E59">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0.000</w:t>
            </w:r>
            <w:r>
              <w:rPr>
                <w:rFonts w:hint="eastAsia" w:cs="Times New Roman"/>
                <w:color w:val="000000" w:themeColor="text1"/>
                <w:sz w:val="21"/>
                <w:szCs w:val="21"/>
                <w:lang w:val="en-US" w:eastAsia="zh-CN"/>
                <w14:textFill>
                  <w14:solidFill>
                    <w14:schemeClr w14:val="tx1"/>
                  </w14:solidFill>
                </w14:textFill>
              </w:rPr>
              <w:t>22</w:t>
            </w:r>
          </w:p>
        </w:tc>
        <w:tc>
          <w:tcPr>
            <w:tcW w:w="312" w:type="pct"/>
            <w:shd w:val="clear" w:color="auto" w:fill="auto"/>
            <w:vAlign w:val="center"/>
          </w:tcPr>
          <w:p w14:paraId="79196DFA">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11</w:t>
            </w:r>
          </w:p>
        </w:tc>
        <w:tc>
          <w:tcPr>
            <w:tcW w:w="306" w:type="pct"/>
            <w:vAlign w:val="center"/>
          </w:tcPr>
          <w:p w14:paraId="41816FD5">
            <w:pPr>
              <w:widowControl/>
              <w:spacing w:line="274" w:lineRule="auto"/>
              <w:jc w:val="center"/>
              <w:textAlignment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267" w:type="pct"/>
            <w:vAlign w:val="center"/>
          </w:tcPr>
          <w:p w14:paraId="2C6A4068">
            <w:pPr>
              <w:widowControl/>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0.33</w:t>
            </w:r>
          </w:p>
        </w:tc>
        <w:tc>
          <w:tcPr>
            <w:tcW w:w="211" w:type="pct"/>
            <w:vMerge w:val="continue"/>
            <w:vAlign w:val="center"/>
          </w:tcPr>
          <w:p w14:paraId="74C3B5A0">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221" w:type="pct"/>
            <w:vMerge w:val="continue"/>
            <w:vAlign w:val="center"/>
          </w:tcPr>
          <w:p w14:paraId="53C9F9F8">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r>
      <w:tr w14:paraId="15B6F0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restart"/>
            <w:vAlign w:val="center"/>
          </w:tcPr>
          <w:p w14:paraId="7641D3B5">
            <w:pPr>
              <w:widowControl/>
              <w:spacing w:line="274" w:lineRule="auto"/>
              <w:jc w:val="center"/>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合计</w:t>
            </w:r>
          </w:p>
        </w:tc>
        <w:tc>
          <w:tcPr>
            <w:tcW w:w="333" w:type="pct"/>
            <w:vAlign w:val="center"/>
          </w:tcPr>
          <w:p w14:paraId="53086B18">
            <w:pPr>
              <w:widowControl/>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DA001</w:t>
            </w:r>
          </w:p>
        </w:tc>
        <w:tc>
          <w:tcPr>
            <w:tcW w:w="260" w:type="pct"/>
            <w:shd w:val="clear" w:color="auto" w:fill="auto"/>
            <w:vAlign w:val="center"/>
          </w:tcPr>
          <w:p w14:paraId="69368012">
            <w:pPr>
              <w:widowControl/>
              <w:spacing w:line="274"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302" w:type="pct"/>
            <w:vAlign w:val="center"/>
          </w:tcPr>
          <w:p w14:paraId="115C964A">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62.16</w:t>
            </w:r>
          </w:p>
        </w:tc>
        <w:tc>
          <w:tcPr>
            <w:tcW w:w="275" w:type="pct"/>
            <w:vAlign w:val="center"/>
          </w:tcPr>
          <w:p w14:paraId="767FACB7">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0.311</w:t>
            </w:r>
          </w:p>
        </w:tc>
        <w:tc>
          <w:tcPr>
            <w:tcW w:w="304" w:type="pct"/>
            <w:vAlign w:val="center"/>
          </w:tcPr>
          <w:p w14:paraId="231081B7">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1.492</w:t>
            </w:r>
          </w:p>
        </w:tc>
        <w:tc>
          <w:tcPr>
            <w:tcW w:w="944" w:type="pct"/>
            <w:vAlign w:val="center"/>
          </w:tcPr>
          <w:p w14:paraId="1BF148B6">
            <w:pPr>
              <w:widowControl/>
              <w:spacing w:line="274" w:lineRule="auto"/>
              <w:jc w:val="center"/>
              <w:textAlignment w:val="cente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w:t>
            </w:r>
          </w:p>
        </w:tc>
        <w:tc>
          <w:tcPr>
            <w:tcW w:w="281" w:type="pct"/>
            <w:vAlign w:val="center"/>
          </w:tcPr>
          <w:p w14:paraId="31C9F145">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5000</w:t>
            </w:r>
          </w:p>
        </w:tc>
        <w:tc>
          <w:tcPr>
            <w:tcW w:w="312" w:type="pct"/>
            <w:vAlign w:val="center"/>
          </w:tcPr>
          <w:p w14:paraId="6EDB82FA">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6.216</w:t>
            </w:r>
          </w:p>
        </w:tc>
        <w:tc>
          <w:tcPr>
            <w:tcW w:w="312" w:type="pct"/>
            <w:vAlign w:val="center"/>
          </w:tcPr>
          <w:p w14:paraId="71FACF34">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0.031</w:t>
            </w:r>
          </w:p>
        </w:tc>
        <w:tc>
          <w:tcPr>
            <w:tcW w:w="312" w:type="pct"/>
            <w:vAlign w:val="center"/>
          </w:tcPr>
          <w:p w14:paraId="341FD25B">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0.149</w:t>
            </w:r>
          </w:p>
        </w:tc>
        <w:tc>
          <w:tcPr>
            <w:tcW w:w="306" w:type="pct"/>
            <w:vAlign w:val="center"/>
          </w:tcPr>
          <w:p w14:paraId="19ED6BAA">
            <w:pPr>
              <w:spacing w:line="274" w:lineRule="auto"/>
              <w:jc w:val="center"/>
              <w:textAlignment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40</w:t>
            </w:r>
          </w:p>
        </w:tc>
        <w:tc>
          <w:tcPr>
            <w:tcW w:w="267" w:type="pct"/>
            <w:vAlign w:val="center"/>
          </w:tcPr>
          <w:p w14:paraId="132BF6EB">
            <w:pPr>
              <w:widowControl/>
              <w:spacing w:line="274" w:lineRule="auto"/>
              <w:jc w:val="center"/>
              <w:textAlignment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1.6</w:t>
            </w:r>
          </w:p>
        </w:tc>
        <w:tc>
          <w:tcPr>
            <w:tcW w:w="211" w:type="pct"/>
            <w:vAlign w:val="center"/>
          </w:tcPr>
          <w:p w14:paraId="41FEFF06">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default" w:ascii="Times New Roman" w:hAnsi="Times New Roman" w:cs="Times New Roman"/>
                <w:color w:val="000000" w:themeColor="text1"/>
                <w:sz w:val="21"/>
                <w:szCs w:val="21"/>
                <w:lang w:val="en-US" w:eastAsia="zh-CN"/>
                <w14:textFill>
                  <w14:solidFill>
                    <w14:schemeClr w14:val="tx1"/>
                  </w14:solidFill>
                </w14:textFill>
              </w:rPr>
              <w:t>5</w:t>
            </w:r>
          </w:p>
        </w:tc>
        <w:tc>
          <w:tcPr>
            <w:tcW w:w="221" w:type="pct"/>
            <w:vAlign w:val="center"/>
          </w:tcPr>
          <w:p w14:paraId="6F7A3597">
            <w:pPr>
              <w:widowControl/>
              <w:spacing w:line="274" w:lineRule="auto"/>
              <w:jc w:val="center"/>
              <w:textAlignment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default" w:ascii="Times New Roman" w:hAnsi="Times New Roman" w:cs="Times New Roman"/>
                <w:color w:val="000000" w:themeColor="text1"/>
                <w:sz w:val="21"/>
                <w:szCs w:val="21"/>
                <w:lang w:val="en-US"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4</w:t>
            </w:r>
          </w:p>
        </w:tc>
      </w:tr>
      <w:tr w14:paraId="2BE624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continue"/>
            <w:vAlign w:val="center"/>
          </w:tcPr>
          <w:p w14:paraId="77B70C53">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333" w:type="pct"/>
            <w:vAlign w:val="center"/>
          </w:tcPr>
          <w:p w14:paraId="50B55BE6">
            <w:pPr>
              <w:widowControl/>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DA002</w:t>
            </w:r>
          </w:p>
        </w:tc>
        <w:tc>
          <w:tcPr>
            <w:tcW w:w="260" w:type="pct"/>
            <w:shd w:val="clear" w:color="auto" w:fill="auto"/>
            <w:vAlign w:val="center"/>
          </w:tcPr>
          <w:p w14:paraId="7B1331FE">
            <w:pPr>
              <w:pStyle w:val="1114"/>
              <w:adjustRightInd/>
              <w:spacing w:before="0" w:after="0" w:line="274" w:lineRule="auto"/>
              <w:jc w:val="center"/>
              <w:rPr>
                <w:rFonts w:hint="default"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颗粒物</w:t>
            </w:r>
          </w:p>
        </w:tc>
        <w:tc>
          <w:tcPr>
            <w:tcW w:w="302" w:type="pct"/>
            <w:vAlign w:val="center"/>
          </w:tcPr>
          <w:p w14:paraId="34FEBC73">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465.16</w:t>
            </w:r>
          </w:p>
        </w:tc>
        <w:tc>
          <w:tcPr>
            <w:tcW w:w="275" w:type="pct"/>
            <w:vAlign w:val="center"/>
          </w:tcPr>
          <w:p w14:paraId="35A3D736">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2.559</w:t>
            </w:r>
          </w:p>
        </w:tc>
        <w:tc>
          <w:tcPr>
            <w:tcW w:w="304" w:type="pct"/>
            <w:vAlign w:val="center"/>
          </w:tcPr>
          <w:p w14:paraId="0C2FE4F9">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12.38</w:t>
            </w:r>
          </w:p>
        </w:tc>
        <w:tc>
          <w:tcPr>
            <w:tcW w:w="944" w:type="pct"/>
            <w:vAlign w:val="center"/>
          </w:tcPr>
          <w:p w14:paraId="3463A677">
            <w:pPr>
              <w:widowControl/>
              <w:spacing w:line="274" w:lineRule="auto"/>
              <w:jc w:val="center"/>
              <w:textAlignment w:val="cente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w:t>
            </w:r>
          </w:p>
        </w:tc>
        <w:tc>
          <w:tcPr>
            <w:tcW w:w="281" w:type="pct"/>
            <w:vAlign w:val="center"/>
          </w:tcPr>
          <w:p w14:paraId="0EC8C5AC">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5500</w:t>
            </w:r>
          </w:p>
        </w:tc>
        <w:tc>
          <w:tcPr>
            <w:tcW w:w="312" w:type="pct"/>
            <w:vAlign w:val="center"/>
          </w:tcPr>
          <w:p w14:paraId="2E0FDA0A">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4.652</w:t>
            </w:r>
          </w:p>
        </w:tc>
        <w:tc>
          <w:tcPr>
            <w:tcW w:w="312" w:type="pct"/>
            <w:vAlign w:val="center"/>
          </w:tcPr>
          <w:p w14:paraId="064BC5EB">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0.026</w:t>
            </w:r>
          </w:p>
        </w:tc>
        <w:tc>
          <w:tcPr>
            <w:tcW w:w="312" w:type="pct"/>
            <w:vAlign w:val="center"/>
          </w:tcPr>
          <w:p w14:paraId="588672AB">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0.123</w:t>
            </w:r>
          </w:p>
        </w:tc>
        <w:tc>
          <w:tcPr>
            <w:tcW w:w="306" w:type="pct"/>
            <w:vAlign w:val="center"/>
          </w:tcPr>
          <w:p w14:paraId="79C9C5D2">
            <w:pPr>
              <w:spacing w:line="274" w:lineRule="auto"/>
              <w:jc w:val="center"/>
              <w:textAlignment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120</w:t>
            </w:r>
          </w:p>
        </w:tc>
        <w:tc>
          <w:tcPr>
            <w:tcW w:w="267" w:type="pct"/>
            <w:vAlign w:val="center"/>
          </w:tcPr>
          <w:p w14:paraId="24489AE3">
            <w:pPr>
              <w:widowControl/>
              <w:spacing w:line="274" w:lineRule="auto"/>
              <w:jc w:val="center"/>
              <w:textAlignment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3.5</w:t>
            </w:r>
          </w:p>
        </w:tc>
        <w:tc>
          <w:tcPr>
            <w:tcW w:w="211" w:type="pct"/>
            <w:vAlign w:val="center"/>
          </w:tcPr>
          <w:p w14:paraId="09C0D239">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r>
              <w:rPr>
                <w:rFonts w:hint="default" w:ascii="Times New Roman" w:hAnsi="Times New Roman" w:cs="Times New Roman"/>
                <w:color w:val="000000" w:themeColor="text1"/>
                <w:sz w:val="21"/>
                <w:szCs w:val="21"/>
                <w14:textFill>
                  <w14:solidFill>
                    <w14:schemeClr w14:val="tx1"/>
                  </w14:solidFill>
                </w14:textFill>
              </w:rPr>
              <w:t>5</w:t>
            </w:r>
          </w:p>
        </w:tc>
        <w:tc>
          <w:tcPr>
            <w:tcW w:w="221" w:type="pct"/>
            <w:vAlign w:val="center"/>
          </w:tcPr>
          <w:p w14:paraId="52F5012C">
            <w:pPr>
              <w:widowControl/>
              <w:spacing w:line="274" w:lineRule="auto"/>
              <w:jc w:val="center"/>
              <w:textAlignment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4</w:t>
            </w:r>
          </w:p>
        </w:tc>
      </w:tr>
      <w:tr w14:paraId="400F81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continue"/>
            <w:vAlign w:val="center"/>
          </w:tcPr>
          <w:p w14:paraId="6118DDD1">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333" w:type="pct"/>
            <w:vMerge w:val="restart"/>
            <w:vAlign w:val="center"/>
          </w:tcPr>
          <w:p w14:paraId="2E9F3160">
            <w:pPr>
              <w:widowControl/>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DA003</w:t>
            </w:r>
          </w:p>
        </w:tc>
        <w:tc>
          <w:tcPr>
            <w:tcW w:w="260" w:type="pct"/>
            <w:shd w:val="clear" w:color="auto" w:fill="auto"/>
            <w:vAlign w:val="center"/>
          </w:tcPr>
          <w:p w14:paraId="53B3384E">
            <w:pPr>
              <w:widowControl/>
              <w:adjustRightInd w:val="0"/>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NH</w:t>
            </w:r>
            <w:r>
              <w:rPr>
                <w:rFonts w:hint="default" w:ascii="Times New Roman" w:hAnsi="Times New Roman" w:cs="Times New Roman"/>
                <w:color w:val="000000" w:themeColor="text1"/>
                <w:sz w:val="21"/>
                <w:szCs w:val="21"/>
                <w:vertAlign w:val="subscript"/>
                <w:lang w:val="en-US" w:eastAsia="zh-CN"/>
                <w14:textFill>
                  <w14:solidFill>
                    <w14:schemeClr w14:val="tx1"/>
                  </w14:solidFill>
                </w14:textFill>
              </w:rPr>
              <w:t>3</w:t>
            </w:r>
          </w:p>
        </w:tc>
        <w:tc>
          <w:tcPr>
            <w:tcW w:w="302" w:type="pct"/>
            <w:shd w:val="clear" w:color="auto" w:fill="auto"/>
            <w:vAlign w:val="center"/>
          </w:tcPr>
          <w:p w14:paraId="5935358A">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18.82</w:t>
            </w:r>
          </w:p>
        </w:tc>
        <w:tc>
          <w:tcPr>
            <w:tcW w:w="275" w:type="pct"/>
            <w:shd w:val="clear" w:color="auto" w:fill="auto"/>
            <w:vAlign w:val="center"/>
          </w:tcPr>
          <w:p w14:paraId="29DB73D1">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565</w:t>
            </w:r>
          </w:p>
        </w:tc>
        <w:tc>
          <w:tcPr>
            <w:tcW w:w="304" w:type="pct"/>
            <w:shd w:val="clear" w:color="auto" w:fill="auto"/>
            <w:vAlign w:val="center"/>
          </w:tcPr>
          <w:p w14:paraId="342DB20E">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271</w:t>
            </w:r>
          </w:p>
        </w:tc>
        <w:tc>
          <w:tcPr>
            <w:tcW w:w="944" w:type="pct"/>
            <w:vAlign w:val="center"/>
          </w:tcPr>
          <w:p w14:paraId="1F7E6657">
            <w:pPr>
              <w:widowControl/>
              <w:spacing w:line="274" w:lineRule="auto"/>
              <w:jc w:val="center"/>
              <w:textAlignment w:val="cente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w:t>
            </w:r>
          </w:p>
        </w:tc>
        <w:tc>
          <w:tcPr>
            <w:tcW w:w="281" w:type="pct"/>
            <w:vMerge w:val="restart"/>
            <w:vAlign w:val="center"/>
          </w:tcPr>
          <w:p w14:paraId="51422E95">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3000</w:t>
            </w:r>
          </w:p>
        </w:tc>
        <w:tc>
          <w:tcPr>
            <w:tcW w:w="312" w:type="pct"/>
            <w:shd w:val="clear" w:color="auto" w:fill="auto"/>
            <w:vAlign w:val="center"/>
          </w:tcPr>
          <w:p w14:paraId="67F0DF48">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1.882</w:t>
            </w:r>
          </w:p>
        </w:tc>
        <w:tc>
          <w:tcPr>
            <w:tcW w:w="312" w:type="pct"/>
            <w:shd w:val="clear" w:color="auto" w:fill="auto"/>
            <w:vAlign w:val="center"/>
          </w:tcPr>
          <w:p w14:paraId="19D285A7">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565</w:t>
            </w:r>
          </w:p>
        </w:tc>
        <w:tc>
          <w:tcPr>
            <w:tcW w:w="312" w:type="pct"/>
            <w:shd w:val="clear" w:color="auto" w:fill="auto"/>
            <w:vAlign w:val="center"/>
          </w:tcPr>
          <w:p w14:paraId="0AE82FE2">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271</w:t>
            </w:r>
          </w:p>
        </w:tc>
        <w:tc>
          <w:tcPr>
            <w:tcW w:w="306" w:type="pct"/>
            <w:vAlign w:val="center"/>
          </w:tcPr>
          <w:p w14:paraId="2CCAC170">
            <w:pPr>
              <w:widowControl/>
              <w:spacing w:line="274" w:lineRule="auto"/>
              <w:jc w:val="center"/>
              <w:textAlignment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267" w:type="pct"/>
            <w:vAlign w:val="center"/>
          </w:tcPr>
          <w:p w14:paraId="11D54180">
            <w:pPr>
              <w:widowControl/>
              <w:spacing w:line="274" w:lineRule="auto"/>
              <w:jc w:val="center"/>
              <w:textAlignment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4.9</w:t>
            </w:r>
          </w:p>
        </w:tc>
        <w:tc>
          <w:tcPr>
            <w:tcW w:w="211" w:type="pct"/>
            <w:vMerge w:val="restart"/>
            <w:vAlign w:val="center"/>
          </w:tcPr>
          <w:p w14:paraId="4E13A7B5">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r>
              <w:rPr>
                <w:rFonts w:hint="default" w:ascii="Times New Roman" w:hAnsi="Times New Roman" w:cs="Times New Roman"/>
                <w:color w:val="000000" w:themeColor="text1"/>
                <w:sz w:val="21"/>
                <w:szCs w:val="21"/>
                <w14:textFill>
                  <w14:solidFill>
                    <w14:schemeClr w14:val="tx1"/>
                  </w14:solidFill>
                </w14:textFill>
              </w:rPr>
              <w:t>5</w:t>
            </w:r>
          </w:p>
        </w:tc>
        <w:tc>
          <w:tcPr>
            <w:tcW w:w="221" w:type="pct"/>
            <w:vMerge w:val="restart"/>
            <w:vAlign w:val="center"/>
          </w:tcPr>
          <w:p w14:paraId="7BFDF655">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default" w:ascii="Times New Roman" w:hAnsi="Times New Roman" w:cs="Times New Roman"/>
                <w:color w:val="000000" w:themeColor="text1"/>
                <w:sz w:val="21"/>
                <w:szCs w:val="21"/>
                <w:lang w:val="en-US" w:eastAsia="zh-CN"/>
                <w14:textFill>
                  <w14:solidFill>
                    <w14:schemeClr w14:val="tx1"/>
                  </w14:solidFill>
                </w14:textFill>
              </w:rPr>
              <w:t>3</w:t>
            </w:r>
          </w:p>
        </w:tc>
      </w:tr>
      <w:tr w14:paraId="0AE176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vMerge w:val="continue"/>
            <w:vAlign w:val="center"/>
          </w:tcPr>
          <w:p w14:paraId="130E46E1">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333" w:type="pct"/>
            <w:vMerge w:val="continue"/>
            <w:vAlign w:val="center"/>
          </w:tcPr>
          <w:p w14:paraId="3A63ACD1">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260" w:type="pct"/>
            <w:shd w:val="clear" w:color="auto" w:fill="auto"/>
            <w:vAlign w:val="center"/>
          </w:tcPr>
          <w:p w14:paraId="1F2C0580">
            <w:pPr>
              <w:widowControl/>
              <w:adjustRightInd w:val="0"/>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H</w:t>
            </w:r>
            <w:r>
              <w:rPr>
                <w:rFonts w:hint="default" w:ascii="Times New Roman" w:hAnsi="Times New Roman" w:cs="Times New Roman"/>
                <w:color w:val="000000" w:themeColor="text1"/>
                <w:sz w:val="21"/>
                <w:szCs w:val="21"/>
                <w:vertAlign w:val="subscript"/>
                <w:lang w:val="en-US" w:eastAsia="zh-CN"/>
                <w14:textFill>
                  <w14:solidFill>
                    <w14:schemeClr w14:val="tx1"/>
                  </w14:solidFill>
                </w14:textFill>
              </w:rPr>
              <w:t>2</w:t>
            </w:r>
            <w:r>
              <w:rPr>
                <w:rFonts w:hint="default" w:ascii="Times New Roman" w:hAnsi="Times New Roman" w:cs="Times New Roman"/>
                <w:color w:val="000000" w:themeColor="text1"/>
                <w:sz w:val="21"/>
                <w:szCs w:val="21"/>
                <w:lang w:val="en-US" w:eastAsia="zh-CN"/>
                <w14:textFill>
                  <w14:solidFill>
                    <w14:schemeClr w14:val="tx1"/>
                  </w14:solidFill>
                </w14:textFill>
              </w:rPr>
              <w:t>S</w:t>
            </w:r>
          </w:p>
        </w:tc>
        <w:tc>
          <w:tcPr>
            <w:tcW w:w="302" w:type="pct"/>
            <w:shd w:val="clear" w:color="auto" w:fill="auto"/>
            <w:vAlign w:val="center"/>
          </w:tcPr>
          <w:p w14:paraId="34CAF94E">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729</w:t>
            </w:r>
          </w:p>
        </w:tc>
        <w:tc>
          <w:tcPr>
            <w:tcW w:w="275" w:type="pct"/>
            <w:shd w:val="clear" w:color="auto" w:fill="auto"/>
            <w:vAlign w:val="center"/>
          </w:tcPr>
          <w:p w14:paraId="447827CE">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22</w:t>
            </w:r>
          </w:p>
        </w:tc>
        <w:tc>
          <w:tcPr>
            <w:tcW w:w="304" w:type="pct"/>
            <w:shd w:val="clear" w:color="auto" w:fill="auto"/>
            <w:vAlign w:val="center"/>
          </w:tcPr>
          <w:p w14:paraId="4D6AC805">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105</w:t>
            </w:r>
          </w:p>
        </w:tc>
        <w:tc>
          <w:tcPr>
            <w:tcW w:w="944" w:type="pct"/>
            <w:vAlign w:val="center"/>
          </w:tcPr>
          <w:p w14:paraId="06C3F040">
            <w:pPr>
              <w:widowControl/>
              <w:spacing w:line="274" w:lineRule="auto"/>
              <w:jc w:val="center"/>
              <w:textAlignment w:val="cente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w:t>
            </w:r>
          </w:p>
        </w:tc>
        <w:tc>
          <w:tcPr>
            <w:tcW w:w="281" w:type="pct"/>
            <w:vMerge w:val="continue"/>
            <w:vAlign w:val="center"/>
          </w:tcPr>
          <w:p w14:paraId="1C766784">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312" w:type="pct"/>
            <w:shd w:val="clear" w:color="auto" w:fill="auto"/>
            <w:vAlign w:val="center"/>
          </w:tcPr>
          <w:p w14:paraId="056D34C9">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729</w:t>
            </w:r>
          </w:p>
        </w:tc>
        <w:tc>
          <w:tcPr>
            <w:tcW w:w="312" w:type="pct"/>
            <w:shd w:val="clear" w:color="auto" w:fill="auto"/>
            <w:vAlign w:val="center"/>
          </w:tcPr>
          <w:p w14:paraId="4F804525">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0.000</w:t>
            </w:r>
            <w:r>
              <w:rPr>
                <w:rFonts w:hint="eastAsia" w:cs="Times New Roman"/>
                <w:color w:val="000000" w:themeColor="text1"/>
                <w:sz w:val="21"/>
                <w:szCs w:val="21"/>
                <w:lang w:val="en-US" w:eastAsia="zh-CN"/>
                <w14:textFill>
                  <w14:solidFill>
                    <w14:schemeClr w14:val="tx1"/>
                  </w14:solidFill>
                </w14:textFill>
              </w:rPr>
              <w:t>22</w:t>
            </w:r>
          </w:p>
        </w:tc>
        <w:tc>
          <w:tcPr>
            <w:tcW w:w="312" w:type="pct"/>
            <w:shd w:val="clear" w:color="auto" w:fill="auto"/>
            <w:vAlign w:val="center"/>
          </w:tcPr>
          <w:p w14:paraId="4AC892C9">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11</w:t>
            </w:r>
          </w:p>
        </w:tc>
        <w:tc>
          <w:tcPr>
            <w:tcW w:w="306" w:type="pct"/>
            <w:shd w:val="clear" w:color="auto" w:fill="auto"/>
            <w:vAlign w:val="center"/>
          </w:tcPr>
          <w:p w14:paraId="7FE04187">
            <w:pPr>
              <w:widowControl/>
              <w:spacing w:line="274"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267" w:type="pct"/>
            <w:shd w:val="clear" w:color="auto" w:fill="auto"/>
            <w:vAlign w:val="center"/>
          </w:tcPr>
          <w:p w14:paraId="5A2FBA7F">
            <w:pPr>
              <w:widowControl/>
              <w:spacing w:line="274"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0.33</w:t>
            </w:r>
          </w:p>
        </w:tc>
        <w:tc>
          <w:tcPr>
            <w:tcW w:w="211" w:type="pct"/>
            <w:vMerge w:val="continue"/>
            <w:vAlign w:val="center"/>
          </w:tcPr>
          <w:p w14:paraId="3B2C8A42">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221" w:type="pct"/>
            <w:vMerge w:val="continue"/>
            <w:vAlign w:val="center"/>
          </w:tcPr>
          <w:p w14:paraId="2F6D0B8D">
            <w:pPr>
              <w:widowControl/>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r>
    </w:tbl>
    <w:p w14:paraId="4BF25F20">
      <w:pPr>
        <w:spacing w:line="360" w:lineRule="auto"/>
        <w:rPr>
          <w:rFonts w:hint="default" w:ascii="Times New Roman" w:hAnsi="Times New Roman" w:cs="Times New Roman"/>
          <w:bCs/>
          <w:color w:val="000000" w:themeColor="text1"/>
          <w:sz w:val="24"/>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720" w:num="1"/>
          <w:docGrid w:type="linesAndChars" w:linePitch="312" w:charSpace="0"/>
        </w:sectPr>
      </w:pPr>
    </w:p>
    <w:p w14:paraId="3196AFCC">
      <w:pPr>
        <w:spacing w:line="360" w:lineRule="auto"/>
        <w:ind w:firstLine="474" w:firstLineChars="20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2、无组织排放废气源强</w:t>
      </w:r>
    </w:p>
    <w:p w14:paraId="1134A680">
      <w:pPr>
        <w:autoSpaceDE w:val="0"/>
        <w:autoSpaceDN w:val="0"/>
        <w:spacing w:line="360" w:lineRule="auto"/>
        <w:ind w:firstLine="480" w:firstLineChars="200"/>
        <w:jc w:val="left"/>
        <w:rPr>
          <w:rFonts w:hint="default" w:ascii="Times New Roman" w:hAnsi="Times New Roman" w:cs="Times New Roman"/>
          <w:bCs/>
          <w:color w:val="000000" w:themeColor="text1"/>
          <w:spacing w:val="0"/>
          <w:sz w:val="24"/>
          <w14:textFill>
            <w14:solidFill>
              <w14:schemeClr w14:val="tx1"/>
            </w14:solidFill>
          </w14:textFill>
        </w:rPr>
      </w:pPr>
      <w:r>
        <w:rPr>
          <w:rFonts w:hint="default" w:ascii="Times New Roman" w:hAnsi="Times New Roman" w:cs="Times New Roman"/>
          <w:bCs/>
          <w:color w:val="000000" w:themeColor="text1"/>
          <w:spacing w:val="0"/>
          <w:sz w:val="24"/>
          <w14:textFill>
            <w14:solidFill>
              <w14:schemeClr w14:val="tx1"/>
            </w14:solidFill>
          </w14:textFill>
        </w:rPr>
        <w:t>本项目无组织废气主要为</w:t>
      </w:r>
      <w:r>
        <w:rPr>
          <w:rFonts w:hint="default" w:ascii="Times New Roman" w:hAnsi="Times New Roman" w:cs="Times New Roman"/>
          <w:bCs/>
          <w:color w:val="000000" w:themeColor="text1"/>
          <w:spacing w:val="0"/>
          <w:sz w:val="24"/>
          <w:lang w:val="en-US" w:eastAsia="zh-CN"/>
          <w14:textFill>
            <w14:solidFill>
              <w14:schemeClr w14:val="tx1"/>
            </w14:solidFill>
          </w14:textFill>
        </w:rPr>
        <w:t>改性粒子熔融挤出</w:t>
      </w:r>
      <w:r>
        <w:rPr>
          <w:rFonts w:hint="default" w:ascii="Times New Roman" w:hAnsi="Times New Roman" w:cs="Times New Roman"/>
          <w:bCs/>
          <w:color w:val="000000" w:themeColor="text1"/>
          <w:spacing w:val="0"/>
          <w:sz w:val="24"/>
          <w14:textFill>
            <w14:solidFill>
              <w14:schemeClr w14:val="tx1"/>
            </w14:solidFill>
          </w14:textFill>
        </w:rPr>
        <w:t>未收集废气、</w:t>
      </w:r>
      <w:r>
        <w:rPr>
          <w:rFonts w:hint="default" w:ascii="Times New Roman" w:hAnsi="Times New Roman" w:cs="Times New Roman"/>
          <w:bCs/>
          <w:color w:val="000000" w:themeColor="text1"/>
          <w:spacing w:val="0"/>
          <w:sz w:val="24"/>
          <w:lang w:val="en-US" w:eastAsia="zh-CN"/>
          <w14:textFill>
            <w14:solidFill>
              <w14:schemeClr w14:val="tx1"/>
            </w14:solidFill>
          </w14:textFill>
        </w:rPr>
        <w:t>标签纸</w:t>
      </w:r>
      <w:r>
        <w:rPr>
          <w:rFonts w:hint="eastAsia" w:cs="Times New Roman"/>
          <w:bCs/>
          <w:color w:val="000000" w:themeColor="text1"/>
          <w:spacing w:val="0"/>
          <w:sz w:val="24"/>
          <w:lang w:val="en-US" w:eastAsia="zh-CN"/>
          <w14:textFill>
            <w14:solidFill>
              <w14:schemeClr w14:val="tx1"/>
            </w14:solidFill>
          </w14:textFill>
        </w:rPr>
        <w:t>高温分选</w:t>
      </w:r>
      <w:r>
        <w:rPr>
          <w:rFonts w:hint="default" w:ascii="Times New Roman" w:hAnsi="Times New Roman" w:cs="Times New Roman"/>
          <w:bCs/>
          <w:color w:val="000000" w:themeColor="text1"/>
          <w:spacing w:val="0"/>
          <w:sz w:val="24"/>
          <w14:textFill>
            <w14:solidFill>
              <w14:schemeClr w14:val="tx1"/>
            </w14:solidFill>
          </w14:textFill>
        </w:rPr>
        <w:t>过程未收集废气</w:t>
      </w:r>
      <w:r>
        <w:rPr>
          <w:rFonts w:hint="default" w:ascii="Times New Roman" w:hAnsi="Times New Roman" w:cs="Times New Roman"/>
          <w:bCs/>
          <w:color w:val="000000" w:themeColor="text1"/>
          <w:spacing w:val="0"/>
          <w:sz w:val="24"/>
          <w:lang w:eastAsia="zh-CN"/>
          <w14:textFill>
            <w14:solidFill>
              <w14:schemeClr w14:val="tx1"/>
            </w14:solidFill>
          </w14:textFill>
        </w:rPr>
        <w:t>、</w:t>
      </w:r>
      <w:r>
        <w:rPr>
          <w:rFonts w:hint="default" w:ascii="Times New Roman" w:hAnsi="Times New Roman" w:cs="Times New Roman"/>
          <w:bCs/>
          <w:color w:val="000000" w:themeColor="text1"/>
          <w:spacing w:val="0"/>
          <w:sz w:val="24"/>
          <w:lang w:val="en-US" w:eastAsia="zh-CN"/>
          <w14:textFill>
            <w14:solidFill>
              <w14:schemeClr w14:val="tx1"/>
            </w14:solidFill>
          </w14:textFill>
        </w:rPr>
        <w:t>拆包</w:t>
      </w:r>
      <w:r>
        <w:rPr>
          <w:rFonts w:hint="default" w:ascii="Times New Roman" w:hAnsi="Times New Roman" w:cs="Times New Roman"/>
          <w:bCs/>
          <w:color w:val="000000" w:themeColor="text1"/>
          <w:spacing w:val="0"/>
          <w:sz w:val="24"/>
          <w14:textFill>
            <w14:solidFill>
              <w14:schemeClr w14:val="tx1"/>
            </w14:solidFill>
          </w14:textFill>
        </w:rPr>
        <w:t>过程未收集废气</w:t>
      </w:r>
      <w:r>
        <w:rPr>
          <w:rFonts w:hint="default" w:ascii="Times New Roman" w:hAnsi="Times New Roman" w:cs="Times New Roman"/>
          <w:bCs/>
          <w:color w:val="000000" w:themeColor="text1"/>
          <w:spacing w:val="0"/>
          <w:sz w:val="24"/>
          <w:lang w:val="en-US" w:eastAsia="zh-CN"/>
          <w14:textFill>
            <w14:solidFill>
              <w14:schemeClr w14:val="tx1"/>
            </w14:solidFill>
          </w14:textFill>
        </w:rPr>
        <w:t>和磨粉</w:t>
      </w:r>
      <w:r>
        <w:rPr>
          <w:rFonts w:hint="default" w:ascii="Times New Roman" w:hAnsi="Times New Roman" w:cs="Times New Roman"/>
          <w:bCs/>
          <w:color w:val="000000" w:themeColor="text1"/>
          <w:spacing w:val="0"/>
          <w:sz w:val="24"/>
          <w14:textFill>
            <w14:solidFill>
              <w14:schemeClr w14:val="tx1"/>
            </w14:solidFill>
          </w14:textFill>
        </w:rPr>
        <w:t>过程未收集废气。</w:t>
      </w:r>
    </w:p>
    <w:p w14:paraId="2A933E08">
      <w:pPr>
        <w:autoSpaceDE w:val="0"/>
        <w:autoSpaceDN w:val="0"/>
        <w:spacing w:line="360" w:lineRule="auto"/>
        <w:ind w:firstLine="482" w:firstLineChars="200"/>
        <w:jc w:val="left"/>
        <w:rPr>
          <w:rFonts w:hint="default" w:ascii="Times New Roman" w:hAnsi="Times New Roman" w:cs="Times New Roman"/>
          <w:b/>
          <w:bCs/>
          <w:color w:val="000000" w:themeColor="text1"/>
          <w:spacing w:val="0"/>
          <w:sz w:val="24"/>
          <w14:textFill>
            <w14:solidFill>
              <w14:schemeClr w14:val="tx1"/>
            </w14:solidFill>
          </w14:textFill>
        </w:rPr>
      </w:pPr>
      <w:r>
        <w:rPr>
          <w:rFonts w:hint="default" w:ascii="Times New Roman" w:hAnsi="Times New Roman" w:cs="Times New Roman"/>
          <w:b/>
          <w:bCs/>
          <w:color w:val="000000" w:themeColor="text1"/>
          <w:spacing w:val="0"/>
          <w:sz w:val="24"/>
          <w14:textFill>
            <w14:solidFill>
              <w14:schemeClr w14:val="tx1"/>
            </w14:solidFill>
          </w14:textFill>
        </w:rPr>
        <w:t>（1）改性粒子熔融挤出过程未收集废气</w:t>
      </w:r>
    </w:p>
    <w:p w14:paraId="42FA8EDE">
      <w:pPr>
        <w:autoSpaceDE w:val="0"/>
        <w:autoSpaceDN w:val="0"/>
        <w:spacing w:line="360" w:lineRule="auto"/>
        <w:ind w:firstLine="480" w:firstLineChars="200"/>
        <w:jc w:val="left"/>
        <w:rPr>
          <w:rFonts w:hint="default" w:ascii="Times New Roman" w:hAnsi="Times New Roman" w:cs="Times New Roman"/>
          <w:bCs/>
          <w:color w:val="000000" w:themeColor="text1"/>
          <w:spacing w:val="0"/>
          <w:sz w:val="24"/>
          <w14:textFill>
            <w14:solidFill>
              <w14:schemeClr w14:val="tx1"/>
            </w14:solidFill>
          </w14:textFill>
        </w:rPr>
      </w:pPr>
      <w:r>
        <w:rPr>
          <w:rFonts w:hint="default" w:ascii="Times New Roman" w:hAnsi="Times New Roman" w:cs="Times New Roman"/>
          <w:bCs/>
          <w:color w:val="000000" w:themeColor="text1"/>
          <w:spacing w:val="0"/>
          <w:sz w:val="24"/>
          <w14:textFill>
            <w14:solidFill>
              <w14:schemeClr w14:val="tx1"/>
            </w14:solidFill>
          </w14:textFill>
        </w:rPr>
        <w:t>项目</w:t>
      </w:r>
      <w:r>
        <w:rPr>
          <w:rFonts w:hint="default" w:ascii="Times New Roman" w:hAnsi="Times New Roman" w:cs="Times New Roman"/>
          <w:bCs/>
          <w:color w:val="000000" w:themeColor="text1"/>
          <w:spacing w:val="0"/>
          <w:sz w:val="24"/>
          <w:lang w:val="en-US" w:eastAsia="zh-CN"/>
          <w14:textFill>
            <w14:solidFill>
              <w14:schemeClr w14:val="tx1"/>
            </w14:solidFill>
          </w14:textFill>
        </w:rPr>
        <w:t>改性粒子熔融挤出区域全封闭，</w:t>
      </w:r>
      <w:r>
        <w:rPr>
          <w:rFonts w:hint="default" w:ascii="Times New Roman" w:hAnsi="Times New Roman" w:cs="Times New Roman"/>
          <w:bCs/>
          <w:color w:val="000000" w:themeColor="text1"/>
          <w:spacing w:val="0"/>
          <w:sz w:val="24"/>
          <w14:textFill>
            <w14:solidFill>
              <w14:schemeClr w14:val="tx1"/>
            </w14:solidFill>
          </w14:textFill>
        </w:rPr>
        <w:t>设置集气罩收集</w:t>
      </w:r>
      <w:r>
        <w:rPr>
          <w:rFonts w:hint="default" w:ascii="Times New Roman" w:hAnsi="Times New Roman" w:cs="Times New Roman"/>
          <w:bCs/>
          <w:color w:val="000000" w:themeColor="text1"/>
          <w:spacing w:val="0"/>
          <w:sz w:val="24"/>
          <w:lang w:val="en-US" w:eastAsia="zh-CN"/>
          <w14:textFill>
            <w14:solidFill>
              <w14:schemeClr w14:val="tx1"/>
            </w14:solidFill>
          </w14:textFill>
        </w:rPr>
        <w:t>有机</w:t>
      </w:r>
      <w:r>
        <w:rPr>
          <w:rFonts w:hint="default" w:ascii="Times New Roman" w:hAnsi="Times New Roman" w:cs="Times New Roman"/>
          <w:bCs/>
          <w:color w:val="000000" w:themeColor="text1"/>
          <w:spacing w:val="0"/>
          <w:sz w:val="24"/>
          <w14:textFill>
            <w14:solidFill>
              <w14:schemeClr w14:val="tx1"/>
            </w14:solidFill>
          </w14:textFill>
        </w:rPr>
        <w:t>废气，收集效率9</w:t>
      </w:r>
      <w:r>
        <w:rPr>
          <w:rFonts w:hint="default" w:ascii="Times New Roman" w:hAnsi="Times New Roman" w:cs="Times New Roman"/>
          <w:bCs/>
          <w:color w:val="000000" w:themeColor="text1"/>
          <w:spacing w:val="0"/>
          <w:sz w:val="24"/>
          <w:lang w:val="en-US" w:eastAsia="zh-CN"/>
          <w14:textFill>
            <w14:solidFill>
              <w14:schemeClr w14:val="tx1"/>
            </w14:solidFill>
          </w14:textFill>
        </w:rPr>
        <w:t>8</w:t>
      </w:r>
      <w:r>
        <w:rPr>
          <w:rFonts w:hint="default" w:ascii="Times New Roman" w:hAnsi="Times New Roman" w:cs="Times New Roman"/>
          <w:bCs/>
          <w:color w:val="000000" w:themeColor="text1"/>
          <w:spacing w:val="0"/>
          <w:sz w:val="24"/>
          <w14:textFill>
            <w14:solidFill>
              <w14:schemeClr w14:val="tx1"/>
            </w14:solidFill>
          </w14:textFill>
        </w:rPr>
        <w:t>%，还有</w:t>
      </w:r>
      <w:r>
        <w:rPr>
          <w:rFonts w:hint="default" w:ascii="Times New Roman" w:hAnsi="Times New Roman" w:cs="Times New Roman"/>
          <w:bCs/>
          <w:color w:val="000000" w:themeColor="text1"/>
          <w:spacing w:val="0"/>
          <w:sz w:val="24"/>
          <w:lang w:val="en-US" w:eastAsia="zh-CN"/>
          <w14:textFill>
            <w14:solidFill>
              <w14:schemeClr w14:val="tx1"/>
            </w14:solidFill>
          </w14:textFill>
        </w:rPr>
        <w:t>2</w:t>
      </w:r>
      <w:r>
        <w:rPr>
          <w:rFonts w:hint="default" w:ascii="Times New Roman" w:hAnsi="Times New Roman" w:cs="Times New Roman"/>
          <w:bCs/>
          <w:color w:val="000000" w:themeColor="text1"/>
          <w:spacing w:val="0"/>
          <w:sz w:val="24"/>
          <w14:textFill>
            <w14:solidFill>
              <w14:schemeClr w14:val="tx1"/>
            </w14:solidFill>
          </w14:textFill>
        </w:rPr>
        <w:t>%在车间内无组织排放，无组织排放量为：非甲烷总烃0.</w:t>
      </w:r>
      <w:r>
        <w:rPr>
          <w:rFonts w:hint="eastAsia" w:cs="Times New Roman"/>
          <w:bCs/>
          <w:color w:val="000000" w:themeColor="text1"/>
          <w:spacing w:val="0"/>
          <w:sz w:val="24"/>
          <w:lang w:val="en-US" w:eastAsia="zh-CN"/>
          <w14:textFill>
            <w14:solidFill>
              <w14:schemeClr w14:val="tx1"/>
            </w14:solidFill>
          </w14:textFill>
        </w:rPr>
        <w:t>02</w:t>
      </w:r>
      <w:r>
        <w:rPr>
          <w:rFonts w:hint="default" w:ascii="Times New Roman" w:hAnsi="Times New Roman" w:cs="Times New Roman"/>
          <w:bCs/>
          <w:color w:val="000000" w:themeColor="text1"/>
          <w:spacing w:val="0"/>
          <w:sz w:val="24"/>
          <w14:textFill>
            <w14:solidFill>
              <w14:schemeClr w14:val="tx1"/>
            </w14:solidFill>
          </w14:textFill>
        </w:rPr>
        <w:t>t/a。</w:t>
      </w:r>
    </w:p>
    <w:p w14:paraId="03D396AF">
      <w:pPr>
        <w:autoSpaceDE w:val="0"/>
        <w:autoSpaceDN w:val="0"/>
        <w:spacing w:line="360" w:lineRule="auto"/>
        <w:ind w:firstLine="482" w:firstLineChars="200"/>
        <w:jc w:val="left"/>
        <w:rPr>
          <w:rFonts w:hint="default" w:ascii="Times New Roman" w:hAnsi="Times New Roman" w:cs="Times New Roman"/>
          <w:b/>
          <w:bCs/>
          <w:color w:val="000000" w:themeColor="text1"/>
          <w:spacing w:val="0"/>
          <w:sz w:val="24"/>
          <w14:textFill>
            <w14:solidFill>
              <w14:schemeClr w14:val="tx1"/>
            </w14:solidFill>
          </w14:textFill>
        </w:rPr>
      </w:pPr>
      <w:r>
        <w:rPr>
          <w:rFonts w:hint="default" w:ascii="Times New Roman" w:hAnsi="Times New Roman" w:cs="Times New Roman"/>
          <w:b/>
          <w:bCs/>
          <w:color w:val="000000" w:themeColor="text1"/>
          <w:spacing w:val="0"/>
          <w:sz w:val="24"/>
          <w14:textFill>
            <w14:solidFill>
              <w14:schemeClr w14:val="tx1"/>
            </w14:solidFill>
          </w14:textFill>
        </w:rPr>
        <w:t>（2）</w:t>
      </w:r>
      <w:r>
        <w:rPr>
          <w:rFonts w:hint="default" w:ascii="Times New Roman" w:hAnsi="Times New Roman" w:cs="Times New Roman"/>
          <w:b/>
          <w:bCs/>
          <w:color w:val="000000" w:themeColor="text1"/>
          <w:spacing w:val="0"/>
          <w:sz w:val="24"/>
          <w:lang w:val="en-US" w:eastAsia="zh-CN"/>
          <w14:textFill>
            <w14:solidFill>
              <w14:schemeClr w14:val="tx1"/>
            </w14:solidFill>
          </w14:textFill>
        </w:rPr>
        <w:t>标签纸</w:t>
      </w:r>
      <w:r>
        <w:rPr>
          <w:rFonts w:hint="eastAsia" w:cs="Times New Roman"/>
          <w:b/>
          <w:bCs/>
          <w:color w:val="000000" w:themeColor="text1"/>
          <w:spacing w:val="0"/>
          <w:sz w:val="24"/>
          <w:lang w:val="en-US" w:eastAsia="zh-CN"/>
          <w14:textFill>
            <w14:solidFill>
              <w14:schemeClr w14:val="tx1"/>
            </w14:solidFill>
          </w14:textFill>
        </w:rPr>
        <w:t>高温分选</w:t>
      </w:r>
      <w:r>
        <w:rPr>
          <w:rFonts w:hint="default" w:ascii="Times New Roman" w:hAnsi="Times New Roman" w:cs="Times New Roman"/>
          <w:b/>
          <w:bCs/>
          <w:color w:val="000000" w:themeColor="text1"/>
          <w:spacing w:val="0"/>
          <w:sz w:val="24"/>
          <w14:textFill>
            <w14:solidFill>
              <w14:schemeClr w14:val="tx1"/>
            </w14:solidFill>
          </w14:textFill>
        </w:rPr>
        <w:t>过程未收集废气</w:t>
      </w:r>
    </w:p>
    <w:p w14:paraId="58475BFD">
      <w:pPr>
        <w:autoSpaceDE w:val="0"/>
        <w:autoSpaceDN w:val="0"/>
        <w:spacing w:line="360" w:lineRule="auto"/>
        <w:ind w:firstLine="480" w:firstLineChars="200"/>
        <w:jc w:val="left"/>
        <w:rPr>
          <w:rFonts w:hint="default" w:ascii="Times New Roman" w:hAnsi="Times New Roman" w:cs="Times New Roman"/>
          <w:bCs/>
          <w:color w:val="000000" w:themeColor="text1"/>
          <w:spacing w:val="0"/>
          <w:sz w:val="24"/>
          <w14:textFill>
            <w14:solidFill>
              <w14:schemeClr w14:val="tx1"/>
            </w14:solidFill>
          </w14:textFill>
        </w:rPr>
      </w:pPr>
      <w:r>
        <w:rPr>
          <w:rFonts w:hint="default" w:ascii="Times New Roman" w:hAnsi="Times New Roman" w:cs="Times New Roman"/>
          <w:bCs/>
          <w:color w:val="000000" w:themeColor="text1"/>
          <w:spacing w:val="0"/>
          <w:sz w:val="24"/>
          <w14:textFill>
            <w14:solidFill>
              <w14:schemeClr w14:val="tx1"/>
            </w14:solidFill>
          </w14:textFill>
        </w:rPr>
        <w:t>项目</w:t>
      </w:r>
      <w:r>
        <w:rPr>
          <w:rFonts w:hint="default" w:ascii="Times New Roman" w:hAnsi="Times New Roman" w:cs="Times New Roman"/>
          <w:bCs/>
          <w:color w:val="000000" w:themeColor="text1"/>
          <w:spacing w:val="0"/>
          <w:sz w:val="24"/>
          <w:lang w:val="en-US" w:eastAsia="zh-CN"/>
          <w14:textFill>
            <w14:solidFill>
              <w14:schemeClr w14:val="tx1"/>
            </w14:solidFill>
          </w14:textFill>
        </w:rPr>
        <w:t>标签纸</w:t>
      </w:r>
      <w:r>
        <w:rPr>
          <w:rFonts w:hint="eastAsia" w:cs="Times New Roman"/>
          <w:bCs/>
          <w:color w:val="000000" w:themeColor="text1"/>
          <w:spacing w:val="0"/>
          <w:sz w:val="24"/>
          <w:lang w:val="en-US" w:eastAsia="zh-CN"/>
          <w14:textFill>
            <w14:solidFill>
              <w14:schemeClr w14:val="tx1"/>
            </w14:solidFill>
          </w14:textFill>
        </w:rPr>
        <w:t>高温分选</w:t>
      </w:r>
      <w:r>
        <w:rPr>
          <w:rFonts w:hint="default" w:ascii="Times New Roman" w:hAnsi="Times New Roman" w:cs="Times New Roman"/>
          <w:bCs/>
          <w:color w:val="000000" w:themeColor="text1"/>
          <w:spacing w:val="0"/>
          <w:sz w:val="24"/>
          <w14:textFill>
            <w14:solidFill>
              <w14:schemeClr w14:val="tx1"/>
            </w14:solidFill>
          </w14:textFill>
        </w:rPr>
        <w:t>过程</w:t>
      </w:r>
      <w:r>
        <w:rPr>
          <w:rFonts w:hint="default" w:ascii="Times New Roman" w:hAnsi="Times New Roman" w:cs="Times New Roman"/>
          <w:bCs/>
          <w:color w:val="000000" w:themeColor="text1"/>
          <w:spacing w:val="0"/>
          <w:sz w:val="24"/>
          <w:lang w:val="en-US" w:eastAsia="zh-CN"/>
          <w14:textFill>
            <w14:solidFill>
              <w14:schemeClr w14:val="tx1"/>
            </w14:solidFill>
          </w14:textFill>
        </w:rPr>
        <w:t>全封闭，</w:t>
      </w:r>
      <w:r>
        <w:rPr>
          <w:rFonts w:hint="default" w:ascii="Times New Roman" w:hAnsi="Times New Roman" w:cs="Times New Roman"/>
          <w:bCs/>
          <w:color w:val="000000" w:themeColor="text1"/>
          <w:spacing w:val="0"/>
          <w:sz w:val="24"/>
          <w14:textFill>
            <w14:solidFill>
              <w14:schemeClr w14:val="tx1"/>
            </w14:solidFill>
          </w14:textFill>
        </w:rPr>
        <w:t>产生的废气通过负压收集，并在</w:t>
      </w:r>
      <w:r>
        <w:rPr>
          <w:rFonts w:hint="default" w:ascii="Times New Roman" w:hAnsi="Times New Roman" w:cs="Times New Roman"/>
          <w:bCs/>
          <w:color w:val="000000" w:themeColor="text1"/>
          <w:spacing w:val="0"/>
          <w:sz w:val="24"/>
          <w:lang w:val="en-US" w:eastAsia="zh-CN"/>
          <w14:textFill>
            <w14:solidFill>
              <w14:schemeClr w14:val="tx1"/>
            </w14:solidFill>
          </w14:textFill>
        </w:rPr>
        <w:t>出料口</w:t>
      </w:r>
      <w:r>
        <w:rPr>
          <w:rFonts w:hint="default" w:ascii="Times New Roman" w:hAnsi="Times New Roman" w:cs="Times New Roman"/>
          <w:bCs/>
          <w:color w:val="000000" w:themeColor="text1"/>
          <w:spacing w:val="0"/>
          <w:sz w:val="24"/>
          <w14:textFill>
            <w14:solidFill>
              <w14:schemeClr w14:val="tx1"/>
            </w14:solidFill>
          </w14:textFill>
        </w:rPr>
        <w:t>设置集气罩进行收集，收集效率9</w:t>
      </w:r>
      <w:r>
        <w:rPr>
          <w:rFonts w:hint="default" w:ascii="Times New Roman" w:hAnsi="Times New Roman" w:cs="Times New Roman"/>
          <w:bCs/>
          <w:color w:val="000000" w:themeColor="text1"/>
          <w:spacing w:val="0"/>
          <w:sz w:val="24"/>
          <w:lang w:val="en-US" w:eastAsia="zh-CN"/>
          <w14:textFill>
            <w14:solidFill>
              <w14:schemeClr w14:val="tx1"/>
            </w14:solidFill>
          </w14:textFill>
        </w:rPr>
        <w:t>0</w:t>
      </w:r>
      <w:r>
        <w:rPr>
          <w:rFonts w:hint="default" w:ascii="Times New Roman" w:hAnsi="Times New Roman" w:cs="Times New Roman"/>
          <w:bCs/>
          <w:color w:val="000000" w:themeColor="text1"/>
          <w:spacing w:val="0"/>
          <w:sz w:val="24"/>
          <w14:textFill>
            <w14:solidFill>
              <w14:schemeClr w14:val="tx1"/>
            </w14:solidFill>
          </w14:textFill>
        </w:rPr>
        <w:t>%，还有</w:t>
      </w:r>
      <w:r>
        <w:rPr>
          <w:rFonts w:hint="default" w:ascii="Times New Roman" w:hAnsi="Times New Roman" w:cs="Times New Roman"/>
          <w:bCs/>
          <w:color w:val="000000" w:themeColor="text1"/>
          <w:spacing w:val="0"/>
          <w:sz w:val="24"/>
          <w:lang w:val="en-US" w:eastAsia="zh-CN"/>
          <w14:textFill>
            <w14:solidFill>
              <w14:schemeClr w14:val="tx1"/>
            </w14:solidFill>
          </w14:textFill>
        </w:rPr>
        <w:t>10</w:t>
      </w:r>
      <w:r>
        <w:rPr>
          <w:rFonts w:hint="default" w:ascii="Times New Roman" w:hAnsi="Times New Roman" w:cs="Times New Roman"/>
          <w:bCs/>
          <w:color w:val="000000" w:themeColor="text1"/>
          <w:spacing w:val="0"/>
          <w:sz w:val="24"/>
          <w14:textFill>
            <w14:solidFill>
              <w14:schemeClr w14:val="tx1"/>
            </w14:solidFill>
          </w14:textFill>
        </w:rPr>
        <w:t>%在车间内无组织排放</w:t>
      </w:r>
      <w:r>
        <w:rPr>
          <w:rFonts w:hint="default" w:ascii="Times New Roman" w:hAnsi="Times New Roman" w:cs="Times New Roman"/>
          <w:bCs/>
          <w:color w:val="000000" w:themeColor="text1"/>
          <w:spacing w:val="0"/>
          <w:sz w:val="24"/>
          <w:lang w:eastAsia="zh-CN"/>
          <w14:textFill>
            <w14:solidFill>
              <w14:schemeClr w14:val="tx1"/>
            </w14:solidFill>
          </w14:textFill>
        </w:rPr>
        <w:t>，</w:t>
      </w:r>
      <w:r>
        <w:rPr>
          <w:rFonts w:hint="default" w:ascii="Times New Roman" w:hAnsi="Times New Roman" w:cs="Times New Roman"/>
          <w:bCs/>
          <w:color w:val="000000" w:themeColor="text1"/>
          <w:spacing w:val="0"/>
          <w:sz w:val="24"/>
          <w14:textFill>
            <w14:solidFill>
              <w14:schemeClr w14:val="tx1"/>
            </w14:solidFill>
          </w14:textFill>
        </w:rPr>
        <w:t>无组织排放量为：非甲烷总烃0.</w:t>
      </w:r>
      <w:r>
        <w:rPr>
          <w:rFonts w:hint="default" w:ascii="Times New Roman" w:hAnsi="Times New Roman" w:cs="Times New Roman"/>
          <w:bCs/>
          <w:color w:val="000000" w:themeColor="text1"/>
          <w:spacing w:val="0"/>
          <w:sz w:val="24"/>
          <w:lang w:val="en-US" w:eastAsia="zh-CN"/>
          <w14:textFill>
            <w14:solidFill>
              <w14:schemeClr w14:val="tx1"/>
            </w14:solidFill>
          </w14:textFill>
        </w:rPr>
        <w:t>073</w:t>
      </w:r>
      <w:r>
        <w:rPr>
          <w:rFonts w:hint="default" w:ascii="Times New Roman" w:hAnsi="Times New Roman" w:cs="Times New Roman"/>
          <w:bCs/>
          <w:color w:val="000000" w:themeColor="text1"/>
          <w:spacing w:val="0"/>
          <w:sz w:val="24"/>
          <w14:textFill>
            <w14:solidFill>
              <w14:schemeClr w14:val="tx1"/>
            </w14:solidFill>
          </w14:textFill>
        </w:rPr>
        <w:t>t/a。</w:t>
      </w:r>
    </w:p>
    <w:p w14:paraId="4EDA4728">
      <w:pPr>
        <w:autoSpaceDE w:val="0"/>
        <w:autoSpaceDN w:val="0"/>
        <w:spacing w:line="360" w:lineRule="auto"/>
        <w:ind w:firstLine="482" w:firstLineChars="200"/>
        <w:jc w:val="left"/>
        <w:rPr>
          <w:rFonts w:hint="default" w:ascii="Times New Roman" w:hAnsi="Times New Roman" w:cs="Times New Roman"/>
          <w:b/>
          <w:bCs/>
          <w:color w:val="000000" w:themeColor="text1"/>
          <w:spacing w:val="0"/>
          <w:sz w:val="24"/>
          <w14:textFill>
            <w14:solidFill>
              <w14:schemeClr w14:val="tx1"/>
            </w14:solidFill>
          </w14:textFill>
        </w:rPr>
      </w:pPr>
      <w:r>
        <w:rPr>
          <w:rFonts w:hint="default" w:ascii="Times New Roman" w:hAnsi="Times New Roman" w:cs="Times New Roman"/>
          <w:b/>
          <w:bCs/>
          <w:color w:val="000000" w:themeColor="text1"/>
          <w:spacing w:val="0"/>
          <w:sz w:val="24"/>
          <w14:textFill>
            <w14:solidFill>
              <w14:schemeClr w14:val="tx1"/>
            </w14:solidFill>
          </w14:textFill>
        </w:rPr>
        <w:t>（</w:t>
      </w:r>
      <w:r>
        <w:rPr>
          <w:rFonts w:hint="default" w:ascii="Times New Roman" w:hAnsi="Times New Roman" w:cs="Times New Roman"/>
          <w:b/>
          <w:bCs/>
          <w:color w:val="000000" w:themeColor="text1"/>
          <w:spacing w:val="0"/>
          <w:sz w:val="24"/>
          <w:lang w:val="en-US" w:eastAsia="zh-CN"/>
          <w14:textFill>
            <w14:solidFill>
              <w14:schemeClr w14:val="tx1"/>
            </w14:solidFill>
          </w14:textFill>
        </w:rPr>
        <w:t>3</w:t>
      </w:r>
      <w:r>
        <w:rPr>
          <w:rFonts w:hint="default" w:ascii="Times New Roman" w:hAnsi="Times New Roman" w:cs="Times New Roman"/>
          <w:b/>
          <w:bCs/>
          <w:color w:val="000000" w:themeColor="text1"/>
          <w:spacing w:val="0"/>
          <w:sz w:val="24"/>
          <w14:textFill>
            <w14:solidFill>
              <w14:schemeClr w14:val="tx1"/>
            </w14:solidFill>
          </w14:textFill>
        </w:rPr>
        <w:t>）</w:t>
      </w:r>
      <w:r>
        <w:rPr>
          <w:rFonts w:hint="default" w:ascii="Times New Roman" w:hAnsi="Times New Roman" w:cs="Times New Roman"/>
          <w:b/>
          <w:bCs/>
          <w:color w:val="000000" w:themeColor="text1"/>
          <w:spacing w:val="0"/>
          <w:sz w:val="24"/>
          <w:lang w:val="en-US" w:eastAsia="zh-CN"/>
          <w14:textFill>
            <w14:solidFill>
              <w14:schemeClr w14:val="tx1"/>
            </w14:solidFill>
          </w14:textFill>
        </w:rPr>
        <w:t>拆包</w:t>
      </w:r>
      <w:r>
        <w:rPr>
          <w:rFonts w:hint="default" w:ascii="Times New Roman" w:hAnsi="Times New Roman" w:cs="Times New Roman"/>
          <w:b/>
          <w:bCs/>
          <w:color w:val="000000" w:themeColor="text1"/>
          <w:spacing w:val="0"/>
          <w:sz w:val="24"/>
          <w14:textFill>
            <w14:solidFill>
              <w14:schemeClr w14:val="tx1"/>
            </w14:solidFill>
          </w14:textFill>
        </w:rPr>
        <w:t>过程未收集废气</w:t>
      </w:r>
    </w:p>
    <w:p w14:paraId="280B6AC1">
      <w:pPr>
        <w:autoSpaceDE w:val="0"/>
        <w:autoSpaceDN w:val="0"/>
        <w:spacing w:line="360" w:lineRule="auto"/>
        <w:ind w:firstLine="480" w:firstLineChars="200"/>
        <w:jc w:val="left"/>
        <w:rPr>
          <w:rFonts w:hint="default" w:ascii="Times New Roman" w:hAnsi="Times New Roman" w:cs="Times New Roman"/>
          <w:b/>
          <w:bCs/>
          <w:color w:val="000000" w:themeColor="text1"/>
          <w:spacing w:val="0"/>
          <w:sz w:val="24"/>
          <w14:textFill>
            <w14:solidFill>
              <w14:schemeClr w14:val="tx1"/>
            </w14:solidFill>
          </w14:textFill>
        </w:rPr>
      </w:pPr>
      <w:r>
        <w:rPr>
          <w:rFonts w:hint="default" w:ascii="Times New Roman" w:hAnsi="Times New Roman" w:cs="Times New Roman"/>
          <w:bCs/>
          <w:color w:val="000000" w:themeColor="text1"/>
          <w:spacing w:val="0"/>
          <w:sz w:val="24"/>
          <w14:textFill>
            <w14:solidFill>
              <w14:schemeClr w14:val="tx1"/>
            </w14:solidFill>
          </w14:textFill>
        </w:rPr>
        <w:t>项目</w:t>
      </w:r>
      <w:r>
        <w:rPr>
          <w:rFonts w:hint="default" w:ascii="Times New Roman" w:hAnsi="Times New Roman" w:cs="Times New Roman"/>
          <w:bCs/>
          <w:color w:val="000000" w:themeColor="text1"/>
          <w:spacing w:val="0"/>
          <w:sz w:val="24"/>
          <w:lang w:val="en-US" w:eastAsia="zh-CN"/>
          <w14:textFill>
            <w14:solidFill>
              <w14:schemeClr w14:val="tx1"/>
            </w14:solidFill>
          </w14:textFill>
        </w:rPr>
        <w:t>拆包上料</w:t>
      </w:r>
      <w:r>
        <w:rPr>
          <w:rFonts w:hint="default" w:ascii="Times New Roman" w:hAnsi="Times New Roman" w:cs="Times New Roman"/>
          <w:bCs/>
          <w:color w:val="000000" w:themeColor="text1"/>
          <w:spacing w:val="0"/>
          <w:sz w:val="24"/>
          <w14:textFill>
            <w14:solidFill>
              <w14:schemeClr w14:val="tx1"/>
            </w14:solidFill>
          </w14:textFill>
        </w:rPr>
        <w:t>过程产生的废气通过</w:t>
      </w:r>
      <w:r>
        <w:rPr>
          <w:rFonts w:hint="default" w:ascii="Times New Roman" w:hAnsi="Times New Roman" w:cs="Times New Roman"/>
          <w:bCs/>
          <w:color w:val="000000" w:themeColor="text1"/>
          <w:spacing w:val="0"/>
          <w:sz w:val="24"/>
          <w:lang w:val="en-US" w:eastAsia="zh-CN"/>
          <w14:textFill>
            <w14:solidFill>
              <w14:schemeClr w14:val="tx1"/>
            </w14:solidFill>
          </w14:textFill>
        </w:rPr>
        <w:t>软帘+集气罩收集</w:t>
      </w:r>
      <w:r>
        <w:rPr>
          <w:rFonts w:hint="default" w:ascii="Times New Roman" w:hAnsi="Times New Roman" w:cs="Times New Roman"/>
          <w:bCs/>
          <w:color w:val="000000" w:themeColor="text1"/>
          <w:spacing w:val="0"/>
          <w:sz w:val="24"/>
          <w14:textFill>
            <w14:solidFill>
              <w14:schemeClr w14:val="tx1"/>
            </w14:solidFill>
          </w14:textFill>
        </w:rPr>
        <w:t>，收集效率9</w:t>
      </w:r>
      <w:r>
        <w:rPr>
          <w:rFonts w:hint="default" w:ascii="Times New Roman" w:hAnsi="Times New Roman" w:cs="Times New Roman"/>
          <w:bCs/>
          <w:color w:val="000000" w:themeColor="text1"/>
          <w:spacing w:val="0"/>
          <w:sz w:val="24"/>
          <w:lang w:val="en-US" w:eastAsia="zh-CN"/>
          <w14:textFill>
            <w14:solidFill>
              <w14:schemeClr w14:val="tx1"/>
            </w14:solidFill>
          </w14:textFill>
        </w:rPr>
        <w:t>5</w:t>
      </w:r>
      <w:r>
        <w:rPr>
          <w:rFonts w:hint="default" w:ascii="Times New Roman" w:hAnsi="Times New Roman" w:cs="Times New Roman"/>
          <w:bCs/>
          <w:color w:val="000000" w:themeColor="text1"/>
          <w:spacing w:val="0"/>
          <w:sz w:val="24"/>
          <w14:textFill>
            <w14:solidFill>
              <w14:schemeClr w14:val="tx1"/>
            </w14:solidFill>
          </w14:textFill>
        </w:rPr>
        <w:t>%，还有</w:t>
      </w:r>
      <w:r>
        <w:rPr>
          <w:rFonts w:hint="default" w:ascii="Times New Roman" w:hAnsi="Times New Roman" w:cs="Times New Roman"/>
          <w:bCs/>
          <w:color w:val="000000" w:themeColor="text1"/>
          <w:spacing w:val="0"/>
          <w:sz w:val="24"/>
          <w:lang w:val="en-US" w:eastAsia="zh-CN"/>
          <w14:textFill>
            <w14:solidFill>
              <w14:schemeClr w14:val="tx1"/>
            </w14:solidFill>
          </w14:textFill>
        </w:rPr>
        <w:t>5</w:t>
      </w:r>
      <w:r>
        <w:rPr>
          <w:rFonts w:hint="default" w:ascii="Times New Roman" w:hAnsi="Times New Roman" w:cs="Times New Roman"/>
          <w:bCs/>
          <w:color w:val="000000" w:themeColor="text1"/>
          <w:spacing w:val="0"/>
          <w:sz w:val="24"/>
          <w14:textFill>
            <w14:solidFill>
              <w14:schemeClr w14:val="tx1"/>
            </w14:solidFill>
          </w14:textFill>
        </w:rPr>
        <w:t>%在车间内无组织排放</w:t>
      </w:r>
      <w:r>
        <w:rPr>
          <w:rFonts w:hint="default" w:ascii="Times New Roman" w:hAnsi="Times New Roman" w:cs="Times New Roman"/>
          <w:bCs/>
          <w:color w:val="000000" w:themeColor="text1"/>
          <w:spacing w:val="0"/>
          <w:sz w:val="24"/>
          <w:lang w:eastAsia="zh-CN"/>
          <w14:textFill>
            <w14:solidFill>
              <w14:schemeClr w14:val="tx1"/>
            </w14:solidFill>
          </w14:textFill>
        </w:rPr>
        <w:t>，</w:t>
      </w:r>
      <w:r>
        <w:rPr>
          <w:rFonts w:hint="default" w:ascii="Times New Roman" w:hAnsi="Times New Roman" w:cs="Times New Roman"/>
          <w:bCs/>
          <w:color w:val="000000" w:themeColor="text1"/>
          <w:spacing w:val="0"/>
          <w:sz w:val="24"/>
          <w14:textFill>
            <w14:solidFill>
              <w14:schemeClr w14:val="tx1"/>
            </w14:solidFill>
          </w14:textFill>
        </w:rPr>
        <w:t>无组织排放量为：</w:t>
      </w:r>
      <w:r>
        <w:rPr>
          <w:rFonts w:hint="default" w:ascii="Times New Roman" w:hAnsi="Times New Roman" w:cs="Times New Roman"/>
          <w:bCs/>
          <w:color w:val="000000" w:themeColor="text1"/>
          <w:spacing w:val="0"/>
          <w:sz w:val="24"/>
          <w:lang w:val="en-US" w:eastAsia="zh-CN"/>
          <w14:textFill>
            <w14:solidFill>
              <w14:schemeClr w14:val="tx1"/>
            </w14:solidFill>
          </w14:textFill>
        </w:rPr>
        <w:t>颗粒物</w:t>
      </w:r>
      <w:r>
        <w:rPr>
          <w:rFonts w:hint="default" w:ascii="Times New Roman" w:hAnsi="Times New Roman" w:cs="Times New Roman"/>
          <w:bCs/>
          <w:color w:val="000000" w:themeColor="text1"/>
          <w:spacing w:val="0"/>
          <w:sz w:val="24"/>
          <w14:textFill>
            <w14:solidFill>
              <w14:schemeClr w14:val="tx1"/>
            </w14:solidFill>
          </w14:textFill>
        </w:rPr>
        <w:t>0.</w:t>
      </w:r>
      <w:r>
        <w:rPr>
          <w:rFonts w:hint="default" w:ascii="Times New Roman" w:hAnsi="Times New Roman" w:cs="Times New Roman"/>
          <w:bCs/>
          <w:color w:val="000000" w:themeColor="text1"/>
          <w:spacing w:val="0"/>
          <w:sz w:val="24"/>
          <w:lang w:val="en-US" w:eastAsia="zh-CN"/>
          <w14:textFill>
            <w14:solidFill>
              <w14:schemeClr w14:val="tx1"/>
            </w14:solidFill>
          </w14:textFill>
        </w:rPr>
        <w:t>536</w:t>
      </w:r>
      <w:r>
        <w:rPr>
          <w:rFonts w:hint="default" w:ascii="Times New Roman" w:hAnsi="Times New Roman" w:cs="Times New Roman"/>
          <w:bCs/>
          <w:color w:val="000000" w:themeColor="text1"/>
          <w:spacing w:val="0"/>
          <w:sz w:val="24"/>
          <w14:textFill>
            <w14:solidFill>
              <w14:schemeClr w14:val="tx1"/>
            </w14:solidFill>
          </w14:textFill>
        </w:rPr>
        <w:t>t/a。</w:t>
      </w:r>
    </w:p>
    <w:p w14:paraId="6441F53E">
      <w:pPr>
        <w:autoSpaceDE w:val="0"/>
        <w:autoSpaceDN w:val="0"/>
        <w:spacing w:line="360" w:lineRule="auto"/>
        <w:ind w:firstLine="482" w:firstLineChars="200"/>
        <w:jc w:val="left"/>
        <w:rPr>
          <w:rFonts w:hint="default" w:ascii="Times New Roman" w:hAnsi="Times New Roman" w:cs="Times New Roman"/>
          <w:b/>
          <w:bCs/>
          <w:color w:val="000000" w:themeColor="text1"/>
          <w:spacing w:val="0"/>
          <w:sz w:val="24"/>
          <w14:textFill>
            <w14:solidFill>
              <w14:schemeClr w14:val="tx1"/>
            </w14:solidFill>
          </w14:textFill>
        </w:rPr>
      </w:pPr>
      <w:r>
        <w:rPr>
          <w:rFonts w:hint="default" w:ascii="Times New Roman" w:hAnsi="Times New Roman" w:cs="Times New Roman"/>
          <w:b/>
          <w:bCs/>
          <w:color w:val="000000" w:themeColor="text1"/>
          <w:spacing w:val="0"/>
          <w:sz w:val="24"/>
          <w14:textFill>
            <w14:solidFill>
              <w14:schemeClr w14:val="tx1"/>
            </w14:solidFill>
          </w14:textFill>
        </w:rPr>
        <w:t>（</w:t>
      </w:r>
      <w:r>
        <w:rPr>
          <w:rFonts w:hint="default" w:ascii="Times New Roman" w:hAnsi="Times New Roman" w:cs="Times New Roman"/>
          <w:b/>
          <w:bCs/>
          <w:color w:val="000000" w:themeColor="text1"/>
          <w:spacing w:val="0"/>
          <w:sz w:val="24"/>
          <w:lang w:val="en-US" w:eastAsia="zh-CN"/>
          <w14:textFill>
            <w14:solidFill>
              <w14:schemeClr w14:val="tx1"/>
            </w14:solidFill>
          </w14:textFill>
        </w:rPr>
        <w:t>4</w:t>
      </w:r>
      <w:r>
        <w:rPr>
          <w:rFonts w:hint="default" w:ascii="Times New Roman" w:hAnsi="Times New Roman" w:cs="Times New Roman"/>
          <w:b/>
          <w:bCs/>
          <w:color w:val="000000" w:themeColor="text1"/>
          <w:spacing w:val="0"/>
          <w:sz w:val="24"/>
          <w14:textFill>
            <w14:solidFill>
              <w14:schemeClr w14:val="tx1"/>
            </w14:solidFill>
          </w14:textFill>
        </w:rPr>
        <w:t>）</w:t>
      </w:r>
      <w:r>
        <w:rPr>
          <w:rFonts w:hint="default" w:ascii="Times New Roman" w:hAnsi="Times New Roman" w:cs="Times New Roman"/>
          <w:b/>
          <w:bCs/>
          <w:color w:val="000000" w:themeColor="text1"/>
          <w:spacing w:val="0"/>
          <w:sz w:val="24"/>
          <w:lang w:val="en-US" w:eastAsia="zh-CN"/>
          <w14:textFill>
            <w14:solidFill>
              <w14:schemeClr w14:val="tx1"/>
            </w14:solidFill>
          </w14:textFill>
        </w:rPr>
        <w:t>磨粉过程未收集</w:t>
      </w:r>
      <w:r>
        <w:rPr>
          <w:rFonts w:hint="default" w:ascii="Times New Roman" w:hAnsi="Times New Roman" w:cs="Times New Roman"/>
          <w:b/>
          <w:bCs/>
          <w:color w:val="000000" w:themeColor="text1"/>
          <w:spacing w:val="0"/>
          <w:sz w:val="24"/>
          <w14:textFill>
            <w14:solidFill>
              <w14:schemeClr w14:val="tx1"/>
            </w14:solidFill>
          </w14:textFill>
        </w:rPr>
        <w:t>废气</w:t>
      </w:r>
    </w:p>
    <w:p w14:paraId="5E7AE631">
      <w:pPr>
        <w:autoSpaceDE w:val="0"/>
        <w:autoSpaceDN w:val="0"/>
        <w:spacing w:line="360" w:lineRule="auto"/>
        <w:ind w:firstLine="480" w:firstLineChars="200"/>
        <w:jc w:val="left"/>
        <w:rPr>
          <w:rFonts w:hint="default" w:ascii="Times New Roman" w:hAnsi="Times New Roman" w:cs="Times New Roman"/>
          <w:bCs/>
          <w:color w:val="000000" w:themeColor="text1"/>
          <w:spacing w:val="0"/>
          <w:sz w:val="24"/>
          <w14:textFill>
            <w14:solidFill>
              <w14:schemeClr w14:val="tx1"/>
            </w14:solidFill>
          </w14:textFill>
        </w:rPr>
      </w:pPr>
      <w:r>
        <w:rPr>
          <w:rFonts w:hint="default" w:ascii="Times New Roman" w:hAnsi="Times New Roman" w:cs="Times New Roman"/>
          <w:bCs/>
          <w:color w:val="000000" w:themeColor="text1"/>
          <w:spacing w:val="0"/>
          <w:sz w:val="24"/>
          <w14:textFill>
            <w14:solidFill>
              <w14:schemeClr w14:val="tx1"/>
            </w14:solidFill>
          </w14:textFill>
        </w:rPr>
        <w:t>项目</w:t>
      </w:r>
      <w:r>
        <w:rPr>
          <w:rFonts w:hint="default" w:ascii="Times New Roman" w:hAnsi="Times New Roman" w:cs="Times New Roman"/>
          <w:bCs/>
          <w:color w:val="000000" w:themeColor="text1"/>
          <w:spacing w:val="0"/>
          <w:sz w:val="24"/>
          <w:lang w:val="en-US" w:eastAsia="zh-CN"/>
          <w14:textFill>
            <w14:solidFill>
              <w14:schemeClr w14:val="tx1"/>
            </w14:solidFill>
          </w14:textFill>
        </w:rPr>
        <w:t>标签纸磨粉</w:t>
      </w:r>
      <w:r>
        <w:rPr>
          <w:rFonts w:hint="default" w:ascii="Times New Roman" w:hAnsi="Times New Roman" w:cs="Times New Roman"/>
          <w:bCs/>
          <w:color w:val="000000" w:themeColor="text1"/>
          <w:spacing w:val="0"/>
          <w:sz w:val="24"/>
          <w14:textFill>
            <w14:solidFill>
              <w14:schemeClr w14:val="tx1"/>
            </w14:solidFill>
          </w14:textFill>
        </w:rPr>
        <w:t>过程</w:t>
      </w:r>
      <w:r>
        <w:rPr>
          <w:rFonts w:hint="default" w:ascii="Times New Roman" w:hAnsi="Times New Roman" w:cs="Times New Roman"/>
          <w:bCs/>
          <w:color w:val="000000" w:themeColor="text1"/>
          <w:spacing w:val="0"/>
          <w:sz w:val="24"/>
          <w:lang w:val="en-US" w:eastAsia="zh-CN"/>
          <w14:textFill>
            <w14:solidFill>
              <w14:schemeClr w14:val="tx1"/>
            </w14:solidFill>
          </w14:textFill>
        </w:rPr>
        <w:t>全封闭，</w:t>
      </w:r>
      <w:r>
        <w:rPr>
          <w:rFonts w:hint="default" w:ascii="Times New Roman" w:hAnsi="Times New Roman" w:cs="Times New Roman"/>
          <w:bCs/>
          <w:color w:val="000000" w:themeColor="text1"/>
          <w:spacing w:val="0"/>
          <w:sz w:val="24"/>
          <w14:textFill>
            <w14:solidFill>
              <w14:schemeClr w14:val="tx1"/>
            </w14:solidFill>
          </w14:textFill>
        </w:rPr>
        <w:t>产生的废气通过负压收集，并在</w:t>
      </w:r>
      <w:r>
        <w:rPr>
          <w:rFonts w:hint="default" w:ascii="Times New Roman" w:hAnsi="Times New Roman" w:cs="Times New Roman"/>
          <w:bCs/>
          <w:color w:val="000000" w:themeColor="text1"/>
          <w:spacing w:val="0"/>
          <w:sz w:val="24"/>
          <w:lang w:val="en-US" w:eastAsia="zh-CN"/>
          <w14:textFill>
            <w14:solidFill>
              <w14:schemeClr w14:val="tx1"/>
            </w14:solidFill>
          </w14:textFill>
        </w:rPr>
        <w:t>出料口</w:t>
      </w:r>
      <w:r>
        <w:rPr>
          <w:rFonts w:hint="default" w:ascii="Times New Roman" w:hAnsi="Times New Roman" w:cs="Times New Roman"/>
          <w:bCs/>
          <w:color w:val="000000" w:themeColor="text1"/>
          <w:spacing w:val="0"/>
          <w:sz w:val="24"/>
          <w14:textFill>
            <w14:solidFill>
              <w14:schemeClr w14:val="tx1"/>
            </w14:solidFill>
          </w14:textFill>
        </w:rPr>
        <w:t>设置集气罩进行收集，收集效率9</w:t>
      </w:r>
      <w:r>
        <w:rPr>
          <w:rFonts w:hint="default" w:ascii="Times New Roman" w:hAnsi="Times New Roman" w:cs="Times New Roman"/>
          <w:bCs/>
          <w:color w:val="000000" w:themeColor="text1"/>
          <w:spacing w:val="0"/>
          <w:sz w:val="24"/>
          <w:lang w:val="en-US" w:eastAsia="zh-CN"/>
          <w14:textFill>
            <w14:solidFill>
              <w14:schemeClr w14:val="tx1"/>
            </w14:solidFill>
          </w14:textFill>
        </w:rPr>
        <w:t>5</w:t>
      </w:r>
      <w:r>
        <w:rPr>
          <w:rFonts w:hint="default" w:ascii="Times New Roman" w:hAnsi="Times New Roman" w:cs="Times New Roman"/>
          <w:bCs/>
          <w:color w:val="000000" w:themeColor="text1"/>
          <w:spacing w:val="0"/>
          <w:sz w:val="24"/>
          <w14:textFill>
            <w14:solidFill>
              <w14:schemeClr w14:val="tx1"/>
            </w14:solidFill>
          </w14:textFill>
        </w:rPr>
        <w:t>%，还有</w:t>
      </w:r>
      <w:r>
        <w:rPr>
          <w:rFonts w:hint="default" w:ascii="Times New Roman" w:hAnsi="Times New Roman" w:cs="Times New Roman"/>
          <w:bCs/>
          <w:color w:val="000000" w:themeColor="text1"/>
          <w:spacing w:val="0"/>
          <w:sz w:val="24"/>
          <w:lang w:val="en-US" w:eastAsia="zh-CN"/>
          <w14:textFill>
            <w14:solidFill>
              <w14:schemeClr w14:val="tx1"/>
            </w14:solidFill>
          </w14:textFill>
        </w:rPr>
        <w:t>5</w:t>
      </w:r>
      <w:r>
        <w:rPr>
          <w:rFonts w:hint="default" w:ascii="Times New Roman" w:hAnsi="Times New Roman" w:cs="Times New Roman"/>
          <w:bCs/>
          <w:color w:val="000000" w:themeColor="text1"/>
          <w:spacing w:val="0"/>
          <w:sz w:val="24"/>
          <w14:textFill>
            <w14:solidFill>
              <w14:schemeClr w14:val="tx1"/>
            </w14:solidFill>
          </w14:textFill>
        </w:rPr>
        <w:t>%在车间内无组织排放</w:t>
      </w:r>
      <w:r>
        <w:rPr>
          <w:rFonts w:hint="default" w:ascii="Times New Roman" w:hAnsi="Times New Roman" w:cs="Times New Roman"/>
          <w:bCs/>
          <w:color w:val="000000" w:themeColor="text1"/>
          <w:spacing w:val="0"/>
          <w:sz w:val="24"/>
          <w:lang w:eastAsia="zh-CN"/>
          <w14:textFill>
            <w14:solidFill>
              <w14:schemeClr w14:val="tx1"/>
            </w14:solidFill>
          </w14:textFill>
        </w:rPr>
        <w:t>，</w:t>
      </w:r>
      <w:r>
        <w:rPr>
          <w:rFonts w:hint="default" w:ascii="Times New Roman" w:hAnsi="Times New Roman" w:cs="Times New Roman"/>
          <w:bCs/>
          <w:color w:val="000000" w:themeColor="text1"/>
          <w:spacing w:val="0"/>
          <w:sz w:val="24"/>
          <w14:textFill>
            <w14:solidFill>
              <w14:schemeClr w14:val="tx1"/>
            </w14:solidFill>
          </w14:textFill>
        </w:rPr>
        <w:t>无组织排放量为：</w:t>
      </w:r>
      <w:r>
        <w:rPr>
          <w:rFonts w:hint="default" w:ascii="Times New Roman" w:hAnsi="Times New Roman" w:cs="Times New Roman"/>
          <w:bCs/>
          <w:color w:val="000000" w:themeColor="text1"/>
          <w:spacing w:val="0"/>
          <w:sz w:val="24"/>
          <w:lang w:val="en-US" w:eastAsia="zh-CN"/>
          <w14:textFill>
            <w14:solidFill>
              <w14:schemeClr w14:val="tx1"/>
            </w14:solidFill>
          </w14:textFill>
        </w:rPr>
        <w:t>颗粒物</w:t>
      </w:r>
      <w:r>
        <w:rPr>
          <w:rFonts w:hint="default" w:ascii="Times New Roman" w:hAnsi="Times New Roman" w:cs="Times New Roman"/>
          <w:bCs/>
          <w:color w:val="000000" w:themeColor="text1"/>
          <w:spacing w:val="0"/>
          <w:sz w:val="24"/>
          <w14:textFill>
            <w14:solidFill>
              <w14:schemeClr w14:val="tx1"/>
            </w14:solidFill>
          </w14:textFill>
        </w:rPr>
        <w:t>0.</w:t>
      </w:r>
      <w:r>
        <w:rPr>
          <w:rFonts w:hint="default" w:ascii="Times New Roman" w:hAnsi="Times New Roman" w:cs="Times New Roman"/>
          <w:bCs/>
          <w:color w:val="000000" w:themeColor="text1"/>
          <w:spacing w:val="0"/>
          <w:sz w:val="24"/>
          <w:lang w:val="en-US" w:eastAsia="zh-CN"/>
          <w14:textFill>
            <w14:solidFill>
              <w14:schemeClr w14:val="tx1"/>
            </w14:solidFill>
          </w14:textFill>
        </w:rPr>
        <w:t>11</w:t>
      </w:r>
      <w:r>
        <w:rPr>
          <w:rFonts w:hint="default" w:ascii="Times New Roman" w:hAnsi="Times New Roman" w:cs="Times New Roman"/>
          <w:bCs/>
          <w:color w:val="000000" w:themeColor="text1"/>
          <w:spacing w:val="0"/>
          <w:sz w:val="24"/>
          <w14:textFill>
            <w14:solidFill>
              <w14:schemeClr w14:val="tx1"/>
            </w14:solidFill>
          </w14:textFill>
        </w:rPr>
        <w:t>t/a。</w:t>
      </w:r>
    </w:p>
    <w:p w14:paraId="0895571D">
      <w:pPr>
        <w:autoSpaceDE w:val="0"/>
        <w:autoSpaceDN w:val="0"/>
        <w:spacing w:line="360" w:lineRule="auto"/>
        <w:ind w:firstLine="480" w:firstLineChars="200"/>
        <w:jc w:val="left"/>
        <w:rPr>
          <w:rFonts w:hint="default" w:ascii="Times New Roman" w:hAnsi="Times New Roman" w:cs="Times New Roman"/>
          <w:bCs/>
          <w:color w:val="000000" w:themeColor="text1"/>
          <w:spacing w:val="0"/>
          <w:sz w:val="24"/>
          <w14:textFill>
            <w14:solidFill>
              <w14:schemeClr w14:val="tx1"/>
            </w14:solidFill>
          </w14:textFill>
        </w:rPr>
      </w:pPr>
      <w:r>
        <w:rPr>
          <w:rFonts w:hint="default" w:ascii="Times New Roman" w:hAnsi="Times New Roman" w:cs="Times New Roman"/>
          <w:bCs/>
          <w:color w:val="000000" w:themeColor="text1"/>
          <w:spacing w:val="0"/>
          <w:sz w:val="24"/>
          <w14:textFill>
            <w14:solidFill>
              <w14:schemeClr w14:val="tx1"/>
            </w14:solidFill>
          </w14:textFill>
        </w:rPr>
        <w:t>本项目无组织情况见下表：</w:t>
      </w:r>
    </w:p>
    <w:p w14:paraId="4D6D172F">
      <w:pPr>
        <w:pStyle w:val="37"/>
        <w:spacing w:after="0" w:line="360" w:lineRule="auto"/>
        <w:ind w:left="0" w:leftChars="0" w:firstLine="0" w:firstLineChars="0"/>
        <w:jc w:val="center"/>
        <w:rPr>
          <w:rFonts w:hint="default" w:ascii="Times New Roman" w:hAnsi="Times New Roman" w:eastAsia="黑体" w:cs="Times New Roman"/>
          <w:color w:val="000000" w:themeColor="text1"/>
          <w:sz w:val="24"/>
          <w:lang w:val="zh-CN"/>
          <w14:textFill>
            <w14:solidFill>
              <w14:schemeClr w14:val="tx1"/>
            </w14:solidFill>
          </w14:textFill>
        </w:rPr>
      </w:pPr>
      <w:r>
        <w:rPr>
          <w:rFonts w:hint="default" w:ascii="Times New Roman" w:hAnsi="Times New Roman" w:eastAsia="黑体" w:cs="Times New Roman"/>
          <w:color w:val="000000" w:themeColor="text1"/>
          <w:sz w:val="24"/>
          <w:lang w:val="zh-CN"/>
          <w14:textFill>
            <w14:solidFill>
              <w14:schemeClr w14:val="tx1"/>
            </w14:solidFill>
          </w14:textFill>
        </w:rPr>
        <w:t>表3.</w:t>
      </w:r>
      <w:r>
        <w:rPr>
          <w:rFonts w:hint="default" w:ascii="Times New Roman" w:hAnsi="Times New Roman" w:eastAsia="黑体" w:cs="Times New Roman"/>
          <w:color w:val="000000" w:themeColor="text1"/>
          <w:sz w:val="24"/>
          <w:lang w:val="en-US" w:eastAsia="zh-CN"/>
          <w14:textFill>
            <w14:solidFill>
              <w14:schemeClr w14:val="tx1"/>
            </w14:solidFill>
          </w14:textFill>
        </w:rPr>
        <w:t>3</w:t>
      </w:r>
      <w:r>
        <w:rPr>
          <w:rFonts w:hint="default" w:ascii="Times New Roman" w:hAnsi="Times New Roman" w:eastAsia="黑体" w:cs="Times New Roman"/>
          <w:color w:val="000000" w:themeColor="text1"/>
          <w:sz w:val="24"/>
          <w:lang w:val="zh-CN"/>
          <w14:textFill>
            <w14:solidFill>
              <w14:schemeClr w14:val="tx1"/>
            </w14:solidFill>
          </w14:textFill>
        </w:rPr>
        <w:t>-</w:t>
      </w:r>
      <w:r>
        <w:rPr>
          <w:rFonts w:hint="default" w:ascii="Times New Roman" w:hAnsi="Times New Roman" w:eastAsia="黑体" w:cs="Times New Roman"/>
          <w:color w:val="000000" w:themeColor="text1"/>
          <w:sz w:val="24"/>
          <w:lang w:val="en-US" w:eastAsia="zh-CN"/>
          <w14:textFill>
            <w14:solidFill>
              <w14:schemeClr w14:val="tx1"/>
            </w14:solidFill>
          </w14:textFill>
        </w:rPr>
        <w:t>3</w:t>
      </w:r>
      <w:r>
        <w:rPr>
          <w:rFonts w:hint="default" w:ascii="Times New Roman" w:hAnsi="Times New Roman" w:eastAsia="黑体" w:cs="Times New Roman"/>
          <w:color w:val="000000" w:themeColor="text1"/>
          <w:sz w:val="24"/>
          <w:lang w:val="zh-CN"/>
          <w14:textFill>
            <w14:solidFill>
              <w14:schemeClr w14:val="tx1"/>
            </w14:solidFill>
          </w14:textFill>
        </w:rPr>
        <w:t>项目运营期无组织废气产生和排放情况汇总表</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36"/>
        <w:gridCol w:w="1331"/>
        <w:gridCol w:w="2067"/>
        <w:gridCol w:w="2411"/>
        <w:gridCol w:w="2020"/>
      </w:tblGrid>
      <w:tr w14:paraId="1B9455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33" w:type="pct"/>
            <w:vAlign w:val="center"/>
          </w:tcPr>
          <w:p w14:paraId="693C809E">
            <w:pPr>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车间</w:t>
            </w:r>
          </w:p>
        </w:tc>
        <w:tc>
          <w:tcPr>
            <w:tcW w:w="742" w:type="pct"/>
            <w:vAlign w:val="center"/>
          </w:tcPr>
          <w:p w14:paraId="0FC46A85">
            <w:pPr>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污染物名称</w:t>
            </w:r>
          </w:p>
        </w:tc>
        <w:tc>
          <w:tcPr>
            <w:tcW w:w="1152" w:type="pct"/>
            <w:vAlign w:val="center"/>
          </w:tcPr>
          <w:p w14:paraId="33AF4EEB">
            <w:pPr>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无组织排放量t/a</w:t>
            </w:r>
          </w:p>
        </w:tc>
        <w:tc>
          <w:tcPr>
            <w:tcW w:w="1344" w:type="pct"/>
            <w:vAlign w:val="center"/>
          </w:tcPr>
          <w:p w14:paraId="6FBB4539">
            <w:pPr>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无组织排放速率kg/h</w:t>
            </w:r>
          </w:p>
        </w:tc>
        <w:tc>
          <w:tcPr>
            <w:tcW w:w="1126" w:type="pct"/>
            <w:vAlign w:val="center"/>
          </w:tcPr>
          <w:p w14:paraId="423AF205">
            <w:pPr>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面源参数</w:t>
            </w:r>
          </w:p>
        </w:tc>
      </w:tr>
      <w:tr w14:paraId="679EC5C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33" w:type="pct"/>
            <w:vAlign w:val="center"/>
          </w:tcPr>
          <w:p w14:paraId="207B2AE5">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1#厂房</w:t>
            </w:r>
          </w:p>
        </w:tc>
        <w:tc>
          <w:tcPr>
            <w:tcW w:w="742" w:type="pct"/>
            <w:shd w:val="clear" w:color="auto" w:fill="auto"/>
            <w:vAlign w:val="center"/>
          </w:tcPr>
          <w:p w14:paraId="19126787">
            <w:pPr>
              <w:spacing w:line="276" w:lineRule="auto"/>
              <w:jc w:val="center"/>
              <w:rPr>
                <w:rFonts w:hint="default" w:ascii="Times New Roman" w:hAnsi="Times New Roman" w:eastAsia="宋体" w:cs="Times New Roman"/>
                <w:color w:val="000000" w:themeColor="text1"/>
                <w:spacing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pacing w:val="0"/>
                <w:sz w:val="21"/>
                <w:szCs w:val="21"/>
                <w:lang w:val="zh-CN"/>
                <w14:textFill>
                  <w14:solidFill>
                    <w14:schemeClr w14:val="tx1"/>
                  </w14:solidFill>
                </w14:textFill>
              </w:rPr>
              <w:t>非甲烷总烃</w:t>
            </w:r>
          </w:p>
        </w:tc>
        <w:tc>
          <w:tcPr>
            <w:tcW w:w="1152" w:type="pct"/>
            <w:shd w:val="clear" w:color="auto" w:fill="auto"/>
            <w:vAlign w:val="center"/>
          </w:tcPr>
          <w:p w14:paraId="30C36FE9">
            <w:pPr>
              <w:spacing w:line="276" w:lineRule="auto"/>
              <w:jc w:val="center"/>
              <w:rPr>
                <w:rFonts w:hint="default" w:ascii="Times New Roman" w:hAnsi="Times New Roman" w:eastAsia="宋体" w:cs="Times New Roman"/>
                <w:color w:val="000000" w:themeColor="text1"/>
                <w:spacing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pacing w:val="0"/>
                <w:sz w:val="21"/>
                <w:szCs w:val="21"/>
                <w:lang w:val="en-US" w:eastAsia="zh-CN"/>
                <w14:textFill>
                  <w14:solidFill>
                    <w14:schemeClr w14:val="tx1"/>
                  </w14:solidFill>
                </w14:textFill>
              </w:rPr>
              <w:t>0.</w:t>
            </w:r>
            <w:r>
              <w:rPr>
                <w:rFonts w:hint="eastAsia" w:cs="Times New Roman"/>
                <w:color w:val="000000" w:themeColor="text1"/>
                <w:spacing w:val="0"/>
                <w:sz w:val="21"/>
                <w:szCs w:val="21"/>
                <w:lang w:val="en-US" w:eastAsia="zh-CN"/>
                <w14:textFill>
                  <w14:solidFill>
                    <w14:schemeClr w14:val="tx1"/>
                  </w14:solidFill>
                </w14:textFill>
              </w:rPr>
              <w:t>02</w:t>
            </w:r>
          </w:p>
        </w:tc>
        <w:tc>
          <w:tcPr>
            <w:tcW w:w="1344" w:type="pct"/>
            <w:shd w:val="clear" w:color="auto" w:fill="auto"/>
            <w:vAlign w:val="center"/>
          </w:tcPr>
          <w:p w14:paraId="44AEF1E5">
            <w:pPr>
              <w:spacing w:line="276" w:lineRule="auto"/>
              <w:jc w:val="center"/>
              <w:rPr>
                <w:rFonts w:hint="default" w:ascii="Times New Roman" w:hAnsi="Times New Roman" w:eastAsia="宋体" w:cs="Times New Roman"/>
                <w:color w:val="000000" w:themeColor="text1"/>
                <w:spacing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0.0</w:t>
            </w:r>
            <w:r>
              <w:rPr>
                <w:rFonts w:hint="eastAsia" w:cs="Times New Roman"/>
                <w:color w:val="000000" w:themeColor="text1"/>
                <w:spacing w:val="0"/>
                <w:sz w:val="21"/>
                <w:szCs w:val="21"/>
                <w:lang w:val="en-US" w:eastAsia="zh-CN"/>
                <w14:textFill>
                  <w14:solidFill>
                    <w14:schemeClr w14:val="tx1"/>
                  </w14:solidFill>
                </w14:textFill>
              </w:rPr>
              <w:t>42</w:t>
            </w:r>
          </w:p>
        </w:tc>
        <w:tc>
          <w:tcPr>
            <w:tcW w:w="1126" w:type="pct"/>
            <w:vAlign w:val="center"/>
          </w:tcPr>
          <w:p w14:paraId="03B9D64E">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11</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6</w:t>
            </w:r>
            <w:r>
              <w:rPr>
                <w:rFonts w:hint="default" w:ascii="Times New Roman" w:hAnsi="Times New Roman" w:cs="Times New Roman"/>
                <w:color w:val="000000" w:themeColor="text1"/>
                <w:spacing w:val="0"/>
                <w:sz w:val="21"/>
                <w:szCs w:val="21"/>
                <w14:textFill>
                  <w14:solidFill>
                    <w14:schemeClr w14:val="tx1"/>
                  </w14:solidFill>
                </w14:textFill>
              </w:rPr>
              <w:t>m×5</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2.5</w:t>
            </w:r>
            <w:r>
              <w:rPr>
                <w:rFonts w:hint="default" w:ascii="Times New Roman" w:hAnsi="Times New Roman" w:cs="Times New Roman"/>
                <w:color w:val="000000" w:themeColor="text1"/>
                <w:spacing w:val="0"/>
                <w:sz w:val="21"/>
                <w:szCs w:val="21"/>
                <w14:textFill>
                  <w14:solidFill>
                    <w14:schemeClr w14:val="tx1"/>
                  </w14:solidFill>
                </w14:textFill>
              </w:rPr>
              <w:t>m×12m</w:t>
            </w:r>
          </w:p>
        </w:tc>
      </w:tr>
      <w:tr w14:paraId="497119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33" w:type="pct"/>
            <w:vMerge w:val="restart"/>
            <w:vAlign w:val="center"/>
          </w:tcPr>
          <w:p w14:paraId="061074B0">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2#厂房</w:t>
            </w:r>
          </w:p>
        </w:tc>
        <w:tc>
          <w:tcPr>
            <w:tcW w:w="742" w:type="pct"/>
            <w:vAlign w:val="center"/>
          </w:tcPr>
          <w:p w14:paraId="7BFC45DB">
            <w:pPr>
              <w:spacing w:line="276" w:lineRule="auto"/>
              <w:jc w:val="center"/>
              <w:rPr>
                <w:rFonts w:hint="default" w:ascii="Times New Roman" w:hAnsi="Times New Roman" w:cs="Times New Roman"/>
                <w:color w:val="000000" w:themeColor="text1"/>
                <w:spacing w:val="0"/>
                <w:sz w:val="21"/>
                <w:szCs w:val="21"/>
                <w:lang w:val="zh-CN"/>
                <w14:textFill>
                  <w14:solidFill>
                    <w14:schemeClr w14:val="tx1"/>
                  </w14:solidFill>
                </w14:textFill>
              </w:rPr>
            </w:pPr>
            <w:r>
              <w:rPr>
                <w:rFonts w:hint="default" w:ascii="Times New Roman" w:hAnsi="Times New Roman" w:cs="Times New Roman"/>
                <w:color w:val="000000" w:themeColor="text1"/>
                <w:spacing w:val="0"/>
                <w:sz w:val="21"/>
                <w:szCs w:val="21"/>
                <w:lang w:val="zh-CN"/>
                <w14:textFill>
                  <w14:solidFill>
                    <w14:schemeClr w14:val="tx1"/>
                  </w14:solidFill>
                </w14:textFill>
              </w:rPr>
              <w:t>颗粒物</w:t>
            </w:r>
          </w:p>
        </w:tc>
        <w:tc>
          <w:tcPr>
            <w:tcW w:w="1152" w:type="pct"/>
            <w:vAlign w:val="center"/>
          </w:tcPr>
          <w:p w14:paraId="054A7FA7">
            <w:pPr>
              <w:spacing w:line="276" w:lineRule="auto"/>
              <w:jc w:val="center"/>
              <w:rPr>
                <w:rFonts w:hint="default" w:ascii="Times New Roman" w:hAnsi="Times New Roman" w:eastAsia="宋体" w:cs="Times New Roman"/>
                <w:color w:val="000000" w:themeColor="text1"/>
                <w:spacing w:val="0"/>
                <w:sz w:val="21"/>
                <w:szCs w:val="21"/>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646</w:t>
            </w:r>
          </w:p>
        </w:tc>
        <w:tc>
          <w:tcPr>
            <w:tcW w:w="1344" w:type="pct"/>
            <w:vAlign w:val="center"/>
          </w:tcPr>
          <w:p w14:paraId="5D681383">
            <w:pPr>
              <w:spacing w:line="276" w:lineRule="auto"/>
              <w:jc w:val="center"/>
              <w:rPr>
                <w:rFonts w:hint="default" w:ascii="Times New Roman" w:hAnsi="Times New Roman" w:eastAsia="宋体" w:cs="Times New Roman"/>
                <w:color w:val="000000" w:themeColor="text1"/>
                <w:spacing w:val="0"/>
                <w:sz w:val="21"/>
                <w:szCs w:val="21"/>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lang w:val="en-US" w:eastAsia="zh-CN"/>
                <w14:textFill>
                  <w14:solidFill>
                    <w14:schemeClr w14:val="tx1"/>
                  </w14:solidFill>
                </w14:textFill>
              </w:rPr>
              <w:t>0.108</w:t>
            </w:r>
          </w:p>
        </w:tc>
        <w:tc>
          <w:tcPr>
            <w:tcW w:w="1126" w:type="pct"/>
            <w:vMerge w:val="restart"/>
            <w:vAlign w:val="center"/>
          </w:tcPr>
          <w:p w14:paraId="1A91AC88">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1</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21</w:t>
            </w:r>
            <w:r>
              <w:rPr>
                <w:rFonts w:hint="default" w:ascii="Times New Roman" w:hAnsi="Times New Roman" w:cs="Times New Roman"/>
                <w:color w:val="000000" w:themeColor="text1"/>
                <w:spacing w:val="0"/>
                <w:sz w:val="21"/>
                <w:szCs w:val="21"/>
                <w14:textFill>
                  <w14:solidFill>
                    <w14:schemeClr w14:val="tx1"/>
                  </w14:solidFill>
                </w14:textFill>
              </w:rPr>
              <w:t>m×</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55</w:t>
            </w:r>
            <w:r>
              <w:rPr>
                <w:rFonts w:hint="default" w:ascii="Times New Roman" w:hAnsi="Times New Roman" w:cs="Times New Roman"/>
                <w:color w:val="000000" w:themeColor="text1"/>
                <w:spacing w:val="0"/>
                <w:sz w:val="21"/>
                <w:szCs w:val="21"/>
                <w14:textFill>
                  <w14:solidFill>
                    <w14:schemeClr w14:val="tx1"/>
                  </w14:solidFill>
                </w14:textFill>
              </w:rPr>
              <w:t>m×12m</w:t>
            </w:r>
          </w:p>
        </w:tc>
      </w:tr>
      <w:tr w14:paraId="186CAF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33" w:type="pct"/>
            <w:vMerge w:val="continue"/>
            <w:vAlign w:val="center"/>
          </w:tcPr>
          <w:p w14:paraId="17C885BF">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742" w:type="pct"/>
            <w:vAlign w:val="center"/>
          </w:tcPr>
          <w:p w14:paraId="1466C583">
            <w:pPr>
              <w:spacing w:line="276" w:lineRule="auto"/>
              <w:jc w:val="center"/>
              <w:rPr>
                <w:rFonts w:hint="default" w:ascii="Times New Roman" w:hAnsi="Times New Roman" w:cs="Times New Roman"/>
                <w:color w:val="000000" w:themeColor="text1"/>
                <w:spacing w:val="0"/>
                <w:sz w:val="21"/>
                <w:szCs w:val="21"/>
                <w:lang w:val="zh-CN"/>
                <w14:textFill>
                  <w14:solidFill>
                    <w14:schemeClr w14:val="tx1"/>
                  </w14:solidFill>
                </w14:textFill>
              </w:rPr>
            </w:pPr>
            <w:r>
              <w:rPr>
                <w:rFonts w:hint="default" w:ascii="Times New Roman" w:hAnsi="Times New Roman" w:cs="Times New Roman"/>
                <w:color w:val="000000" w:themeColor="text1"/>
                <w:spacing w:val="0"/>
                <w:sz w:val="21"/>
                <w:szCs w:val="21"/>
                <w:lang w:val="zh-CN"/>
                <w14:textFill>
                  <w14:solidFill>
                    <w14:schemeClr w14:val="tx1"/>
                  </w14:solidFill>
                </w14:textFill>
              </w:rPr>
              <w:t>非甲烷总烃</w:t>
            </w:r>
          </w:p>
        </w:tc>
        <w:tc>
          <w:tcPr>
            <w:tcW w:w="1152" w:type="pct"/>
            <w:vAlign w:val="center"/>
          </w:tcPr>
          <w:p w14:paraId="06EF5B53">
            <w:pPr>
              <w:spacing w:line="276" w:lineRule="auto"/>
              <w:jc w:val="center"/>
              <w:rPr>
                <w:rFonts w:hint="default" w:ascii="Times New Roman" w:hAnsi="Times New Roman" w:eastAsia="宋体" w:cs="Times New Roman"/>
                <w:color w:val="000000" w:themeColor="text1"/>
                <w:spacing w:val="0"/>
                <w:sz w:val="21"/>
                <w:szCs w:val="21"/>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0.0</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73</w:t>
            </w:r>
          </w:p>
        </w:tc>
        <w:tc>
          <w:tcPr>
            <w:tcW w:w="1344" w:type="pct"/>
            <w:vAlign w:val="center"/>
          </w:tcPr>
          <w:p w14:paraId="03E8D3B5">
            <w:pPr>
              <w:spacing w:line="276" w:lineRule="auto"/>
              <w:jc w:val="center"/>
              <w:rPr>
                <w:rFonts w:hint="default" w:ascii="Times New Roman" w:hAnsi="Times New Roman" w:eastAsia="宋体" w:cs="Times New Roman"/>
                <w:color w:val="000000" w:themeColor="text1"/>
                <w:spacing w:val="0"/>
                <w:sz w:val="21"/>
                <w:szCs w:val="21"/>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lang w:val="en-US" w:eastAsia="zh-CN"/>
                <w14:textFill>
                  <w14:solidFill>
                    <w14:schemeClr w14:val="tx1"/>
                  </w14:solidFill>
                </w14:textFill>
              </w:rPr>
              <w:t>0.012</w:t>
            </w:r>
          </w:p>
        </w:tc>
        <w:tc>
          <w:tcPr>
            <w:tcW w:w="1126" w:type="pct"/>
            <w:vMerge w:val="continue"/>
            <w:vAlign w:val="center"/>
          </w:tcPr>
          <w:p w14:paraId="35A7AC23">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r>
    </w:tbl>
    <w:p w14:paraId="773150A6">
      <w:pPr>
        <w:spacing w:beforeLines="50" w:line="360" w:lineRule="auto"/>
        <w:ind w:firstLine="474" w:firstLineChars="20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4、非正常工况废气排放源强</w:t>
      </w:r>
    </w:p>
    <w:p w14:paraId="320D5C73">
      <w:pPr>
        <w:spacing w:line="360" w:lineRule="auto"/>
        <w:ind w:firstLine="480" w:firstLineChars="200"/>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项目非正常工况主要包括：生产过程中开停车、设备检修、工艺设备运转异常等非正常工况下的污染物排放，以及污染物排放控制措施达不到应有效率等情况下的排放。</w:t>
      </w:r>
    </w:p>
    <w:p w14:paraId="36705FCD">
      <w:pPr>
        <w:spacing w:line="360" w:lineRule="auto"/>
        <w:ind w:firstLine="480" w:firstLineChars="200"/>
        <w:rPr>
          <w:rFonts w:hint="default" w:ascii="Times New Roman" w:hAnsi="Times New Roman" w:cs="Times New Roman"/>
          <w:color w:val="000000" w:themeColor="text1"/>
          <w:sz w:val="24"/>
          <w:szCs w:val="24"/>
          <w14:textFill>
            <w14:solidFill>
              <w14:schemeClr w14:val="tx1"/>
            </w14:solidFill>
          </w14:textFill>
        </w:rPr>
        <w:sectPr>
          <w:pgSz w:w="11907" w:h="16840"/>
          <w:pgMar w:top="1440" w:right="1361" w:bottom="1440" w:left="1797"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cs="Times New Roman"/>
          <w:color w:val="000000" w:themeColor="text1"/>
          <w:spacing w:val="0"/>
          <w:sz w:val="24"/>
          <w:szCs w:val="24"/>
          <w14:textFill>
            <w14:solidFill>
              <w14:schemeClr w14:val="tx1"/>
            </w14:solidFill>
          </w14:textFill>
        </w:rPr>
        <w:t>结合本项目设备清单表、主体生产工艺、相应污染防治措施，可知：拟建项目最不利非正常工况为废气污染物排放控制措施达不到应有效率，故本次非正常工况情景主要设定为：项目</w:t>
      </w:r>
      <w:r>
        <w:rPr>
          <w:rFonts w:hint="default" w:ascii="Times New Roman" w:hAnsi="Times New Roman" w:cs="Times New Roman"/>
          <w:color w:val="000000" w:themeColor="text1"/>
          <w:spacing w:val="0"/>
          <w:sz w:val="24"/>
          <w:szCs w:val="24"/>
          <w:lang w:eastAsia="zh-CN"/>
          <w14:textFill>
            <w14:solidFill>
              <w14:schemeClr w14:val="tx1"/>
            </w14:solidFill>
          </w14:textFill>
        </w:rPr>
        <w:t>改性粒子熔融挤出</w:t>
      </w:r>
      <w:r>
        <w:rPr>
          <w:rFonts w:hint="default" w:ascii="Times New Roman" w:hAnsi="Times New Roman" w:cs="Times New Roman"/>
          <w:color w:val="000000" w:themeColor="text1"/>
          <w:spacing w:val="0"/>
          <w:sz w:val="24"/>
          <w:szCs w:val="24"/>
          <w14:textFill>
            <w14:solidFill>
              <w14:schemeClr w14:val="tx1"/>
            </w14:solidFill>
          </w14:textFill>
        </w:rPr>
        <w:t>工序配套的一套废气处理装置</w:t>
      </w:r>
      <w:r>
        <w:rPr>
          <w:rFonts w:hint="eastAsia" w:cs="Times New Roman"/>
          <w:color w:val="000000" w:themeColor="text1"/>
          <w:spacing w:val="0"/>
          <w:sz w:val="24"/>
          <w:szCs w:val="24"/>
          <w:lang w:val="en-US" w:eastAsia="zh-CN"/>
          <w14:textFill>
            <w14:solidFill>
              <w14:schemeClr w14:val="tx1"/>
            </w14:solidFill>
          </w14:textFill>
        </w:rPr>
        <w:t>故障</w:t>
      </w:r>
      <w:r>
        <w:rPr>
          <w:rFonts w:hint="default" w:ascii="Times New Roman" w:hAnsi="Times New Roman" w:cs="Times New Roman"/>
          <w:color w:val="000000" w:themeColor="text1"/>
          <w:spacing w:val="0"/>
          <w:sz w:val="24"/>
          <w:szCs w:val="24"/>
          <w14:textFill>
            <w14:solidFill>
              <w14:schemeClr w14:val="tx1"/>
            </w14:solidFill>
          </w14:textFill>
        </w:rPr>
        <w:t>和</w:t>
      </w:r>
      <w:r>
        <w:rPr>
          <w:rFonts w:hint="default" w:ascii="Times New Roman" w:hAnsi="Times New Roman" w:cs="Times New Roman"/>
          <w:color w:val="000000" w:themeColor="text1"/>
          <w:spacing w:val="0"/>
          <w:sz w:val="24"/>
          <w:szCs w:val="24"/>
          <w:lang w:eastAsia="zh-CN"/>
          <w14:textFill>
            <w14:solidFill>
              <w14:schemeClr w14:val="tx1"/>
            </w14:solidFill>
          </w14:textFill>
        </w:rPr>
        <w:t>拆包</w:t>
      </w:r>
      <w:r>
        <w:rPr>
          <w:rFonts w:hint="default" w:ascii="Times New Roman" w:hAnsi="Times New Roman" w:cs="Times New Roman"/>
          <w:color w:val="000000" w:themeColor="text1"/>
          <w:spacing w:val="0"/>
          <w:sz w:val="24"/>
          <w:szCs w:val="24"/>
          <w14:textFill>
            <w14:solidFill>
              <w14:schemeClr w14:val="tx1"/>
            </w14:solidFill>
          </w14:textFill>
        </w:rPr>
        <w:t>工序配套的一套废气处理装置</w:t>
      </w:r>
      <w:r>
        <w:rPr>
          <w:rFonts w:hint="eastAsia" w:cs="Times New Roman"/>
          <w:color w:val="000000" w:themeColor="text1"/>
          <w:spacing w:val="0"/>
          <w:sz w:val="24"/>
          <w:szCs w:val="24"/>
          <w:lang w:val="en-US" w:eastAsia="zh-CN"/>
          <w14:textFill>
            <w14:solidFill>
              <w14:schemeClr w14:val="tx1"/>
            </w14:solidFill>
          </w14:textFill>
        </w:rPr>
        <w:t>故障</w:t>
      </w:r>
      <w:r>
        <w:rPr>
          <w:rFonts w:hint="default" w:ascii="Times New Roman" w:hAnsi="Times New Roman" w:cs="Times New Roman"/>
          <w:color w:val="000000" w:themeColor="text1"/>
          <w:spacing w:val="0"/>
          <w:sz w:val="24"/>
          <w:szCs w:val="24"/>
          <w14:textFill>
            <w14:solidFill>
              <w14:schemeClr w14:val="tx1"/>
            </w14:solidFill>
          </w14:textFill>
        </w:rPr>
        <w:t>，</w:t>
      </w:r>
      <w:r>
        <w:rPr>
          <w:rFonts w:hint="eastAsia" w:cs="Times New Roman"/>
          <w:color w:val="000000" w:themeColor="text1"/>
          <w:spacing w:val="0"/>
          <w:sz w:val="24"/>
          <w:szCs w:val="24"/>
          <w:lang w:val="en-US" w:eastAsia="zh-CN"/>
          <w14:textFill>
            <w14:solidFill>
              <w14:schemeClr w14:val="tx1"/>
            </w14:solidFill>
          </w14:textFill>
        </w:rPr>
        <w:t>处理效率以50%计，</w:t>
      </w:r>
      <w:r>
        <w:rPr>
          <w:rFonts w:hint="default" w:ascii="Times New Roman" w:hAnsi="Times New Roman" w:cs="Times New Roman"/>
          <w:color w:val="000000" w:themeColor="text1"/>
          <w:spacing w:val="0"/>
          <w:sz w:val="24"/>
          <w:szCs w:val="24"/>
          <w14:textFill>
            <w14:solidFill>
              <w14:schemeClr w14:val="tx1"/>
            </w14:solidFill>
          </w14:textFill>
        </w:rPr>
        <w:t>拟建项目非正常工况下的废气污染源强核算情况详见表3.</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3</w:t>
      </w:r>
      <w:r>
        <w:rPr>
          <w:rFonts w:hint="default" w:ascii="Times New Roman" w:hAnsi="Times New Roman" w:cs="Times New Roman"/>
          <w:color w:val="000000" w:themeColor="text1"/>
          <w:spacing w:val="0"/>
          <w:sz w:val="24"/>
          <w:szCs w:val="24"/>
          <w14:textFill>
            <w14:solidFill>
              <w14:schemeClr w14:val="tx1"/>
            </w14:solidFill>
          </w14:textFill>
        </w:rPr>
        <w:t>-4。</w:t>
      </w:r>
    </w:p>
    <w:p w14:paraId="4966DB36">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表3.</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黑体" w:cs="Times New Roman"/>
          <w:color w:val="000000" w:themeColor="text1"/>
          <w:sz w:val="24"/>
          <w:szCs w:val="24"/>
          <w14:textFill>
            <w14:solidFill>
              <w14:schemeClr w14:val="tx1"/>
            </w14:solidFill>
          </w14:textFill>
        </w:rPr>
        <w:t>-</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黑体" w:cs="Times New Roman"/>
          <w:color w:val="000000" w:themeColor="text1"/>
          <w:sz w:val="24"/>
          <w:szCs w:val="24"/>
          <w14:textFill>
            <w14:solidFill>
              <w14:schemeClr w14:val="tx1"/>
            </w14:solidFill>
          </w14:textFill>
        </w:rPr>
        <w:t>非正常工况废气产生及排放情况表</w:t>
      </w:r>
    </w:p>
    <w:tbl>
      <w:tblPr>
        <w:tblStyle w:val="88"/>
        <w:tblW w:w="4994"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23"/>
        <w:gridCol w:w="1264"/>
        <w:gridCol w:w="1601"/>
        <w:gridCol w:w="1366"/>
        <w:gridCol w:w="1146"/>
        <w:gridCol w:w="1167"/>
        <w:gridCol w:w="994"/>
        <w:gridCol w:w="1424"/>
        <w:gridCol w:w="1478"/>
        <w:gridCol w:w="1419"/>
        <w:gridCol w:w="708"/>
        <w:gridCol w:w="569"/>
      </w:tblGrid>
      <w:tr w14:paraId="712569B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8" w:hRule="atLeast"/>
        </w:trPr>
        <w:tc>
          <w:tcPr>
            <w:tcW w:w="361" w:type="pct"/>
            <w:vMerge w:val="restart"/>
            <w:noWrap/>
            <w:vAlign w:val="center"/>
          </w:tcPr>
          <w:p w14:paraId="1FD8C8B7">
            <w:pPr>
              <w:widowControl/>
              <w:adjustRightInd w:val="0"/>
              <w:snapToGrid w:val="0"/>
              <w:jc w:val="center"/>
              <w:textAlignment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产生环节</w:t>
            </w:r>
          </w:p>
        </w:tc>
        <w:tc>
          <w:tcPr>
            <w:tcW w:w="446" w:type="pct"/>
            <w:vMerge w:val="restart"/>
            <w:noWrap/>
            <w:vAlign w:val="center"/>
          </w:tcPr>
          <w:p w14:paraId="62C0E7F4">
            <w:pPr>
              <w:widowControl/>
              <w:adjustRightInd w:val="0"/>
              <w:snapToGrid w:val="0"/>
              <w:jc w:val="center"/>
              <w:textAlignment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废气量m</w:t>
            </w:r>
            <w:r>
              <w:rPr>
                <w:rFonts w:hint="default" w:ascii="Times New Roman" w:hAnsi="Times New Roman" w:cs="Times New Roman"/>
                <w:b/>
                <w:bCs/>
                <w:color w:val="000000" w:themeColor="text1"/>
                <w:sz w:val="21"/>
                <w:szCs w:val="21"/>
                <w:vertAlign w:val="superscript"/>
                <w14:textFill>
                  <w14:solidFill>
                    <w14:schemeClr w14:val="tx1"/>
                  </w14:solidFill>
                </w14:textFill>
              </w:rPr>
              <w:t>3</w:t>
            </w:r>
            <w:r>
              <w:rPr>
                <w:rFonts w:hint="default" w:ascii="Times New Roman" w:hAnsi="Times New Roman" w:cs="Times New Roman"/>
                <w:b/>
                <w:bCs/>
                <w:color w:val="000000" w:themeColor="text1"/>
                <w:sz w:val="21"/>
                <w:szCs w:val="21"/>
                <w14:textFill>
                  <w14:solidFill>
                    <w14:schemeClr w14:val="tx1"/>
                  </w14:solidFill>
                </w14:textFill>
              </w:rPr>
              <w:t>/h</w:t>
            </w:r>
          </w:p>
        </w:tc>
        <w:tc>
          <w:tcPr>
            <w:tcW w:w="565" w:type="pct"/>
            <w:vMerge w:val="restart"/>
            <w:noWrap/>
            <w:vAlign w:val="center"/>
          </w:tcPr>
          <w:p w14:paraId="410E6EE7">
            <w:pPr>
              <w:widowControl/>
              <w:adjustRightInd w:val="0"/>
              <w:snapToGrid w:val="0"/>
              <w:jc w:val="center"/>
              <w:textAlignment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污染物</w:t>
            </w:r>
          </w:p>
        </w:tc>
        <w:tc>
          <w:tcPr>
            <w:tcW w:w="887" w:type="pct"/>
            <w:gridSpan w:val="2"/>
            <w:tcBorders>
              <w:right w:val="single" w:color="auto" w:sz="4" w:space="0"/>
            </w:tcBorders>
            <w:noWrap/>
            <w:vAlign w:val="center"/>
          </w:tcPr>
          <w:p w14:paraId="70C8FAF7">
            <w:pPr>
              <w:widowControl/>
              <w:adjustRightInd w:val="0"/>
              <w:snapToGrid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有组织产生量</w:t>
            </w:r>
          </w:p>
        </w:tc>
        <w:tc>
          <w:tcPr>
            <w:tcW w:w="412" w:type="pct"/>
            <w:vMerge w:val="restart"/>
            <w:noWrap/>
            <w:vAlign w:val="center"/>
          </w:tcPr>
          <w:p w14:paraId="49A2D0FD">
            <w:pPr>
              <w:widowControl/>
              <w:adjustRightInd w:val="0"/>
              <w:snapToGrid w:val="0"/>
              <w:jc w:val="center"/>
              <w:textAlignment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处理措施</w:t>
            </w:r>
          </w:p>
        </w:tc>
        <w:tc>
          <w:tcPr>
            <w:tcW w:w="351" w:type="pct"/>
            <w:vMerge w:val="restart"/>
            <w:noWrap/>
            <w:vAlign w:val="center"/>
          </w:tcPr>
          <w:p w14:paraId="698AA83D">
            <w:pPr>
              <w:widowControl/>
              <w:adjustRightInd w:val="0"/>
              <w:snapToGrid w:val="0"/>
              <w:jc w:val="center"/>
              <w:textAlignment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处理效率（%）</w:t>
            </w:r>
          </w:p>
        </w:tc>
        <w:tc>
          <w:tcPr>
            <w:tcW w:w="1024" w:type="pct"/>
            <w:gridSpan w:val="2"/>
            <w:tcBorders>
              <w:right w:val="single" w:color="auto" w:sz="4" w:space="0"/>
            </w:tcBorders>
            <w:noWrap/>
            <w:vAlign w:val="center"/>
          </w:tcPr>
          <w:p w14:paraId="7D4224AF">
            <w:pPr>
              <w:widowControl/>
              <w:adjustRightInd w:val="0"/>
              <w:snapToGrid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排放情况</w:t>
            </w:r>
          </w:p>
        </w:tc>
        <w:tc>
          <w:tcPr>
            <w:tcW w:w="501" w:type="pct"/>
            <w:vMerge w:val="restart"/>
            <w:noWrap/>
            <w:vAlign w:val="center"/>
          </w:tcPr>
          <w:p w14:paraId="5D8370BB">
            <w:pPr>
              <w:widowControl/>
              <w:adjustRightInd w:val="0"/>
              <w:snapToGrid w:val="0"/>
              <w:jc w:val="center"/>
              <w:textAlignment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标准限值mg/m</w:t>
            </w:r>
            <w:r>
              <w:rPr>
                <w:rFonts w:hint="default" w:ascii="Times New Roman" w:hAnsi="Times New Roman" w:cs="Times New Roman"/>
                <w:b/>
                <w:bCs/>
                <w:color w:val="000000" w:themeColor="text1"/>
                <w:sz w:val="21"/>
                <w:szCs w:val="21"/>
                <w:vertAlign w:val="superscript"/>
                <w14:textFill>
                  <w14:solidFill>
                    <w14:schemeClr w14:val="tx1"/>
                  </w14:solidFill>
                </w14:textFill>
              </w:rPr>
              <w:t>3</w:t>
            </w:r>
          </w:p>
        </w:tc>
        <w:tc>
          <w:tcPr>
            <w:tcW w:w="250" w:type="pct"/>
            <w:vMerge w:val="restart"/>
            <w:noWrap/>
            <w:vAlign w:val="center"/>
          </w:tcPr>
          <w:p w14:paraId="6E2BA1F2">
            <w:pPr>
              <w:widowControl/>
              <w:adjustRightInd w:val="0"/>
              <w:jc w:val="center"/>
              <w:textAlignment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非正常工况持续时间</w:t>
            </w:r>
          </w:p>
        </w:tc>
        <w:tc>
          <w:tcPr>
            <w:tcW w:w="200" w:type="pct"/>
            <w:vMerge w:val="restart"/>
            <w:noWrap/>
            <w:vAlign w:val="center"/>
          </w:tcPr>
          <w:p w14:paraId="7FA6E52E">
            <w:pPr>
              <w:widowControl/>
              <w:adjustRightInd w:val="0"/>
              <w:jc w:val="center"/>
              <w:textAlignment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年发生频次</w:t>
            </w:r>
          </w:p>
        </w:tc>
      </w:tr>
      <w:tr w14:paraId="77B1D0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361" w:type="pct"/>
            <w:vMerge w:val="continue"/>
            <w:noWrap/>
            <w:vAlign w:val="center"/>
          </w:tcPr>
          <w:p w14:paraId="2DDDD945">
            <w:pPr>
              <w:widowControl/>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446" w:type="pct"/>
            <w:vMerge w:val="continue"/>
            <w:noWrap/>
            <w:vAlign w:val="center"/>
          </w:tcPr>
          <w:p w14:paraId="70B0474C">
            <w:pPr>
              <w:widowControl/>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65" w:type="pct"/>
            <w:vMerge w:val="continue"/>
            <w:noWrap/>
            <w:vAlign w:val="center"/>
          </w:tcPr>
          <w:p w14:paraId="4C1E9463">
            <w:pPr>
              <w:widowControl/>
              <w:adjustRightInd w:val="0"/>
              <w:snapToGrid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482" w:type="pct"/>
            <w:noWrap/>
            <w:vAlign w:val="center"/>
          </w:tcPr>
          <w:p w14:paraId="3AD2505E">
            <w:pPr>
              <w:widowControl/>
              <w:adjustRightInd w:val="0"/>
              <w:snapToGrid w:val="0"/>
              <w:jc w:val="center"/>
              <w:textAlignment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浓度mg/m</w:t>
            </w:r>
            <w:r>
              <w:rPr>
                <w:rFonts w:hint="default" w:ascii="Times New Roman" w:hAnsi="Times New Roman" w:cs="Times New Roman"/>
                <w:b/>
                <w:bCs/>
                <w:color w:val="000000" w:themeColor="text1"/>
                <w:sz w:val="21"/>
                <w:szCs w:val="21"/>
                <w:vertAlign w:val="superscript"/>
                <w14:textFill>
                  <w14:solidFill>
                    <w14:schemeClr w14:val="tx1"/>
                  </w14:solidFill>
                </w14:textFill>
              </w:rPr>
              <w:t>3</w:t>
            </w:r>
          </w:p>
        </w:tc>
        <w:tc>
          <w:tcPr>
            <w:tcW w:w="404" w:type="pct"/>
            <w:tcBorders>
              <w:right w:val="single" w:color="auto" w:sz="4" w:space="0"/>
            </w:tcBorders>
            <w:noWrap/>
            <w:vAlign w:val="center"/>
          </w:tcPr>
          <w:p w14:paraId="476B7628">
            <w:pPr>
              <w:widowControl/>
              <w:adjustRightInd w:val="0"/>
              <w:snapToGrid w:val="0"/>
              <w:jc w:val="center"/>
              <w:textAlignment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速率kg/h</w:t>
            </w:r>
          </w:p>
        </w:tc>
        <w:tc>
          <w:tcPr>
            <w:tcW w:w="412" w:type="pct"/>
            <w:vMerge w:val="continue"/>
            <w:noWrap/>
            <w:vAlign w:val="center"/>
          </w:tcPr>
          <w:p w14:paraId="4E459E6D">
            <w:pPr>
              <w:widowControl/>
              <w:adjustRightInd w:val="0"/>
              <w:snapToGrid w:val="0"/>
              <w:jc w:val="center"/>
              <w:rPr>
                <w:rFonts w:hint="default" w:ascii="Times New Roman" w:hAnsi="Times New Roman" w:cs="Times New Roman"/>
                <w:b/>
                <w:bCs/>
                <w:color w:val="000000" w:themeColor="text1"/>
                <w:sz w:val="21"/>
                <w:szCs w:val="21"/>
                <w14:textFill>
                  <w14:solidFill>
                    <w14:schemeClr w14:val="tx1"/>
                  </w14:solidFill>
                </w14:textFill>
              </w:rPr>
            </w:pPr>
          </w:p>
        </w:tc>
        <w:tc>
          <w:tcPr>
            <w:tcW w:w="351" w:type="pct"/>
            <w:vMerge w:val="continue"/>
            <w:noWrap/>
            <w:vAlign w:val="center"/>
          </w:tcPr>
          <w:p w14:paraId="5D1DD8FC">
            <w:pPr>
              <w:widowControl/>
              <w:adjustRightInd w:val="0"/>
              <w:snapToGrid w:val="0"/>
              <w:jc w:val="center"/>
              <w:rPr>
                <w:rFonts w:hint="default" w:ascii="Times New Roman" w:hAnsi="Times New Roman" w:cs="Times New Roman"/>
                <w:b/>
                <w:bCs/>
                <w:color w:val="000000" w:themeColor="text1"/>
                <w:sz w:val="21"/>
                <w:szCs w:val="21"/>
                <w14:textFill>
                  <w14:solidFill>
                    <w14:schemeClr w14:val="tx1"/>
                  </w14:solidFill>
                </w14:textFill>
              </w:rPr>
            </w:pPr>
          </w:p>
        </w:tc>
        <w:tc>
          <w:tcPr>
            <w:tcW w:w="502" w:type="pct"/>
            <w:noWrap/>
            <w:vAlign w:val="center"/>
          </w:tcPr>
          <w:p w14:paraId="5CE863C6">
            <w:pPr>
              <w:widowControl/>
              <w:adjustRightInd w:val="0"/>
              <w:snapToGrid w:val="0"/>
              <w:jc w:val="center"/>
              <w:textAlignment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浓度mg/m</w:t>
            </w:r>
            <w:r>
              <w:rPr>
                <w:rFonts w:hint="default" w:ascii="Times New Roman" w:hAnsi="Times New Roman" w:cs="Times New Roman"/>
                <w:b/>
                <w:bCs/>
                <w:color w:val="000000" w:themeColor="text1"/>
                <w:sz w:val="21"/>
                <w:szCs w:val="21"/>
                <w:vertAlign w:val="superscript"/>
                <w14:textFill>
                  <w14:solidFill>
                    <w14:schemeClr w14:val="tx1"/>
                  </w14:solidFill>
                </w14:textFill>
              </w:rPr>
              <w:t>3</w:t>
            </w:r>
          </w:p>
        </w:tc>
        <w:tc>
          <w:tcPr>
            <w:tcW w:w="521" w:type="pct"/>
            <w:tcBorders>
              <w:right w:val="single" w:color="auto" w:sz="4" w:space="0"/>
            </w:tcBorders>
            <w:noWrap/>
            <w:vAlign w:val="center"/>
          </w:tcPr>
          <w:p w14:paraId="4671E402">
            <w:pPr>
              <w:widowControl/>
              <w:adjustRightInd w:val="0"/>
              <w:snapToGrid w:val="0"/>
              <w:jc w:val="center"/>
              <w:textAlignment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速率kg/h</w:t>
            </w:r>
          </w:p>
        </w:tc>
        <w:tc>
          <w:tcPr>
            <w:tcW w:w="501" w:type="pct"/>
            <w:vMerge w:val="continue"/>
            <w:noWrap/>
            <w:vAlign w:val="center"/>
          </w:tcPr>
          <w:p w14:paraId="78D84002">
            <w:pPr>
              <w:widowControl/>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250" w:type="pct"/>
            <w:vMerge w:val="continue"/>
            <w:noWrap/>
            <w:vAlign w:val="center"/>
          </w:tcPr>
          <w:p w14:paraId="48C01B40">
            <w:pPr>
              <w:widowControl/>
              <w:adjustRightInd w:val="0"/>
              <w:jc w:val="center"/>
              <w:rPr>
                <w:rFonts w:hint="default" w:ascii="Times New Roman" w:hAnsi="Times New Roman" w:cs="Times New Roman"/>
                <w:color w:val="000000" w:themeColor="text1"/>
                <w:sz w:val="21"/>
                <w:szCs w:val="21"/>
                <w14:textFill>
                  <w14:solidFill>
                    <w14:schemeClr w14:val="tx1"/>
                  </w14:solidFill>
                </w14:textFill>
              </w:rPr>
            </w:pPr>
          </w:p>
        </w:tc>
        <w:tc>
          <w:tcPr>
            <w:tcW w:w="200" w:type="pct"/>
            <w:vMerge w:val="continue"/>
            <w:noWrap/>
            <w:vAlign w:val="center"/>
          </w:tcPr>
          <w:p w14:paraId="1C1F1DAE">
            <w:pPr>
              <w:widowControl/>
              <w:adjustRightInd w:val="0"/>
              <w:jc w:val="center"/>
              <w:rPr>
                <w:rFonts w:hint="default" w:ascii="Times New Roman" w:hAnsi="Times New Roman" w:cs="Times New Roman"/>
                <w:color w:val="000000" w:themeColor="text1"/>
                <w:sz w:val="21"/>
                <w:szCs w:val="21"/>
                <w14:textFill>
                  <w14:solidFill>
                    <w14:schemeClr w14:val="tx1"/>
                  </w14:solidFill>
                </w14:textFill>
              </w:rPr>
            </w:pPr>
          </w:p>
        </w:tc>
      </w:tr>
      <w:tr w14:paraId="2F7EE5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361" w:type="pct"/>
            <w:vAlign w:val="center"/>
          </w:tcPr>
          <w:p w14:paraId="3FCA6D79">
            <w:pPr>
              <w:widowControl/>
              <w:adjustRightInd w:val="0"/>
              <w:snapToGrid w:val="0"/>
              <w:jc w:val="center"/>
              <w:textAlignment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改性粒子熔融挤出</w:t>
            </w:r>
          </w:p>
        </w:tc>
        <w:tc>
          <w:tcPr>
            <w:tcW w:w="446" w:type="pct"/>
            <w:noWrap/>
            <w:vAlign w:val="center"/>
          </w:tcPr>
          <w:p w14:paraId="0EFB8127">
            <w:pPr>
              <w:widowControl/>
              <w:adjustRightInd w:val="0"/>
              <w:snapToGrid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000</w:t>
            </w:r>
          </w:p>
        </w:tc>
        <w:tc>
          <w:tcPr>
            <w:tcW w:w="565" w:type="pct"/>
            <w:shd w:val="clear" w:color="auto" w:fill="auto"/>
            <w:noWrap/>
            <w:vAlign w:val="center"/>
          </w:tcPr>
          <w:p w14:paraId="25699DAA">
            <w:pPr>
              <w:pStyle w:val="251"/>
              <w:spacing w:line="276" w:lineRule="auto"/>
              <w:ind w:firstLine="0" w:firstLineChars="0"/>
              <w:jc w:val="center"/>
              <w:rPr>
                <w:rFonts w:hint="default"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1366" w:type="dxa"/>
            <w:shd w:val="clear" w:color="auto" w:fill="auto"/>
            <w:noWrap/>
            <w:vAlign w:val="center"/>
          </w:tcPr>
          <w:p w14:paraId="42833872">
            <w:pPr>
              <w:widowControl/>
              <w:spacing w:line="274"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34.58</w:t>
            </w:r>
          </w:p>
        </w:tc>
        <w:tc>
          <w:tcPr>
            <w:tcW w:w="1146" w:type="dxa"/>
            <w:shd w:val="clear" w:color="auto" w:fill="auto"/>
            <w:noWrap/>
            <w:vAlign w:val="center"/>
          </w:tcPr>
          <w:p w14:paraId="2E06EE48">
            <w:pPr>
              <w:widowControl/>
              <w:spacing w:line="274" w:lineRule="auto"/>
              <w:jc w:val="center"/>
              <w:textAlignment w:val="center"/>
              <w:rPr>
                <w:rFonts w:hint="default"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0.173</w:t>
            </w:r>
          </w:p>
        </w:tc>
        <w:tc>
          <w:tcPr>
            <w:tcW w:w="412" w:type="pct"/>
            <w:vAlign w:val="center"/>
          </w:tcPr>
          <w:p w14:paraId="4C5BA633">
            <w:pPr>
              <w:widowControl/>
              <w:adjustRightInd w:val="0"/>
              <w:snapToGrid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两级活性炭吸附</w:t>
            </w:r>
            <w:r>
              <w:rPr>
                <w:rFonts w:hint="default" w:ascii="Times New Roman" w:hAnsi="Times New Roman" w:cs="Times New Roman"/>
                <w:color w:val="000000" w:themeColor="text1"/>
                <w:sz w:val="21"/>
                <w:szCs w:val="21"/>
                <w14:textFill>
                  <w14:solidFill>
                    <w14:schemeClr w14:val="tx1"/>
                  </w14:solidFill>
                </w14:textFill>
              </w:rPr>
              <w:t>装置（TA00</w:t>
            </w:r>
            <w:r>
              <w:rPr>
                <w:rFonts w:hint="default" w:ascii="Times New Roman" w:hAnsi="Times New Roman" w:cs="Times New Roman"/>
                <w:color w:val="000000" w:themeColor="text1"/>
                <w:sz w:val="21"/>
                <w:szCs w:val="21"/>
                <w:lang w:val="en-US" w:eastAsia="zh-CN"/>
                <w14:textFill>
                  <w14:solidFill>
                    <w14:schemeClr w14:val="tx1"/>
                  </w14:solidFill>
                </w14:textFill>
              </w:rPr>
              <w:t>1</w:t>
            </w:r>
            <w:r>
              <w:rPr>
                <w:rFonts w:hint="default" w:ascii="Times New Roman" w:hAnsi="Times New Roman" w:cs="Times New Roman"/>
                <w:color w:val="000000" w:themeColor="text1"/>
                <w:sz w:val="21"/>
                <w:szCs w:val="21"/>
                <w14:textFill>
                  <w14:solidFill>
                    <w14:schemeClr w14:val="tx1"/>
                  </w14:solidFill>
                </w14:textFill>
              </w:rPr>
              <w:t>）</w:t>
            </w:r>
          </w:p>
        </w:tc>
        <w:tc>
          <w:tcPr>
            <w:tcW w:w="351" w:type="pct"/>
            <w:noWrap/>
            <w:vAlign w:val="center"/>
          </w:tcPr>
          <w:p w14:paraId="6B51489F">
            <w:pPr>
              <w:widowControl/>
              <w:adjustRightInd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50</w:t>
            </w:r>
          </w:p>
        </w:tc>
        <w:tc>
          <w:tcPr>
            <w:tcW w:w="502" w:type="pct"/>
            <w:noWrap/>
            <w:vAlign w:val="center"/>
          </w:tcPr>
          <w:p w14:paraId="4D51FFAD">
            <w:pPr>
              <w:widowControl/>
              <w:adjustRightInd w:val="0"/>
              <w:snapToGrid w:val="0"/>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17.29</w:t>
            </w:r>
          </w:p>
        </w:tc>
        <w:tc>
          <w:tcPr>
            <w:tcW w:w="521" w:type="pct"/>
            <w:noWrap/>
            <w:vAlign w:val="center"/>
          </w:tcPr>
          <w:p w14:paraId="025E486B">
            <w:pPr>
              <w:widowControl/>
              <w:adjustRightInd w:val="0"/>
              <w:snapToGrid w:val="0"/>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089</w:t>
            </w:r>
          </w:p>
        </w:tc>
        <w:tc>
          <w:tcPr>
            <w:tcW w:w="501" w:type="pct"/>
            <w:noWrap/>
            <w:vAlign w:val="center"/>
          </w:tcPr>
          <w:p w14:paraId="459C9314">
            <w:pPr>
              <w:widowControl/>
              <w:adjustRightInd w:val="0"/>
              <w:snapToGrid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w:t>
            </w:r>
            <w:r>
              <w:rPr>
                <w:rFonts w:hint="default" w:ascii="Times New Roman" w:hAnsi="Times New Roman" w:cs="Times New Roman"/>
                <w:color w:val="000000" w:themeColor="text1"/>
                <w:sz w:val="21"/>
                <w:szCs w:val="21"/>
                <w14:textFill>
                  <w14:solidFill>
                    <w14:schemeClr w14:val="tx1"/>
                  </w14:solidFill>
                </w14:textFill>
              </w:rPr>
              <w:t>0</w:t>
            </w:r>
          </w:p>
        </w:tc>
        <w:tc>
          <w:tcPr>
            <w:tcW w:w="250" w:type="pct"/>
            <w:noWrap/>
            <w:vAlign w:val="center"/>
          </w:tcPr>
          <w:p w14:paraId="29346032">
            <w:pPr>
              <w:widowControl/>
              <w:adjustRightInd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r>
              <w:rPr>
                <w:rFonts w:hint="default" w:ascii="Times New Roman" w:hAnsi="Times New Roman" w:cs="Times New Roman"/>
                <w:color w:val="000000" w:themeColor="text1"/>
                <w:sz w:val="21"/>
                <w:szCs w:val="21"/>
                <w14:textFill>
                  <w14:solidFill>
                    <w14:schemeClr w14:val="tx1"/>
                  </w14:solidFill>
                </w14:textFill>
              </w:rPr>
              <w:t>h/次</w:t>
            </w:r>
          </w:p>
        </w:tc>
        <w:tc>
          <w:tcPr>
            <w:tcW w:w="200" w:type="pct"/>
            <w:noWrap/>
            <w:vAlign w:val="center"/>
          </w:tcPr>
          <w:p w14:paraId="445DC419">
            <w:pPr>
              <w:widowControl/>
              <w:adjustRightInd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1年</w:t>
            </w:r>
            <w:r>
              <w:rPr>
                <w:rFonts w:hint="default" w:ascii="Times New Roman" w:hAnsi="Times New Roman" w:cs="Times New Roman"/>
                <w:color w:val="000000" w:themeColor="text1"/>
                <w:sz w:val="21"/>
                <w:szCs w:val="21"/>
                <w:lang w:val="en-US" w:eastAsia="zh-CN"/>
                <w14:textFill>
                  <w14:solidFill>
                    <w14:schemeClr w14:val="tx1"/>
                  </w14:solidFill>
                </w14:textFill>
              </w:rPr>
              <w:t>1</w:t>
            </w:r>
            <w:r>
              <w:rPr>
                <w:rFonts w:hint="default" w:ascii="Times New Roman" w:hAnsi="Times New Roman" w:cs="Times New Roman"/>
                <w:color w:val="000000" w:themeColor="text1"/>
                <w:sz w:val="21"/>
                <w:szCs w:val="21"/>
                <w14:textFill>
                  <w14:solidFill>
                    <w14:schemeClr w14:val="tx1"/>
                  </w14:solidFill>
                </w14:textFill>
              </w:rPr>
              <w:t>次</w:t>
            </w:r>
          </w:p>
        </w:tc>
      </w:tr>
      <w:tr w14:paraId="2A48E9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361" w:type="pct"/>
            <w:vAlign w:val="center"/>
          </w:tcPr>
          <w:p w14:paraId="38EF63C9">
            <w:pPr>
              <w:widowControl/>
              <w:adjustRightInd w:val="0"/>
              <w:snapToGrid w:val="0"/>
              <w:jc w:val="center"/>
              <w:textAlignment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拆包</w:t>
            </w:r>
          </w:p>
        </w:tc>
        <w:tc>
          <w:tcPr>
            <w:tcW w:w="446" w:type="pct"/>
            <w:noWrap/>
            <w:vAlign w:val="center"/>
          </w:tcPr>
          <w:p w14:paraId="4EF0FD21">
            <w:pPr>
              <w:widowControl/>
              <w:adjustRightInd w:val="0"/>
              <w:snapToGrid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55</w:t>
            </w:r>
            <w:r>
              <w:rPr>
                <w:rFonts w:hint="default" w:ascii="Times New Roman" w:hAnsi="Times New Roman" w:cs="Times New Roman"/>
                <w:color w:val="000000" w:themeColor="text1"/>
                <w:sz w:val="21"/>
                <w:szCs w:val="21"/>
                <w14:textFill>
                  <w14:solidFill>
                    <w14:schemeClr w14:val="tx1"/>
                  </w14:solidFill>
                </w14:textFill>
              </w:rPr>
              <w:t>00</w:t>
            </w:r>
          </w:p>
        </w:tc>
        <w:tc>
          <w:tcPr>
            <w:tcW w:w="565" w:type="pct"/>
            <w:noWrap/>
            <w:vAlign w:val="center"/>
          </w:tcPr>
          <w:p w14:paraId="61D8C021">
            <w:pPr>
              <w:widowControl/>
              <w:adjustRightInd w:val="0"/>
              <w:snapToGrid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颗粒物</w:t>
            </w:r>
          </w:p>
        </w:tc>
        <w:tc>
          <w:tcPr>
            <w:tcW w:w="1366" w:type="dxa"/>
            <w:noWrap/>
            <w:vAlign w:val="center"/>
          </w:tcPr>
          <w:p w14:paraId="27CA53F1">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385.61</w:t>
            </w:r>
          </w:p>
        </w:tc>
        <w:tc>
          <w:tcPr>
            <w:tcW w:w="1146" w:type="dxa"/>
            <w:noWrap/>
            <w:vAlign w:val="center"/>
          </w:tcPr>
          <w:p w14:paraId="74EC64F8">
            <w:pPr>
              <w:spacing w:line="27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2.121</w:t>
            </w:r>
          </w:p>
        </w:tc>
        <w:tc>
          <w:tcPr>
            <w:tcW w:w="412" w:type="pct"/>
            <w:vAlign w:val="center"/>
          </w:tcPr>
          <w:p w14:paraId="5C2E809E">
            <w:pPr>
              <w:widowControl/>
              <w:adjustRightInd w:val="0"/>
              <w:snapToGrid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布袋除尘器</w:t>
            </w:r>
            <w:r>
              <w:rPr>
                <w:rFonts w:hint="default" w:ascii="Times New Roman" w:hAnsi="Times New Roman" w:cs="Times New Roman"/>
                <w:color w:val="000000" w:themeColor="text1"/>
                <w:sz w:val="21"/>
                <w:szCs w:val="21"/>
                <w14:textFill>
                  <w14:solidFill>
                    <w14:schemeClr w14:val="tx1"/>
                  </w14:solidFill>
                </w14:textFill>
              </w:rPr>
              <w:t>（TA00</w:t>
            </w:r>
            <w:r>
              <w:rPr>
                <w:rFonts w:hint="default"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w:t>
            </w:r>
          </w:p>
        </w:tc>
        <w:tc>
          <w:tcPr>
            <w:tcW w:w="351" w:type="pct"/>
            <w:noWrap/>
            <w:vAlign w:val="center"/>
          </w:tcPr>
          <w:p w14:paraId="227B68E8">
            <w:pPr>
              <w:widowControl/>
              <w:adjustRightInd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50</w:t>
            </w:r>
          </w:p>
        </w:tc>
        <w:tc>
          <w:tcPr>
            <w:tcW w:w="502" w:type="pct"/>
            <w:noWrap/>
            <w:vAlign w:val="center"/>
          </w:tcPr>
          <w:p w14:paraId="4544651B">
            <w:pPr>
              <w:widowControl/>
              <w:adjustRightInd w:val="0"/>
              <w:snapToGrid w:val="0"/>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192.805</w:t>
            </w:r>
          </w:p>
        </w:tc>
        <w:tc>
          <w:tcPr>
            <w:tcW w:w="521" w:type="pct"/>
            <w:noWrap/>
            <w:vAlign w:val="center"/>
          </w:tcPr>
          <w:p w14:paraId="77223233">
            <w:pPr>
              <w:widowControl/>
              <w:adjustRightInd w:val="0"/>
              <w:snapToGrid w:val="0"/>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1.061</w:t>
            </w:r>
          </w:p>
        </w:tc>
        <w:tc>
          <w:tcPr>
            <w:tcW w:w="501" w:type="pct"/>
            <w:noWrap/>
            <w:vAlign w:val="center"/>
          </w:tcPr>
          <w:p w14:paraId="497441A2">
            <w:pPr>
              <w:widowControl/>
              <w:adjustRightInd w:val="0"/>
              <w:snapToGrid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default"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0</w:t>
            </w:r>
          </w:p>
        </w:tc>
        <w:tc>
          <w:tcPr>
            <w:tcW w:w="250" w:type="pct"/>
            <w:noWrap/>
            <w:vAlign w:val="center"/>
          </w:tcPr>
          <w:p w14:paraId="1B176CF5">
            <w:pPr>
              <w:widowControl/>
              <w:adjustRightInd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r>
              <w:rPr>
                <w:rFonts w:hint="default" w:ascii="Times New Roman" w:hAnsi="Times New Roman" w:cs="Times New Roman"/>
                <w:color w:val="000000" w:themeColor="text1"/>
                <w:sz w:val="21"/>
                <w:szCs w:val="21"/>
                <w14:textFill>
                  <w14:solidFill>
                    <w14:schemeClr w14:val="tx1"/>
                  </w14:solidFill>
                </w14:textFill>
              </w:rPr>
              <w:t>h/次</w:t>
            </w:r>
          </w:p>
        </w:tc>
        <w:tc>
          <w:tcPr>
            <w:tcW w:w="200" w:type="pct"/>
            <w:noWrap/>
            <w:vAlign w:val="center"/>
          </w:tcPr>
          <w:p w14:paraId="708E54CB">
            <w:pPr>
              <w:widowControl/>
              <w:adjustRightInd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1年</w:t>
            </w:r>
            <w:r>
              <w:rPr>
                <w:rFonts w:hint="default" w:ascii="Times New Roman" w:hAnsi="Times New Roman" w:cs="Times New Roman"/>
                <w:color w:val="000000" w:themeColor="text1"/>
                <w:sz w:val="21"/>
                <w:szCs w:val="21"/>
                <w:lang w:val="en-US" w:eastAsia="zh-CN"/>
                <w14:textFill>
                  <w14:solidFill>
                    <w14:schemeClr w14:val="tx1"/>
                  </w14:solidFill>
                </w14:textFill>
              </w:rPr>
              <w:t>1</w:t>
            </w:r>
            <w:r>
              <w:rPr>
                <w:rFonts w:hint="default" w:ascii="Times New Roman" w:hAnsi="Times New Roman" w:cs="Times New Roman"/>
                <w:color w:val="000000" w:themeColor="text1"/>
                <w:sz w:val="21"/>
                <w:szCs w:val="21"/>
                <w14:textFill>
                  <w14:solidFill>
                    <w14:schemeClr w14:val="tx1"/>
                  </w14:solidFill>
                </w14:textFill>
              </w:rPr>
              <w:t>次</w:t>
            </w:r>
          </w:p>
        </w:tc>
      </w:tr>
    </w:tbl>
    <w:p w14:paraId="1868A9CB">
      <w:pPr>
        <w:spacing w:line="360" w:lineRule="auto"/>
        <w:ind w:firstLine="480" w:firstLineChars="200"/>
        <w:rPr>
          <w:rFonts w:hint="default" w:ascii="Times New Roman" w:hAnsi="Times New Roman" w:cs="Times New Roman"/>
          <w:snapToGrid w:val="0"/>
          <w:color w:val="000000" w:themeColor="text1"/>
          <w:spacing w:val="0"/>
          <w:kern w:val="2"/>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由上表可知，拟建项目</w:t>
      </w:r>
      <w:r>
        <w:rPr>
          <w:rFonts w:hint="default" w:ascii="Times New Roman" w:hAnsi="Times New Roman" w:cs="Times New Roman"/>
          <w:color w:val="000000" w:themeColor="text1"/>
          <w:spacing w:val="0"/>
          <w:sz w:val="24"/>
          <w:szCs w:val="24"/>
          <w:lang w:eastAsia="zh-CN"/>
          <w14:textFill>
            <w14:solidFill>
              <w14:schemeClr w14:val="tx1"/>
            </w14:solidFill>
          </w14:textFill>
        </w:rPr>
        <w:t>改性粒子熔融挤出</w:t>
      </w:r>
      <w:r>
        <w:rPr>
          <w:rFonts w:hint="default" w:ascii="Times New Roman" w:hAnsi="Times New Roman" w:cs="Times New Roman"/>
          <w:color w:val="000000" w:themeColor="text1"/>
          <w:spacing w:val="0"/>
          <w:sz w:val="24"/>
          <w:szCs w:val="24"/>
          <w14:textFill>
            <w14:solidFill>
              <w14:schemeClr w14:val="tx1"/>
            </w14:solidFill>
          </w14:textFill>
        </w:rPr>
        <w:t>工序废气处理装置失效情景下，该环节产生的</w:t>
      </w:r>
      <w:r>
        <w:rPr>
          <w:rFonts w:hint="default" w:ascii="Times New Roman" w:hAnsi="Times New Roman" w:cs="Times New Roman"/>
          <w:color w:val="000000" w:themeColor="text1"/>
          <w:spacing w:val="0"/>
          <w:sz w:val="24"/>
          <w:szCs w:val="24"/>
          <w:lang w:eastAsia="zh-CN"/>
          <w14:textFill>
            <w14:solidFill>
              <w14:schemeClr w14:val="tx1"/>
            </w14:solidFill>
          </w14:textFill>
        </w:rPr>
        <w:t>非甲烷总烃</w:t>
      </w:r>
      <w:r>
        <w:rPr>
          <w:rFonts w:hint="default" w:ascii="Times New Roman" w:hAnsi="Times New Roman" w:cs="Times New Roman"/>
          <w:color w:val="000000" w:themeColor="text1"/>
          <w:spacing w:val="0"/>
          <w:sz w:val="24"/>
          <w:szCs w:val="24"/>
          <w14:textFill>
            <w14:solidFill>
              <w14:schemeClr w14:val="tx1"/>
            </w14:solidFill>
          </w14:textFill>
        </w:rPr>
        <w:t>排放浓度能满足相应大气污染物排放限值要求；</w:t>
      </w:r>
      <w:r>
        <w:rPr>
          <w:rFonts w:hint="default" w:ascii="Times New Roman" w:hAnsi="Times New Roman" w:cs="Times New Roman"/>
          <w:color w:val="000000" w:themeColor="text1"/>
          <w:spacing w:val="0"/>
          <w:sz w:val="24"/>
          <w:szCs w:val="24"/>
          <w:lang w:eastAsia="zh-CN"/>
          <w14:textFill>
            <w14:solidFill>
              <w14:schemeClr w14:val="tx1"/>
            </w14:solidFill>
          </w14:textFill>
        </w:rPr>
        <w:t>拆包</w:t>
      </w:r>
      <w:r>
        <w:rPr>
          <w:rFonts w:hint="default" w:ascii="Times New Roman" w:hAnsi="Times New Roman" w:cs="Times New Roman"/>
          <w:color w:val="000000" w:themeColor="text1"/>
          <w:spacing w:val="0"/>
          <w:sz w:val="24"/>
          <w:szCs w:val="24"/>
          <w14:textFill>
            <w14:solidFill>
              <w14:schemeClr w14:val="tx1"/>
            </w14:solidFill>
          </w14:textFill>
        </w:rPr>
        <w:t>工序废气处理装置失效情景下，项目该环节产生的</w:t>
      </w:r>
      <w:r>
        <w:rPr>
          <w:rFonts w:hint="eastAsia" w:cs="Times New Roman"/>
          <w:color w:val="000000" w:themeColor="text1"/>
          <w:spacing w:val="0"/>
          <w:sz w:val="24"/>
          <w:szCs w:val="24"/>
          <w:lang w:val="en-US" w:eastAsia="zh-CN"/>
          <w14:textFill>
            <w14:solidFill>
              <w14:schemeClr w14:val="tx1"/>
            </w14:solidFill>
          </w14:textFill>
        </w:rPr>
        <w:t>颗粒物</w:t>
      </w:r>
      <w:r>
        <w:rPr>
          <w:rFonts w:hint="default" w:ascii="Times New Roman" w:hAnsi="Times New Roman" w:cs="Times New Roman"/>
          <w:color w:val="000000" w:themeColor="text1"/>
          <w:spacing w:val="0"/>
          <w:sz w:val="24"/>
          <w:szCs w:val="24"/>
          <w14:textFill>
            <w14:solidFill>
              <w14:schemeClr w14:val="tx1"/>
            </w14:solidFill>
          </w14:textFill>
        </w:rPr>
        <w:t>排放浓度不能满足相应大气污染物排放限值要求，故为确保区域大气环境容量和园区环境质量目标的改善，建设单位在日常运行情况下，应避免污染物排放控制措施达不到应有效率等非正常工况的产生，减少污染物的非正常工况排放，做好防范工作</w:t>
      </w:r>
      <w:r>
        <w:rPr>
          <w:rFonts w:hint="default" w:ascii="Times New Roman" w:hAnsi="Times New Roman" w:cs="Times New Roman"/>
          <w:snapToGrid w:val="0"/>
          <w:color w:val="000000" w:themeColor="text1"/>
          <w:spacing w:val="0"/>
          <w:kern w:val="2"/>
          <w:sz w:val="24"/>
          <w:szCs w:val="24"/>
          <w14:textFill>
            <w14:solidFill>
              <w14:schemeClr w14:val="tx1"/>
            </w14:solidFill>
          </w14:textFill>
        </w:rPr>
        <w:t>：</w:t>
      </w:r>
    </w:p>
    <w:p w14:paraId="3CA61D87">
      <w:pPr>
        <w:spacing w:line="360" w:lineRule="auto"/>
        <w:ind w:firstLine="480" w:firstLineChars="200"/>
        <w:rPr>
          <w:rFonts w:hint="default" w:ascii="Times New Roman" w:hAnsi="Times New Roman" w:cs="Times New Roman"/>
          <w:snapToGrid w:val="0"/>
          <w:color w:val="000000" w:themeColor="text1"/>
          <w:spacing w:val="0"/>
          <w:kern w:val="2"/>
          <w:sz w:val="24"/>
          <w:szCs w:val="24"/>
          <w14:textFill>
            <w14:solidFill>
              <w14:schemeClr w14:val="tx1"/>
            </w14:solidFill>
          </w14:textFill>
        </w:rPr>
      </w:pPr>
      <w:r>
        <w:rPr>
          <w:rFonts w:hint="default" w:ascii="Times New Roman" w:hAnsi="Times New Roman" w:cs="Times New Roman"/>
          <w:snapToGrid w:val="0"/>
          <w:color w:val="000000" w:themeColor="text1"/>
          <w:spacing w:val="0"/>
          <w:kern w:val="2"/>
          <w:sz w:val="24"/>
          <w:szCs w:val="24"/>
          <w14:textFill>
            <w14:solidFill>
              <w14:schemeClr w14:val="tx1"/>
            </w14:solidFill>
          </w14:textFill>
        </w:rPr>
        <w:t>①平时注意废气处理设施的维护，及时发现处理设备的隐患，确保废气处理系统正常运行；开、停、检修要有预案，有严密周全的计划，确保不发生非正常排放，或使影响最小。</w:t>
      </w:r>
    </w:p>
    <w:p w14:paraId="781FD666">
      <w:pPr>
        <w:spacing w:line="360" w:lineRule="auto"/>
        <w:ind w:firstLine="480" w:firstLineChars="200"/>
        <w:rPr>
          <w:rFonts w:hint="default" w:ascii="Times New Roman" w:hAnsi="Times New Roman" w:cs="Times New Roman"/>
          <w:snapToGrid w:val="0"/>
          <w:color w:val="000000" w:themeColor="text1"/>
          <w:spacing w:val="0"/>
          <w:kern w:val="2"/>
          <w:sz w:val="24"/>
          <w:szCs w:val="24"/>
          <w14:textFill>
            <w14:solidFill>
              <w14:schemeClr w14:val="tx1"/>
            </w14:solidFill>
          </w14:textFill>
        </w:rPr>
      </w:pPr>
      <w:r>
        <w:rPr>
          <w:rFonts w:hint="default" w:ascii="Times New Roman" w:hAnsi="Times New Roman" w:cs="Times New Roman"/>
          <w:snapToGrid w:val="0"/>
          <w:color w:val="000000" w:themeColor="text1"/>
          <w:spacing w:val="0"/>
          <w:kern w:val="2"/>
          <w:sz w:val="24"/>
          <w:szCs w:val="24"/>
          <w14:textFill>
            <w14:solidFill>
              <w14:schemeClr w14:val="tx1"/>
            </w14:solidFill>
          </w14:textFill>
        </w:rPr>
        <w:t>②应设有备用电源和备用处理设备和零件，以备停电或设备出现故障时保障及时更换使废气全部做到达标排放。</w:t>
      </w:r>
    </w:p>
    <w:p w14:paraId="6F3D1429">
      <w:pPr>
        <w:spacing w:line="360" w:lineRule="auto"/>
        <w:ind w:firstLine="480" w:firstLineChars="200"/>
        <w:rPr>
          <w:rFonts w:hint="default" w:ascii="Times New Roman" w:hAnsi="Times New Roman" w:cs="Times New Roman"/>
          <w:snapToGrid w:val="0"/>
          <w:color w:val="000000" w:themeColor="text1"/>
          <w:spacing w:val="0"/>
          <w:kern w:val="2"/>
          <w:sz w:val="24"/>
          <w:szCs w:val="24"/>
          <w14:textFill>
            <w14:solidFill>
              <w14:schemeClr w14:val="tx1"/>
            </w14:solidFill>
          </w14:textFill>
        </w:rPr>
      </w:pPr>
      <w:r>
        <w:rPr>
          <w:rFonts w:hint="default" w:ascii="Times New Roman" w:hAnsi="Times New Roman" w:cs="Times New Roman"/>
          <w:snapToGrid w:val="0"/>
          <w:color w:val="000000" w:themeColor="text1"/>
          <w:spacing w:val="0"/>
          <w:kern w:val="2"/>
          <w:sz w:val="24"/>
          <w:szCs w:val="24"/>
          <w14:textFill>
            <w14:solidFill>
              <w14:schemeClr w14:val="tx1"/>
            </w14:solidFill>
          </w14:textFill>
        </w:rPr>
        <w:t>③对员工进行岗位培训。做好值班记录，实行岗位责任制。</w:t>
      </w:r>
    </w:p>
    <w:p w14:paraId="7E8897D4">
      <w:pPr>
        <w:adjustRightInd w:val="0"/>
        <w:spacing w:line="360" w:lineRule="auto"/>
        <w:ind w:firstLine="480" w:firstLineChars="200"/>
        <w:rPr>
          <w:rFonts w:hint="default" w:ascii="Times New Roman" w:hAnsi="Times New Roman" w:cs="Times New Roman"/>
          <w:snapToGrid w:val="0"/>
          <w:color w:val="000000" w:themeColor="text1"/>
          <w:spacing w:val="0"/>
          <w:kern w:val="2"/>
          <w:sz w:val="24"/>
          <w:szCs w:val="24"/>
          <w14:textFill>
            <w14:solidFill>
              <w14:schemeClr w14:val="tx1"/>
            </w14:solidFill>
          </w14:textFill>
        </w:rPr>
        <w:sectPr>
          <w:pgSz w:w="16840" w:h="11907" w:orient="landscape"/>
          <w:pgMar w:top="1797" w:right="1440" w:bottom="1361" w:left="1440" w:header="851" w:footer="992" w:gutter="0"/>
          <w:pgBorders>
            <w:top w:val="none" w:sz="0" w:space="0"/>
            <w:left w:val="none" w:sz="0" w:space="0"/>
            <w:bottom w:val="none" w:sz="0" w:space="0"/>
            <w:right w:val="none" w:sz="0" w:space="0"/>
          </w:pgBorders>
          <w:cols w:space="720" w:num="1"/>
          <w:docGrid w:type="lines" w:linePitch="312" w:charSpace="0"/>
        </w:sectPr>
      </w:pPr>
    </w:p>
    <w:p w14:paraId="3B4B169D">
      <w:pPr>
        <w:pStyle w:val="3159"/>
        <w:rPr>
          <w:rFonts w:hint="default" w:ascii="Times New Roman" w:hAnsi="Times New Roman" w:eastAsia="黑体" w:cs="Times New Roman"/>
          <w:b w:val="0"/>
          <w:color w:val="000000" w:themeColor="text1"/>
          <w14:textFill>
            <w14:solidFill>
              <w14:schemeClr w14:val="tx1"/>
            </w14:solidFill>
          </w14:textFill>
        </w:rPr>
      </w:pPr>
      <w:bookmarkStart w:id="57" w:name="_Toc173837658"/>
      <w:r>
        <w:rPr>
          <w:rFonts w:hint="default" w:ascii="Times New Roman" w:hAnsi="Times New Roman" w:eastAsia="黑体" w:cs="Times New Roman"/>
          <w:b w:val="0"/>
          <w:color w:val="000000" w:themeColor="text1"/>
          <w14:textFill>
            <w14:solidFill>
              <w14:schemeClr w14:val="tx1"/>
            </w14:solidFill>
          </w14:textFill>
        </w:rPr>
        <w:t>3.</w:t>
      </w:r>
      <w:r>
        <w:rPr>
          <w:rFonts w:hint="default" w:ascii="Times New Roman" w:hAnsi="Times New Roman" w:eastAsia="黑体" w:cs="Times New Roman"/>
          <w:b w:val="0"/>
          <w:color w:val="000000" w:themeColor="text1"/>
          <w:lang w:val="en-US" w:eastAsia="zh-CN"/>
          <w14:textFill>
            <w14:solidFill>
              <w14:schemeClr w14:val="tx1"/>
            </w14:solidFill>
          </w14:textFill>
        </w:rPr>
        <w:t>3</w:t>
      </w:r>
      <w:r>
        <w:rPr>
          <w:rFonts w:hint="default" w:ascii="Times New Roman" w:hAnsi="Times New Roman" w:eastAsia="黑体" w:cs="Times New Roman"/>
          <w:b w:val="0"/>
          <w:color w:val="000000" w:themeColor="text1"/>
          <w14:textFill>
            <w14:solidFill>
              <w14:schemeClr w14:val="tx1"/>
            </w14:solidFill>
          </w14:textFill>
        </w:rPr>
        <w:t>.2废水污染源分析</w:t>
      </w:r>
      <w:bookmarkEnd w:id="57"/>
    </w:p>
    <w:p w14:paraId="5E5A2F28">
      <w:pPr>
        <w:spacing w:line="360" w:lineRule="auto"/>
        <w:ind w:firstLine="480" w:firstLineChars="200"/>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本项目产生的废水主要为职工生活污水、瓶片清洗废水、地面清洗废水、软水制备废水、冷却水。</w:t>
      </w:r>
    </w:p>
    <w:p w14:paraId="6B04AA66">
      <w:pPr>
        <w:spacing w:line="360" w:lineRule="auto"/>
        <w:ind w:firstLine="480" w:firstLineChars="200"/>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（1）生活污水</w:t>
      </w:r>
    </w:p>
    <w:p w14:paraId="1396A479">
      <w:pPr>
        <w:spacing w:line="360" w:lineRule="auto"/>
        <w:ind w:firstLine="480" w:firstLineChars="200"/>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本项目定员50人，职工均为当地人，厂内不提供食堂和住宿，根据《安徽省行业用水定额》（</w:t>
      </w:r>
      <w:r>
        <w:rPr>
          <w:rFonts w:hint="default" w:ascii="Times New Roman" w:hAnsi="Times New Roman" w:cs="Times New Roman"/>
          <w:color w:val="000000" w:themeColor="text1"/>
          <w:spacing w:val="0"/>
          <w:sz w:val="24"/>
          <w:szCs w:val="24"/>
          <w:lang w:eastAsia="zh-CN"/>
          <w14:textFill>
            <w14:solidFill>
              <w14:schemeClr w14:val="tx1"/>
            </w14:solidFill>
          </w14:textFill>
        </w:rPr>
        <w:t>DB34/T 679-2025</w:t>
      </w:r>
      <w:r>
        <w:rPr>
          <w:rFonts w:hint="default" w:ascii="Times New Roman" w:hAnsi="Times New Roman" w:cs="Times New Roman"/>
          <w:color w:val="000000" w:themeColor="text1"/>
          <w:spacing w:val="0"/>
          <w:sz w:val="24"/>
          <w:szCs w:val="24"/>
          <w14:textFill>
            <w14:solidFill>
              <w14:schemeClr w14:val="tx1"/>
            </w14:solidFill>
          </w14:textFill>
        </w:rPr>
        <w:t>），职工人均用水量按</w:t>
      </w:r>
      <w:r>
        <w:rPr>
          <w:rFonts w:hint="eastAsia" w:cs="Times New Roman"/>
          <w:color w:val="000000" w:themeColor="text1"/>
          <w:spacing w:val="0"/>
          <w:sz w:val="24"/>
          <w:szCs w:val="24"/>
          <w:lang w:val="en-US" w:eastAsia="zh-CN"/>
          <w14:textFill>
            <w14:solidFill>
              <w14:schemeClr w14:val="tx1"/>
            </w14:solidFill>
          </w14:textFill>
        </w:rPr>
        <w:t>15</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m</w:t>
      </w:r>
      <w:r>
        <w:rPr>
          <w:rFonts w:hint="default" w:ascii="Times New Roman" w:hAnsi="Times New Roman" w:cs="Times New Roman"/>
          <w:color w:val="000000" w:themeColor="text1"/>
          <w:spacing w:val="0"/>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/人</w:t>
      </w:r>
      <w:r>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t>·</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a</w:t>
      </w:r>
      <w:r>
        <w:rPr>
          <w:rFonts w:hint="default" w:ascii="Times New Roman" w:hAnsi="Times New Roman" w:cs="Times New Roman"/>
          <w:color w:val="000000" w:themeColor="text1"/>
          <w:spacing w:val="0"/>
          <w:sz w:val="24"/>
          <w:szCs w:val="24"/>
          <w14:textFill>
            <w14:solidFill>
              <w14:schemeClr w14:val="tx1"/>
            </w14:solidFill>
          </w14:textFill>
        </w:rPr>
        <w:t>估算。则生活用水的总用水量为</w:t>
      </w:r>
      <w:r>
        <w:rPr>
          <w:rFonts w:hint="eastAsia" w:cs="Times New Roman"/>
          <w:color w:val="000000" w:themeColor="text1"/>
          <w:spacing w:val="0"/>
          <w:sz w:val="24"/>
          <w:szCs w:val="24"/>
          <w:lang w:val="en-US" w:eastAsia="zh-CN"/>
          <w14:textFill>
            <w14:solidFill>
              <w14:schemeClr w14:val="tx1"/>
            </w14:solidFill>
          </w14:textFill>
        </w:rPr>
        <w:t>2.5</w:t>
      </w:r>
      <w:r>
        <w:rPr>
          <w:rFonts w:hint="default" w:ascii="Times New Roman" w:hAnsi="Times New Roman" w:cs="Times New Roman"/>
          <w:color w:val="000000" w:themeColor="text1"/>
          <w:spacing w:val="0"/>
          <w:sz w:val="24"/>
          <w:szCs w:val="24"/>
          <w14:textFill>
            <w14:solidFill>
              <w14:schemeClr w14:val="tx1"/>
            </w14:solidFill>
          </w14:textFill>
        </w:rPr>
        <w:t>m</w:t>
      </w:r>
      <w:r>
        <w:rPr>
          <w:rFonts w:hint="default" w:ascii="Times New Roman" w:hAnsi="Times New Roman" w:cs="Times New Roman"/>
          <w:color w:val="000000" w:themeColor="text1"/>
          <w:spacing w:val="0"/>
          <w:sz w:val="24"/>
          <w:szCs w:val="24"/>
          <w:vertAlign w:val="superscript"/>
          <w14:textFill>
            <w14:solidFill>
              <w14:schemeClr w14:val="tx1"/>
            </w14:solidFill>
          </w14:textFill>
        </w:rPr>
        <w:t>3</w:t>
      </w:r>
      <w:r>
        <w:rPr>
          <w:rFonts w:hint="default" w:ascii="Times New Roman" w:hAnsi="Times New Roman" w:cs="Times New Roman"/>
          <w:color w:val="000000" w:themeColor="text1"/>
          <w:spacing w:val="0"/>
          <w:sz w:val="24"/>
          <w:szCs w:val="24"/>
          <w14:textFill>
            <w14:solidFill>
              <w14:schemeClr w14:val="tx1"/>
            </w14:solidFill>
          </w14:textFill>
        </w:rPr>
        <w:t>/d，即</w:t>
      </w:r>
      <w:r>
        <w:rPr>
          <w:rFonts w:hint="eastAsia" w:cs="Times New Roman"/>
          <w:color w:val="000000" w:themeColor="text1"/>
          <w:spacing w:val="0"/>
          <w:sz w:val="24"/>
          <w:szCs w:val="24"/>
          <w:lang w:val="en-US" w:eastAsia="zh-CN"/>
          <w14:textFill>
            <w14:solidFill>
              <w14:schemeClr w14:val="tx1"/>
            </w14:solidFill>
          </w14:textFill>
        </w:rPr>
        <w:t>75</w:t>
      </w:r>
      <w:r>
        <w:rPr>
          <w:rFonts w:hint="default" w:ascii="Times New Roman" w:hAnsi="Times New Roman" w:cs="Times New Roman"/>
          <w:color w:val="000000" w:themeColor="text1"/>
          <w:spacing w:val="0"/>
          <w:sz w:val="24"/>
          <w:szCs w:val="24"/>
          <w14:textFill>
            <w14:solidFill>
              <w14:schemeClr w14:val="tx1"/>
            </w14:solidFill>
          </w14:textFill>
        </w:rPr>
        <w:t>0m</w:t>
      </w:r>
      <w:r>
        <w:rPr>
          <w:rFonts w:hint="default" w:ascii="Times New Roman" w:hAnsi="Times New Roman" w:cs="Times New Roman"/>
          <w:color w:val="000000" w:themeColor="text1"/>
          <w:spacing w:val="0"/>
          <w:sz w:val="24"/>
          <w:szCs w:val="24"/>
          <w:vertAlign w:val="superscript"/>
          <w14:textFill>
            <w14:solidFill>
              <w14:schemeClr w14:val="tx1"/>
            </w14:solidFill>
          </w14:textFill>
        </w:rPr>
        <w:t>3</w:t>
      </w:r>
      <w:r>
        <w:rPr>
          <w:rFonts w:hint="default" w:ascii="Times New Roman" w:hAnsi="Times New Roman" w:cs="Times New Roman"/>
          <w:color w:val="000000" w:themeColor="text1"/>
          <w:spacing w:val="0"/>
          <w:sz w:val="24"/>
          <w:szCs w:val="24"/>
          <w14:textFill>
            <w14:solidFill>
              <w14:schemeClr w14:val="tx1"/>
            </w14:solidFill>
          </w14:textFill>
        </w:rPr>
        <w:t>/a。根据《环境统计手册》，生活污水的排水量取用水量的80%，则生活污水排放量约为</w:t>
      </w:r>
      <w:r>
        <w:rPr>
          <w:rFonts w:hint="eastAsia" w:cs="Times New Roman"/>
          <w:color w:val="000000" w:themeColor="text1"/>
          <w:spacing w:val="0"/>
          <w:sz w:val="24"/>
          <w:szCs w:val="24"/>
          <w:lang w:val="en-US" w:eastAsia="zh-CN"/>
          <w14:textFill>
            <w14:solidFill>
              <w14:schemeClr w14:val="tx1"/>
            </w14:solidFill>
          </w14:textFill>
        </w:rPr>
        <w:t>2</w:t>
      </w:r>
      <w:r>
        <w:rPr>
          <w:rFonts w:hint="default" w:ascii="Times New Roman" w:hAnsi="Times New Roman" w:cs="Times New Roman"/>
          <w:color w:val="000000" w:themeColor="text1"/>
          <w:spacing w:val="0"/>
          <w:sz w:val="24"/>
          <w:szCs w:val="24"/>
          <w14:textFill>
            <w14:solidFill>
              <w14:schemeClr w14:val="tx1"/>
            </w14:solidFill>
          </w14:textFill>
        </w:rPr>
        <w:t>m</w:t>
      </w:r>
      <w:r>
        <w:rPr>
          <w:rFonts w:hint="default" w:ascii="Times New Roman" w:hAnsi="Times New Roman" w:cs="Times New Roman"/>
          <w:color w:val="000000" w:themeColor="text1"/>
          <w:spacing w:val="0"/>
          <w:sz w:val="24"/>
          <w:szCs w:val="24"/>
          <w:vertAlign w:val="superscript"/>
          <w14:textFill>
            <w14:solidFill>
              <w14:schemeClr w14:val="tx1"/>
            </w14:solidFill>
          </w14:textFill>
        </w:rPr>
        <w:t>3</w:t>
      </w:r>
      <w:r>
        <w:rPr>
          <w:rFonts w:hint="default" w:ascii="Times New Roman" w:hAnsi="Times New Roman" w:cs="Times New Roman"/>
          <w:color w:val="000000" w:themeColor="text1"/>
          <w:spacing w:val="0"/>
          <w:sz w:val="24"/>
          <w:szCs w:val="24"/>
          <w14:textFill>
            <w14:solidFill>
              <w14:schemeClr w14:val="tx1"/>
            </w14:solidFill>
          </w14:textFill>
        </w:rPr>
        <w:t>/d，</w:t>
      </w:r>
      <w:r>
        <w:rPr>
          <w:rFonts w:hint="eastAsia" w:cs="Times New Roman"/>
          <w:color w:val="000000" w:themeColor="text1"/>
          <w:spacing w:val="0"/>
          <w:sz w:val="24"/>
          <w:szCs w:val="24"/>
          <w:lang w:val="en-US" w:eastAsia="zh-CN"/>
          <w14:textFill>
            <w14:solidFill>
              <w14:schemeClr w14:val="tx1"/>
            </w14:solidFill>
          </w14:textFill>
        </w:rPr>
        <w:t>600</w:t>
      </w:r>
      <w:r>
        <w:rPr>
          <w:rFonts w:hint="default" w:ascii="Times New Roman" w:hAnsi="Times New Roman" w:cs="Times New Roman"/>
          <w:color w:val="000000" w:themeColor="text1"/>
          <w:spacing w:val="0"/>
          <w:sz w:val="24"/>
          <w:szCs w:val="24"/>
          <w14:textFill>
            <w14:solidFill>
              <w14:schemeClr w14:val="tx1"/>
            </w14:solidFill>
          </w14:textFill>
        </w:rPr>
        <w:t>m</w:t>
      </w:r>
      <w:r>
        <w:rPr>
          <w:rFonts w:hint="default" w:ascii="Times New Roman" w:hAnsi="Times New Roman" w:cs="Times New Roman"/>
          <w:color w:val="000000" w:themeColor="text1"/>
          <w:spacing w:val="0"/>
          <w:sz w:val="24"/>
          <w:szCs w:val="24"/>
          <w:vertAlign w:val="superscript"/>
          <w14:textFill>
            <w14:solidFill>
              <w14:schemeClr w14:val="tx1"/>
            </w14:solidFill>
          </w14:textFill>
        </w:rPr>
        <w:t>3</w:t>
      </w:r>
      <w:r>
        <w:rPr>
          <w:rFonts w:hint="default" w:ascii="Times New Roman" w:hAnsi="Times New Roman" w:cs="Times New Roman"/>
          <w:color w:val="000000" w:themeColor="text1"/>
          <w:spacing w:val="0"/>
          <w:sz w:val="24"/>
          <w:szCs w:val="24"/>
          <w14:textFill>
            <w14:solidFill>
              <w14:schemeClr w14:val="tx1"/>
            </w14:solidFill>
          </w14:textFill>
        </w:rPr>
        <w:t>/a（全年工作日按300天计算）。本项目生活污水可经厂内预处理后排入</w:t>
      </w:r>
      <w:r>
        <w:rPr>
          <w:rFonts w:hint="default" w:ascii="Times New Roman" w:hAnsi="Times New Roman" w:cs="Times New Roman"/>
          <w:color w:val="000000" w:themeColor="text1"/>
          <w:spacing w:val="0"/>
          <w:sz w:val="24"/>
          <w:szCs w:val="24"/>
          <w:lang w:eastAsia="zh-CN"/>
          <w14:textFill>
            <w14:solidFill>
              <w14:schemeClr w14:val="tx1"/>
            </w14:solidFill>
          </w14:textFill>
        </w:rPr>
        <w:t>毛集实验区污水处理厂</w:t>
      </w:r>
      <w:r>
        <w:rPr>
          <w:rFonts w:hint="default" w:ascii="Times New Roman" w:hAnsi="Times New Roman" w:cs="Times New Roman"/>
          <w:color w:val="000000" w:themeColor="text1"/>
          <w:spacing w:val="0"/>
          <w:sz w:val="24"/>
          <w:szCs w:val="24"/>
          <w14:textFill>
            <w14:solidFill>
              <w14:schemeClr w14:val="tx1"/>
            </w14:solidFill>
          </w14:textFill>
        </w:rPr>
        <w:t>集中处理达标排放。</w:t>
      </w:r>
    </w:p>
    <w:p w14:paraId="60962E5C">
      <w:pPr>
        <w:spacing w:line="360" w:lineRule="auto"/>
        <w:ind w:firstLine="480" w:firstLineChars="200"/>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（2）瓶片清洗废水</w:t>
      </w:r>
    </w:p>
    <w:p w14:paraId="75705AE3">
      <w:pPr>
        <w:spacing w:line="360" w:lineRule="auto"/>
        <w:ind w:firstLine="480" w:firstLineChars="200"/>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本项目瓶片清洗废水主要来自</w:t>
      </w:r>
      <w:r>
        <w:rPr>
          <w:rFonts w:hint="default" w:ascii="Times New Roman" w:hAnsi="Times New Roman" w:cs="Times New Roman"/>
          <w:color w:val="000000" w:themeColor="text1"/>
          <w:spacing w:val="0"/>
          <w:sz w:val="24"/>
          <w:szCs w:val="24"/>
          <w:lang w:eastAsia="zh-CN"/>
          <w14:textFill>
            <w14:solidFill>
              <w14:schemeClr w14:val="tx1"/>
            </w14:solidFill>
          </w14:textFill>
        </w:rPr>
        <w:t>热洗</w:t>
      </w:r>
      <w:r>
        <w:rPr>
          <w:rFonts w:hint="default" w:ascii="Times New Roman" w:hAnsi="Times New Roman" w:cs="Times New Roman"/>
          <w:color w:val="000000" w:themeColor="text1"/>
          <w:spacing w:val="0"/>
          <w:sz w:val="24"/>
          <w:szCs w:val="24"/>
          <w14:textFill>
            <w14:solidFill>
              <w14:schemeClr w14:val="tx1"/>
            </w14:solidFill>
          </w14:textFill>
        </w:rPr>
        <w:t>、漂洗及脱水</w:t>
      </w:r>
      <w:r>
        <w:rPr>
          <w:rFonts w:hint="default" w:ascii="Times New Roman" w:hAnsi="Times New Roman" w:cs="Times New Roman"/>
          <w:color w:val="000000" w:themeColor="text1"/>
          <w:spacing w:val="0"/>
          <w:sz w:val="24"/>
          <w:szCs w:val="24"/>
          <w:lang w:eastAsia="zh-CN"/>
          <w14:textFill>
            <w14:solidFill>
              <w14:schemeClr w14:val="tx1"/>
            </w14:solidFill>
          </w14:textFill>
        </w:rPr>
        <w:t>等</w:t>
      </w:r>
      <w:r>
        <w:rPr>
          <w:rFonts w:hint="default" w:ascii="Times New Roman" w:hAnsi="Times New Roman" w:cs="Times New Roman"/>
          <w:color w:val="000000" w:themeColor="text1"/>
          <w:spacing w:val="0"/>
          <w:sz w:val="24"/>
          <w:szCs w:val="24"/>
          <w14:textFill>
            <w14:solidFill>
              <w14:schemeClr w14:val="tx1"/>
            </w14:solidFill>
          </w14:textFill>
        </w:rPr>
        <w:t>，</w:t>
      </w:r>
      <w:r>
        <w:rPr>
          <w:rFonts w:hint="eastAsia" w:cs="Times New Roman"/>
          <w:color w:val="000000" w:themeColor="text1"/>
          <w:spacing w:val="0"/>
          <w:sz w:val="24"/>
          <w:szCs w:val="24"/>
          <w:lang w:val="en-US" w:eastAsia="zh-CN"/>
          <w14:textFill>
            <w14:solidFill>
              <w14:schemeClr w14:val="tx1"/>
            </w14:solidFill>
          </w14:textFill>
        </w:rPr>
        <w:t>根据《4220 非金属废料和碎屑加工处理行业系数表》，废水产生系数为2.6t/t-原料，</w:t>
      </w:r>
      <w:r>
        <w:rPr>
          <w:rFonts w:hint="default" w:ascii="Times New Roman" w:hAnsi="Times New Roman" w:cs="Times New Roman"/>
          <w:color w:val="000000" w:themeColor="text1"/>
          <w:spacing w:val="0"/>
          <w:sz w:val="24"/>
          <w:szCs w:val="24"/>
          <w:lang w:eastAsia="zh-CN"/>
          <w14:textFill>
            <w14:solidFill>
              <w14:schemeClr w14:val="tx1"/>
            </w14:solidFill>
          </w14:textFill>
        </w:rPr>
        <w:t>本项目</w:t>
      </w:r>
      <w:r>
        <w:rPr>
          <w:rFonts w:hint="eastAsia" w:cs="Times New Roman"/>
          <w:color w:val="000000" w:themeColor="text1"/>
          <w:spacing w:val="0"/>
          <w:sz w:val="24"/>
          <w:szCs w:val="24"/>
          <w:lang w:val="en-US" w:eastAsia="zh-CN"/>
          <w14:textFill>
            <w14:solidFill>
              <w14:schemeClr w14:val="tx1"/>
            </w14:solidFill>
          </w14:textFill>
        </w:rPr>
        <w:t>PET瓶砖使用量为100000t/a</w:t>
      </w:r>
      <w:r>
        <w:rPr>
          <w:rFonts w:hint="default" w:ascii="Times New Roman" w:hAnsi="Times New Roman" w:cs="Times New Roman"/>
          <w:color w:val="000000" w:themeColor="text1"/>
          <w:spacing w:val="0"/>
          <w:sz w:val="24"/>
          <w:szCs w:val="24"/>
          <w14:textFill>
            <w14:solidFill>
              <w14:schemeClr w14:val="tx1"/>
            </w14:solidFill>
          </w14:textFill>
        </w:rPr>
        <w:t>，</w:t>
      </w:r>
      <w:r>
        <w:rPr>
          <w:rFonts w:hint="default" w:ascii="Times New Roman" w:hAnsi="Times New Roman" w:cs="Times New Roman"/>
          <w:color w:val="000000" w:themeColor="text1"/>
          <w:spacing w:val="0"/>
          <w:sz w:val="24"/>
          <w:szCs w:val="24"/>
          <w:lang w:eastAsia="zh-CN"/>
          <w14:textFill>
            <w14:solidFill>
              <w14:schemeClr w14:val="tx1"/>
            </w14:solidFill>
          </w14:textFill>
        </w:rPr>
        <w:t>则</w:t>
      </w:r>
      <w:r>
        <w:rPr>
          <w:rFonts w:hint="eastAsia" w:cs="Times New Roman"/>
          <w:color w:val="000000" w:themeColor="text1"/>
          <w:spacing w:val="0"/>
          <w:sz w:val="24"/>
          <w:szCs w:val="24"/>
          <w:lang w:val="en-US" w:eastAsia="zh-CN"/>
          <w14:textFill>
            <w14:solidFill>
              <w14:schemeClr w14:val="tx1"/>
            </w14:solidFill>
          </w14:textFill>
        </w:rPr>
        <w:t>废水产生量为260000t/a，866.67</w:t>
      </w:r>
      <w:r>
        <w:rPr>
          <w:rFonts w:hint="default" w:ascii="Times New Roman" w:hAnsi="Times New Roman" w:cs="Times New Roman"/>
          <w:color w:val="000000" w:themeColor="text1"/>
          <w:spacing w:val="0"/>
          <w:sz w:val="24"/>
          <w:szCs w:val="24"/>
          <w14:textFill>
            <w14:solidFill>
              <w14:schemeClr w14:val="tx1"/>
            </w14:solidFill>
          </w14:textFill>
        </w:rPr>
        <w:t>t/d</w:t>
      </w:r>
      <w:r>
        <w:rPr>
          <w:rFonts w:hint="default" w:ascii="Times New Roman" w:hAnsi="Times New Roman" w:cs="Times New Roman"/>
          <w:color w:val="000000" w:themeColor="text1"/>
          <w:spacing w:val="0"/>
          <w:sz w:val="24"/>
          <w:szCs w:val="24"/>
          <w:lang w:eastAsia="zh-CN"/>
          <w14:textFill>
            <w14:solidFill>
              <w14:schemeClr w14:val="tx1"/>
            </w14:solidFill>
          </w14:textFill>
        </w:rPr>
        <w:t>，</w:t>
      </w:r>
      <w:r>
        <w:rPr>
          <w:rFonts w:hint="default" w:ascii="Times New Roman" w:hAnsi="Times New Roman" w:cs="Times New Roman"/>
          <w:color w:val="000000" w:themeColor="text1"/>
          <w:spacing w:val="0"/>
          <w:sz w:val="24"/>
          <w:szCs w:val="24"/>
          <w14:textFill>
            <w14:solidFill>
              <w14:schemeClr w14:val="tx1"/>
            </w14:solidFill>
          </w14:textFill>
        </w:rPr>
        <w:t>清洗废水经厂内污水处理站处理后</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9</w:t>
      </w:r>
      <w:r>
        <w:rPr>
          <w:rFonts w:hint="default" w:ascii="Times New Roman" w:hAnsi="Times New Roman" w:cs="Times New Roman"/>
          <w:color w:val="000000" w:themeColor="text1"/>
          <w:spacing w:val="0"/>
          <w:sz w:val="24"/>
          <w:szCs w:val="24"/>
          <w14:textFill>
            <w14:solidFill>
              <w14:schemeClr w14:val="tx1"/>
            </w14:solidFill>
          </w14:textFill>
        </w:rPr>
        <w:t>0%循环使用，</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1</w:t>
      </w:r>
      <w:r>
        <w:rPr>
          <w:rFonts w:hint="default" w:ascii="Times New Roman" w:hAnsi="Times New Roman" w:cs="Times New Roman"/>
          <w:color w:val="000000" w:themeColor="text1"/>
          <w:spacing w:val="0"/>
          <w:sz w:val="24"/>
          <w:szCs w:val="24"/>
          <w14:textFill>
            <w14:solidFill>
              <w14:schemeClr w14:val="tx1"/>
            </w14:solidFill>
          </w14:textFill>
        </w:rPr>
        <w:t>0%经市政管网排入</w:t>
      </w:r>
      <w:r>
        <w:rPr>
          <w:rFonts w:hint="default" w:ascii="Times New Roman" w:hAnsi="Times New Roman" w:cs="Times New Roman"/>
          <w:color w:val="000000" w:themeColor="text1"/>
          <w:spacing w:val="0"/>
          <w:sz w:val="24"/>
          <w:szCs w:val="24"/>
          <w:lang w:eastAsia="zh-CN"/>
          <w14:textFill>
            <w14:solidFill>
              <w14:schemeClr w14:val="tx1"/>
            </w14:solidFill>
          </w14:textFill>
        </w:rPr>
        <w:t>毛集实验区污水处理厂</w:t>
      </w:r>
      <w:r>
        <w:rPr>
          <w:rFonts w:hint="default" w:ascii="Times New Roman" w:hAnsi="Times New Roman" w:cs="Times New Roman"/>
          <w:color w:val="000000" w:themeColor="text1"/>
          <w:spacing w:val="0"/>
          <w:sz w:val="24"/>
          <w:szCs w:val="24"/>
          <w14:textFill>
            <w14:solidFill>
              <w14:schemeClr w14:val="tx1"/>
            </w14:solidFill>
          </w14:textFill>
        </w:rPr>
        <w:t>深度处理</w:t>
      </w:r>
      <w:r>
        <w:rPr>
          <w:rFonts w:hint="eastAsia" w:cs="Times New Roman"/>
          <w:color w:val="000000" w:themeColor="text1"/>
          <w:spacing w:val="0"/>
          <w:sz w:val="24"/>
          <w:szCs w:val="24"/>
          <w:lang w:eastAsia="zh-CN"/>
          <w14:textFill>
            <w14:solidFill>
              <w14:schemeClr w14:val="tx1"/>
            </w14:solidFill>
          </w14:textFill>
        </w:rPr>
        <w:t>，</w:t>
      </w:r>
      <w:r>
        <w:rPr>
          <w:rFonts w:hint="eastAsia" w:cs="Times New Roman"/>
          <w:color w:val="000000" w:themeColor="text1"/>
          <w:spacing w:val="0"/>
          <w:sz w:val="24"/>
          <w:szCs w:val="24"/>
          <w:lang w:val="en-US" w:eastAsia="zh-CN"/>
          <w14:textFill>
            <w14:solidFill>
              <w14:schemeClr w14:val="tx1"/>
            </w14:solidFill>
          </w14:textFill>
        </w:rPr>
        <w:t>则外排废水量为26000t/a，86.67</w:t>
      </w:r>
      <w:r>
        <w:rPr>
          <w:rFonts w:hint="default" w:ascii="Times New Roman" w:hAnsi="Times New Roman" w:cs="Times New Roman"/>
          <w:color w:val="000000" w:themeColor="text1"/>
          <w:spacing w:val="0"/>
          <w:sz w:val="24"/>
          <w:szCs w:val="24"/>
          <w14:textFill>
            <w14:solidFill>
              <w14:schemeClr w14:val="tx1"/>
            </w14:solidFill>
          </w14:textFill>
        </w:rPr>
        <w:t>t/d。</w:t>
      </w:r>
    </w:p>
    <w:p w14:paraId="0CB21865">
      <w:pPr>
        <w:spacing w:line="360" w:lineRule="auto"/>
        <w:ind w:firstLine="480" w:firstLineChars="200"/>
        <w:rPr>
          <w:rFonts w:hint="default" w:ascii="Times New Roman" w:hAnsi="Times New Roman" w:cs="Times New Roman"/>
          <w:color w:val="000000" w:themeColor="text1"/>
          <w:spacing w:val="0"/>
          <w:sz w:val="24"/>
          <w:szCs w:val="24"/>
          <w:lang w:eastAsia="zh-CN"/>
          <w14:textFill>
            <w14:solidFill>
              <w14:schemeClr w14:val="tx1"/>
            </w14:solidFill>
          </w14:textFill>
        </w:rPr>
      </w:pPr>
      <w:r>
        <w:rPr>
          <w:rFonts w:hint="default" w:ascii="Times New Roman" w:hAnsi="Times New Roman" w:cs="Times New Roman"/>
          <w:color w:val="000000" w:themeColor="text1"/>
          <w:spacing w:val="0"/>
          <w:sz w:val="24"/>
          <w:szCs w:val="24"/>
          <w:lang w:eastAsia="zh-CN"/>
          <w14:textFill>
            <w14:solidFill>
              <w14:schemeClr w14:val="tx1"/>
            </w14:solidFill>
          </w14:textFill>
        </w:rPr>
        <w:t>（</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3</w:t>
      </w:r>
      <w:r>
        <w:rPr>
          <w:rFonts w:hint="default" w:ascii="Times New Roman" w:hAnsi="Times New Roman" w:cs="Times New Roman"/>
          <w:color w:val="000000" w:themeColor="text1"/>
          <w:spacing w:val="0"/>
          <w:sz w:val="24"/>
          <w:szCs w:val="24"/>
          <w:lang w:eastAsia="zh-CN"/>
          <w14:textFill>
            <w14:solidFill>
              <w14:schemeClr w14:val="tx1"/>
            </w14:solidFill>
          </w14:textFill>
        </w:rPr>
        <w:t>）破碎用水</w:t>
      </w:r>
    </w:p>
    <w:p w14:paraId="5E9FB0A7">
      <w:pPr>
        <w:spacing w:line="360" w:lineRule="auto"/>
        <w:ind w:firstLine="480" w:firstLineChars="200"/>
        <w:rPr>
          <w:rFonts w:hint="default" w:ascii="Times New Roman" w:hAnsi="Times New Roman" w:cs="Times New Roman"/>
          <w:color w:val="000000" w:themeColor="text1"/>
          <w:spacing w:val="0"/>
          <w:sz w:val="24"/>
          <w:szCs w:val="24"/>
          <w:lang w:val="en-US" w:eastAsia="zh-CN"/>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本项目</w:t>
      </w:r>
      <w:r>
        <w:rPr>
          <w:rFonts w:hint="default" w:ascii="Times New Roman" w:hAnsi="Times New Roman" w:cs="Times New Roman"/>
          <w:color w:val="000000" w:themeColor="text1"/>
          <w:spacing w:val="0"/>
          <w:sz w:val="24"/>
          <w:szCs w:val="24"/>
          <w:lang w:eastAsia="zh-CN"/>
          <w14:textFill>
            <w14:solidFill>
              <w14:schemeClr w14:val="tx1"/>
            </w14:solidFill>
          </w14:textFill>
        </w:rPr>
        <w:t>破碎工序采用湿式破碎</w:t>
      </w:r>
      <w:r>
        <w:rPr>
          <w:rFonts w:hint="default" w:ascii="Times New Roman" w:hAnsi="Times New Roman" w:cs="Times New Roman"/>
          <w:color w:val="000000" w:themeColor="text1"/>
          <w:spacing w:val="0"/>
          <w:sz w:val="24"/>
          <w:szCs w:val="24"/>
          <w14:textFill>
            <w14:solidFill>
              <w14:schemeClr w14:val="tx1"/>
            </w14:solidFill>
          </w14:textFill>
        </w:rPr>
        <w:t>，</w:t>
      </w:r>
      <w:r>
        <w:rPr>
          <w:rFonts w:hint="default" w:ascii="Times New Roman" w:hAnsi="Times New Roman" w:cs="Times New Roman"/>
          <w:color w:val="000000" w:themeColor="text1"/>
          <w:spacing w:val="0"/>
          <w:sz w:val="24"/>
          <w:szCs w:val="24"/>
          <w:lang w:eastAsia="zh-CN"/>
          <w14:textFill>
            <w14:solidFill>
              <w14:schemeClr w14:val="tx1"/>
            </w14:solidFill>
          </w14:textFill>
        </w:rPr>
        <w:t>根据企业提供资料，破碎用水量为</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10t/d，使用循环水，随物料进入清洗系统，不外排。</w:t>
      </w:r>
    </w:p>
    <w:p w14:paraId="03564245">
      <w:pPr>
        <w:spacing w:line="360" w:lineRule="auto"/>
        <w:ind w:firstLine="480" w:firstLineChars="200"/>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lang w:eastAsia="zh-CN"/>
          <w14:textFill>
            <w14:solidFill>
              <w14:schemeClr w14:val="tx1"/>
            </w14:solidFill>
          </w14:textFill>
        </w:rPr>
        <w:t>（</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4</w:t>
      </w:r>
      <w:r>
        <w:rPr>
          <w:rFonts w:hint="default" w:ascii="Times New Roman" w:hAnsi="Times New Roman" w:cs="Times New Roman"/>
          <w:color w:val="000000" w:themeColor="text1"/>
          <w:spacing w:val="0"/>
          <w:sz w:val="24"/>
          <w:szCs w:val="24"/>
          <w:lang w:eastAsia="zh-CN"/>
          <w14:textFill>
            <w14:solidFill>
              <w14:schemeClr w14:val="tx1"/>
            </w14:solidFill>
          </w14:textFill>
        </w:rPr>
        <w:t>）蒸汽冷凝</w:t>
      </w:r>
      <w:r>
        <w:rPr>
          <w:rFonts w:hint="default" w:ascii="Times New Roman" w:hAnsi="Times New Roman" w:cs="Times New Roman"/>
          <w:color w:val="000000" w:themeColor="text1"/>
          <w:spacing w:val="0"/>
          <w:sz w:val="24"/>
          <w:szCs w:val="24"/>
          <w14:textFill>
            <w14:solidFill>
              <w14:schemeClr w14:val="tx1"/>
            </w14:solidFill>
          </w14:textFill>
        </w:rPr>
        <w:t>水</w:t>
      </w:r>
    </w:p>
    <w:p w14:paraId="5E1DE3D5">
      <w:pPr>
        <w:spacing w:line="360" w:lineRule="auto"/>
        <w:ind w:firstLine="480" w:firstLineChars="200"/>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本项目</w:t>
      </w:r>
      <w:r>
        <w:rPr>
          <w:rFonts w:hint="default" w:ascii="Times New Roman" w:hAnsi="Times New Roman" w:cs="Times New Roman"/>
          <w:color w:val="000000" w:themeColor="text1"/>
          <w:spacing w:val="0"/>
          <w:sz w:val="24"/>
          <w:szCs w:val="24"/>
          <w:lang w:eastAsia="zh-CN"/>
          <w14:textFill>
            <w14:solidFill>
              <w14:schemeClr w14:val="tx1"/>
            </w14:solidFill>
          </w14:textFill>
        </w:rPr>
        <w:t>热洗采用园区蒸汽加热，蒸汽用量为</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20000m</w:t>
      </w:r>
      <w:r>
        <w:rPr>
          <w:rFonts w:hint="default" w:ascii="Times New Roman" w:hAnsi="Times New Roman" w:cs="Times New Roman"/>
          <w:color w:val="000000" w:themeColor="text1"/>
          <w:spacing w:val="0"/>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/a，则蒸汽冷凝水为66.6</w:t>
      </w:r>
      <w:r>
        <w:rPr>
          <w:rFonts w:hint="eastAsia" w:cs="Times New Roman"/>
          <w:color w:val="000000" w:themeColor="text1"/>
          <w:spacing w:val="0"/>
          <w:sz w:val="24"/>
          <w:szCs w:val="24"/>
          <w:lang w:val="en-US" w:eastAsia="zh-CN"/>
          <w14:textFill>
            <w14:solidFill>
              <w14:schemeClr w14:val="tx1"/>
            </w14:solidFill>
          </w14:textFill>
        </w:rPr>
        <w:t>7</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t/d，回用于生产。</w:t>
      </w:r>
    </w:p>
    <w:p w14:paraId="64324093">
      <w:pPr>
        <w:spacing w:line="360" w:lineRule="auto"/>
        <w:ind w:firstLine="480" w:firstLineChars="200"/>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5</w:t>
      </w:r>
      <w:r>
        <w:rPr>
          <w:rFonts w:hint="default" w:ascii="Times New Roman" w:hAnsi="Times New Roman" w:cs="Times New Roman"/>
          <w:color w:val="000000" w:themeColor="text1"/>
          <w:spacing w:val="0"/>
          <w:sz w:val="24"/>
          <w:szCs w:val="24"/>
          <w14:textFill>
            <w14:solidFill>
              <w14:schemeClr w14:val="tx1"/>
            </w14:solidFill>
          </w14:textFill>
        </w:rPr>
        <w:t>）冷却水</w:t>
      </w:r>
    </w:p>
    <w:p w14:paraId="4DDB5E90">
      <w:pPr>
        <w:spacing w:line="360" w:lineRule="auto"/>
        <w:ind w:firstLine="480" w:firstLineChars="200"/>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本项目改性粒子生产过程冷却采用水</w:t>
      </w:r>
      <w:r>
        <w:rPr>
          <w:rFonts w:hint="eastAsia" w:cs="Times New Roman"/>
          <w:color w:val="000000" w:themeColor="text1"/>
          <w:spacing w:val="0"/>
          <w:sz w:val="24"/>
          <w:szCs w:val="24"/>
          <w:lang w:val="en-US" w:eastAsia="zh-CN"/>
          <w14:textFill>
            <w14:solidFill>
              <w14:schemeClr w14:val="tx1"/>
            </w14:solidFill>
          </w14:textFill>
        </w:rPr>
        <w:t>直接</w:t>
      </w:r>
      <w:r>
        <w:rPr>
          <w:rFonts w:hint="default" w:ascii="Times New Roman" w:hAnsi="Times New Roman" w:cs="Times New Roman"/>
          <w:color w:val="000000" w:themeColor="text1"/>
          <w:spacing w:val="0"/>
          <w:sz w:val="24"/>
          <w:szCs w:val="24"/>
          <w14:textFill>
            <w14:solidFill>
              <w14:schemeClr w14:val="tx1"/>
            </w14:solidFill>
          </w14:textFill>
        </w:rPr>
        <w:t>冷却，循环使用</w:t>
      </w:r>
      <w:r>
        <w:rPr>
          <w:rFonts w:hint="eastAsia" w:cs="Times New Roman"/>
          <w:color w:val="000000" w:themeColor="text1"/>
          <w:spacing w:val="0"/>
          <w:sz w:val="24"/>
          <w:szCs w:val="24"/>
          <w:lang w:val="en-US" w:eastAsia="zh-CN"/>
          <w14:textFill>
            <w14:solidFill>
              <w14:schemeClr w14:val="tx1"/>
            </w14:solidFill>
          </w14:textFill>
        </w:rPr>
        <w:t>定期外排，循环水槽尺寸为10m*0.4m*0.4m，容积为1.6m</w:t>
      </w:r>
      <w:r>
        <w:rPr>
          <w:rFonts w:hint="eastAsia" w:cs="Times New Roman"/>
          <w:color w:val="000000" w:themeColor="text1"/>
          <w:spacing w:val="0"/>
          <w:sz w:val="24"/>
          <w:szCs w:val="24"/>
          <w:vertAlign w:val="superscript"/>
          <w:lang w:val="en-US" w:eastAsia="zh-CN"/>
          <w14:textFill>
            <w14:solidFill>
              <w14:schemeClr w14:val="tx1"/>
            </w14:solidFill>
          </w14:textFill>
        </w:rPr>
        <w:t>3</w:t>
      </w:r>
      <w:r>
        <w:rPr>
          <w:rFonts w:hint="eastAsia" w:cs="Times New Roman"/>
          <w:color w:val="000000" w:themeColor="text1"/>
          <w:spacing w:val="0"/>
          <w:sz w:val="24"/>
          <w:szCs w:val="24"/>
          <w:lang w:val="en-US" w:eastAsia="zh-CN"/>
          <w14:textFill>
            <w14:solidFill>
              <w14:schemeClr w14:val="tx1"/>
            </w14:solidFill>
          </w14:textFill>
        </w:rPr>
        <w:t>，项目新建2套改性粒子生产线，每个月更换一次，则循环冷却水外排量为38.4t/a，回用于物料清洗</w:t>
      </w:r>
      <w:r>
        <w:rPr>
          <w:rFonts w:hint="default" w:ascii="Times New Roman" w:hAnsi="Times New Roman" w:cs="Times New Roman"/>
          <w:color w:val="000000" w:themeColor="text1"/>
          <w:spacing w:val="0"/>
          <w:sz w:val="24"/>
          <w:szCs w:val="24"/>
          <w14:textFill>
            <w14:solidFill>
              <w14:schemeClr w14:val="tx1"/>
            </w14:solidFill>
          </w14:textFill>
        </w:rPr>
        <w:t>。水池中仅需定期补水，补充水量约为0.2t/d，即60t/a。</w:t>
      </w:r>
    </w:p>
    <w:p w14:paraId="64FEC20D">
      <w:pPr>
        <w:spacing w:line="360" w:lineRule="auto"/>
        <w:ind w:firstLine="480" w:firstLineChars="200"/>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综上，</w:t>
      </w:r>
      <w:r>
        <w:rPr>
          <w:rFonts w:hint="default" w:ascii="Times New Roman" w:hAnsi="Times New Roman" w:cs="Times New Roman"/>
          <w:color w:val="000000" w:themeColor="text1"/>
          <w:spacing w:val="0"/>
          <w:sz w:val="24"/>
          <w:szCs w:val="24"/>
          <w:lang w:eastAsia="zh-CN"/>
          <w14:textFill>
            <w14:solidFill>
              <w14:schemeClr w14:val="tx1"/>
            </w14:solidFill>
          </w14:textFill>
        </w:rPr>
        <w:t>本</w:t>
      </w:r>
      <w:r>
        <w:rPr>
          <w:rFonts w:hint="default" w:ascii="Times New Roman" w:hAnsi="Times New Roman" w:cs="Times New Roman"/>
          <w:color w:val="000000" w:themeColor="text1"/>
          <w:spacing w:val="0"/>
          <w:sz w:val="24"/>
          <w:szCs w:val="24"/>
          <w14:textFill>
            <w14:solidFill>
              <w14:schemeClr w14:val="tx1"/>
            </w14:solidFill>
          </w14:textFill>
        </w:rPr>
        <w:t>项目总用水量</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2</w:t>
      </w:r>
      <w:r>
        <w:rPr>
          <w:rFonts w:hint="eastAsia" w:cs="Times New Roman"/>
          <w:color w:val="000000" w:themeColor="text1"/>
          <w:spacing w:val="0"/>
          <w:sz w:val="24"/>
          <w:szCs w:val="24"/>
          <w:lang w:val="en-US" w:eastAsia="zh-CN"/>
          <w14:textFill>
            <w14:solidFill>
              <w14:schemeClr w14:val="tx1"/>
            </w14:solidFill>
          </w14:textFill>
        </w:rPr>
        <w:t>5964</w:t>
      </w:r>
      <w:r>
        <w:rPr>
          <w:rFonts w:hint="default" w:ascii="Times New Roman" w:hAnsi="Times New Roman" w:cs="Times New Roman"/>
          <w:color w:val="000000" w:themeColor="text1"/>
          <w:spacing w:val="0"/>
          <w:sz w:val="24"/>
          <w:szCs w:val="24"/>
          <w14:textFill>
            <w14:solidFill>
              <w14:schemeClr w14:val="tx1"/>
            </w14:solidFill>
          </w14:textFill>
        </w:rPr>
        <w:t>m</w:t>
      </w:r>
      <w:r>
        <w:rPr>
          <w:rFonts w:hint="default" w:ascii="Times New Roman" w:hAnsi="Times New Roman" w:cs="Times New Roman"/>
          <w:color w:val="000000" w:themeColor="text1"/>
          <w:spacing w:val="0"/>
          <w:sz w:val="24"/>
          <w:szCs w:val="24"/>
          <w:vertAlign w:val="superscript"/>
          <w14:textFill>
            <w14:solidFill>
              <w14:schemeClr w14:val="tx1"/>
            </w14:solidFill>
          </w14:textFill>
        </w:rPr>
        <w:t>3</w:t>
      </w:r>
      <w:r>
        <w:rPr>
          <w:rFonts w:hint="default" w:ascii="Times New Roman" w:hAnsi="Times New Roman" w:cs="Times New Roman"/>
          <w:color w:val="000000" w:themeColor="text1"/>
          <w:spacing w:val="0"/>
          <w:sz w:val="24"/>
          <w:szCs w:val="24"/>
          <w14:textFill>
            <w14:solidFill>
              <w14:schemeClr w14:val="tx1"/>
            </w14:solidFill>
          </w14:textFill>
        </w:rPr>
        <w:t>/a，</w:t>
      </w:r>
      <w:r>
        <w:rPr>
          <w:rFonts w:hint="default" w:ascii="Times New Roman" w:hAnsi="Times New Roman" w:cs="Times New Roman"/>
          <w:color w:val="000000" w:themeColor="text1"/>
          <w:spacing w:val="0"/>
          <w:sz w:val="24"/>
          <w:szCs w:val="24"/>
          <w:lang w:eastAsia="zh-CN"/>
          <w14:textFill>
            <w14:solidFill>
              <w14:schemeClr w14:val="tx1"/>
            </w14:solidFill>
          </w14:textFill>
        </w:rPr>
        <w:t>新鲜水用量为</w:t>
      </w:r>
      <w:r>
        <w:rPr>
          <w:rFonts w:hint="eastAsia" w:cs="Times New Roman"/>
          <w:color w:val="000000" w:themeColor="text1"/>
          <w:spacing w:val="0"/>
          <w:sz w:val="24"/>
          <w:szCs w:val="24"/>
          <w:lang w:val="en-US" w:eastAsia="zh-CN"/>
          <w14:textFill>
            <w14:solidFill>
              <w14:schemeClr w14:val="tx1"/>
            </w14:solidFill>
          </w14:textFill>
        </w:rPr>
        <w:t>5964</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m</w:t>
      </w:r>
      <w:r>
        <w:rPr>
          <w:rFonts w:hint="default" w:ascii="Times New Roman" w:hAnsi="Times New Roman" w:cs="Times New Roman"/>
          <w:color w:val="000000" w:themeColor="text1"/>
          <w:spacing w:val="0"/>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/a；</w:t>
      </w:r>
      <w:r>
        <w:rPr>
          <w:rFonts w:hint="default" w:ascii="Times New Roman" w:hAnsi="Times New Roman" w:cs="Times New Roman"/>
          <w:color w:val="000000" w:themeColor="text1"/>
          <w:spacing w:val="0"/>
          <w:sz w:val="24"/>
          <w:szCs w:val="24"/>
          <w14:textFill>
            <w14:solidFill>
              <w14:schemeClr w14:val="tx1"/>
            </w14:solidFill>
          </w14:textFill>
        </w:rPr>
        <w:t>废水产生量为</w:t>
      </w:r>
      <w:r>
        <w:rPr>
          <w:rFonts w:hint="eastAsia" w:cs="Times New Roman"/>
          <w:color w:val="000000" w:themeColor="text1"/>
          <w:spacing w:val="0"/>
          <w:sz w:val="24"/>
          <w:szCs w:val="24"/>
          <w:lang w:val="en-US" w:eastAsia="zh-CN"/>
          <w14:textFill>
            <w14:solidFill>
              <w14:schemeClr w14:val="tx1"/>
            </w14:solidFill>
          </w14:textFill>
        </w:rPr>
        <w:t>868.67</w:t>
      </w:r>
      <w:r>
        <w:rPr>
          <w:rFonts w:hint="default" w:ascii="Times New Roman" w:hAnsi="Times New Roman" w:cs="Times New Roman"/>
          <w:color w:val="000000" w:themeColor="text1"/>
          <w:spacing w:val="0"/>
          <w:sz w:val="24"/>
          <w:szCs w:val="24"/>
          <w14:textFill>
            <w14:solidFill>
              <w14:schemeClr w14:val="tx1"/>
            </w14:solidFill>
          </w14:textFill>
        </w:rPr>
        <w:t>m</w:t>
      </w:r>
      <w:r>
        <w:rPr>
          <w:rFonts w:hint="default" w:ascii="Times New Roman" w:hAnsi="Times New Roman" w:cs="Times New Roman"/>
          <w:color w:val="000000" w:themeColor="text1"/>
          <w:spacing w:val="0"/>
          <w:sz w:val="24"/>
          <w:szCs w:val="24"/>
          <w:vertAlign w:val="superscript"/>
          <w14:textFill>
            <w14:solidFill>
              <w14:schemeClr w14:val="tx1"/>
            </w14:solidFill>
          </w14:textFill>
        </w:rPr>
        <w:t>3</w:t>
      </w:r>
      <w:r>
        <w:rPr>
          <w:rFonts w:hint="default" w:ascii="Times New Roman" w:hAnsi="Times New Roman" w:cs="Times New Roman"/>
          <w:color w:val="000000" w:themeColor="text1"/>
          <w:spacing w:val="0"/>
          <w:sz w:val="24"/>
          <w:szCs w:val="24"/>
          <w14:textFill>
            <w14:solidFill>
              <w14:schemeClr w14:val="tx1"/>
            </w14:solidFill>
          </w14:textFill>
        </w:rPr>
        <w:t>/d，</w:t>
      </w:r>
      <w:r>
        <w:rPr>
          <w:rFonts w:hint="eastAsia" w:cs="Times New Roman"/>
          <w:color w:val="000000" w:themeColor="text1"/>
          <w:spacing w:val="0"/>
          <w:sz w:val="24"/>
          <w:szCs w:val="24"/>
          <w:lang w:val="en-US" w:eastAsia="zh-CN"/>
          <w14:textFill>
            <w14:solidFill>
              <w14:schemeClr w14:val="tx1"/>
            </w14:solidFill>
          </w14:textFill>
        </w:rPr>
        <w:t>260600</w:t>
      </w:r>
      <w:r>
        <w:rPr>
          <w:rFonts w:hint="default" w:ascii="Times New Roman" w:hAnsi="Times New Roman" w:cs="Times New Roman"/>
          <w:color w:val="000000" w:themeColor="text1"/>
          <w:spacing w:val="0"/>
          <w:sz w:val="24"/>
          <w:szCs w:val="24"/>
          <w14:textFill>
            <w14:solidFill>
              <w14:schemeClr w14:val="tx1"/>
            </w14:solidFill>
          </w14:textFill>
        </w:rPr>
        <w:t>m</w:t>
      </w:r>
      <w:r>
        <w:rPr>
          <w:rFonts w:hint="default" w:ascii="Times New Roman" w:hAnsi="Times New Roman" w:cs="Times New Roman"/>
          <w:color w:val="000000" w:themeColor="text1"/>
          <w:spacing w:val="0"/>
          <w:sz w:val="24"/>
          <w:szCs w:val="24"/>
          <w:vertAlign w:val="superscript"/>
          <w14:textFill>
            <w14:solidFill>
              <w14:schemeClr w14:val="tx1"/>
            </w14:solidFill>
          </w14:textFill>
        </w:rPr>
        <w:t>3</w:t>
      </w:r>
      <w:r>
        <w:rPr>
          <w:rFonts w:hint="default" w:ascii="Times New Roman" w:hAnsi="Times New Roman" w:cs="Times New Roman"/>
          <w:color w:val="000000" w:themeColor="text1"/>
          <w:spacing w:val="0"/>
          <w:sz w:val="24"/>
          <w:szCs w:val="24"/>
          <w14:textFill>
            <w14:solidFill>
              <w14:schemeClr w14:val="tx1"/>
            </w14:solidFill>
          </w14:textFill>
        </w:rPr>
        <w:t>/a</w:t>
      </w:r>
      <w:r>
        <w:rPr>
          <w:rFonts w:hint="default" w:ascii="Times New Roman" w:hAnsi="Times New Roman" w:cs="Times New Roman"/>
          <w:color w:val="000000" w:themeColor="text1"/>
          <w:spacing w:val="0"/>
          <w:sz w:val="24"/>
          <w:szCs w:val="24"/>
          <w:lang w:eastAsia="zh-CN"/>
          <w14:textFill>
            <w14:solidFill>
              <w14:schemeClr w14:val="tx1"/>
            </w14:solidFill>
          </w14:textFill>
        </w:rPr>
        <w:t>，外排废水量为</w:t>
      </w:r>
      <w:r>
        <w:rPr>
          <w:rFonts w:hint="eastAsia" w:cs="Times New Roman"/>
          <w:color w:val="000000" w:themeColor="text1"/>
          <w:spacing w:val="0"/>
          <w:sz w:val="24"/>
          <w:szCs w:val="24"/>
          <w:lang w:val="en-US" w:eastAsia="zh-CN"/>
          <w14:textFill>
            <w14:solidFill>
              <w14:schemeClr w14:val="tx1"/>
            </w14:solidFill>
          </w14:textFill>
        </w:rPr>
        <w:t>88.67</w:t>
      </w:r>
      <w:r>
        <w:rPr>
          <w:rFonts w:hint="default" w:ascii="Times New Roman" w:hAnsi="Times New Roman" w:cs="Times New Roman"/>
          <w:color w:val="000000" w:themeColor="text1"/>
          <w:spacing w:val="0"/>
          <w:sz w:val="24"/>
          <w:szCs w:val="24"/>
          <w14:textFill>
            <w14:solidFill>
              <w14:schemeClr w14:val="tx1"/>
            </w14:solidFill>
          </w14:textFill>
        </w:rPr>
        <w:t>m</w:t>
      </w:r>
      <w:r>
        <w:rPr>
          <w:rFonts w:hint="default" w:ascii="Times New Roman" w:hAnsi="Times New Roman" w:cs="Times New Roman"/>
          <w:color w:val="000000" w:themeColor="text1"/>
          <w:spacing w:val="0"/>
          <w:sz w:val="24"/>
          <w:szCs w:val="24"/>
          <w:vertAlign w:val="superscript"/>
          <w14:textFill>
            <w14:solidFill>
              <w14:schemeClr w14:val="tx1"/>
            </w14:solidFill>
          </w14:textFill>
        </w:rPr>
        <w:t>3</w:t>
      </w:r>
      <w:r>
        <w:rPr>
          <w:rFonts w:hint="default" w:ascii="Times New Roman" w:hAnsi="Times New Roman" w:cs="Times New Roman"/>
          <w:color w:val="000000" w:themeColor="text1"/>
          <w:spacing w:val="0"/>
          <w:sz w:val="24"/>
          <w:szCs w:val="24"/>
          <w14:textFill>
            <w14:solidFill>
              <w14:schemeClr w14:val="tx1"/>
            </w14:solidFill>
          </w14:textFill>
        </w:rPr>
        <w:t>/d，</w:t>
      </w:r>
      <w:r>
        <w:rPr>
          <w:rFonts w:hint="eastAsia" w:cs="Times New Roman"/>
          <w:color w:val="000000" w:themeColor="text1"/>
          <w:spacing w:val="0"/>
          <w:sz w:val="24"/>
          <w:szCs w:val="24"/>
          <w:lang w:val="en-US" w:eastAsia="zh-CN"/>
          <w14:textFill>
            <w14:solidFill>
              <w14:schemeClr w14:val="tx1"/>
            </w14:solidFill>
          </w14:textFill>
        </w:rPr>
        <w:t>26600</w:t>
      </w:r>
      <w:r>
        <w:rPr>
          <w:rFonts w:hint="default" w:ascii="Times New Roman" w:hAnsi="Times New Roman" w:cs="Times New Roman"/>
          <w:color w:val="000000" w:themeColor="text1"/>
          <w:spacing w:val="0"/>
          <w:sz w:val="24"/>
          <w:szCs w:val="24"/>
          <w14:textFill>
            <w14:solidFill>
              <w14:schemeClr w14:val="tx1"/>
            </w14:solidFill>
          </w14:textFill>
        </w:rPr>
        <w:t>m</w:t>
      </w:r>
      <w:r>
        <w:rPr>
          <w:rFonts w:hint="default" w:ascii="Times New Roman" w:hAnsi="Times New Roman" w:cs="Times New Roman"/>
          <w:color w:val="000000" w:themeColor="text1"/>
          <w:spacing w:val="0"/>
          <w:sz w:val="24"/>
          <w:szCs w:val="24"/>
          <w:vertAlign w:val="superscript"/>
          <w14:textFill>
            <w14:solidFill>
              <w14:schemeClr w14:val="tx1"/>
            </w14:solidFill>
          </w14:textFill>
        </w:rPr>
        <w:t>3</w:t>
      </w:r>
      <w:r>
        <w:rPr>
          <w:rFonts w:hint="default" w:ascii="Times New Roman" w:hAnsi="Times New Roman" w:cs="Times New Roman"/>
          <w:color w:val="000000" w:themeColor="text1"/>
          <w:spacing w:val="0"/>
          <w:sz w:val="24"/>
          <w:szCs w:val="24"/>
          <w14:textFill>
            <w14:solidFill>
              <w14:schemeClr w14:val="tx1"/>
            </w14:solidFill>
          </w14:textFill>
        </w:rPr>
        <w:t>/a。本项目综合新水消耗量为</w:t>
      </w:r>
      <w:r>
        <w:rPr>
          <w:rFonts w:hint="eastAsia" w:cs="Times New Roman"/>
          <w:color w:val="000000" w:themeColor="text1"/>
          <w:spacing w:val="0"/>
          <w:sz w:val="24"/>
          <w:szCs w:val="24"/>
          <w:lang w:eastAsia="zh-CN"/>
          <w14:textFill>
            <w14:solidFill>
              <w14:schemeClr w14:val="tx1"/>
            </w14:solidFill>
          </w14:textFill>
        </w:rPr>
        <w:t>0.06吨/吨废塑料</w:t>
      </w:r>
      <w:r>
        <w:rPr>
          <w:rFonts w:hint="default" w:ascii="Times New Roman" w:hAnsi="Times New Roman" w:cs="Times New Roman"/>
          <w:color w:val="000000" w:themeColor="text1"/>
          <w:spacing w:val="0"/>
          <w:sz w:val="24"/>
          <w:szCs w:val="24"/>
          <w14:textFill>
            <w14:solidFill>
              <w14:schemeClr w14:val="tx1"/>
            </w14:solidFill>
          </w14:textFill>
        </w:rPr>
        <w:t>，满足《废塑料综合利用行业规范条件》中“PET再生瓶片类企业与废塑料破碎、清洗、分选类企业的综合新水消耗低于1.5吨/吨废塑料”要求。</w:t>
      </w:r>
    </w:p>
    <w:p w14:paraId="16EBBBCE">
      <w:pPr>
        <w:spacing w:line="360" w:lineRule="auto"/>
        <w:ind w:firstLine="480" w:firstLineChars="200"/>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建设项目水平衡图见图3.</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3</w:t>
      </w:r>
      <w:r>
        <w:rPr>
          <w:rFonts w:hint="default" w:ascii="Times New Roman" w:hAnsi="Times New Roman" w:cs="Times New Roman"/>
          <w:color w:val="000000" w:themeColor="text1"/>
          <w:spacing w:val="0"/>
          <w:sz w:val="24"/>
          <w:szCs w:val="24"/>
          <w14:textFill>
            <w14:solidFill>
              <w14:schemeClr w14:val="tx1"/>
            </w14:solidFill>
          </w14:textFill>
        </w:rPr>
        <w:t>-</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1</w:t>
      </w:r>
      <w:r>
        <w:rPr>
          <w:rFonts w:hint="default" w:ascii="Times New Roman" w:hAnsi="Times New Roman" w:cs="Times New Roman"/>
          <w:color w:val="000000" w:themeColor="text1"/>
          <w:spacing w:val="0"/>
          <w:sz w:val="24"/>
          <w:szCs w:val="24"/>
          <w14:textFill>
            <w14:solidFill>
              <w14:schemeClr w14:val="tx1"/>
            </w14:solidFill>
          </w14:textFill>
        </w:rPr>
        <w:t>。</w:t>
      </w:r>
    </w:p>
    <w:p w14:paraId="5F964CE2">
      <w:pPr>
        <w:spacing w:line="360" w:lineRule="auto"/>
        <w:jc w:val="center"/>
        <w:rPr>
          <w:rFonts w:hint="default" w:ascii="Times New Roman" w:hAnsi="Times New Roman" w:cs="Times New Roman"/>
          <w:color w:val="000000" w:themeColor="text1"/>
          <w:spacing w:val="0"/>
          <w:sz w:val="24"/>
          <w:szCs w:val="24"/>
          <w14:textFill>
            <w14:solidFill>
              <w14:schemeClr w14:val="tx1"/>
            </w14:solidFill>
          </w14:textFill>
        </w:rPr>
      </w:pPr>
      <w:r>
        <w:rPr>
          <w:color w:val="000000" w:themeColor="text1"/>
          <w14:textFill>
            <w14:solidFill>
              <w14:schemeClr w14:val="tx1"/>
            </w14:solidFill>
          </w14:textFill>
        </w:rPr>
        <w:drawing>
          <wp:inline distT="0" distB="0" distL="114300" distR="114300">
            <wp:extent cx="5271135" cy="4332605"/>
            <wp:effectExtent l="0" t="0" r="5715" b="10795"/>
            <wp:docPr id="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3"/>
                    <pic:cNvPicPr>
                      <a:picLocks noChangeAspect="1"/>
                    </pic:cNvPicPr>
                  </pic:nvPicPr>
                  <pic:blipFill>
                    <a:blip r:embed="rId39"/>
                    <a:stretch>
                      <a:fillRect/>
                    </a:stretch>
                  </pic:blipFill>
                  <pic:spPr>
                    <a:xfrm>
                      <a:off x="0" y="0"/>
                      <a:ext cx="5271135" cy="4332605"/>
                    </a:xfrm>
                    <a:prstGeom prst="rect">
                      <a:avLst/>
                    </a:prstGeom>
                    <a:noFill/>
                    <a:ln>
                      <a:noFill/>
                    </a:ln>
                  </pic:spPr>
                </pic:pic>
              </a:graphicData>
            </a:graphic>
          </wp:inline>
        </w:drawing>
      </w:r>
    </w:p>
    <w:p w14:paraId="6D044695">
      <w:pPr>
        <w:spacing w:line="360" w:lineRule="auto"/>
        <w:jc w:val="center"/>
        <w:rPr>
          <w:rFonts w:hint="default" w:ascii="Times New Roman" w:hAnsi="Times New Roman" w:eastAsia="Times New Roman" w:cs="Times New Roman"/>
          <w:b/>
          <w:bCs/>
          <w:color w:val="000000" w:themeColor="text1"/>
          <w:spacing w:val="3"/>
          <w:sz w:val="20"/>
          <w:szCs w:val="20"/>
          <w14:textFill>
            <w14:solidFill>
              <w14:schemeClr w14:val="tx1"/>
            </w14:solidFill>
          </w14:textFill>
        </w:rPr>
      </w:pPr>
      <w:r>
        <w:rPr>
          <w:rFonts w:hint="default" w:ascii="Times New Roman" w:hAnsi="Times New Roman" w:eastAsia="宋体" w:cs="Times New Roman"/>
          <w:b/>
          <w:bCs/>
          <w:color w:val="000000" w:themeColor="text1"/>
          <w:spacing w:val="4"/>
          <w:sz w:val="20"/>
          <w:szCs w:val="20"/>
          <w14:textFill>
            <w14:solidFill>
              <w14:schemeClr w14:val="tx1"/>
            </w14:solidFill>
          </w14:textFill>
        </w:rPr>
        <w:t>图</w:t>
      </w:r>
      <w:r>
        <w:rPr>
          <w:rFonts w:hint="default" w:ascii="Times New Roman" w:hAnsi="Times New Roman" w:eastAsia="宋体" w:cs="Times New Roman"/>
          <w:color w:val="000000" w:themeColor="text1"/>
          <w:spacing w:val="-42"/>
          <w:sz w:val="20"/>
          <w:szCs w:val="20"/>
          <w14:textFill>
            <w14:solidFill>
              <w14:schemeClr w14:val="tx1"/>
            </w14:solidFill>
          </w14:textFill>
        </w:rPr>
        <w:t xml:space="preserve"> </w:t>
      </w:r>
      <w:r>
        <w:rPr>
          <w:rFonts w:hint="default" w:ascii="Times New Roman" w:hAnsi="Times New Roman" w:eastAsia="Times New Roman" w:cs="Times New Roman"/>
          <w:b/>
          <w:bCs/>
          <w:color w:val="000000" w:themeColor="text1"/>
          <w:spacing w:val="4"/>
          <w:sz w:val="20"/>
          <w:szCs w:val="20"/>
          <w14:textFill>
            <w14:solidFill>
              <w14:schemeClr w14:val="tx1"/>
            </w14:solidFill>
          </w14:textFill>
        </w:rPr>
        <w:t>3.</w:t>
      </w:r>
      <w:r>
        <w:rPr>
          <w:rFonts w:hint="default" w:ascii="Times New Roman" w:hAnsi="Times New Roman" w:eastAsia="宋体" w:cs="Times New Roman"/>
          <w:b/>
          <w:bCs/>
          <w:color w:val="000000" w:themeColor="text1"/>
          <w:spacing w:val="4"/>
          <w:sz w:val="20"/>
          <w:szCs w:val="20"/>
          <w:lang w:val="en-US" w:eastAsia="zh-CN"/>
          <w14:textFill>
            <w14:solidFill>
              <w14:schemeClr w14:val="tx1"/>
            </w14:solidFill>
          </w14:textFill>
        </w:rPr>
        <w:t>3</w:t>
      </w:r>
      <w:r>
        <w:rPr>
          <w:rFonts w:hint="default" w:ascii="Times New Roman" w:hAnsi="Times New Roman" w:eastAsia="Times New Roman" w:cs="Times New Roman"/>
          <w:b/>
          <w:bCs/>
          <w:color w:val="000000" w:themeColor="text1"/>
          <w:spacing w:val="4"/>
          <w:sz w:val="20"/>
          <w:szCs w:val="20"/>
          <w14:textFill>
            <w14:solidFill>
              <w14:schemeClr w14:val="tx1"/>
            </w14:solidFill>
          </w14:textFill>
        </w:rPr>
        <w:t>-</w:t>
      </w:r>
      <w:r>
        <w:rPr>
          <w:rFonts w:hint="default" w:ascii="Times New Roman" w:hAnsi="Times New Roman" w:eastAsia="宋体" w:cs="Times New Roman"/>
          <w:b/>
          <w:bCs/>
          <w:color w:val="000000" w:themeColor="text1"/>
          <w:spacing w:val="4"/>
          <w:sz w:val="20"/>
          <w:szCs w:val="20"/>
          <w:lang w:val="en-US" w:eastAsia="zh-CN"/>
          <w14:textFill>
            <w14:solidFill>
              <w14:schemeClr w14:val="tx1"/>
            </w14:solidFill>
          </w14:textFill>
        </w:rPr>
        <w:t>1</w:t>
      </w:r>
      <w:r>
        <w:rPr>
          <w:rFonts w:hint="default" w:ascii="Times New Roman" w:hAnsi="Times New Roman" w:eastAsia="Times New Roman" w:cs="Times New Roman"/>
          <w:b/>
          <w:bCs/>
          <w:color w:val="000000" w:themeColor="text1"/>
          <w:spacing w:val="4"/>
          <w:sz w:val="20"/>
          <w:szCs w:val="20"/>
          <w14:textFill>
            <w14:solidFill>
              <w14:schemeClr w14:val="tx1"/>
            </w14:solidFill>
          </w14:textFill>
        </w:rPr>
        <w:t xml:space="preserve">  </w:t>
      </w:r>
      <w:r>
        <w:rPr>
          <w:rFonts w:hint="default" w:ascii="Times New Roman" w:hAnsi="Times New Roman" w:eastAsia="宋体" w:cs="Times New Roman"/>
          <w:b/>
          <w:bCs/>
          <w:color w:val="000000" w:themeColor="text1"/>
          <w:spacing w:val="4"/>
          <w:sz w:val="20"/>
          <w:szCs w:val="20"/>
          <w14:textFill>
            <w14:solidFill>
              <w14:schemeClr w14:val="tx1"/>
            </w14:solidFill>
          </w14:textFill>
        </w:rPr>
        <w:t>项目水平衡图</w:t>
      </w:r>
      <w:r>
        <w:rPr>
          <w:rFonts w:hint="default" w:ascii="Times New Roman" w:hAnsi="Times New Roman" w:eastAsia="宋体" w:cs="Times New Roman"/>
          <w:color w:val="000000" w:themeColor="text1"/>
          <w:spacing w:val="8"/>
          <w:sz w:val="20"/>
          <w:szCs w:val="20"/>
          <w14:textFill>
            <w14:solidFill>
              <w14:schemeClr w14:val="tx1"/>
            </w14:solidFill>
          </w14:textFill>
        </w:rPr>
        <w:t xml:space="preserve">   </w:t>
      </w:r>
      <w:r>
        <w:rPr>
          <w:rFonts w:hint="default" w:ascii="Times New Roman" w:hAnsi="Times New Roman" w:eastAsia="宋体" w:cs="Times New Roman"/>
          <w:b/>
          <w:bCs/>
          <w:color w:val="000000" w:themeColor="text1"/>
          <w:spacing w:val="4"/>
          <w:sz w:val="20"/>
          <w:szCs w:val="20"/>
          <w14:textFill>
            <w14:solidFill>
              <w14:schemeClr w14:val="tx1"/>
            </w14:solidFill>
          </w14:textFill>
        </w:rPr>
        <w:t>单位：</w:t>
      </w:r>
      <w:r>
        <w:rPr>
          <w:rFonts w:hint="default" w:ascii="Times New Roman" w:hAnsi="Times New Roman" w:eastAsia="Times New Roman" w:cs="Times New Roman"/>
          <w:b/>
          <w:bCs/>
          <w:color w:val="000000" w:themeColor="text1"/>
          <w:spacing w:val="3"/>
          <w:sz w:val="20"/>
          <w:szCs w:val="20"/>
          <w14:textFill>
            <w14:solidFill>
              <w14:schemeClr w14:val="tx1"/>
            </w14:solidFill>
          </w14:textFill>
        </w:rPr>
        <w:t>m</w:t>
      </w:r>
      <w:r>
        <w:rPr>
          <w:rFonts w:hint="default" w:ascii="Times New Roman" w:hAnsi="Times New Roman" w:eastAsia="Times New Roman" w:cs="Times New Roman"/>
          <w:b/>
          <w:bCs/>
          <w:color w:val="000000" w:themeColor="text1"/>
          <w:spacing w:val="3"/>
          <w:position w:val="6"/>
          <w:sz w:val="13"/>
          <w:szCs w:val="13"/>
          <w14:textFill>
            <w14:solidFill>
              <w14:schemeClr w14:val="tx1"/>
            </w14:solidFill>
          </w14:textFill>
        </w:rPr>
        <w:t>3</w:t>
      </w:r>
      <w:r>
        <w:rPr>
          <w:rFonts w:hint="default" w:ascii="Times New Roman" w:hAnsi="Times New Roman" w:eastAsia="Times New Roman" w:cs="Times New Roman"/>
          <w:b/>
          <w:bCs/>
          <w:color w:val="000000" w:themeColor="text1"/>
          <w:spacing w:val="3"/>
          <w:sz w:val="20"/>
          <w:szCs w:val="20"/>
          <w14:textFill>
            <w14:solidFill>
              <w14:schemeClr w14:val="tx1"/>
            </w14:solidFill>
          </w14:textFill>
        </w:rPr>
        <w:t>/d</w:t>
      </w:r>
    </w:p>
    <w:p w14:paraId="38816D94">
      <w:pPr>
        <w:spacing w:line="360" w:lineRule="auto"/>
        <w:ind w:firstLine="464" w:firstLineChars="200"/>
        <w:jc w:val="both"/>
        <w:rPr>
          <w:rFonts w:hint="default" w:ascii="Times New Roman" w:hAnsi="Times New Roman" w:cs="Times New Roman"/>
          <w:color w:val="000000" w:themeColor="text1"/>
          <w:sz w:val="24"/>
          <w:szCs w:val="24"/>
          <w14:textFill>
            <w14:solidFill>
              <w14:schemeClr w14:val="tx1"/>
            </w14:solidFill>
          </w14:textFill>
        </w:rPr>
        <w:sectPr>
          <w:footerReference r:id="rId10"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000000" w:themeColor="text1"/>
          <w:spacing w:val="-4"/>
          <w:sz w:val="24"/>
          <w:szCs w:val="24"/>
          <w14:textFill>
            <w14:solidFill>
              <w14:schemeClr w14:val="tx1"/>
            </w14:solidFill>
          </w14:textFill>
        </w:rPr>
        <w:t>本项目厂区实行清污分流、雨污分流制。本项目瓶片清洗废水经厂内污水处理站处</w:t>
      </w:r>
      <w:r>
        <w:rPr>
          <w:rFonts w:hint="default" w:ascii="Times New Roman" w:hAnsi="Times New Roman" w:eastAsia="宋体" w:cs="Times New Roman"/>
          <w:color w:val="000000" w:themeColor="text1"/>
          <w:spacing w:val="-1"/>
          <w:sz w:val="24"/>
          <w:szCs w:val="24"/>
          <w14:textFill>
            <w14:solidFill>
              <w14:schemeClr w14:val="tx1"/>
            </w14:solidFill>
          </w14:textFill>
        </w:rPr>
        <w:t>理后</w:t>
      </w:r>
      <w:r>
        <w:rPr>
          <w:rFonts w:hint="default" w:ascii="Times New Roman" w:hAnsi="Times New Roman" w:eastAsia="Times New Roman" w:cs="Times New Roman"/>
          <w:color w:val="000000" w:themeColor="text1"/>
          <w:spacing w:val="-1"/>
          <w:sz w:val="24"/>
          <w:szCs w:val="24"/>
          <w14:textFill>
            <w14:solidFill>
              <w14:schemeClr w14:val="tx1"/>
            </w14:solidFill>
          </w14:textFill>
        </w:rPr>
        <w:t>90%</w:t>
      </w:r>
      <w:r>
        <w:rPr>
          <w:rFonts w:hint="default" w:ascii="Times New Roman" w:hAnsi="Times New Roman" w:eastAsia="宋体" w:cs="Times New Roman"/>
          <w:color w:val="000000" w:themeColor="text1"/>
          <w:spacing w:val="-1"/>
          <w:sz w:val="24"/>
          <w:szCs w:val="24"/>
          <w14:textFill>
            <w14:solidFill>
              <w14:schemeClr w14:val="tx1"/>
            </w14:solidFill>
          </w14:textFill>
        </w:rPr>
        <w:t>循环使用，</w:t>
      </w:r>
      <w:r>
        <w:rPr>
          <w:rFonts w:hint="default" w:ascii="Times New Roman" w:hAnsi="Times New Roman" w:eastAsia="Times New Roman" w:cs="Times New Roman"/>
          <w:color w:val="000000" w:themeColor="text1"/>
          <w:spacing w:val="-1"/>
          <w:sz w:val="24"/>
          <w:szCs w:val="24"/>
          <w14:textFill>
            <w14:solidFill>
              <w14:schemeClr w14:val="tx1"/>
            </w14:solidFill>
          </w14:textFill>
        </w:rPr>
        <w:t>10%</w:t>
      </w:r>
      <w:r>
        <w:rPr>
          <w:rFonts w:hint="default" w:ascii="Times New Roman" w:hAnsi="Times New Roman" w:eastAsia="宋体" w:cs="Times New Roman"/>
          <w:color w:val="000000" w:themeColor="text1"/>
          <w:spacing w:val="-1"/>
          <w:sz w:val="24"/>
          <w:szCs w:val="24"/>
          <w14:textFill>
            <w14:solidFill>
              <w14:schemeClr w14:val="tx1"/>
            </w14:solidFill>
          </w14:textFill>
        </w:rPr>
        <w:t>经市政污水管网排入</w:t>
      </w:r>
      <w:r>
        <w:rPr>
          <w:rFonts w:hint="default" w:ascii="Times New Roman" w:hAnsi="Times New Roman" w:cs="Times New Roman"/>
          <w:color w:val="000000" w:themeColor="text1"/>
          <w:spacing w:val="-1"/>
          <w:sz w:val="24"/>
          <w:szCs w:val="24"/>
          <w:lang w:eastAsia="zh-CN"/>
          <w14:textFill>
            <w14:solidFill>
              <w14:schemeClr w14:val="tx1"/>
            </w14:solidFill>
          </w14:textFill>
        </w:rPr>
        <w:t>毛集实验区污水处理厂</w:t>
      </w:r>
      <w:r>
        <w:rPr>
          <w:rFonts w:hint="default" w:ascii="Times New Roman" w:hAnsi="Times New Roman" w:eastAsia="宋体" w:cs="Times New Roman"/>
          <w:color w:val="000000" w:themeColor="text1"/>
          <w:spacing w:val="-1"/>
          <w:sz w:val="24"/>
          <w:szCs w:val="24"/>
          <w14:textFill>
            <w14:solidFill>
              <w14:schemeClr w14:val="tx1"/>
            </w14:solidFill>
          </w14:textFill>
        </w:rPr>
        <w:t>深度</w:t>
      </w:r>
      <w:r>
        <w:rPr>
          <w:rFonts w:hint="default" w:ascii="Times New Roman" w:hAnsi="Times New Roman" w:eastAsia="宋体" w:cs="Times New Roman"/>
          <w:color w:val="000000" w:themeColor="text1"/>
          <w:spacing w:val="-2"/>
          <w:sz w:val="24"/>
          <w:szCs w:val="24"/>
          <w14:textFill>
            <w14:solidFill>
              <w14:schemeClr w14:val="tx1"/>
            </w14:solidFill>
          </w14:textFill>
        </w:rPr>
        <w:t>处理；</w:t>
      </w:r>
      <w:r>
        <w:rPr>
          <w:rFonts w:hint="default" w:ascii="Times New Roman" w:hAnsi="Times New Roman" w:eastAsia="宋体" w:cs="Times New Roman"/>
          <w:color w:val="000000" w:themeColor="text1"/>
          <w:spacing w:val="-3"/>
          <w:sz w:val="24"/>
          <w:szCs w:val="24"/>
          <w14:textFill>
            <w14:solidFill>
              <w14:schemeClr w14:val="tx1"/>
            </w14:solidFill>
          </w14:textFill>
        </w:rPr>
        <w:t>冷却水为</w:t>
      </w:r>
      <w:r>
        <w:rPr>
          <w:rFonts w:hint="eastAsia" w:cs="Times New Roman"/>
          <w:color w:val="000000" w:themeColor="text1"/>
          <w:spacing w:val="-3"/>
          <w:sz w:val="24"/>
          <w:szCs w:val="24"/>
          <w:lang w:eastAsia="zh-CN"/>
          <w14:textFill>
            <w14:solidFill>
              <w14:schemeClr w14:val="tx1"/>
            </w14:solidFill>
          </w14:textFill>
        </w:rPr>
        <w:t>直接</w:t>
      </w:r>
      <w:r>
        <w:rPr>
          <w:rFonts w:hint="default" w:ascii="Times New Roman" w:hAnsi="Times New Roman" w:eastAsia="宋体" w:cs="Times New Roman"/>
          <w:color w:val="000000" w:themeColor="text1"/>
          <w:spacing w:val="-3"/>
          <w:sz w:val="24"/>
          <w:szCs w:val="24"/>
          <w14:textFill>
            <w14:solidFill>
              <w14:schemeClr w14:val="tx1"/>
            </w14:solidFill>
          </w14:textFill>
        </w:rPr>
        <w:t>冷</w:t>
      </w:r>
      <w:r>
        <w:rPr>
          <w:rFonts w:hint="default" w:ascii="Times New Roman" w:hAnsi="Times New Roman" w:eastAsia="宋体" w:cs="Times New Roman"/>
          <w:color w:val="000000" w:themeColor="text1"/>
          <w:spacing w:val="-4"/>
          <w:sz w:val="24"/>
          <w:szCs w:val="24"/>
          <w14:textFill>
            <w14:solidFill>
              <w14:schemeClr w14:val="tx1"/>
            </w14:solidFill>
          </w14:textFill>
        </w:rPr>
        <w:t>却，循环利用，</w:t>
      </w:r>
      <w:r>
        <w:rPr>
          <w:rFonts w:hint="eastAsia" w:cs="Times New Roman"/>
          <w:color w:val="000000" w:themeColor="text1"/>
          <w:spacing w:val="-4"/>
          <w:sz w:val="24"/>
          <w:szCs w:val="24"/>
          <w:lang w:eastAsia="zh-CN"/>
          <w14:textFill>
            <w14:solidFill>
              <w14:schemeClr w14:val="tx1"/>
            </w14:solidFill>
          </w14:textFill>
        </w:rPr>
        <w:t>定</w:t>
      </w:r>
      <w:r>
        <w:rPr>
          <w:rFonts w:hint="eastAsia" w:ascii="Times New Roman" w:hAnsi="Times New Roman" w:eastAsia="宋体" w:cs="Times New Roman"/>
          <w:color w:val="000000" w:themeColor="text1"/>
          <w:spacing w:val="-4"/>
          <w:sz w:val="24"/>
          <w:szCs w:val="24"/>
          <w:lang w:eastAsia="zh-CN"/>
          <w14:textFill>
            <w14:solidFill>
              <w14:schemeClr w14:val="tx1"/>
            </w14:solidFill>
          </w14:textFill>
        </w:rPr>
        <w:t>期外排水</w:t>
      </w:r>
      <w:r>
        <w:rPr>
          <w:rFonts w:hint="eastAsia" w:ascii="Times New Roman" w:hAnsi="Times New Roman" w:eastAsia="宋体" w:cs="Times New Roman"/>
          <w:color w:val="000000" w:themeColor="text1"/>
          <w:spacing w:val="-4"/>
          <w:sz w:val="24"/>
          <w:szCs w:val="24"/>
          <w:lang w:val="en-US" w:eastAsia="zh-CN"/>
          <w14:textFill>
            <w14:solidFill>
              <w14:schemeClr w14:val="tx1"/>
            </w14:solidFill>
          </w14:textFill>
        </w:rPr>
        <w:t>用于物料清洗</w:t>
      </w:r>
      <w:r>
        <w:rPr>
          <w:rFonts w:hint="default" w:ascii="Times New Roman" w:hAnsi="Times New Roman" w:eastAsia="宋体" w:cs="Times New Roman"/>
          <w:color w:val="000000" w:themeColor="text1"/>
          <w:spacing w:val="-4"/>
          <w:sz w:val="24"/>
          <w:szCs w:val="24"/>
          <w14:textFill>
            <w14:solidFill>
              <w14:schemeClr w14:val="tx1"/>
            </w14:solidFill>
          </w14:textFill>
        </w:rPr>
        <w:t>；生活污水经</w:t>
      </w:r>
      <w:r>
        <w:rPr>
          <w:rFonts w:hint="default" w:ascii="Times New Roman" w:hAnsi="Times New Roman" w:eastAsia="宋体" w:cs="Times New Roman"/>
          <w:color w:val="000000" w:themeColor="text1"/>
          <w:sz w:val="24"/>
          <w:szCs w:val="24"/>
          <w14:textFill>
            <w14:solidFill>
              <w14:schemeClr w14:val="tx1"/>
            </w14:solidFill>
          </w14:textFill>
        </w:rPr>
        <w:t>化粪池预处理后经市政污水管网，进入</w:t>
      </w:r>
      <w:r>
        <w:rPr>
          <w:rFonts w:hint="default" w:ascii="Times New Roman" w:hAnsi="Times New Roman" w:cs="Times New Roman"/>
          <w:color w:val="000000" w:themeColor="text1"/>
          <w:sz w:val="24"/>
          <w:szCs w:val="24"/>
          <w:lang w:eastAsia="zh-CN"/>
          <w14:textFill>
            <w14:solidFill>
              <w14:schemeClr w14:val="tx1"/>
            </w14:solidFill>
          </w14:textFill>
        </w:rPr>
        <w:t>毛集实验区污水处理厂</w:t>
      </w:r>
      <w:r>
        <w:rPr>
          <w:rFonts w:hint="default" w:ascii="Times New Roman" w:hAnsi="Times New Roman" w:eastAsia="宋体" w:cs="Times New Roman"/>
          <w:color w:val="000000" w:themeColor="text1"/>
          <w:spacing w:val="-1"/>
          <w:sz w:val="24"/>
          <w:szCs w:val="24"/>
          <w14:textFill>
            <w14:solidFill>
              <w14:schemeClr w14:val="tx1"/>
            </w14:solidFill>
          </w14:textFill>
        </w:rPr>
        <w:t>集中处理，最终排至</w:t>
      </w:r>
      <w:r>
        <w:rPr>
          <w:rFonts w:hint="default" w:ascii="Times New Roman" w:hAnsi="Times New Roman" w:cs="Times New Roman"/>
          <w:color w:val="000000" w:themeColor="text1"/>
          <w:spacing w:val="-1"/>
          <w:sz w:val="24"/>
          <w:szCs w:val="24"/>
          <w:lang w:eastAsia="zh-CN"/>
          <w14:textFill>
            <w14:solidFill>
              <w14:schemeClr w14:val="tx1"/>
            </w14:solidFill>
          </w14:textFill>
        </w:rPr>
        <w:t>西淝河</w:t>
      </w:r>
      <w:r>
        <w:rPr>
          <w:rFonts w:hint="default" w:ascii="Times New Roman" w:hAnsi="Times New Roman" w:eastAsia="宋体" w:cs="Times New Roman"/>
          <w:color w:val="000000" w:themeColor="text1"/>
          <w:spacing w:val="-1"/>
          <w:sz w:val="24"/>
          <w:szCs w:val="24"/>
          <w14:textFill>
            <w14:solidFill>
              <w14:schemeClr w14:val="tx1"/>
            </w14:solidFill>
          </w14:textFill>
        </w:rPr>
        <w:t>。</w:t>
      </w:r>
    </w:p>
    <w:p w14:paraId="7E4873BF">
      <w:pPr>
        <w:pStyle w:val="82"/>
        <w:adjustRightInd w:val="0"/>
        <w:spacing w:line="360" w:lineRule="auto"/>
        <w:ind w:left="392"/>
        <w:jc w:val="center"/>
        <w:rPr>
          <w:rFonts w:hint="default" w:ascii="Times New Roman" w:hAnsi="Times New Roman" w:eastAsia="黑体" w:cs="Times New Roman"/>
          <w:color w:val="000000" w:themeColor="text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t>表3.</w:t>
      </w:r>
      <w:r>
        <w:rPr>
          <w:rFonts w:hint="default" w:ascii="Times New Roman" w:hAnsi="Times New Roman" w:eastAsia="黑体" w:cs="Times New Roman"/>
          <w:color w:val="000000" w:themeColor="text1"/>
          <w:lang w:val="en-US" w:eastAsia="zh-CN"/>
          <w14:textFill>
            <w14:solidFill>
              <w14:schemeClr w14:val="tx1"/>
            </w14:solidFill>
          </w14:textFill>
        </w:rPr>
        <w:t>3</w:t>
      </w:r>
      <w:r>
        <w:rPr>
          <w:rFonts w:hint="default" w:ascii="Times New Roman" w:hAnsi="Times New Roman" w:eastAsia="黑体" w:cs="Times New Roman"/>
          <w:color w:val="000000" w:themeColor="text1"/>
          <w14:textFill>
            <w14:solidFill>
              <w14:schemeClr w14:val="tx1"/>
            </w14:solidFill>
          </w14:textFill>
        </w:rPr>
        <w:t>-5项目废水处理及排放情况一览表</w:t>
      </w:r>
    </w:p>
    <w:tbl>
      <w:tblPr>
        <w:tblStyle w:val="88"/>
        <w:tblW w:w="4996"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745"/>
        <w:gridCol w:w="992"/>
        <w:gridCol w:w="1074"/>
        <w:gridCol w:w="1139"/>
        <w:gridCol w:w="1148"/>
        <w:gridCol w:w="955"/>
        <w:gridCol w:w="1125"/>
        <w:gridCol w:w="904"/>
        <w:gridCol w:w="686"/>
        <w:gridCol w:w="1063"/>
        <w:gridCol w:w="1102"/>
        <w:gridCol w:w="898"/>
        <w:gridCol w:w="836"/>
        <w:gridCol w:w="1496"/>
      </w:tblGrid>
      <w:tr w14:paraId="278D6D9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Merge w:val="restart"/>
            <w:vAlign w:val="center"/>
          </w:tcPr>
          <w:p w14:paraId="42C3AD02">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废水类别</w:t>
            </w:r>
          </w:p>
        </w:tc>
        <w:tc>
          <w:tcPr>
            <w:tcW w:w="350" w:type="pct"/>
            <w:vMerge w:val="restart"/>
            <w:vAlign w:val="center"/>
          </w:tcPr>
          <w:p w14:paraId="4D3A16A1">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污染物</w:t>
            </w:r>
          </w:p>
        </w:tc>
        <w:tc>
          <w:tcPr>
            <w:tcW w:w="1920" w:type="pct"/>
            <w:gridSpan w:val="5"/>
            <w:vAlign w:val="center"/>
          </w:tcPr>
          <w:p w14:paraId="33107D30">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污染物产生</w:t>
            </w:r>
          </w:p>
        </w:tc>
        <w:tc>
          <w:tcPr>
            <w:tcW w:w="561" w:type="pct"/>
            <w:gridSpan w:val="2"/>
            <w:vAlign w:val="center"/>
          </w:tcPr>
          <w:p w14:paraId="421FBBBB">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治理措施</w:t>
            </w:r>
          </w:p>
        </w:tc>
        <w:tc>
          <w:tcPr>
            <w:tcW w:w="1376" w:type="pct"/>
            <w:gridSpan w:val="4"/>
            <w:vAlign w:val="center"/>
          </w:tcPr>
          <w:p w14:paraId="4C708A9A">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污染物排放</w:t>
            </w:r>
          </w:p>
        </w:tc>
        <w:tc>
          <w:tcPr>
            <w:tcW w:w="528" w:type="pct"/>
            <w:vMerge w:val="restart"/>
            <w:vAlign w:val="center"/>
          </w:tcPr>
          <w:p w14:paraId="25AB5548">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去向</w:t>
            </w:r>
          </w:p>
        </w:tc>
      </w:tr>
      <w:tr w14:paraId="71142BE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Merge w:val="continue"/>
            <w:vAlign w:val="center"/>
          </w:tcPr>
          <w:p w14:paraId="1113F91C">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50" w:type="pct"/>
            <w:vMerge w:val="continue"/>
            <w:vAlign w:val="center"/>
          </w:tcPr>
          <w:p w14:paraId="65C63D0C">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79" w:type="pct"/>
            <w:vAlign w:val="center"/>
          </w:tcPr>
          <w:p w14:paraId="739EBD0B">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核算方法</w:t>
            </w:r>
          </w:p>
        </w:tc>
        <w:tc>
          <w:tcPr>
            <w:tcW w:w="402" w:type="pct"/>
            <w:vAlign w:val="center"/>
          </w:tcPr>
          <w:p w14:paraId="3AF033DA">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废水产生量m</w:t>
            </w:r>
            <w:r>
              <w:rPr>
                <w:rFonts w:hint="default" w:ascii="Times New Roman" w:hAnsi="Times New Roman" w:cs="Times New Roman"/>
                <w:b/>
                <w:snapToGrid w:val="0"/>
                <w:color w:val="000000" w:themeColor="text1"/>
                <w:spacing w:val="0"/>
                <w:kern w:val="2"/>
                <w:sz w:val="21"/>
                <w:szCs w:val="21"/>
                <w:vertAlign w:val="superscript"/>
                <w14:textFill>
                  <w14:solidFill>
                    <w14:schemeClr w14:val="tx1"/>
                  </w14:solidFill>
                </w14:textFill>
              </w:rPr>
              <w:t>3</w:t>
            </w: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/d</w:t>
            </w:r>
          </w:p>
        </w:tc>
        <w:tc>
          <w:tcPr>
            <w:tcW w:w="405" w:type="pct"/>
            <w:vAlign w:val="center"/>
          </w:tcPr>
          <w:p w14:paraId="3B28EE59">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废水产生量m</w:t>
            </w:r>
            <w:r>
              <w:rPr>
                <w:rFonts w:hint="default" w:ascii="Times New Roman" w:hAnsi="Times New Roman" w:cs="Times New Roman"/>
                <w:b/>
                <w:snapToGrid w:val="0"/>
                <w:color w:val="000000" w:themeColor="text1"/>
                <w:spacing w:val="0"/>
                <w:kern w:val="2"/>
                <w:sz w:val="21"/>
                <w:szCs w:val="21"/>
                <w:vertAlign w:val="superscript"/>
                <w14:textFill>
                  <w14:solidFill>
                    <w14:schemeClr w14:val="tx1"/>
                  </w14:solidFill>
                </w14:textFill>
              </w:rPr>
              <w:t>3</w:t>
            </w: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/a</w:t>
            </w:r>
          </w:p>
        </w:tc>
        <w:tc>
          <w:tcPr>
            <w:tcW w:w="337" w:type="pct"/>
            <w:vAlign w:val="center"/>
          </w:tcPr>
          <w:p w14:paraId="0A4F391D">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产生浓度mg/L</w:t>
            </w:r>
          </w:p>
        </w:tc>
        <w:tc>
          <w:tcPr>
            <w:tcW w:w="397" w:type="pct"/>
            <w:vAlign w:val="center"/>
          </w:tcPr>
          <w:p w14:paraId="5B9B8D09">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产生量t/a</w:t>
            </w:r>
          </w:p>
        </w:tc>
        <w:tc>
          <w:tcPr>
            <w:tcW w:w="319" w:type="pct"/>
            <w:vAlign w:val="center"/>
          </w:tcPr>
          <w:p w14:paraId="0221C805">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治理工艺</w:t>
            </w:r>
          </w:p>
        </w:tc>
        <w:tc>
          <w:tcPr>
            <w:tcW w:w="242" w:type="pct"/>
            <w:vAlign w:val="center"/>
          </w:tcPr>
          <w:p w14:paraId="3D99D493">
            <w:pPr>
              <w:spacing w:line="276" w:lineRule="auto"/>
              <w:jc w:val="center"/>
              <w:rPr>
                <w:rFonts w:hint="default" w:ascii="Times New Roman" w:hAnsi="Times New Roman" w:eastAsia="宋体" w:cs="Times New Roman"/>
                <w:b/>
                <w:snapToGrid w:val="0"/>
                <w:color w:val="000000" w:themeColor="text1"/>
                <w:spacing w:val="0"/>
                <w:kern w:val="2"/>
                <w:sz w:val="21"/>
                <w:szCs w:val="21"/>
                <w:lang w:eastAsia="zh-CN"/>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lang w:eastAsia="zh-CN"/>
                <w14:textFill>
                  <w14:solidFill>
                    <w14:schemeClr w14:val="tx1"/>
                  </w14:solidFill>
                </w14:textFill>
              </w:rPr>
              <w:t>处理效率</w:t>
            </w:r>
          </w:p>
        </w:tc>
        <w:tc>
          <w:tcPr>
            <w:tcW w:w="375" w:type="pct"/>
            <w:vAlign w:val="center"/>
          </w:tcPr>
          <w:p w14:paraId="14712A87">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废水产生量m</w:t>
            </w:r>
            <w:r>
              <w:rPr>
                <w:rFonts w:hint="default" w:ascii="Times New Roman" w:hAnsi="Times New Roman" w:cs="Times New Roman"/>
                <w:b/>
                <w:snapToGrid w:val="0"/>
                <w:color w:val="000000" w:themeColor="text1"/>
                <w:spacing w:val="0"/>
                <w:kern w:val="2"/>
                <w:sz w:val="21"/>
                <w:szCs w:val="21"/>
                <w:vertAlign w:val="superscript"/>
                <w14:textFill>
                  <w14:solidFill>
                    <w14:schemeClr w14:val="tx1"/>
                  </w14:solidFill>
                </w14:textFill>
              </w:rPr>
              <w:t>3</w:t>
            </w: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/a</w:t>
            </w:r>
          </w:p>
        </w:tc>
        <w:tc>
          <w:tcPr>
            <w:tcW w:w="389" w:type="pct"/>
            <w:vAlign w:val="center"/>
          </w:tcPr>
          <w:p w14:paraId="4DA61961">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排放浓度</w:t>
            </w:r>
          </w:p>
          <w:p w14:paraId="4A95DADC">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mg/L</w:t>
            </w:r>
          </w:p>
        </w:tc>
        <w:tc>
          <w:tcPr>
            <w:tcW w:w="317" w:type="pct"/>
            <w:vAlign w:val="center"/>
          </w:tcPr>
          <w:p w14:paraId="7099E201">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排放量t/a</w:t>
            </w:r>
          </w:p>
        </w:tc>
        <w:tc>
          <w:tcPr>
            <w:tcW w:w="294" w:type="pct"/>
            <w:vAlign w:val="center"/>
          </w:tcPr>
          <w:p w14:paraId="2125C6B2">
            <w:pPr>
              <w:spacing w:line="276" w:lineRule="auto"/>
              <w:jc w:val="center"/>
              <w:rPr>
                <w:rFonts w:hint="eastAsia" w:ascii="Times New Roman" w:hAnsi="Times New Roman" w:eastAsia="宋体" w:cs="Times New Roman"/>
                <w:b/>
                <w:snapToGrid w:val="0"/>
                <w:color w:val="000000" w:themeColor="text1"/>
                <w:spacing w:val="0"/>
                <w:kern w:val="2"/>
                <w:sz w:val="21"/>
                <w:szCs w:val="21"/>
                <w:lang w:val="en-US" w:eastAsia="zh-CN"/>
                <w14:textFill>
                  <w14:solidFill>
                    <w14:schemeClr w14:val="tx1"/>
                  </w14:solidFill>
                </w14:textFill>
              </w:rPr>
            </w:pPr>
            <w:r>
              <w:rPr>
                <w:rFonts w:hint="eastAsia" w:cs="Times New Roman"/>
                <w:b/>
                <w:snapToGrid w:val="0"/>
                <w:color w:val="000000" w:themeColor="text1"/>
                <w:spacing w:val="0"/>
                <w:kern w:val="2"/>
                <w:sz w:val="21"/>
                <w:szCs w:val="21"/>
                <w:lang w:val="en-US" w:eastAsia="zh-CN"/>
                <w14:textFill>
                  <w14:solidFill>
                    <w14:schemeClr w14:val="tx1"/>
                  </w14:solidFill>
                </w14:textFill>
              </w:rPr>
              <w:t>排放标准</w:t>
            </w:r>
          </w:p>
        </w:tc>
        <w:tc>
          <w:tcPr>
            <w:tcW w:w="528" w:type="pct"/>
            <w:vMerge w:val="continue"/>
            <w:vAlign w:val="center"/>
          </w:tcPr>
          <w:p w14:paraId="1B777C07">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3B55A19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Merge w:val="restart"/>
            <w:vAlign w:val="center"/>
          </w:tcPr>
          <w:p w14:paraId="4C21CB22">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生活污水</w:t>
            </w:r>
          </w:p>
        </w:tc>
        <w:tc>
          <w:tcPr>
            <w:tcW w:w="350" w:type="pct"/>
            <w:vAlign w:val="center"/>
          </w:tcPr>
          <w:p w14:paraId="6EFFF8B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COD</w:t>
            </w:r>
          </w:p>
        </w:tc>
        <w:tc>
          <w:tcPr>
            <w:tcW w:w="379" w:type="pct"/>
            <w:vMerge w:val="restart"/>
            <w:vAlign w:val="center"/>
          </w:tcPr>
          <w:p w14:paraId="6B7410B1">
            <w:pPr>
              <w:spacing w:line="276" w:lineRule="auto"/>
              <w:jc w:val="center"/>
              <w:rPr>
                <w:rFonts w:hint="eastAsia" w:ascii="Times New Roman" w:hAnsi="Times New Roman" w:eastAsia="宋体" w:cs="Times New Roman"/>
                <w:snapToGrid w:val="0"/>
                <w:color w:val="000000" w:themeColor="text1"/>
                <w:spacing w:val="0"/>
                <w:kern w:val="2"/>
                <w:sz w:val="21"/>
                <w:szCs w:val="21"/>
                <w:lang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类比分析</w:t>
            </w:r>
          </w:p>
        </w:tc>
        <w:tc>
          <w:tcPr>
            <w:tcW w:w="402" w:type="pct"/>
            <w:vMerge w:val="restart"/>
            <w:vAlign w:val="center"/>
          </w:tcPr>
          <w:p w14:paraId="2A5DA7D2">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w:t>
            </w:r>
          </w:p>
        </w:tc>
        <w:tc>
          <w:tcPr>
            <w:tcW w:w="405" w:type="pct"/>
            <w:vMerge w:val="restart"/>
            <w:vAlign w:val="center"/>
          </w:tcPr>
          <w:p w14:paraId="6A8DABF2">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600</w:t>
            </w:r>
          </w:p>
        </w:tc>
        <w:tc>
          <w:tcPr>
            <w:tcW w:w="337" w:type="pct"/>
            <w:vAlign w:val="center"/>
          </w:tcPr>
          <w:p w14:paraId="58DF35D2">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350</w:t>
            </w:r>
          </w:p>
        </w:tc>
        <w:tc>
          <w:tcPr>
            <w:tcW w:w="397" w:type="pct"/>
            <w:vAlign w:val="center"/>
          </w:tcPr>
          <w:p w14:paraId="5C7D910A">
            <w:pPr>
              <w:spacing w:line="276" w:lineRule="auto"/>
              <w:jc w:val="center"/>
              <w:rPr>
                <w:rFonts w:hint="default" w:ascii="Times New Roman" w:hAnsi="Times New Roman" w:cs="Times New Roman"/>
                <w:snapToGrid w:val="0"/>
                <w:color w:val="000000" w:themeColor="text1"/>
                <w:spacing w:val="0"/>
                <w:kern w:val="2"/>
                <w:sz w:val="21"/>
                <w:szCs w:val="21"/>
                <w:lang w:val="en-US"/>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21</w:t>
            </w:r>
          </w:p>
        </w:tc>
        <w:tc>
          <w:tcPr>
            <w:tcW w:w="319" w:type="pct"/>
            <w:vMerge w:val="restart"/>
            <w:vAlign w:val="center"/>
          </w:tcPr>
          <w:p w14:paraId="66692110">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w:t>
            </w:r>
          </w:p>
        </w:tc>
        <w:tc>
          <w:tcPr>
            <w:tcW w:w="242" w:type="pct"/>
            <w:vAlign w:val="center"/>
          </w:tcPr>
          <w:p w14:paraId="77DB086F">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w:t>
            </w:r>
          </w:p>
        </w:tc>
        <w:tc>
          <w:tcPr>
            <w:tcW w:w="375" w:type="pct"/>
            <w:vMerge w:val="restart"/>
            <w:vAlign w:val="center"/>
          </w:tcPr>
          <w:p w14:paraId="1FB6C4A2">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60</w:t>
            </w: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0</w:t>
            </w:r>
          </w:p>
        </w:tc>
        <w:tc>
          <w:tcPr>
            <w:tcW w:w="389" w:type="pct"/>
            <w:vAlign w:val="center"/>
          </w:tcPr>
          <w:p w14:paraId="78E5298B">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350</w:t>
            </w:r>
          </w:p>
        </w:tc>
        <w:tc>
          <w:tcPr>
            <w:tcW w:w="317" w:type="pct"/>
            <w:shd w:val="clear" w:color="auto" w:fill="auto"/>
            <w:vAlign w:val="center"/>
          </w:tcPr>
          <w:p w14:paraId="7D7E3979">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21</w:t>
            </w:r>
          </w:p>
        </w:tc>
        <w:tc>
          <w:tcPr>
            <w:tcW w:w="294" w:type="pct"/>
            <w:vAlign w:val="center"/>
          </w:tcPr>
          <w:p w14:paraId="34765F9C">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380</w:t>
            </w:r>
          </w:p>
        </w:tc>
        <w:tc>
          <w:tcPr>
            <w:tcW w:w="528" w:type="pct"/>
            <w:vMerge w:val="restart"/>
            <w:vAlign w:val="center"/>
          </w:tcPr>
          <w:p w14:paraId="27D18C03">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eastAsia="zh-CN"/>
                <w14:textFill>
                  <w14:solidFill>
                    <w14:schemeClr w14:val="tx1"/>
                  </w14:solidFill>
                </w14:textFill>
              </w:rPr>
              <w:t>由市政污水管网排入毛集实验区污水处理厂深度处理</w:t>
            </w:r>
          </w:p>
        </w:tc>
      </w:tr>
      <w:tr w14:paraId="47CA637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Merge w:val="continue"/>
            <w:vAlign w:val="center"/>
          </w:tcPr>
          <w:p w14:paraId="17627ED5">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50" w:type="pct"/>
            <w:vAlign w:val="center"/>
          </w:tcPr>
          <w:p w14:paraId="28F7D4D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BOD</w:t>
            </w:r>
            <w:r>
              <w:rPr>
                <w:rFonts w:hint="default" w:ascii="Times New Roman" w:hAnsi="Times New Roman" w:cs="Times New Roman"/>
                <w:color w:val="000000" w:themeColor="text1"/>
                <w:sz w:val="21"/>
                <w:szCs w:val="21"/>
                <w:vertAlign w:val="subscript"/>
                <w14:textFill>
                  <w14:solidFill>
                    <w14:schemeClr w14:val="tx1"/>
                  </w14:solidFill>
                </w14:textFill>
              </w:rPr>
              <w:t>5</w:t>
            </w:r>
          </w:p>
        </w:tc>
        <w:tc>
          <w:tcPr>
            <w:tcW w:w="379" w:type="pct"/>
            <w:vMerge w:val="continue"/>
            <w:vAlign w:val="center"/>
          </w:tcPr>
          <w:p w14:paraId="7D55C308">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2" w:type="pct"/>
            <w:vMerge w:val="continue"/>
            <w:vAlign w:val="center"/>
          </w:tcPr>
          <w:p w14:paraId="4062E622">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5" w:type="pct"/>
            <w:vMerge w:val="continue"/>
            <w:vAlign w:val="center"/>
          </w:tcPr>
          <w:p w14:paraId="480A1C31">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37" w:type="pct"/>
            <w:vAlign w:val="center"/>
          </w:tcPr>
          <w:p w14:paraId="1DE58151">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180</w:t>
            </w:r>
          </w:p>
        </w:tc>
        <w:tc>
          <w:tcPr>
            <w:tcW w:w="397" w:type="pct"/>
            <w:vAlign w:val="center"/>
          </w:tcPr>
          <w:p w14:paraId="6FBA7643">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108</w:t>
            </w:r>
          </w:p>
        </w:tc>
        <w:tc>
          <w:tcPr>
            <w:tcW w:w="319" w:type="pct"/>
            <w:vMerge w:val="continue"/>
            <w:vAlign w:val="center"/>
          </w:tcPr>
          <w:p w14:paraId="1665100B">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242" w:type="pct"/>
            <w:vAlign w:val="center"/>
          </w:tcPr>
          <w:p w14:paraId="0BF90CBB">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w:t>
            </w:r>
          </w:p>
        </w:tc>
        <w:tc>
          <w:tcPr>
            <w:tcW w:w="375" w:type="pct"/>
            <w:vMerge w:val="continue"/>
            <w:vAlign w:val="center"/>
          </w:tcPr>
          <w:p w14:paraId="40302914">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89" w:type="pct"/>
            <w:vAlign w:val="center"/>
          </w:tcPr>
          <w:p w14:paraId="443874FB">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180</w:t>
            </w:r>
          </w:p>
        </w:tc>
        <w:tc>
          <w:tcPr>
            <w:tcW w:w="317" w:type="pct"/>
            <w:shd w:val="clear" w:color="auto" w:fill="auto"/>
            <w:vAlign w:val="center"/>
          </w:tcPr>
          <w:p w14:paraId="57E2A23E">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108</w:t>
            </w:r>
          </w:p>
        </w:tc>
        <w:tc>
          <w:tcPr>
            <w:tcW w:w="294" w:type="pct"/>
            <w:vAlign w:val="center"/>
          </w:tcPr>
          <w:p w14:paraId="6C53B752">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200</w:t>
            </w:r>
          </w:p>
        </w:tc>
        <w:tc>
          <w:tcPr>
            <w:tcW w:w="528" w:type="pct"/>
            <w:vMerge w:val="continue"/>
            <w:vAlign w:val="center"/>
          </w:tcPr>
          <w:p w14:paraId="4F2C7037">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5585C9B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Merge w:val="continue"/>
            <w:vAlign w:val="center"/>
          </w:tcPr>
          <w:p w14:paraId="25114AD1">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50" w:type="pct"/>
            <w:vAlign w:val="center"/>
          </w:tcPr>
          <w:p w14:paraId="3067955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SS</w:t>
            </w:r>
          </w:p>
        </w:tc>
        <w:tc>
          <w:tcPr>
            <w:tcW w:w="379" w:type="pct"/>
            <w:vMerge w:val="continue"/>
            <w:vAlign w:val="center"/>
          </w:tcPr>
          <w:p w14:paraId="16E92140">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2" w:type="pct"/>
            <w:vMerge w:val="continue"/>
            <w:vAlign w:val="center"/>
          </w:tcPr>
          <w:p w14:paraId="023583E6">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5" w:type="pct"/>
            <w:vMerge w:val="continue"/>
            <w:vAlign w:val="center"/>
          </w:tcPr>
          <w:p w14:paraId="0C2311CD">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37" w:type="pct"/>
            <w:vAlign w:val="center"/>
          </w:tcPr>
          <w:p w14:paraId="41F7354B">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200</w:t>
            </w:r>
          </w:p>
        </w:tc>
        <w:tc>
          <w:tcPr>
            <w:tcW w:w="397" w:type="pct"/>
            <w:vAlign w:val="center"/>
          </w:tcPr>
          <w:p w14:paraId="3EB26B24">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12</w:t>
            </w:r>
          </w:p>
        </w:tc>
        <w:tc>
          <w:tcPr>
            <w:tcW w:w="319" w:type="pct"/>
            <w:vMerge w:val="continue"/>
            <w:vAlign w:val="center"/>
          </w:tcPr>
          <w:p w14:paraId="255D7442">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242" w:type="pct"/>
            <w:vAlign w:val="center"/>
          </w:tcPr>
          <w:p w14:paraId="4DAF3789">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w:t>
            </w:r>
          </w:p>
        </w:tc>
        <w:tc>
          <w:tcPr>
            <w:tcW w:w="375" w:type="pct"/>
            <w:vMerge w:val="continue"/>
            <w:vAlign w:val="center"/>
          </w:tcPr>
          <w:p w14:paraId="3034A9D5">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89" w:type="pct"/>
            <w:vAlign w:val="center"/>
          </w:tcPr>
          <w:p w14:paraId="5C0D028C">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200</w:t>
            </w:r>
          </w:p>
        </w:tc>
        <w:tc>
          <w:tcPr>
            <w:tcW w:w="317" w:type="pct"/>
            <w:shd w:val="clear" w:color="auto" w:fill="auto"/>
            <w:vAlign w:val="center"/>
          </w:tcPr>
          <w:p w14:paraId="3BDF3CD6">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12</w:t>
            </w:r>
          </w:p>
        </w:tc>
        <w:tc>
          <w:tcPr>
            <w:tcW w:w="294" w:type="pct"/>
            <w:vAlign w:val="center"/>
          </w:tcPr>
          <w:p w14:paraId="2485ACC4">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220</w:t>
            </w:r>
          </w:p>
        </w:tc>
        <w:tc>
          <w:tcPr>
            <w:tcW w:w="528" w:type="pct"/>
            <w:vMerge w:val="continue"/>
            <w:vAlign w:val="center"/>
          </w:tcPr>
          <w:p w14:paraId="187B4914">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1461850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Merge w:val="continue"/>
            <w:vAlign w:val="center"/>
          </w:tcPr>
          <w:p w14:paraId="0E7705D9">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50" w:type="pct"/>
            <w:vAlign w:val="center"/>
          </w:tcPr>
          <w:p w14:paraId="0E614F1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-N</w:t>
            </w:r>
          </w:p>
        </w:tc>
        <w:tc>
          <w:tcPr>
            <w:tcW w:w="379" w:type="pct"/>
            <w:vMerge w:val="continue"/>
            <w:vAlign w:val="center"/>
          </w:tcPr>
          <w:p w14:paraId="67C3CAF3">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2" w:type="pct"/>
            <w:vMerge w:val="continue"/>
            <w:vAlign w:val="center"/>
          </w:tcPr>
          <w:p w14:paraId="4F6F3AE3">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5" w:type="pct"/>
            <w:vMerge w:val="continue"/>
            <w:vAlign w:val="center"/>
          </w:tcPr>
          <w:p w14:paraId="716B598A">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37" w:type="pct"/>
            <w:vAlign w:val="center"/>
          </w:tcPr>
          <w:p w14:paraId="782E592B">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30</w:t>
            </w:r>
          </w:p>
        </w:tc>
        <w:tc>
          <w:tcPr>
            <w:tcW w:w="397" w:type="pct"/>
            <w:vAlign w:val="center"/>
          </w:tcPr>
          <w:p w14:paraId="28E87ED4">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18</w:t>
            </w:r>
          </w:p>
        </w:tc>
        <w:tc>
          <w:tcPr>
            <w:tcW w:w="319" w:type="pct"/>
            <w:vMerge w:val="continue"/>
            <w:vAlign w:val="center"/>
          </w:tcPr>
          <w:p w14:paraId="0AF99CC8">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242" w:type="pct"/>
            <w:vAlign w:val="center"/>
          </w:tcPr>
          <w:p w14:paraId="31A5FC7B">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w:t>
            </w:r>
          </w:p>
        </w:tc>
        <w:tc>
          <w:tcPr>
            <w:tcW w:w="375" w:type="pct"/>
            <w:vMerge w:val="continue"/>
            <w:vAlign w:val="center"/>
          </w:tcPr>
          <w:p w14:paraId="2D765482">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89" w:type="pct"/>
            <w:vAlign w:val="center"/>
          </w:tcPr>
          <w:p w14:paraId="2F7012E0">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30</w:t>
            </w:r>
          </w:p>
        </w:tc>
        <w:tc>
          <w:tcPr>
            <w:tcW w:w="317" w:type="pct"/>
            <w:shd w:val="clear" w:color="auto" w:fill="auto"/>
            <w:vAlign w:val="center"/>
          </w:tcPr>
          <w:p w14:paraId="276A0156">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18</w:t>
            </w:r>
          </w:p>
        </w:tc>
        <w:tc>
          <w:tcPr>
            <w:tcW w:w="294" w:type="pct"/>
            <w:vAlign w:val="center"/>
          </w:tcPr>
          <w:p w14:paraId="16CFEC73">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30</w:t>
            </w:r>
          </w:p>
        </w:tc>
        <w:tc>
          <w:tcPr>
            <w:tcW w:w="528" w:type="pct"/>
            <w:vMerge w:val="continue"/>
            <w:vAlign w:val="center"/>
          </w:tcPr>
          <w:p w14:paraId="21FFA63E">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7999346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Merge w:val="continue"/>
            <w:vAlign w:val="center"/>
          </w:tcPr>
          <w:p w14:paraId="397A8FF7">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50" w:type="pct"/>
            <w:vAlign w:val="center"/>
          </w:tcPr>
          <w:p w14:paraId="1D4DEB5A">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TN</w:t>
            </w:r>
          </w:p>
        </w:tc>
        <w:tc>
          <w:tcPr>
            <w:tcW w:w="379" w:type="pct"/>
            <w:vMerge w:val="continue"/>
            <w:vAlign w:val="center"/>
          </w:tcPr>
          <w:p w14:paraId="4FE430B1">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2" w:type="pct"/>
            <w:vMerge w:val="continue"/>
            <w:vAlign w:val="center"/>
          </w:tcPr>
          <w:p w14:paraId="205E8697">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5" w:type="pct"/>
            <w:vMerge w:val="continue"/>
            <w:vAlign w:val="center"/>
          </w:tcPr>
          <w:p w14:paraId="1E1375D4">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37" w:type="pct"/>
            <w:vAlign w:val="center"/>
          </w:tcPr>
          <w:p w14:paraId="2D543408">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30</w:t>
            </w:r>
          </w:p>
        </w:tc>
        <w:tc>
          <w:tcPr>
            <w:tcW w:w="397" w:type="pct"/>
            <w:vAlign w:val="center"/>
          </w:tcPr>
          <w:p w14:paraId="05BECA60">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0.018</w:t>
            </w:r>
          </w:p>
        </w:tc>
        <w:tc>
          <w:tcPr>
            <w:tcW w:w="319" w:type="pct"/>
            <w:vMerge w:val="continue"/>
            <w:vAlign w:val="center"/>
          </w:tcPr>
          <w:p w14:paraId="54B83FDE">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242" w:type="pct"/>
            <w:vAlign w:val="center"/>
          </w:tcPr>
          <w:p w14:paraId="1EDA3EEF">
            <w:pPr>
              <w:spacing w:line="276" w:lineRule="auto"/>
              <w:jc w:val="center"/>
              <w:rPr>
                <w:rFonts w:hint="eastAsia"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w:t>
            </w:r>
          </w:p>
        </w:tc>
        <w:tc>
          <w:tcPr>
            <w:tcW w:w="375" w:type="pct"/>
            <w:vMerge w:val="continue"/>
            <w:vAlign w:val="center"/>
          </w:tcPr>
          <w:p w14:paraId="4B243FF4">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c>
          <w:tcPr>
            <w:tcW w:w="389" w:type="pct"/>
            <w:vAlign w:val="center"/>
          </w:tcPr>
          <w:p w14:paraId="49C9A0DA">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30</w:t>
            </w:r>
          </w:p>
        </w:tc>
        <w:tc>
          <w:tcPr>
            <w:tcW w:w="317" w:type="pct"/>
            <w:shd w:val="clear" w:color="auto" w:fill="auto"/>
            <w:vAlign w:val="center"/>
          </w:tcPr>
          <w:p w14:paraId="7C0DE531">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0.018</w:t>
            </w:r>
          </w:p>
        </w:tc>
        <w:tc>
          <w:tcPr>
            <w:tcW w:w="294" w:type="pct"/>
            <w:vAlign w:val="center"/>
          </w:tcPr>
          <w:p w14:paraId="5D567843">
            <w:pPr>
              <w:spacing w:line="276" w:lineRule="auto"/>
              <w:jc w:val="center"/>
              <w:rPr>
                <w:rFonts w:hint="eastAsia"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40</w:t>
            </w:r>
          </w:p>
        </w:tc>
        <w:tc>
          <w:tcPr>
            <w:tcW w:w="528" w:type="pct"/>
            <w:vMerge w:val="continue"/>
            <w:vAlign w:val="center"/>
          </w:tcPr>
          <w:p w14:paraId="7A5BF6C5">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791EA5A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Merge w:val="continue"/>
            <w:vAlign w:val="center"/>
          </w:tcPr>
          <w:p w14:paraId="697267AD">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50" w:type="pct"/>
            <w:vAlign w:val="center"/>
          </w:tcPr>
          <w:p w14:paraId="5B1A0DBC">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TP</w:t>
            </w:r>
          </w:p>
        </w:tc>
        <w:tc>
          <w:tcPr>
            <w:tcW w:w="379" w:type="pct"/>
            <w:vMerge w:val="continue"/>
            <w:vAlign w:val="center"/>
          </w:tcPr>
          <w:p w14:paraId="571B2439">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2" w:type="pct"/>
            <w:vMerge w:val="continue"/>
            <w:vAlign w:val="center"/>
          </w:tcPr>
          <w:p w14:paraId="2263656C">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5" w:type="pct"/>
            <w:vMerge w:val="continue"/>
            <w:vAlign w:val="center"/>
          </w:tcPr>
          <w:p w14:paraId="6899B379">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37" w:type="pct"/>
            <w:vAlign w:val="center"/>
          </w:tcPr>
          <w:p w14:paraId="3867AA20">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397" w:type="pct"/>
            <w:vAlign w:val="center"/>
          </w:tcPr>
          <w:p w14:paraId="570170E3">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00</w:t>
            </w:r>
            <w:r>
              <w:rPr>
                <w:rFonts w:hint="eastAsia" w:cs="Times New Roman"/>
                <w:snapToGrid w:val="0"/>
                <w:color w:val="000000" w:themeColor="text1"/>
                <w:spacing w:val="0"/>
                <w:kern w:val="2"/>
                <w:sz w:val="21"/>
                <w:szCs w:val="21"/>
                <w:lang w:val="en-US" w:eastAsia="zh-CN"/>
                <w14:textFill>
                  <w14:solidFill>
                    <w14:schemeClr w14:val="tx1"/>
                  </w14:solidFill>
                </w14:textFill>
              </w:rPr>
              <w:t>12</w:t>
            </w:r>
          </w:p>
        </w:tc>
        <w:tc>
          <w:tcPr>
            <w:tcW w:w="319" w:type="pct"/>
            <w:vMerge w:val="continue"/>
            <w:vAlign w:val="center"/>
          </w:tcPr>
          <w:p w14:paraId="2EFE2AF5">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242" w:type="pct"/>
            <w:vAlign w:val="center"/>
          </w:tcPr>
          <w:p w14:paraId="6CEF8BEF">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w:t>
            </w:r>
          </w:p>
        </w:tc>
        <w:tc>
          <w:tcPr>
            <w:tcW w:w="375" w:type="pct"/>
            <w:vMerge w:val="continue"/>
            <w:vAlign w:val="center"/>
          </w:tcPr>
          <w:p w14:paraId="6CA8E8C4">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c>
          <w:tcPr>
            <w:tcW w:w="389" w:type="pct"/>
            <w:vAlign w:val="center"/>
          </w:tcPr>
          <w:p w14:paraId="05CA9866">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317" w:type="pct"/>
            <w:shd w:val="clear" w:color="auto" w:fill="auto"/>
            <w:vAlign w:val="center"/>
          </w:tcPr>
          <w:p w14:paraId="12D74FA7">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00</w:t>
            </w:r>
            <w:r>
              <w:rPr>
                <w:rFonts w:hint="eastAsia" w:cs="Times New Roman"/>
                <w:snapToGrid w:val="0"/>
                <w:color w:val="000000" w:themeColor="text1"/>
                <w:spacing w:val="0"/>
                <w:kern w:val="2"/>
                <w:sz w:val="21"/>
                <w:szCs w:val="21"/>
                <w:lang w:val="en-US" w:eastAsia="zh-CN"/>
                <w14:textFill>
                  <w14:solidFill>
                    <w14:schemeClr w14:val="tx1"/>
                  </w14:solidFill>
                </w14:textFill>
              </w:rPr>
              <w:t>12</w:t>
            </w:r>
          </w:p>
        </w:tc>
        <w:tc>
          <w:tcPr>
            <w:tcW w:w="294" w:type="pct"/>
            <w:vAlign w:val="center"/>
          </w:tcPr>
          <w:p w14:paraId="7F14FA11">
            <w:pPr>
              <w:spacing w:line="276" w:lineRule="auto"/>
              <w:jc w:val="center"/>
              <w:rPr>
                <w:rFonts w:hint="eastAsia"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4</w:t>
            </w:r>
          </w:p>
        </w:tc>
        <w:tc>
          <w:tcPr>
            <w:tcW w:w="528" w:type="pct"/>
            <w:vMerge w:val="continue"/>
            <w:vAlign w:val="center"/>
          </w:tcPr>
          <w:p w14:paraId="4D229156">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16CE5FD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Align w:val="center"/>
          </w:tcPr>
          <w:p w14:paraId="621E664F">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循环冷却定期排水</w:t>
            </w:r>
          </w:p>
        </w:tc>
        <w:tc>
          <w:tcPr>
            <w:tcW w:w="350" w:type="pct"/>
            <w:vAlign w:val="center"/>
          </w:tcPr>
          <w:p w14:paraId="3DE92F3A">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SS</w:t>
            </w:r>
          </w:p>
        </w:tc>
        <w:tc>
          <w:tcPr>
            <w:tcW w:w="379" w:type="pct"/>
            <w:vAlign w:val="center"/>
          </w:tcPr>
          <w:p w14:paraId="4320679A">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类比分析</w:t>
            </w:r>
          </w:p>
        </w:tc>
        <w:tc>
          <w:tcPr>
            <w:tcW w:w="402" w:type="pct"/>
            <w:vAlign w:val="center"/>
          </w:tcPr>
          <w:p w14:paraId="03A77996">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0.128</w:t>
            </w:r>
          </w:p>
        </w:tc>
        <w:tc>
          <w:tcPr>
            <w:tcW w:w="405" w:type="pct"/>
            <w:vAlign w:val="center"/>
          </w:tcPr>
          <w:p w14:paraId="549CF5E5">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38.4</w:t>
            </w:r>
          </w:p>
        </w:tc>
        <w:tc>
          <w:tcPr>
            <w:tcW w:w="337" w:type="pct"/>
            <w:vAlign w:val="center"/>
          </w:tcPr>
          <w:p w14:paraId="0BDB28B8">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100</w:t>
            </w:r>
          </w:p>
        </w:tc>
        <w:tc>
          <w:tcPr>
            <w:tcW w:w="397" w:type="pct"/>
            <w:vAlign w:val="center"/>
          </w:tcPr>
          <w:p w14:paraId="4AE038D5">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0.0038</w:t>
            </w:r>
          </w:p>
        </w:tc>
        <w:tc>
          <w:tcPr>
            <w:tcW w:w="319" w:type="pct"/>
            <w:vAlign w:val="center"/>
          </w:tcPr>
          <w:p w14:paraId="304DE07C">
            <w:pPr>
              <w:spacing w:line="276" w:lineRule="auto"/>
              <w:jc w:val="center"/>
              <w:rPr>
                <w:rFonts w:hint="eastAsia"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w:t>
            </w:r>
          </w:p>
        </w:tc>
        <w:tc>
          <w:tcPr>
            <w:tcW w:w="242" w:type="pct"/>
            <w:vAlign w:val="center"/>
          </w:tcPr>
          <w:p w14:paraId="659DD1AD">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w:t>
            </w:r>
          </w:p>
        </w:tc>
        <w:tc>
          <w:tcPr>
            <w:tcW w:w="375" w:type="pct"/>
            <w:vAlign w:val="center"/>
          </w:tcPr>
          <w:p w14:paraId="3C70DB21">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38.4</w:t>
            </w:r>
          </w:p>
        </w:tc>
        <w:tc>
          <w:tcPr>
            <w:tcW w:w="389" w:type="pct"/>
            <w:vAlign w:val="center"/>
          </w:tcPr>
          <w:p w14:paraId="1253E47A">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100</w:t>
            </w:r>
          </w:p>
        </w:tc>
        <w:tc>
          <w:tcPr>
            <w:tcW w:w="317" w:type="pct"/>
            <w:shd w:val="clear" w:color="auto" w:fill="auto"/>
            <w:vAlign w:val="center"/>
          </w:tcPr>
          <w:p w14:paraId="694ABAB1">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0.0038</w:t>
            </w:r>
          </w:p>
        </w:tc>
        <w:tc>
          <w:tcPr>
            <w:tcW w:w="294" w:type="pct"/>
            <w:vAlign w:val="center"/>
          </w:tcPr>
          <w:p w14:paraId="120837B6">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w:t>
            </w:r>
          </w:p>
        </w:tc>
        <w:tc>
          <w:tcPr>
            <w:tcW w:w="528" w:type="pct"/>
            <w:vAlign w:val="center"/>
          </w:tcPr>
          <w:p w14:paraId="08575788">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回用于物料清洗工序</w:t>
            </w:r>
          </w:p>
        </w:tc>
      </w:tr>
      <w:tr w14:paraId="1F48C6A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07" w:hRule="atLeast"/>
        </w:trPr>
        <w:tc>
          <w:tcPr>
            <w:tcW w:w="263" w:type="pct"/>
            <w:vMerge w:val="restart"/>
            <w:vAlign w:val="center"/>
          </w:tcPr>
          <w:p w14:paraId="251145AD">
            <w:pPr>
              <w:spacing w:line="276" w:lineRule="auto"/>
              <w:jc w:val="center"/>
              <w:rPr>
                <w:rFonts w:hint="default" w:ascii="Times New Roman" w:hAnsi="Times New Roman" w:eastAsia="宋体" w:cs="Times New Roman"/>
                <w:snapToGrid w:val="0"/>
                <w:color w:val="000000" w:themeColor="text1"/>
                <w:spacing w:val="0"/>
                <w:kern w:val="2"/>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清洗脱水废水</w:t>
            </w:r>
          </w:p>
        </w:tc>
        <w:tc>
          <w:tcPr>
            <w:tcW w:w="350" w:type="pct"/>
            <w:vAlign w:val="center"/>
          </w:tcPr>
          <w:p w14:paraId="39FBDAB2">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COD</w:t>
            </w:r>
          </w:p>
        </w:tc>
        <w:tc>
          <w:tcPr>
            <w:tcW w:w="379" w:type="pct"/>
            <w:vMerge w:val="restart"/>
            <w:vAlign w:val="center"/>
          </w:tcPr>
          <w:p w14:paraId="22565EF8">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4220 非金属废料和碎屑加工处理行业系数表</w:t>
            </w:r>
          </w:p>
        </w:tc>
        <w:tc>
          <w:tcPr>
            <w:tcW w:w="402" w:type="pct"/>
            <w:vMerge w:val="restart"/>
            <w:vAlign w:val="center"/>
          </w:tcPr>
          <w:p w14:paraId="3C645808">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866.67</w:t>
            </w:r>
          </w:p>
        </w:tc>
        <w:tc>
          <w:tcPr>
            <w:tcW w:w="405" w:type="pct"/>
            <w:vMerge w:val="restart"/>
            <w:vAlign w:val="center"/>
          </w:tcPr>
          <w:p w14:paraId="18FB737F">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2600</w:t>
            </w: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00</w:t>
            </w:r>
          </w:p>
        </w:tc>
        <w:tc>
          <w:tcPr>
            <w:tcW w:w="337" w:type="pct"/>
            <w:shd w:val="clear" w:color="auto" w:fill="auto"/>
            <w:vAlign w:val="center"/>
          </w:tcPr>
          <w:p w14:paraId="1C78FAFC">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1019.23</w:t>
            </w:r>
          </w:p>
        </w:tc>
        <w:tc>
          <w:tcPr>
            <w:tcW w:w="397" w:type="pct"/>
            <w:vAlign w:val="center"/>
          </w:tcPr>
          <w:p w14:paraId="781DD74A">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265</w:t>
            </w:r>
          </w:p>
        </w:tc>
        <w:tc>
          <w:tcPr>
            <w:tcW w:w="319" w:type="pct"/>
            <w:vMerge w:val="restart"/>
            <w:vAlign w:val="center"/>
          </w:tcPr>
          <w:p w14:paraId="40430209">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eastAsia="zh-CN"/>
                <w14:textFill>
                  <w14:solidFill>
                    <w14:schemeClr w14:val="tx1"/>
                  </w14:solidFill>
                </w14:textFill>
              </w:rPr>
              <w:t>气浮</w:t>
            </w: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+混凝沉淀+A/O系统</w:t>
            </w:r>
          </w:p>
        </w:tc>
        <w:tc>
          <w:tcPr>
            <w:tcW w:w="242" w:type="pct"/>
            <w:vAlign w:val="center"/>
          </w:tcPr>
          <w:p w14:paraId="68F5C523">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9</w:t>
            </w:r>
            <w:r>
              <w:rPr>
                <w:rFonts w:hint="eastAsia" w:cs="Times New Roman"/>
                <w:snapToGrid w:val="0"/>
                <w:color w:val="000000" w:themeColor="text1"/>
                <w:spacing w:val="0"/>
                <w:kern w:val="2"/>
                <w:sz w:val="21"/>
                <w:szCs w:val="21"/>
                <w:lang w:val="en-US" w:eastAsia="zh-CN"/>
                <w14:textFill>
                  <w14:solidFill>
                    <w14:schemeClr w14:val="tx1"/>
                  </w14:solidFill>
                </w14:textFill>
              </w:rPr>
              <w:t>2</w:t>
            </w: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w:t>
            </w:r>
          </w:p>
        </w:tc>
        <w:tc>
          <w:tcPr>
            <w:tcW w:w="375" w:type="pct"/>
            <w:vMerge w:val="restart"/>
            <w:vAlign w:val="center"/>
          </w:tcPr>
          <w:p w14:paraId="7F29944B">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26000</w:t>
            </w:r>
          </w:p>
        </w:tc>
        <w:tc>
          <w:tcPr>
            <w:tcW w:w="389" w:type="pct"/>
            <w:vAlign w:val="center"/>
          </w:tcPr>
          <w:p w14:paraId="681FF671">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81.54</w:t>
            </w:r>
          </w:p>
        </w:tc>
        <w:tc>
          <w:tcPr>
            <w:tcW w:w="317" w:type="pct"/>
            <w:vAlign w:val="center"/>
          </w:tcPr>
          <w:p w14:paraId="4C7FF113">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2.12</w:t>
            </w:r>
          </w:p>
        </w:tc>
        <w:tc>
          <w:tcPr>
            <w:tcW w:w="294" w:type="pct"/>
            <w:vAlign w:val="center"/>
          </w:tcPr>
          <w:p w14:paraId="38FD6202">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380</w:t>
            </w:r>
          </w:p>
        </w:tc>
        <w:tc>
          <w:tcPr>
            <w:tcW w:w="528" w:type="pct"/>
            <w:vMerge w:val="restart"/>
            <w:vAlign w:val="center"/>
          </w:tcPr>
          <w:p w14:paraId="0914C1C0">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90%回用于生产，10%由市政污水管网排入毛集实验区污水处理厂深度处理</w:t>
            </w:r>
          </w:p>
        </w:tc>
      </w:tr>
      <w:tr w14:paraId="23CCAB5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89" w:hRule="atLeast"/>
        </w:trPr>
        <w:tc>
          <w:tcPr>
            <w:tcW w:w="263" w:type="pct"/>
            <w:vMerge w:val="continue"/>
            <w:vAlign w:val="center"/>
          </w:tcPr>
          <w:p w14:paraId="0888E0B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50" w:type="pct"/>
            <w:vAlign w:val="center"/>
          </w:tcPr>
          <w:p w14:paraId="7868032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BOD</w:t>
            </w:r>
            <w:r>
              <w:rPr>
                <w:rFonts w:hint="default" w:ascii="Times New Roman" w:hAnsi="Times New Roman" w:cs="Times New Roman"/>
                <w:color w:val="000000" w:themeColor="text1"/>
                <w:sz w:val="21"/>
                <w:szCs w:val="21"/>
                <w:vertAlign w:val="subscript"/>
                <w14:textFill>
                  <w14:solidFill>
                    <w14:schemeClr w14:val="tx1"/>
                  </w14:solidFill>
                </w14:textFill>
              </w:rPr>
              <w:t>5</w:t>
            </w:r>
          </w:p>
        </w:tc>
        <w:tc>
          <w:tcPr>
            <w:tcW w:w="379" w:type="pct"/>
            <w:vMerge w:val="continue"/>
            <w:vAlign w:val="center"/>
          </w:tcPr>
          <w:p w14:paraId="1626F55E">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2" w:type="pct"/>
            <w:vMerge w:val="continue"/>
            <w:vAlign w:val="center"/>
          </w:tcPr>
          <w:p w14:paraId="30B0701A">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5" w:type="pct"/>
            <w:vMerge w:val="continue"/>
            <w:vAlign w:val="center"/>
          </w:tcPr>
          <w:p w14:paraId="464A4C75">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37" w:type="pct"/>
            <w:shd w:val="clear" w:color="auto" w:fill="auto"/>
            <w:vAlign w:val="center"/>
          </w:tcPr>
          <w:p w14:paraId="68C0B7DE">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339.73</w:t>
            </w:r>
          </w:p>
        </w:tc>
        <w:tc>
          <w:tcPr>
            <w:tcW w:w="397" w:type="pct"/>
            <w:vAlign w:val="center"/>
          </w:tcPr>
          <w:p w14:paraId="28A46B07">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88.33</w:t>
            </w:r>
          </w:p>
        </w:tc>
        <w:tc>
          <w:tcPr>
            <w:tcW w:w="319" w:type="pct"/>
            <w:vMerge w:val="continue"/>
            <w:vAlign w:val="center"/>
          </w:tcPr>
          <w:p w14:paraId="28896E38">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242" w:type="pct"/>
            <w:vAlign w:val="center"/>
          </w:tcPr>
          <w:p w14:paraId="401AC7B9">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9</w:t>
            </w:r>
            <w:r>
              <w:rPr>
                <w:rFonts w:hint="eastAsia" w:cs="Times New Roman"/>
                <w:snapToGrid w:val="0"/>
                <w:color w:val="000000" w:themeColor="text1"/>
                <w:spacing w:val="0"/>
                <w:kern w:val="2"/>
                <w:sz w:val="21"/>
                <w:szCs w:val="21"/>
                <w:lang w:val="en-US" w:eastAsia="zh-CN"/>
                <w14:textFill>
                  <w14:solidFill>
                    <w14:schemeClr w14:val="tx1"/>
                  </w14:solidFill>
                </w14:textFill>
              </w:rPr>
              <w:t>0</w:t>
            </w: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w:t>
            </w:r>
          </w:p>
        </w:tc>
        <w:tc>
          <w:tcPr>
            <w:tcW w:w="375" w:type="pct"/>
            <w:vMerge w:val="continue"/>
            <w:vAlign w:val="center"/>
          </w:tcPr>
          <w:p w14:paraId="28492099">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389" w:type="pct"/>
            <w:vAlign w:val="center"/>
          </w:tcPr>
          <w:p w14:paraId="70263EB1">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33.97</w:t>
            </w:r>
          </w:p>
        </w:tc>
        <w:tc>
          <w:tcPr>
            <w:tcW w:w="317" w:type="pct"/>
            <w:vAlign w:val="center"/>
          </w:tcPr>
          <w:p w14:paraId="5A623041">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883</w:t>
            </w:r>
          </w:p>
        </w:tc>
        <w:tc>
          <w:tcPr>
            <w:tcW w:w="294" w:type="pct"/>
            <w:vAlign w:val="center"/>
          </w:tcPr>
          <w:p w14:paraId="4EFDD646">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200</w:t>
            </w:r>
          </w:p>
        </w:tc>
        <w:tc>
          <w:tcPr>
            <w:tcW w:w="528" w:type="pct"/>
            <w:vMerge w:val="continue"/>
            <w:vAlign w:val="center"/>
          </w:tcPr>
          <w:p w14:paraId="7AE55D30">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6068F6F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84" w:hRule="atLeast"/>
        </w:trPr>
        <w:tc>
          <w:tcPr>
            <w:tcW w:w="263" w:type="pct"/>
            <w:vMerge w:val="continue"/>
            <w:vAlign w:val="center"/>
          </w:tcPr>
          <w:p w14:paraId="64F4788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50" w:type="pct"/>
            <w:vAlign w:val="center"/>
          </w:tcPr>
          <w:p w14:paraId="05EB976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SS</w:t>
            </w:r>
          </w:p>
        </w:tc>
        <w:tc>
          <w:tcPr>
            <w:tcW w:w="379" w:type="pct"/>
            <w:vMerge w:val="continue"/>
            <w:vAlign w:val="center"/>
          </w:tcPr>
          <w:p w14:paraId="653E99B2">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2" w:type="pct"/>
            <w:vMerge w:val="continue"/>
            <w:vAlign w:val="center"/>
          </w:tcPr>
          <w:p w14:paraId="411DA0E6">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5" w:type="pct"/>
            <w:vMerge w:val="continue"/>
            <w:vAlign w:val="center"/>
          </w:tcPr>
          <w:p w14:paraId="5512D298">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37" w:type="pct"/>
            <w:shd w:val="clear" w:color="auto" w:fill="auto"/>
            <w:vAlign w:val="center"/>
          </w:tcPr>
          <w:p w14:paraId="3E7EBA82">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800</w:t>
            </w:r>
          </w:p>
        </w:tc>
        <w:tc>
          <w:tcPr>
            <w:tcW w:w="397" w:type="pct"/>
            <w:vAlign w:val="center"/>
          </w:tcPr>
          <w:p w14:paraId="14A12258">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208</w:t>
            </w:r>
          </w:p>
        </w:tc>
        <w:tc>
          <w:tcPr>
            <w:tcW w:w="319" w:type="pct"/>
            <w:vMerge w:val="continue"/>
            <w:vAlign w:val="center"/>
          </w:tcPr>
          <w:p w14:paraId="1F14BB91">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242" w:type="pct"/>
            <w:vAlign w:val="center"/>
          </w:tcPr>
          <w:p w14:paraId="045A4564">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95%</w:t>
            </w:r>
          </w:p>
        </w:tc>
        <w:tc>
          <w:tcPr>
            <w:tcW w:w="375" w:type="pct"/>
            <w:vMerge w:val="continue"/>
            <w:vAlign w:val="center"/>
          </w:tcPr>
          <w:p w14:paraId="2F21B965">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389" w:type="pct"/>
            <w:vAlign w:val="center"/>
          </w:tcPr>
          <w:p w14:paraId="53761B40">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40</w:t>
            </w:r>
          </w:p>
        </w:tc>
        <w:tc>
          <w:tcPr>
            <w:tcW w:w="317" w:type="pct"/>
            <w:vAlign w:val="center"/>
          </w:tcPr>
          <w:p w14:paraId="014F5D02">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1.04</w:t>
            </w:r>
          </w:p>
        </w:tc>
        <w:tc>
          <w:tcPr>
            <w:tcW w:w="294" w:type="pct"/>
            <w:vAlign w:val="center"/>
          </w:tcPr>
          <w:p w14:paraId="224CB7E3">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220</w:t>
            </w:r>
          </w:p>
        </w:tc>
        <w:tc>
          <w:tcPr>
            <w:tcW w:w="528" w:type="pct"/>
            <w:vMerge w:val="continue"/>
            <w:vAlign w:val="center"/>
          </w:tcPr>
          <w:p w14:paraId="13C95283">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41DCDC8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Merge w:val="continue"/>
            <w:vAlign w:val="center"/>
          </w:tcPr>
          <w:p w14:paraId="38EB3B5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50" w:type="pct"/>
            <w:vAlign w:val="center"/>
          </w:tcPr>
          <w:p w14:paraId="717ED06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-N</w:t>
            </w:r>
          </w:p>
        </w:tc>
        <w:tc>
          <w:tcPr>
            <w:tcW w:w="379" w:type="pct"/>
            <w:vMerge w:val="continue"/>
            <w:vAlign w:val="center"/>
          </w:tcPr>
          <w:p w14:paraId="5374DD10">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2" w:type="pct"/>
            <w:vMerge w:val="continue"/>
            <w:vAlign w:val="center"/>
          </w:tcPr>
          <w:p w14:paraId="46317A5B">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5" w:type="pct"/>
            <w:vMerge w:val="continue"/>
            <w:vAlign w:val="center"/>
          </w:tcPr>
          <w:p w14:paraId="420AE239">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37" w:type="pct"/>
            <w:shd w:val="clear" w:color="auto" w:fill="auto"/>
            <w:vAlign w:val="center"/>
          </w:tcPr>
          <w:p w14:paraId="3D77578C">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40.38</w:t>
            </w:r>
          </w:p>
        </w:tc>
        <w:tc>
          <w:tcPr>
            <w:tcW w:w="397" w:type="pct"/>
            <w:vAlign w:val="center"/>
          </w:tcPr>
          <w:p w14:paraId="788891FF">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10.5</w:t>
            </w:r>
          </w:p>
        </w:tc>
        <w:tc>
          <w:tcPr>
            <w:tcW w:w="319" w:type="pct"/>
            <w:vMerge w:val="continue"/>
            <w:vAlign w:val="center"/>
          </w:tcPr>
          <w:p w14:paraId="6A91C377">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242" w:type="pct"/>
            <w:vAlign w:val="center"/>
          </w:tcPr>
          <w:p w14:paraId="6DDA469A">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80%</w:t>
            </w:r>
          </w:p>
        </w:tc>
        <w:tc>
          <w:tcPr>
            <w:tcW w:w="375" w:type="pct"/>
            <w:vMerge w:val="continue"/>
            <w:vAlign w:val="center"/>
          </w:tcPr>
          <w:p w14:paraId="6810A0AB">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389" w:type="pct"/>
            <w:vAlign w:val="center"/>
          </w:tcPr>
          <w:p w14:paraId="55EAAA08">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8.08</w:t>
            </w:r>
          </w:p>
        </w:tc>
        <w:tc>
          <w:tcPr>
            <w:tcW w:w="317" w:type="pct"/>
            <w:vAlign w:val="center"/>
          </w:tcPr>
          <w:p w14:paraId="6AC9D81D">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0.21</w:t>
            </w:r>
          </w:p>
        </w:tc>
        <w:tc>
          <w:tcPr>
            <w:tcW w:w="294" w:type="pct"/>
            <w:vAlign w:val="center"/>
          </w:tcPr>
          <w:p w14:paraId="01D4CA68">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30</w:t>
            </w:r>
          </w:p>
        </w:tc>
        <w:tc>
          <w:tcPr>
            <w:tcW w:w="528" w:type="pct"/>
            <w:vMerge w:val="continue"/>
            <w:vAlign w:val="center"/>
          </w:tcPr>
          <w:p w14:paraId="369999A1">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448E48A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Merge w:val="continue"/>
            <w:vAlign w:val="center"/>
          </w:tcPr>
          <w:p w14:paraId="0989F46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50" w:type="pct"/>
            <w:vAlign w:val="center"/>
          </w:tcPr>
          <w:p w14:paraId="383D70C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TN</w:t>
            </w:r>
          </w:p>
        </w:tc>
        <w:tc>
          <w:tcPr>
            <w:tcW w:w="379" w:type="pct"/>
            <w:vMerge w:val="continue"/>
            <w:vAlign w:val="center"/>
          </w:tcPr>
          <w:p w14:paraId="18732800">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2" w:type="pct"/>
            <w:vMerge w:val="continue"/>
            <w:vAlign w:val="center"/>
          </w:tcPr>
          <w:p w14:paraId="4A558B3D">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5" w:type="pct"/>
            <w:vMerge w:val="continue"/>
            <w:vAlign w:val="center"/>
          </w:tcPr>
          <w:p w14:paraId="0416F86C">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37" w:type="pct"/>
            <w:shd w:val="clear" w:color="auto" w:fill="auto"/>
            <w:vAlign w:val="center"/>
          </w:tcPr>
          <w:p w14:paraId="59DE9AB7">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136.15</w:t>
            </w:r>
          </w:p>
        </w:tc>
        <w:tc>
          <w:tcPr>
            <w:tcW w:w="397" w:type="pct"/>
            <w:vAlign w:val="center"/>
          </w:tcPr>
          <w:p w14:paraId="5E0233C2">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35.4</w:t>
            </w:r>
          </w:p>
        </w:tc>
        <w:tc>
          <w:tcPr>
            <w:tcW w:w="319" w:type="pct"/>
            <w:vMerge w:val="continue"/>
            <w:vAlign w:val="center"/>
          </w:tcPr>
          <w:p w14:paraId="45E6B8BA">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242" w:type="pct"/>
            <w:vAlign w:val="center"/>
          </w:tcPr>
          <w:p w14:paraId="334066DE">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80%</w:t>
            </w:r>
          </w:p>
        </w:tc>
        <w:tc>
          <w:tcPr>
            <w:tcW w:w="375" w:type="pct"/>
            <w:vMerge w:val="continue"/>
            <w:vAlign w:val="center"/>
          </w:tcPr>
          <w:p w14:paraId="17D7E04F">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389" w:type="pct"/>
            <w:vAlign w:val="center"/>
          </w:tcPr>
          <w:p w14:paraId="3F83CE80">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27.23</w:t>
            </w:r>
          </w:p>
        </w:tc>
        <w:tc>
          <w:tcPr>
            <w:tcW w:w="317" w:type="pct"/>
            <w:vAlign w:val="center"/>
          </w:tcPr>
          <w:p w14:paraId="47C4B843">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0.708</w:t>
            </w:r>
          </w:p>
        </w:tc>
        <w:tc>
          <w:tcPr>
            <w:tcW w:w="294" w:type="pct"/>
            <w:vAlign w:val="center"/>
          </w:tcPr>
          <w:p w14:paraId="15726563">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40</w:t>
            </w:r>
          </w:p>
        </w:tc>
        <w:tc>
          <w:tcPr>
            <w:tcW w:w="528" w:type="pct"/>
            <w:vMerge w:val="continue"/>
            <w:vAlign w:val="center"/>
          </w:tcPr>
          <w:p w14:paraId="406F20E4">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7D2608A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263" w:type="pct"/>
            <w:vMerge w:val="continue"/>
            <w:vAlign w:val="center"/>
          </w:tcPr>
          <w:p w14:paraId="491C97C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50" w:type="pct"/>
            <w:vAlign w:val="center"/>
          </w:tcPr>
          <w:p w14:paraId="0746F747">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TP</w:t>
            </w:r>
          </w:p>
        </w:tc>
        <w:tc>
          <w:tcPr>
            <w:tcW w:w="379" w:type="pct"/>
            <w:vMerge w:val="continue"/>
            <w:vAlign w:val="center"/>
          </w:tcPr>
          <w:p w14:paraId="1DFBD74B">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2" w:type="pct"/>
            <w:vMerge w:val="continue"/>
            <w:vAlign w:val="center"/>
          </w:tcPr>
          <w:p w14:paraId="4F413F47">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5" w:type="pct"/>
            <w:vMerge w:val="continue"/>
            <w:vAlign w:val="center"/>
          </w:tcPr>
          <w:p w14:paraId="7A3B018E">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37" w:type="pct"/>
            <w:shd w:val="clear" w:color="auto" w:fill="auto"/>
            <w:vAlign w:val="center"/>
          </w:tcPr>
          <w:p w14:paraId="3BAAF94D">
            <w:pPr>
              <w:spacing w:line="276" w:lineRule="auto"/>
              <w:jc w:val="center"/>
              <w:rPr>
                <w:rFonts w:hint="eastAsia"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5</w:t>
            </w:r>
          </w:p>
        </w:tc>
        <w:tc>
          <w:tcPr>
            <w:tcW w:w="397" w:type="pct"/>
            <w:vAlign w:val="center"/>
          </w:tcPr>
          <w:p w14:paraId="4C33D009">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1.3</w:t>
            </w:r>
          </w:p>
        </w:tc>
        <w:tc>
          <w:tcPr>
            <w:tcW w:w="319" w:type="pct"/>
            <w:vMerge w:val="continue"/>
            <w:vAlign w:val="center"/>
          </w:tcPr>
          <w:p w14:paraId="252C46CF">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242" w:type="pct"/>
            <w:vAlign w:val="center"/>
          </w:tcPr>
          <w:p w14:paraId="54713CCA">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40%</w:t>
            </w:r>
          </w:p>
        </w:tc>
        <w:tc>
          <w:tcPr>
            <w:tcW w:w="375" w:type="pct"/>
            <w:vMerge w:val="continue"/>
            <w:vAlign w:val="center"/>
          </w:tcPr>
          <w:p w14:paraId="17B14F0D">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389" w:type="pct"/>
            <w:vAlign w:val="center"/>
          </w:tcPr>
          <w:p w14:paraId="2BB43791">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w:t>
            </w:r>
          </w:p>
        </w:tc>
        <w:tc>
          <w:tcPr>
            <w:tcW w:w="317" w:type="pct"/>
            <w:vAlign w:val="center"/>
          </w:tcPr>
          <w:p w14:paraId="07AB8D2B">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0.078</w:t>
            </w:r>
          </w:p>
        </w:tc>
        <w:tc>
          <w:tcPr>
            <w:tcW w:w="294" w:type="pct"/>
            <w:vAlign w:val="center"/>
          </w:tcPr>
          <w:p w14:paraId="4A1A1714">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4</w:t>
            </w:r>
          </w:p>
        </w:tc>
        <w:tc>
          <w:tcPr>
            <w:tcW w:w="528" w:type="pct"/>
            <w:vMerge w:val="continue"/>
            <w:vAlign w:val="center"/>
          </w:tcPr>
          <w:p w14:paraId="516C10C8">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1CF27D2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Merge w:val="restart"/>
            <w:vAlign w:val="center"/>
          </w:tcPr>
          <w:p w14:paraId="444E2518">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综合废水</w:t>
            </w:r>
          </w:p>
        </w:tc>
        <w:tc>
          <w:tcPr>
            <w:tcW w:w="350" w:type="pct"/>
            <w:shd w:val="clear" w:color="auto" w:fill="auto"/>
            <w:vAlign w:val="center"/>
          </w:tcPr>
          <w:p w14:paraId="403D067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COD</w:t>
            </w:r>
          </w:p>
        </w:tc>
        <w:tc>
          <w:tcPr>
            <w:tcW w:w="379" w:type="pct"/>
            <w:vMerge w:val="restart"/>
            <w:vAlign w:val="center"/>
          </w:tcPr>
          <w:p w14:paraId="0DBC637C">
            <w:pPr>
              <w:spacing w:line="276" w:lineRule="auto"/>
              <w:jc w:val="center"/>
              <w:rPr>
                <w:rFonts w:hint="eastAsia"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w:t>
            </w:r>
          </w:p>
        </w:tc>
        <w:tc>
          <w:tcPr>
            <w:tcW w:w="402" w:type="pct"/>
            <w:vMerge w:val="restart"/>
            <w:vAlign w:val="center"/>
          </w:tcPr>
          <w:p w14:paraId="49795AB2">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868.67</w:t>
            </w:r>
          </w:p>
        </w:tc>
        <w:tc>
          <w:tcPr>
            <w:tcW w:w="405" w:type="pct"/>
            <w:vMerge w:val="restart"/>
            <w:vAlign w:val="center"/>
          </w:tcPr>
          <w:p w14:paraId="2F9A7B50">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color w:val="000000" w:themeColor="text1"/>
                <w:spacing w:val="0"/>
                <w:sz w:val="21"/>
                <w:szCs w:val="21"/>
                <w:lang w:val="en-US" w:eastAsia="zh-CN"/>
                <w14:textFill>
                  <w14:solidFill>
                    <w14:schemeClr w14:val="tx1"/>
                  </w14:solidFill>
                </w14:textFill>
              </w:rPr>
              <w:t>260600</w:t>
            </w:r>
          </w:p>
        </w:tc>
        <w:tc>
          <w:tcPr>
            <w:tcW w:w="337" w:type="pct"/>
            <w:shd w:val="clear" w:color="auto" w:fill="auto"/>
            <w:vAlign w:val="center"/>
          </w:tcPr>
          <w:p w14:paraId="354DD293">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599.32</w:t>
            </w:r>
          </w:p>
        </w:tc>
        <w:tc>
          <w:tcPr>
            <w:tcW w:w="397" w:type="pct"/>
            <w:vAlign w:val="center"/>
          </w:tcPr>
          <w:p w14:paraId="6E46162D">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156.21</w:t>
            </w:r>
          </w:p>
        </w:tc>
        <w:tc>
          <w:tcPr>
            <w:tcW w:w="319" w:type="pct"/>
            <w:vMerge w:val="restart"/>
            <w:vAlign w:val="center"/>
          </w:tcPr>
          <w:p w14:paraId="5781F510">
            <w:pPr>
              <w:spacing w:line="276" w:lineRule="auto"/>
              <w:jc w:val="center"/>
              <w:rPr>
                <w:rFonts w:hint="eastAsia"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w:t>
            </w:r>
          </w:p>
        </w:tc>
        <w:tc>
          <w:tcPr>
            <w:tcW w:w="242" w:type="pct"/>
            <w:vMerge w:val="restart"/>
            <w:vAlign w:val="center"/>
          </w:tcPr>
          <w:p w14:paraId="54235B8F">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w:t>
            </w:r>
          </w:p>
        </w:tc>
        <w:tc>
          <w:tcPr>
            <w:tcW w:w="375" w:type="pct"/>
            <w:vMerge w:val="restart"/>
            <w:vAlign w:val="center"/>
          </w:tcPr>
          <w:p w14:paraId="610F7D95">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26600</w:t>
            </w:r>
          </w:p>
        </w:tc>
        <w:tc>
          <w:tcPr>
            <w:tcW w:w="389" w:type="pct"/>
            <w:vAlign w:val="center"/>
          </w:tcPr>
          <w:p w14:paraId="2572C20B">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87.59</w:t>
            </w:r>
          </w:p>
        </w:tc>
        <w:tc>
          <w:tcPr>
            <w:tcW w:w="317" w:type="pct"/>
            <w:vAlign w:val="center"/>
          </w:tcPr>
          <w:p w14:paraId="01CC46AF">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2.33</w:t>
            </w:r>
          </w:p>
        </w:tc>
        <w:tc>
          <w:tcPr>
            <w:tcW w:w="294" w:type="pct"/>
            <w:shd w:val="clear" w:color="auto" w:fill="auto"/>
            <w:vAlign w:val="center"/>
          </w:tcPr>
          <w:p w14:paraId="3B59EC67">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pacing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3</w:t>
            </w:r>
            <w:r>
              <w:rPr>
                <w:rFonts w:hint="eastAsia" w:cs="Times New Roman"/>
                <w:b w:val="0"/>
                <w:bCs w:val="0"/>
                <w:color w:val="000000" w:themeColor="text1"/>
                <w:sz w:val="21"/>
                <w:szCs w:val="21"/>
                <w:highlight w:val="none"/>
                <w:lang w:val="en-US" w:eastAsia="zh-CN"/>
                <w14:textFill>
                  <w14:solidFill>
                    <w14:schemeClr w14:val="tx1"/>
                  </w14:solidFill>
                </w14:textFill>
              </w:rPr>
              <w:t>8</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p>
        </w:tc>
        <w:tc>
          <w:tcPr>
            <w:tcW w:w="528" w:type="pct"/>
            <w:vMerge w:val="restart"/>
            <w:vAlign w:val="center"/>
          </w:tcPr>
          <w:p w14:paraId="37FAB9BB">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eastAsia="zh-CN"/>
                <w14:textFill>
                  <w14:solidFill>
                    <w14:schemeClr w14:val="tx1"/>
                  </w14:solidFill>
                </w14:textFill>
              </w:rPr>
              <w:t>毛集实验区污水处理厂</w:t>
            </w:r>
          </w:p>
        </w:tc>
      </w:tr>
      <w:tr w14:paraId="19FC8A8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Merge w:val="continue"/>
            <w:vAlign w:val="center"/>
          </w:tcPr>
          <w:p w14:paraId="7AE1119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50" w:type="pct"/>
            <w:shd w:val="clear" w:color="auto" w:fill="auto"/>
            <w:vAlign w:val="center"/>
          </w:tcPr>
          <w:p w14:paraId="7628B3B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BOD</w:t>
            </w:r>
            <w:r>
              <w:rPr>
                <w:rFonts w:hint="default" w:ascii="Times New Roman" w:hAnsi="Times New Roman" w:cs="Times New Roman"/>
                <w:color w:val="000000" w:themeColor="text1"/>
                <w:sz w:val="21"/>
                <w:szCs w:val="21"/>
                <w:vertAlign w:val="subscript"/>
                <w14:textFill>
                  <w14:solidFill>
                    <w14:schemeClr w14:val="tx1"/>
                  </w14:solidFill>
                </w14:textFill>
              </w:rPr>
              <w:t>5</w:t>
            </w:r>
          </w:p>
        </w:tc>
        <w:tc>
          <w:tcPr>
            <w:tcW w:w="379" w:type="pct"/>
            <w:vMerge w:val="continue"/>
            <w:vAlign w:val="center"/>
          </w:tcPr>
          <w:p w14:paraId="3A07BEDA">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2" w:type="pct"/>
            <w:vMerge w:val="continue"/>
            <w:vAlign w:val="center"/>
          </w:tcPr>
          <w:p w14:paraId="52FE7F8B">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5" w:type="pct"/>
            <w:vMerge w:val="continue"/>
            <w:vAlign w:val="center"/>
          </w:tcPr>
          <w:p w14:paraId="531CB055">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37" w:type="pct"/>
            <w:shd w:val="clear" w:color="auto" w:fill="auto"/>
            <w:vAlign w:val="center"/>
          </w:tcPr>
          <w:p w14:paraId="30BB2AB5">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199.92</w:t>
            </w:r>
          </w:p>
        </w:tc>
        <w:tc>
          <w:tcPr>
            <w:tcW w:w="397" w:type="pct"/>
            <w:vAlign w:val="center"/>
          </w:tcPr>
          <w:p w14:paraId="0FC0FC1E">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88.438</w:t>
            </w:r>
          </w:p>
        </w:tc>
        <w:tc>
          <w:tcPr>
            <w:tcW w:w="319" w:type="pct"/>
            <w:vMerge w:val="continue"/>
            <w:vAlign w:val="center"/>
          </w:tcPr>
          <w:p w14:paraId="20F6EFDA">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242" w:type="pct"/>
            <w:vMerge w:val="continue"/>
            <w:vAlign w:val="center"/>
          </w:tcPr>
          <w:p w14:paraId="10052B5A">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375" w:type="pct"/>
            <w:vMerge w:val="continue"/>
            <w:vAlign w:val="center"/>
          </w:tcPr>
          <w:p w14:paraId="6BE0BFCB">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389" w:type="pct"/>
            <w:vAlign w:val="center"/>
          </w:tcPr>
          <w:p w14:paraId="0790C7B3">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37.25</w:t>
            </w:r>
          </w:p>
        </w:tc>
        <w:tc>
          <w:tcPr>
            <w:tcW w:w="317" w:type="pct"/>
            <w:vAlign w:val="center"/>
          </w:tcPr>
          <w:p w14:paraId="104D2634">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0.991</w:t>
            </w:r>
          </w:p>
        </w:tc>
        <w:tc>
          <w:tcPr>
            <w:tcW w:w="294" w:type="pct"/>
            <w:shd w:val="clear" w:color="auto" w:fill="auto"/>
            <w:vAlign w:val="center"/>
          </w:tcPr>
          <w:p w14:paraId="2F5B677F">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pacing w:val="-2"/>
                <w:sz w:val="21"/>
                <w:szCs w:val="21"/>
                <w:highlight w:val="none"/>
                <w:lang w:val="en-US" w:eastAsia="zh-CN" w:bidi="ar-SA"/>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p>
        </w:tc>
        <w:tc>
          <w:tcPr>
            <w:tcW w:w="528" w:type="pct"/>
            <w:vMerge w:val="continue"/>
            <w:vAlign w:val="center"/>
          </w:tcPr>
          <w:p w14:paraId="67D1560A">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4C19694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Merge w:val="continue"/>
            <w:vAlign w:val="center"/>
          </w:tcPr>
          <w:p w14:paraId="26C3512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50" w:type="pct"/>
            <w:shd w:val="clear" w:color="auto" w:fill="auto"/>
            <w:vAlign w:val="center"/>
          </w:tcPr>
          <w:p w14:paraId="2BB39D2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SS</w:t>
            </w:r>
          </w:p>
        </w:tc>
        <w:tc>
          <w:tcPr>
            <w:tcW w:w="379" w:type="pct"/>
            <w:vMerge w:val="continue"/>
            <w:vAlign w:val="center"/>
          </w:tcPr>
          <w:p w14:paraId="250E9D58">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2" w:type="pct"/>
            <w:vMerge w:val="continue"/>
            <w:vAlign w:val="center"/>
          </w:tcPr>
          <w:p w14:paraId="58E9D9C4">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5" w:type="pct"/>
            <w:vMerge w:val="continue"/>
            <w:vAlign w:val="center"/>
          </w:tcPr>
          <w:p w14:paraId="3374C8A6">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37" w:type="pct"/>
            <w:shd w:val="clear" w:color="auto" w:fill="auto"/>
            <w:vAlign w:val="center"/>
          </w:tcPr>
          <w:p w14:paraId="7BC19199">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798.5</w:t>
            </w:r>
          </w:p>
        </w:tc>
        <w:tc>
          <w:tcPr>
            <w:tcW w:w="397" w:type="pct"/>
            <w:vAlign w:val="center"/>
          </w:tcPr>
          <w:p w14:paraId="625062C7">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208.1238</w:t>
            </w:r>
          </w:p>
        </w:tc>
        <w:tc>
          <w:tcPr>
            <w:tcW w:w="319" w:type="pct"/>
            <w:vMerge w:val="continue"/>
            <w:vAlign w:val="center"/>
          </w:tcPr>
          <w:p w14:paraId="338C298E">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242" w:type="pct"/>
            <w:vMerge w:val="continue"/>
            <w:vAlign w:val="center"/>
          </w:tcPr>
          <w:p w14:paraId="0EEFD0F2">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375" w:type="pct"/>
            <w:vMerge w:val="continue"/>
            <w:vAlign w:val="center"/>
          </w:tcPr>
          <w:p w14:paraId="2CAB6283">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389" w:type="pct"/>
            <w:vAlign w:val="center"/>
          </w:tcPr>
          <w:p w14:paraId="3571E24A">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43.61</w:t>
            </w:r>
          </w:p>
        </w:tc>
        <w:tc>
          <w:tcPr>
            <w:tcW w:w="317" w:type="pct"/>
            <w:vAlign w:val="center"/>
          </w:tcPr>
          <w:p w14:paraId="3EDB7B97">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1.16</w:t>
            </w:r>
          </w:p>
        </w:tc>
        <w:tc>
          <w:tcPr>
            <w:tcW w:w="294" w:type="pct"/>
            <w:shd w:val="clear" w:color="auto" w:fill="auto"/>
            <w:vAlign w:val="center"/>
          </w:tcPr>
          <w:p w14:paraId="1ACC66F3">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pacing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w:t>
            </w:r>
            <w:r>
              <w:rPr>
                <w:rFonts w:hint="eastAsia" w:cs="Times New Roman"/>
                <w:b w:val="0"/>
                <w:bCs w:val="0"/>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p>
        </w:tc>
        <w:tc>
          <w:tcPr>
            <w:tcW w:w="528" w:type="pct"/>
            <w:vMerge w:val="continue"/>
            <w:vAlign w:val="center"/>
          </w:tcPr>
          <w:p w14:paraId="3FFB5A7C">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6FD2191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Merge w:val="continue"/>
            <w:vAlign w:val="center"/>
          </w:tcPr>
          <w:p w14:paraId="2AFCA32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50" w:type="pct"/>
            <w:shd w:val="clear" w:color="auto" w:fill="auto"/>
            <w:vAlign w:val="center"/>
          </w:tcPr>
          <w:p w14:paraId="0ED3CAE9">
            <w:pPr>
              <w:spacing w:line="276" w:lineRule="auto"/>
              <w:jc w:val="center"/>
              <w:rPr>
                <w:rFonts w:hint="eastAsia"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-N</w:t>
            </w:r>
          </w:p>
        </w:tc>
        <w:tc>
          <w:tcPr>
            <w:tcW w:w="379" w:type="pct"/>
            <w:vMerge w:val="continue"/>
            <w:vAlign w:val="center"/>
          </w:tcPr>
          <w:p w14:paraId="71036DC3">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2" w:type="pct"/>
            <w:vMerge w:val="continue"/>
            <w:vAlign w:val="center"/>
          </w:tcPr>
          <w:p w14:paraId="2BC336A6">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5" w:type="pct"/>
            <w:vMerge w:val="continue"/>
            <w:vAlign w:val="center"/>
          </w:tcPr>
          <w:p w14:paraId="5CD38E89">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37" w:type="pct"/>
            <w:shd w:val="clear" w:color="auto" w:fill="auto"/>
            <w:vAlign w:val="center"/>
          </w:tcPr>
          <w:p w14:paraId="33A7341F">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20.02</w:t>
            </w:r>
          </w:p>
        </w:tc>
        <w:tc>
          <w:tcPr>
            <w:tcW w:w="397" w:type="pct"/>
            <w:vAlign w:val="center"/>
          </w:tcPr>
          <w:p w14:paraId="448CCDB2">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10.518</w:t>
            </w:r>
          </w:p>
        </w:tc>
        <w:tc>
          <w:tcPr>
            <w:tcW w:w="319" w:type="pct"/>
            <w:vMerge w:val="continue"/>
            <w:vAlign w:val="center"/>
          </w:tcPr>
          <w:p w14:paraId="002BFCE3">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242" w:type="pct"/>
            <w:vMerge w:val="continue"/>
            <w:vAlign w:val="center"/>
          </w:tcPr>
          <w:p w14:paraId="0C51DE97">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375" w:type="pct"/>
            <w:vMerge w:val="continue"/>
            <w:vAlign w:val="center"/>
          </w:tcPr>
          <w:p w14:paraId="07437D49">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389" w:type="pct"/>
            <w:vAlign w:val="center"/>
          </w:tcPr>
          <w:p w14:paraId="02881607">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8.57</w:t>
            </w:r>
          </w:p>
        </w:tc>
        <w:tc>
          <w:tcPr>
            <w:tcW w:w="317" w:type="pct"/>
            <w:vAlign w:val="center"/>
          </w:tcPr>
          <w:p w14:paraId="35A23965">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0.228</w:t>
            </w:r>
          </w:p>
        </w:tc>
        <w:tc>
          <w:tcPr>
            <w:tcW w:w="294" w:type="pct"/>
            <w:shd w:val="clear" w:color="auto" w:fill="auto"/>
            <w:vAlign w:val="center"/>
          </w:tcPr>
          <w:p w14:paraId="478619E3">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30</w:t>
            </w:r>
          </w:p>
        </w:tc>
        <w:tc>
          <w:tcPr>
            <w:tcW w:w="528" w:type="pct"/>
            <w:vMerge w:val="continue"/>
            <w:vAlign w:val="center"/>
          </w:tcPr>
          <w:p w14:paraId="6F20E96B">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3537534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Merge w:val="continue"/>
            <w:vAlign w:val="center"/>
          </w:tcPr>
          <w:p w14:paraId="678AB9A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50" w:type="pct"/>
            <w:shd w:val="clear" w:color="auto" w:fill="auto"/>
            <w:vAlign w:val="center"/>
          </w:tcPr>
          <w:p w14:paraId="0F05962B">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TN</w:t>
            </w:r>
          </w:p>
        </w:tc>
        <w:tc>
          <w:tcPr>
            <w:tcW w:w="379" w:type="pct"/>
            <w:vMerge w:val="continue"/>
            <w:vAlign w:val="center"/>
          </w:tcPr>
          <w:p w14:paraId="5E2C20AA">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2" w:type="pct"/>
            <w:vMerge w:val="continue"/>
            <w:vAlign w:val="center"/>
          </w:tcPr>
          <w:p w14:paraId="2E90141C">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5" w:type="pct"/>
            <w:vMerge w:val="continue"/>
            <w:vAlign w:val="center"/>
          </w:tcPr>
          <w:p w14:paraId="7BD5884B">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37" w:type="pct"/>
            <w:shd w:val="clear" w:color="auto" w:fill="auto"/>
            <w:vAlign w:val="center"/>
          </w:tcPr>
          <w:p w14:paraId="4A18C18A">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0.069</w:t>
            </w:r>
          </w:p>
        </w:tc>
        <w:tc>
          <w:tcPr>
            <w:tcW w:w="397" w:type="pct"/>
            <w:shd w:val="clear" w:color="auto" w:fill="auto"/>
            <w:vAlign w:val="center"/>
          </w:tcPr>
          <w:p w14:paraId="700979CD">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bidi="ar-SA"/>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35.418</w:t>
            </w:r>
          </w:p>
        </w:tc>
        <w:tc>
          <w:tcPr>
            <w:tcW w:w="319" w:type="pct"/>
            <w:vMerge w:val="continue"/>
            <w:vAlign w:val="center"/>
          </w:tcPr>
          <w:p w14:paraId="26CF2778">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242" w:type="pct"/>
            <w:vMerge w:val="continue"/>
            <w:vAlign w:val="center"/>
          </w:tcPr>
          <w:p w14:paraId="5C70B523">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375" w:type="pct"/>
            <w:vMerge w:val="continue"/>
            <w:vAlign w:val="center"/>
          </w:tcPr>
          <w:p w14:paraId="6B86ED7B">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389" w:type="pct"/>
            <w:vAlign w:val="center"/>
          </w:tcPr>
          <w:p w14:paraId="1F4AA5D1">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27.29</w:t>
            </w:r>
          </w:p>
        </w:tc>
        <w:tc>
          <w:tcPr>
            <w:tcW w:w="317" w:type="pct"/>
            <w:shd w:val="clear" w:color="auto" w:fill="auto"/>
            <w:vAlign w:val="center"/>
          </w:tcPr>
          <w:p w14:paraId="2737DE7F">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bidi="ar-SA"/>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0.726</w:t>
            </w:r>
          </w:p>
        </w:tc>
        <w:tc>
          <w:tcPr>
            <w:tcW w:w="294" w:type="pct"/>
            <w:shd w:val="clear" w:color="auto" w:fill="auto"/>
            <w:vAlign w:val="center"/>
          </w:tcPr>
          <w:p w14:paraId="200AA040">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40</w:t>
            </w:r>
          </w:p>
        </w:tc>
        <w:tc>
          <w:tcPr>
            <w:tcW w:w="528" w:type="pct"/>
            <w:vMerge w:val="continue"/>
            <w:vAlign w:val="center"/>
          </w:tcPr>
          <w:p w14:paraId="319CAA9F">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54D0FEB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63" w:type="pct"/>
            <w:vMerge w:val="continue"/>
            <w:vAlign w:val="center"/>
          </w:tcPr>
          <w:p w14:paraId="2F07566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50" w:type="pct"/>
            <w:shd w:val="clear" w:color="auto" w:fill="auto"/>
            <w:vAlign w:val="center"/>
          </w:tcPr>
          <w:p w14:paraId="08760E2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TP</w:t>
            </w:r>
          </w:p>
        </w:tc>
        <w:tc>
          <w:tcPr>
            <w:tcW w:w="379" w:type="pct"/>
            <w:vMerge w:val="continue"/>
            <w:vAlign w:val="center"/>
          </w:tcPr>
          <w:p w14:paraId="2DC704CF">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2" w:type="pct"/>
            <w:vMerge w:val="continue"/>
            <w:vAlign w:val="center"/>
          </w:tcPr>
          <w:p w14:paraId="33B507A2">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405" w:type="pct"/>
            <w:vMerge w:val="continue"/>
            <w:vAlign w:val="center"/>
          </w:tcPr>
          <w:p w14:paraId="289FC2DE">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337" w:type="pct"/>
            <w:shd w:val="clear" w:color="auto" w:fill="auto"/>
            <w:vAlign w:val="center"/>
          </w:tcPr>
          <w:p w14:paraId="7EECC868">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0.005</w:t>
            </w:r>
          </w:p>
        </w:tc>
        <w:tc>
          <w:tcPr>
            <w:tcW w:w="397" w:type="pct"/>
            <w:shd w:val="clear" w:color="auto" w:fill="auto"/>
            <w:vAlign w:val="center"/>
          </w:tcPr>
          <w:p w14:paraId="7C34AA10">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bidi="ar-SA"/>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1.3012</w:t>
            </w:r>
          </w:p>
        </w:tc>
        <w:tc>
          <w:tcPr>
            <w:tcW w:w="319" w:type="pct"/>
            <w:vMerge w:val="continue"/>
            <w:vAlign w:val="center"/>
          </w:tcPr>
          <w:p w14:paraId="2544F022">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242" w:type="pct"/>
            <w:vMerge w:val="continue"/>
            <w:vAlign w:val="center"/>
          </w:tcPr>
          <w:p w14:paraId="38E198C2">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375" w:type="pct"/>
            <w:vMerge w:val="continue"/>
            <w:vAlign w:val="center"/>
          </w:tcPr>
          <w:p w14:paraId="52535E2F">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389" w:type="pct"/>
            <w:vAlign w:val="center"/>
          </w:tcPr>
          <w:p w14:paraId="45081D6B">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26.66</w:t>
            </w:r>
          </w:p>
        </w:tc>
        <w:tc>
          <w:tcPr>
            <w:tcW w:w="317" w:type="pct"/>
            <w:shd w:val="clear" w:color="auto" w:fill="auto"/>
            <w:vAlign w:val="center"/>
          </w:tcPr>
          <w:p w14:paraId="04EBA0D5">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7092</w:t>
            </w:r>
          </w:p>
        </w:tc>
        <w:tc>
          <w:tcPr>
            <w:tcW w:w="294" w:type="pct"/>
            <w:shd w:val="clear" w:color="auto" w:fill="auto"/>
            <w:vAlign w:val="center"/>
          </w:tcPr>
          <w:p w14:paraId="1E099F58">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pacing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4</w:t>
            </w:r>
          </w:p>
        </w:tc>
        <w:tc>
          <w:tcPr>
            <w:tcW w:w="528" w:type="pct"/>
            <w:vMerge w:val="continue"/>
            <w:vAlign w:val="center"/>
          </w:tcPr>
          <w:p w14:paraId="023CD2DE">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bl>
    <w:p w14:paraId="1D59C0E2">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AndChars" w:linePitch="312" w:charSpace="0"/>
        </w:sectPr>
      </w:pPr>
    </w:p>
    <w:p w14:paraId="124D2EFA">
      <w:pPr>
        <w:pStyle w:val="3159"/>
        <w:rPr>
          <w:rFonts w:hint="default" w:ascii="Times New Roman" w:hAnsi="Times New Roman" w:eastAsia="黑体" w:cs="Times New Roman"/>
          <w:b w:val="0"/>
          <w:color w:val="000000" w:themeColor="text1"/>
          <w14:textFill>
            <w14:solidFill>
              <w14:schemeClr w14:val="tx1"/>
            </w14:solidFill>
          </w14:textFill>
        </w:rPr>
      </w:pPr>
      <w:bookmarkStart w:id="58" w:name="_Toc173837659"/>
      <w:r>
        <w:rPr>
          <w:rFonts w:hint="default" w:ascii="Times New Roman" w:hAnsi="Times New Roman" w:eastAsia="黑体" w:cs="Times New Roman"/>
          <w:b w:val="0"/>
          <w:color w:val="000000" w:themeColor="text1"/>
          <w14:textFill>
            <w14:solidFill>
              <w14:schemeClr w14:val="tx1"/>
            </w14:solidFill>
          </w14:textFill>
        </w:rPr>
        <w:t>3.</w:t>
      </w:r>
      <w:r>
        <w:rPr>
          <w:rFonts w:hint="default" w:ascii="Times New Roman" w:hAnsi="Times New Roman" w:eastAsia="黑体" w:cs="Times New Roman"/>
          <w:b w:val="0"/>
          <w:color w:val="000000" w:themeColor="text1"/>
          <w:lang w:val="en-US" w:eastAsia="zh-CN"/>
          <w14:textFill>
            <w14:solidFill>
              <w14:schemeClr w14:val="tx1"/>
            </w14:solidFill>
          </w14:textFill>
        </w:rPr>
        <w:t>3</w:t>
      </w:r>
      <w:r>
        <w:rPr>
          <w:rFonts w:hint="default" w:ascii="Times New Roman" w:hAnsi="Times New Roman" w:eastAsia="黑体" w:cs="Times New Roman"/>
          <w:b w:val="0"/>
          <w:color w:val="000000" w:themeColor="text1"/>
          <w14:textFill>
            <w14:solidFill>
              <w14:schemeClr w14:val="tx1"/>
            </w14:solidFill>
          </w14:textFill>
        </w:rPr>
        <w:t>.3固体废物</w:t>
      </w:r>
      <w:bookmarkEnd w:id="58"/>
    </w:p>
    <w:p w14:paraId="6BC6A16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本项目固体废物主要有一般工业固体废物、危险废物和生活垃圾。一般工业固体废物有：</w:t>
      </w:r>
      <w:r>
        <w:rPr>
          <w:rFonts w:hint="default" w:ascii="Times New Roman" w:hAnsi="Times New Roman" w:cs="Times New Roman"/>
          <w:color w:val="000000" w:themeColor="text1"/>
          <w:lang w:eastAsia="zh-CN"/>
          <w14:textFill>
            <w14:solidFill>
              <w14:schemeClr w14:val="tx1"/>
            </w14:solidFill>
          </w14:textFill>
        </w:rPr>
        <w:t>固体杂质、</w:t>
      </w:r>
      <w:r>
        <w:rPr>
          <w:rFonts w:hint="default" w:ascii="Times New Roman" w:hAnsi="Times New Roman" w:cs="Times New Roman"/>
          <w:color w:val="000000" w:themeColor="text1"/>
          <w14:textFill>
            <w14:solidFill>
              <w14:schemeClr w14:val="tx1"/>
            </w14:solidFill>
          </w14:textFill>
        </w:rPr>
        <w:t>布袋除尘器收集粉尘</w:t>
      </w:r>
      <w:r>
        <w:rPr>
          <w:rFonts w:hint="default" w:ascii="Times New Roman" w:hAnsi="Times New Roman" w:cs="Times New Roman"/>
          <w:color w:val="000000" w:themeColor="text1"/>
          <w:lang w:eastAsia="zh-CN"/>
          <w14:textFill>
            <w14:solidFill>
              <w14:schemeClr w14:val="tx1"/>
            </w14:solidFill>
          </w14:textFill>
        </w:rPr>
        <w:t>、废包装材料、废沙、污水站污泥等</w:t>
      </w:r>
      <w:r>
        <w:rPr>
          <w:rFonts w:hint="default" w:ascii="Times New Roman" w:hAnsi="Times New Roman" w:cs="Times New Roman"/>
          <w:color w:val="000000" w:themeColor="text1"/>
          <w14:textFill>
            <w14:solidFill>
              <w14:schemeClr w14:val="tx1"/>
            </w14:solidFill>
          </w14:textFill>
        </w:rPr>
        <w:t>；危险废物有废活性炭、</w:t>
      </w:r>
      <w:r>
        <w:rPr>
          <w:rFonts w:hint="eastAsia" w:ascii="Times New Roman" w:hAnsi="Times New Roman" w:cs="Times New Roman"/>
          <w:color w:val="000000" w:themeColor="text1"/>
          <w:lang w:eastAsia="zh-CN"/>
          <w14:textFill>
            <w14:solidFill>
              <w14:schemeClr w14:val="tx1"/>
            </w14:solidFill>
          </w14:textFill>
        </w:rPr>
        <w:t>废润滑油、废油桶、</w:t>
      </w:r>
      <w:r>
        <w:rPr>
          <w:rFonts w:hint="eastAsia" w:ascii="Times New Roman" w:hAnsi="Times New Roman" w:cs="Times New Roman"/>
          <w:color w:val="000000" w:themeColor="text1"/>
          <w:lang w:val="en-US" w:eastAsia="zh-CN"/>
          <w14:textFill>
            <w14:solidFill>
              <w14:schemeClr w14:val="tx1"/>
            </w14:solidFill>
          </w14:textFill>
        </w:rPr>
        <w:t>废油桶</w:t>
      </w:r>
      <w:r>
        <w:rPr>
          <w:rFonts w:hint="default" w:ascii="Times New Roman" w:hAnsi="Times New Roman" w:cs="Times New Roman"/>
          <w:color w:val="000000" w:themeColor="text1"/>
          <w:lang w:eastAsia="zh-CN"/>
          <w14:textFill>
            <w14:solidFill>
              <w14:schemeClr w14:val="tx1"/>
            </w14:solidFill>
          </w14:textFill>
        </w:rPr>
        <w:t>、含油抹布及手套等</w:t>
      </w:r>
      <w:r>
        <w:rPr>
          <w:rFonts w:hint="default" w:ascii="Times New Roman" w:hAnsi="Times New Roman" w:cs="Times New Roman"/>
          <w:color w:val="000000" w:themeColor="text1"/>
          <w14:textFill>
            <w14:solidFill>
              <w14:schemeClr w14:val="tx1"/>
            </w14:solidFill>
          </w14:textFill>
        </w:rPr>
        <w:t>。</w:t>
      </w:r>
    </w:p>
    <w:p w14:paraId="2997D31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1、一般工业固体废物</w:t>
      </w:r>
    </w:p>
    <w:p w14:paraId="2CC1C02E">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lang w:eastAsia="zh-CN"/>
          <w14:textFill>
            <w14:solidFill>
              <w14:schemeClr w14:val="tx1"/>
            </w14:solidFill>
          </w14:textFill>
        </w:rPr>
        <w:t>固体杂质</w:t>
      </w:r>
    </w:p>
    <w:p w14:paraId="5C1CF72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本项目分选</w:t>
      </w:r>
      <w:r>
        <w:rPr>
          <w:rFonts w:hint="default" w:ascii="Times New Roman" w:hAnsi="Times New Roman" w:cs="Times New Roman"/>
          <w:color w:val="000000" w:themeColor="text1"/>
          <w14:textFill>
            <w14:solidFill>
              <w14:schemeClr w14:val="tx1"/>
            </w14:solidFill>
          </w14:textFill>
        </w:rPr>
        <w:t>产生</w:t>
      </w:r>
      <w:r>
        <w:rPr>
          <w:rFonts w:hint="default" w:ascii="Times New Roman" w:hAnsi="Times New Roman" w:cs="Times New Roman"/>
          <w:color w:val="000000" w:themeColor="text1"/>
          <w:lang w:eastAsia="zh-CN"/>
          <w14:textFill>
            <w14:solidFill>
              <w14:schemeClr w14:val="tx1"/>
            </w14:solidFill>
          </w14:textFill>
        </w:rPr>
        <w:t>的固体杂质总</w:t>
      </w:r>
      <w:r>
        <w:rPr>
          <w:rFonts w:hint="default" w:ascii="Times New Roman" w:hAnsi="Times New Roman" w:cs="Times New Roman"/>
          <w:color w:val="000000" w:themeColor="text1"/>
          <w14:textFill>
            <w14:solidFill>
              <w14:schemeClr w14:val="tx1"/>
            </w14:solidFill>
          </w14:textFill>
        </w:rPr>
        <w:t>量</w:t>
      </w:r>
      <w:r>
        <w:rPr>
          <w:rFonts w:hint="default" w:ascii="Times New Roman" w:hAnsi="Times New Roman" w:cs="Times New Roman"/>
          <w:color w:val="000000" w:themeColor="text1"/>
          <w14:textFill>
            <w14:solidFill>
              <w14:schemeClr w14:val="tx1"/>
            </w14:solidFill>
          </w14:textFill>
        </w:rPr>
        <w:t>为</w:t>
      </w:r>
      <w:r>
        <w:rPr>
          <w:rFonts w:hint="eastAsia" w:ascii="Times New Roman" w:hAnsi="Times New Roman" w:cs="Times New Roman"/>
          <w:color w:val="000000" w:themeColor="text1"/>
          <w:lang w:val="en-US" w:eastAsia="zh-CN"/>
          <w14:textFill>
            <w14:solidFill>
              <w14:schemeClr w14:val="tx1"/>
            </w14:solidFill>
          </w14:textFill>
        </w:rPr>
        <w:t>185.505</w:t>
      </w:r>
      <w:r>
        <w:rPr>
          <w:rFonts w:hint="default" w:ascii="Times New Roman" w:hAnsi="Times New Roman" w:cs="Times New Roman"/>
          <w:color w:val="000000" w:themeColor="text1"/>
          <w14:textFill>
            <w14:solidFill>
              <w14:schemeClr w14:val="tx1"/>
            </w14:solidFill>
          </w14:textFill>
        </w:rPr>
        <w:t>t</w:t>
      </w:r>
      <w:r>
        <w:rPr>
          <w:rFonts w:hint="default" w:ascii="Times New Roman" w:hAnsi="Times New Roman" w:cs="Times New Roman"/>
          <w:color w:val="000000" w:themeColor="text1"/>
          <w:lang w:val="en-US" w:eastAsia="zh-CN"/>
          <w14:textFill>
            <w14:solidFill>
              <w14:schemeClr w14:val="tx1"/>
            </w14:solidFill>
          </w14:textFill>
        </w:rPr>
        <w:t>/a</w:t>
      </w:r>
      <w:r>
        <w:rPr>
          <w:rFonts w:hint="default" w:ascii="Times New Roman" w:hAnsi="Times New Roman" w:cs="Times New Roman"/>
          <w:color w:val="000000" w:themeColor="text1"/>
          <w14:textFill>
            <w14:solidFill>
              <w14:schemeClr w14:val="tx1"/>
            </w14:solidFill>
          </w14:textFill>
        </w:rPr>
        <w:t>，收集后暂存于厂区一般工业固体废物暂存间，外售综合利用。</w:t>
      </w:r>
    </w:p>
    <w:p w14:paraId="55506755">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布袋除尘器收集粉尘</w:t>
      </w:r>
    </w:p>
    <w:p w14:paraId="0E04A5F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根据分析可知，本项目除尘器收集粉尘量为</w:t>
      </w:r>
      <w:r>
        <w:rPr>
          <w:rFonts w:hint="eastAsia" w:ascii="Times New Roman" w:hAnsi="Times New Roman" w:cs="Times New Roman"/>
          <w:color w:val="000000" w:themeColor="text1"/>
          <w:highlight w:val="yellow"/>
          <w:lang w:val="en-US" w:eastAsia="zh-CN"/>
          <w14:textFill>
            <w14:solidFill>
              <w14:schemeClr w14:val="tx1"/>
            </w14:solidFill>
          </w14:textFill>
        </w:rPr>
        <w:t>12.257</w:t>
      </w:r>
      <w:r>
        <w:rPr>
          <w:rFonts w:hint="default" w:ascii="Times New Roman" w:hAnsi="Times New Roman" w:cs="Times New Roman"/>
          <w:color w:val="000000" w:themeColor="text1"/>
          <w:highlight w:val="yellow"/>
          <w14:textFill>
            <w14:solidFill>
              <w14:schemeClr w14:val="tx1"/>
            </w14:solidFill>
          </w14:textFill>
        </w:rPr>
        <w:t>t/a</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收集后暂存于厂区一般工业固体废物暂存间，外售综合利用。</w:t>
      </w:r>
    </w:p>
    <w:p w14:paraId="5BD1DBA4">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废包装材料</w:t>
      </w:r>
    </w:p>
    <w:p w14:paraId="1E6D3AC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本项目拆包产生的废包装材料约为</w:t>
      </w: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t/a</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收集后暂存于厂区一般工业固体废物暂存间，外售综合利用。</w:t>
      </w:r>
    </w:p>
    <w:p w14:paraId="2D60CD63">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废沙</w:t>
      </w:r>
    </w:p>
    <w:p w14:paraId="0F63BAD3">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本项目瓶盖过滤净化使用的黄沙两年更换一次，则废沙产生量约为</w:t>
      </w:r>
      <w:r>
        <w:rPr>
          <w:rFonts w:hint="default" w:ascii="Times New Roman" w:hAnsi="Times New Roman" w:cs="Times New Roman"/>
          <w:color w:val="000000" w:themeColor="text1"/>
          <w:lang w:val="en-US" w:eastAsia="zh-CN"/>
          <w14:textFill>
            <w14:solidFill>
              <w14:schemeClr w14:val="tx1"/>
            </w14:solidFill>
          </w14:textFill>
        </w:rPr>
        <w:t>2.5t/a，</w:t>
      </w:r>
      <w:r>
        <w:rPr>
          <w:rFonts w:hint="default" w:ascii="Times New Roman" w:hAnsi="Times New Roman" w:cs="Times New Roman"/>
          <w:color w:val="000000" w:themeColor="text1"/>
          <w14:textFill>
            <w14:solidFill>
              <w14:schemeClr w14:val="tx1"/>
            </w14:solidFill>
          </w14:textFill>
        </w:rPr>
        <w:t>收集后暂存于厂区一般工业固体废物暂存间，外售综合利用。</w:t>
      </w:r>
    </w:p>
    <w:p w14:paraId="672BE1B1">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污水站污泥</w:t>
      </w:r>
    </w:p>
    <w:p w14:paraId="3FC83DA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根据分析可知，本项目污水站污泥产生量约为</w:t>
      </w:r>
      <w:r>
        <w:rPr>
          <w:rFonts w:hint="eastAsia" w:ascii="Times New Roman" w:hAnsi="Times New Roman" w:cs="Times New Roman"/>
          <w:color w:val="000000" w:themeColor="text1"/>
          <w:lang w:val="en-US" w:eastAsia="zh-CN"/>
          <w14:textFill>
            <w14:solidFill>
              <w14:schemeClr w14:val="tx1"/>
            </w14:solidFill>
          </w14:textFill>
        </w:rPr>
        <w:t>20</w:t>
      </w:r>
      <w:r>
        <w:rPr>
          <w:rFonts w:hint="default" w:ascii="Times New Roman" w:hAnsi="Times New Roman" w:cs="Times New Roman"/>
          <w:color w:val="000000" w:themeColor="text1"/>
          <w:lang w:val="en-US" w:eastAsia="zh-CN"/>
          <w14:textFill>
            <w14:solidFill>
              <w14:schemeClr w14:val="tx1"/>
            </w14:solidFill>
          </w14:textFill>
        </w:rPr>
        <w:t>0</w:t>
      </w:r>
      <w:r>
        <w:rPr>
          <w:rFonts w:hint="default" w:ascii="Times New Roman" w:hAnsi="Times New Roman" w:cs="Times New Roman"/>
          <w:color w:val="000000" w:themeColor="text1"/>
          <w14:textFill>
            <w14:solidFill>
              <w14:schemeClr w14:val="tx1"/>
            </w14:solidFill>
          </w14:textFill>
        </w:rPr>
        <w:t>t/a</w:t>
      </w:r>
      <w:r>
        <w:rPr>
          <w:rFonts w:hint="default" w:ascii="Times New Roman" w:hAnsi="Times New Roman" w:cs="Times New Roman"/>
          <w:color w:val="000000" w:themeColor="text1"/>
          <w:lang w:eastAsia="zh-CN"/>
          <w14:textFill>
            <w14:solidFill>
              <w14:schemeClr w14:val="tx1"/>
            </w14:solidFill>
          </w14:textFill>
        </w:rPr>
        <w:t>，压滤成泥饼</w:t>
      </w:r>
      <w:r>
        <w:rPr>
          <w:rFonts w:hint="default" w:ascii="Times New Roman" w:hAnsi="Times New Roman" w:cs="Times New Roman"/>
          <w:color w:val="000000" w:themeColor="text1"/>
          <w14:textFill>
            <w14:solidFill>
              <w14:schemeClr w14:val="tx1"/>
            </w14:solidFill>
          </w14:textFill>
        </w:rPr>
        <w:t>后暂存于厂区一般工业固体废物暂存间，外售综合利用。</w:t>
      </w:r>
    </w:p>
    <w:p w14:paraId="5A845EF9">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2、危险废物</w:t>
      </w:r>
    </w:p>
    <w:p w14:paraId="769EA379">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（1）废活性炭</w:t>
      </w:r>
    </w:p>
    <w:p w14:paraId="71922E7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w:t>
      </w:r>
      <w:r>
        <w:rPr>
          <w:rFonts w:hint="default" w:ascii="Times New Roman" w:hAnsi="Times New Roman" w:cs="Times New Roman"/>
          <w:color w:val="000000" w:themeColor="text1"/>
          <w:lang w:eastAsia="zh-CN"/>
          <w14:textFill>
            <w14:solidFill>
              <w14:schemeClr w14:val="tx1"/>
            </w14:solidFill>
          </w14:textFill>
        </w:rPr>
        <w:t>改性粒子熔融挤出</w:t>
      </w:r>
      <w:r>
        <w:rPr>
          <w:rFonts w:hint="default" w:ascii="Times New Roman" w:hAnsi="Times New Roman" w:cs="Times New Roman"/>
          <w:color w:val="000000" w:themeColor="text1"/>
          <w14:textFill>
            <w14:solidFill>
              <w14:schemeClr w14:val="tx1"/>
            </w14:solidFill>
          </w14:textFill>
        </w:rPr>
        <w:t>废气、</w:t>
      </w:r>
      <w:r>
        <w:rPr>
          <w:rFonts w:hint="default" w:ascii="Times New Roman" w:hAnsi="Times New Roman" w:cs="Times New Roman"/>
          <w:color w:val="000000" w:themeColor="text1"/>
          <w:lang w:eastAsia="zh-CN"/>
          <w14:textFill>
            <w14:solidFill>
              <w14:schemeClr w14:val="tx1"/>
            </w14:solidFill>
          </w14:textFill>
        </w:rPr>
        <w:t>标签纸</w:t>
      </w:r>
      <w:r>
        <w:rPr>
          <w:rFonts w:hint="eastAsia" w:ascii="Times New Roman" w:hAnsi="Times New Roman" w:cs="Times New Roman"/>
          <w:color w:val="000000" w:themeColor="text1"/>
          <w:lang w:eastAsia="zh-CN"/>
          <w14:textFill>
            <w14:solidFill>
              <w14:schemeClr w14:val="tx1"/>
            </w14:solidFill>
          </w14:textFill>
        </w:rPr>
        <w:t>高温分选</w:t>
      </w:r>
      <w:r>
        <w:rPr>
          <w:rFonts w:hint="default" w:ascii="Times New Roman" w:hAnsi="Times New Roman" w:cs="Times New Roman"/>
          <w:color w:val="000000" w:themeColor="text1"/>
          <w14:textFill>
            <w14:solidFill>
              <w14:schemeClr w14:val="tx1"/>
            </w14:solidFill>
          </w14:textFill>
        </w:rPr>
        <w:t>废气均使用活性炭吸附装置处理，为保持处理效率，需定期更换，根据《简明通风设计手册》</w:t>
      </w:r>
      <w:r>
        <w:rPr>
          <w:rFonts w:hint="eastAsia" w:ascii="Times New Roman" w:hAnsi="Times New Roman" w:cs="Times New Roman"/>
          <w:color w:val="000000" w:themeColor="text1"/>
          <w:lang w:val="en-US" w:eastAsia="zh-CN"/>
          <w14:textFill>
            <w14:solidFill>
              <w14:schemeClr w14:val="tx1"/>
            </w14:solidFill>
          </w14:textFill>
        </w:rPr>
        <w:t>估算</w:t>
      </w:r>
      <w:r>
        <w:rPr>
          <w:rFonts w:hint="default" w:ascii="Times New Roman" w:hAnsi="Times New Roman" w:cs="Times New Roman"/>
          <w:color w:val="000000" w:themeColor="text1"/>
          <w14:textFill>
            <w14:solidFill>
              <w14:schemeClr w14:val="tx1"/>
            </w14:solidFill>
          </w14:textFill>
        </w:rPr>
        <w:t>，1kg活性炭吸附0.</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kg</w:t>
      </w:r>
      <w:r>
        <w:rPr>
          <w:rFonts w:hint="eastAsia" w:ascii="Times New Roman" w:hAnsi="Times New Roman" w:cs="Times New Roman"/>
          <w:color w:val="000000" w:themeColor="text1"/>
          <w:lang w:eastAsia="zh-CN"/>
          <w14:textFill>
            <w14:solidFill>
              <w14:schemeClr w14:val="tx1"/>
            </w14:solidFill>
          </w14:textFill>
        </w:rPr>
        <w:t>废气</w:t>
      </w:r>
      <w:r>
        <w:rPr>
          <w:rFonts w:hint="default" w:ascii="Times New Roman" w:hAnsi="Times New Roman" w:cs="Times New Roman"/>
          <w:color w:val="000000" w:themeColor="text1"/>
          <w14:textFill>
            <w14:solidFill>
              <w14:schemeClr w14:val="tx1"/>
            </w14:solidFill>
          </w14:textFill>
        </w:rPr>
        <w:t>。根据工程分析可知，各废气处理装置吸附废气量为</w:t>
      </w:r>
      <w:r>
        <w:rPr>
          <w:rFonts w:hint="eastAsia" w:ascii="Times New Roman" w:hAnsi="Times New Roman" w:cs="Times New Roman"/>
          <w:color w:val="000000" w:themeColor="text1"/>
          <w:lang w:val="en-US" w:eastAsia="zh-CN"/>
          <w14:textFill>
            <w14:solidFill>
              <w14:schemeClr w14:val="tx1"/>
            </w14:solidFill>
          </w14:textFill>
        </w:rPr>
        <w:t>1.5963</w:t>
      </w:r>
      <w:r>
        <w:rPr>
          <w:rFonts w:hint="default" w:ascii="Times New Roman" w:hAnsi="Times New Roman" w:cs="Times New Roman"/>
          <w:color w:val="000000" w:themeColor="text1"/>
          <w14:textFill>
            <w14:solidFill>
              <w14:schemeClr w14:val="tx1"/>
            </w14:solidFill>
          </w14:textFill>
        </w:rPr>
        <w:t>t/a</w:t>
      </w:r>
      <w:r>
        <w:rPr>
          <w:rFonts w:hint="eastAsia" w:ascii="Times New Roman" w:hAnsi="Times New Roman" w:cs="Times New Roman"/>
          <w:color w:val="000000" w:themeColor="text1"/>
          <w:lang w:eastAsia="zh-CN"/>
          <w14:textFill>
            <w14:solidFill>
              <w14:schemeClr w14:val="tx1"/>
            </w14:solidFill>
          </w14:textFill>
        </w:rPr>
        <w:t>（非甲烷总烃</w:t>
      </w:r>
      <w:r>
        <w:rPr>
          <w:rFonts w:hint="eastAsia" w:ascii="Times New Roman" w:hAnsi="Times New Roman" w:cs="Times New Roman"/>
          <w:color w:val="000000" w:themeColor="text1"/>
          <w:lang w:val="en-US" w:eastAsia="zh-CN"/>
          <w14:textFill>
            <w14:solidFill>
              <w14:schemeClr w14:val="tx1"/>
            </w14:solidFill>
          </w14:textFill>
        </w:rPr>
        <w:t>1.343</w:t>
      </w:r>
      <w:r>
        <w:rPr>
          <w:rFonts w:hint="default" w:ascii="Times New Roman" w:hAnsi="Times New Roman" w:cs="Times New Roman"/>
          <w:color w:val="000000" w:themeColor="text1"/>
          <w14:textFill>
            <w14:solidFill>
              <w14:schemeClr w14:val="tx1"/>
            </w14:solidFill>
          </w14:textFill>
        </w:rPr>
        <w:t>t/a</w:t>
      </w:r>
      <w:r>
        <w:rPr>
          <w:rFonts w:hint="eastAsia" w:ascii="Times New Roman" w:hAnsi="Times New Roman" w:cs="Times New Roman"/>
          <w:color w:val="000000" w:themeColor="text1"/>
          <w:lang w:eastAsia="zh-CN"/>
          <w14:textFill>
            <w14:solidFill>
              <w14:schemeClr w14:val="tx1"/>
            </w14:solidFill>
          </w14:textFill>
        </w:rPr>
        <w:t>，硫化氢</w:t>
      </w:r>
      <w:r>
        <w:rPr>
          <w:rFonts w:hint="eastAsia" w:ascii="Times New Roman" w:hAnsi="Times New Roman" w:cs="Times New Roman"/>
          <w:color w:val="000000" w:themeColor="text1"/>
          <w:lang w:val="en-US" w:eastAsia="zh-CN"/>
          <w14:textFill>
            <w14:solidFill>
              <w14:schemeClr w14:val="tx1"/>
            </w14:solidFill>
          </w14:textFill>
        </w:rPr>
        <w:t>0.0094</w:t>
      </w:r>
      <w:r>
        <w:rPr>
          <w:rFonts w:hint="default" w:ascii="Times New Roman" w:hAnsi="Times New Roman" w:cs="Times New Roman"/>
          <w:color w:val="000000" w:themeColor="text1"/>
          <w14:textFill>
            <w14:solidFill>
              <w14:schemeClr w14:val="tx1"/>
            </w14:solidFill>
          </w14:textFill>
        </w:rPr>
        <w:t>t/a</w:t>
      </w:r>
      <w:r>
        <w:rPr>
          <w:rFonts w:hint="eastAsia" w:ascii="Times New Roman" w:hAnsi="Times New Roman" w:cs="Times New Roman"/>
          <w:color w:val="000000" w:themeColor="text1"/>
          <w:lang w:eastAsia="zh-CN"/>
          <w14:textFill>
            <w14:solidFill>
              <w14:schemeClr w14:val="tx1"/>
            </w14:solidFill>
          </w14:textFill>
        </w:rPr>
        <w:t>，氨</w:t>
      </w:r>
      <w:r>
        <w:rPr>
          <w:rFonts w:hint="eastAsia" w:ascii="Times New Roman" w:hAnsi="Times New Roman" w:cs="Times New Roman"/>
          <w:color w:val="000000" w:themeColor="text1"/>
          <w:lang w:val="en-US" w:eastAsia="zh-CN"/>
          <w14:textFill>
            <w14:solidFill>
              <w14:schemeClr w14:val="tx1"/>
            </w14:solidFill>
          </w14:textFill>
        </w:rPr>
        <w:t>0.2439</w:t>
      </w:r>
      <w:r>
        <w:rPr>
          <w:rFonts w:hint="default" w:ascii="Times New Roman" w:hAnsi="Times New Roman" w:cs="Times New Roman"/>
          <w:color w:val="000000" w:themeColor="text1"/>
          <w14:textFill>
            <w14:solidFill>
              <w14:schemeClr w14:val="tx1"/>
            </w14:solidFill>
          </w14:textFill>
        </w:rPr>
        <w:t>t/a</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，则废活性炭产生量约为</w:t>
      </w:r>
      <w:r>
        <w:rPr>
          <w:rFonts w:hint="eastAsia" w:ascii="Times New Roman" w:hAnsi="Times New Roman" w:cs="Times New Roman"/>
          <w:color w:val="000000" w:themeColor="text1"/>
          <w:lang w:val="en-US" w:eastAsia="zh-CN"/>
          <w14:textFill>
            <w14:solidFill>
              <w14:schemeClr w14:val="tx1"/>
            </w14:solidFill>
          </w14:textFill>
        </w:rPr>
        <w:t>6.92t/a</w:t>
      </w:r>
      <w:r>
        <w:rPr>
          <w:rFonts w:hint="default" w:ascii="Times New Roman" w:hAnsi="Times New Roman" w:cs="Times New Roman"/>
          <w:color w:val="000000" w:themeColor="text1"/>
          <w14:textFill>
            <w14:solidFill>
              <w14:schemeClr w14:val="tx1"/>
            </w14:solidFill>
          </w14:textFill>
        </w:rPr>
        <w:t>。产生的废活性炭暂存于厂区危险废物暂存仓库中，委托有资质单位定期处置。</w:t>
      </w:r>
    </w:p>
    <w:p w14:paraId="73B01B52">
      <w:pPr>
        <w:pStyle w:val="251"/>
        <w:ind w:firstLine="48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eastAsia="zh-CN"/>
          <w14:textFill>
            <w14:solidFill>
              <w14:schemeClr w14:val="tx1"/>
            </w14:solidFill>
          </w14:textFill>
        </w:rPr>
        <w:t>废润滑油</w:t>
      </w:r>
      <w:r>
        <w:rPr>
          <w:rFonts w:hint="eastAsia" w:ascii="Times New Roman" w:hAnsi="Times New Roman" w:cs="Times New Roman"/>
          <w:color w:val="000000" w:themeColor="text1"/>
          <w:lang w:val="en-US" w:eastAsia="zh-CN"/>
          <w14:textFill>
            <w14:solidFill>
              <w14:schemeClr w14:val="tx1"/>
            </w14:solidFill>
          </w14:textFill>
        </w:rPr>
        <w:t>及废油桶</w:t>
      </w:r>
    </w:p>
    <w:p w14:paraId="7424700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项目机器设备日常维修时会产生一定量的</w:t>
      </w:r>
      <w:r>
        <w:rPr>
          <w:rFonts w:hint="eastAsia" w:ascii="Times New Roman" w:hAnsi="Times New Roman" w:cs="Times New Roman"/>
          <w:color w:val="000000" w:themeColor="text1"/>
          <w:lang w:eastAsia="zh-CN"/>
          <w14:textFill>
            <w14:solidFill>
              <w14:schemeClr w14:val="tx1"/>
            </w14:solidFill>
          </w14:textFill>
        </w:rPr>
        <w:t>废润滑油、废油桶</w:t>
      </w:r>
      <w:r>
        <w:rPr>
          <w:rFonts w:hint="default" w:ascii="Times New Roman" w:hAnsi="Times New Roman" w:cs="Times New Roman"/>
          <w:color w:val="000000" w:themeColor="text1"/>
          <w14:textFill>
            <w14:solidFill>
              <w14:schemeClr w14:val="tx1"/>
            </w14:solidFill>
          </w14:textFill>
        </w:rPr>
        <w:t>，根据企业提供资料，</w:t>
      </w:r>
      <w:r>
        <w:rPr>
          <w:rFonts w:hint="default" w:ascii="Times New Roman" w:hAnsi="Times New Roman" w:cs="Times New Roman"/>
          <w:color w:val="000000" w:themeColor="text1"/>
          <w14:textFill>
            <w14:solidFill>
              <w14:schemeClr w14:val="tx1"/>
            </w14:solidFill>
          </w14:textFill>
        </w:rPr>
        <w:t>废</w:t>
      </w:r>
      <w:r>
        <w:rPr>
          <w:rFonts w:hint="eastAsia" w:ascii="Times New Roman" w:hAnsi="Times New Roman" w:cs="Times New Roman"/>
          <w:color w:val="000000" w:themeColor="text1"/>
          <w:lang w:val="en-US" w:eastAsia="zh-CN"/>
          <w14:textFill>
            <w14:solidFill>
              <w14:schemeClr w14:val="tx1"/>
            </w14:solidFill>
          </w14:textFill>
        </w:rPr>
        <w:t>润滑</w:t>
      </w:r>
      <w:r>
        <w:rPr>
          <w:rFonts w:hint="default" w:ascii="Times New Roman" w:hAnsi="Times New Roman" w:cs="Times New Roman"/>
          <w:color w:val="000000" w:themeColor="text1"/>
          <w14:textFill>
            <w14:solidFill>
              <w14:schemeClr w14:val="tx1"/>
            </w14:solidFill>
          </w14:textFill>
        </w:rPr>
        <w:t>油产生量</w:t>
      </w:r>
      <w:r>
        <w:rPr>
          <w:rFonts w:hint="eastAsia"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t/a，</w:t>
      </w:r>
      <w:r>
        <w:rPr>
          <w:rFonts w:hint="eastAsia" w:ascii="Times New Roman" w:hAnsi="Times New Roman" w:cs="Times New Roman"/>
          <w:color w:val="000000" w:themeColor="text1"/>
          <w:lang w:val="en-US" w:eastAsia="zh-CN"/>
          <w14:textFill>
            <w14:solidFill>
              <w14:schemeClr w14:val="tx1"/>
            </w14:solidFill>
          </w14:textFill>
        </w:rPr>
        <w:t>废油桶产生量为0.2</w:t>
      </w:r>
      <w:r>
        <w:rPr>
          <w:rFonts w:hint="default" w:ascii="Times New Roman" w:hAnsi="Times New Roman" w:cs="Times New Roman"/>
          <w:color w:val="000000" w:themeColor="text1"/>
          <w14:textFill>
            <w14:solidFill>
              <w14:schemeClr w14:val="tx1"/>
            </w14:solidFill>
          </w14:textFill>
        </w:rPr>
        <w:t>t/a</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暂存于厂区危险废物暂存仓库中，委托有资质单位处置。</w:t>
      </w:r>
    </w:p>
    <w:p w14:paraId="17E1DF63">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含油抹布及手套</w:t>
      </w:r>
    </w:p>
    <w:p w14:paraId="4EF50475">
      <w:pPr>
        <w:pStyle w:val="251"/>
        <w:ind w:firstLine="482"/>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项目机器设备日常维修时会产生一定量的</w:t>
      </w:r>
      <w:r>
        <w:rPr>
          <w:rFonts w:hint="default" w:ascii="Times New Roman" w:hAnsi="Times New Roman" w:cs="Times New Roman"/>
          <w:color w:val="000000" w:themeColor="text1"/>
          <w:lang w:eastAsia="zh-CN"/>
          <w14:textFill>
            <w14:solidFill>
              <w14:schemeClr w14:val="tx1"/>
            </w14:solidFill>
          </w14:textFill>
        </w:rPr>
        <w:t>含油抹布及手套</w:t>
      </w:r>
      <w:r>
        <w:rPr>
          <w:rFonts w:hint="default" w:ascii="Times New Roman" w:hAnsi="Times New Roman" w:cs="Times New Roman"/>
          <w:color w:val="000000" w:themeColor="text1"/>
          <w14:textFill>
            <w14:solidFill>
              <w14:schemeClr w14:val="tx1"/>
            </w14:solidFill>
          </w14:textFill>
        </w:rPr>
        <w:t>，根据企业提供资料，</w:t>
      </w:r>
      <w:r>
        <w:rPr>
          <w:rFonts w:hint="default" w:ascii="Times New Roman" w:hAnsi="Times New Roman" w:cs="Times New Roman"/>
          <w:color w:val="000000" w:themeColor="text1"/>
          <w:lang w:eastAsia="zh-CN"/>
          <w14:textFill>
            <w14:solidFill>
              <w14:schemeClr w14:val="tx1"/>
            </w14:solidFill>
          </w14:textFill>
        </w:rPr>
        <w:t>含油抹布及手套</w:t>
      </w:r>
      <w:r>
        <w:rPr>
          <w:rFonts w:hint="default" w:ascii="Times New Roman" w:hAnsi="Times New Roman" w:cs="Times New Roman"/>
          <w:color w:val="000000" w:themeColor="text1"/>
          <w14:textFill>
            <w14:solidFill>
              <w14:schemeClr w14:val="tx1"/>
            </w14:solidFill>
          </w14:textFill>
        </w:rPr>
        <w:t>产生量0.</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t/a，暂存于厂区危险废物暂存仓库中，委托有资质单位处置。</w:t>
      </w:r>
    </w:p>
    <w:p w14:paraId="3B56A2A4">
      <w:pPr>
        <w:pStyle w:val="251"/>
        <w:ind w:firstLine="482"/>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3、生活垃圾</w:t>
      </w:r>
    </w:p>
    <w:p w14:paraId="0FCC9A29">
      <w:pPr>
        <w:pStyle w:val="251"/>
        <w:ind w:firstLine="480"/>
        <w:rPr>
          <w:rFonts w:hint="default" w:ascii="Times New Roman" w:hAnsi="Times New Roman" w:cs="Times New Roman"/>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000000" w:themeColor="text1"/>
          <w14:textFill>
            <w14:solidFill>
              <w14:schemeClr w14:val="tx1"/>
            </w14:solidFill>
          </w14:textFill>
        </w:rPr>
        <w:t>本项目劳动定员50人，生活垃圾产生量按</w:t>
      </w:r>
      <w:r>
        <w:rPr>
          <w:rFonts w:hint="eastAsia" w:ascii="Times New Roman" w:hAnsi="Times New Roman" w:cs="Times New Roman"/>
          <w:color w:val="000000" w:themeColor="text1"/>
          <w:lang w:val="en-US" w:eastAsia="zh-CN"/>
          <w14:textFill>
            <w14:solidFill>
              <w14:schemeClr w14:val="tx1"/>
            </w14:solidFill>
          </w14:textFill>
        </w:rPr>
        <w:t>0.5</w:t>
      </w:r>
      <w:r>
        <w:rPr>
          <w:rFonts w:hint="default" w:ascii="Times New Roman" w:hAnsi="Times New Roman" w:cs="Times New Roman"/>
          <w:color w:val="000000" w:themeColor="text1"/>
          <w14:textFill>
            <w14:solidFill>
              <w14:schemeClr w14:val="tx1"/>
            </w14:solidFill>
          </w14:textFill>
        </w:rPr>
        <w:t>kg/人·日进行核算，年工作300天，垃圾产生量</w:t>
      </w:r>
      <w:r>
        <w:rPr>
          <w:rFonts w:hint="eastAsia" w:ascii="Times New Roman" w:hAnsi="Times New Roman" w:cs="Times New Roman"/>
          <w:color w:val="000000" w:themeColor="text1"/>
          <w:lang w:val="en-US" w:eastAsia="zh-CN"/>
          <w14:textFill>
            <w14:solidFill>
              <w14:schemeClr w14:val="tx1"/>
            </w14:solidFill>
          </w14:textFill>
        </w:rPr>
        <w:t>7.5</w:t>
      </w:r>
      <w:r>
        <w:rPr>
          <w:rFonts w:hint="default" w:ascii="Times New Roman" w:hAnsi="Times New Roman" w:cs="Times New Roman"/>
          <w:color w:val="000000" w:themeColor="text1"/>
          <w14:textFill>
            <w14:solidFill>
              <w14:schemeClr w14:val="tx1"/>
            </w14:solidFill>
          </w14:textFill>
        </w:rPr>
        <w:t>t/a，由厂区垃圾桶统一收集后交由环卫部门处理。</w:t>
      </w:r>
    </w:p>
    <w:p w14:paraId="16A50649">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表3.</w:t>
      </w:r>
      <w:r>
        <w:rPr>
          <w:rFonts w:hint="default" w:ascii="Times New Roman" w:hAnsi="Times New Roman" w:eastAsia="黑体" w:cs="Times New Roman"/>
          <w:bCs/>
          <w:color w:val="000000" w:themeColor="text1"/>
          <w:sz w:val="24"/>
          <w:lang w:val="en-US" w:eastAsia="zh-CN"/>
          <w14:textFill>
            <w14:solidFill>
              <w14:schemeClr w14:val="tx1"/>
            </w14:solidFill>
          </w14:textFill>
        </w:rPr>
        <w:t>3</w:t>
      </w:r>
      <w:r>
        <w:rPr>
          <w:rFonts w:hint="default" w:ascii="Times New Roman" w:hAnsi="Times New Roman" w:eastAsia="黑体" w:cs="Times New Roman"/>
          <w:bCs/>
          <w:color w:val="000000" w:themeColor="text1"/>
          <w:sz w:val="24"/>
          <w14:textFill>
            <w14:solidFill>
              <w14:schemeClr w14:val="tx1"/>
            </w14:solidFill>
          </w14:textFill>
        </w:rPr>
        <w:t>-6固体废物产生及处置情况</w:t>
      </w:r>
    </w:p>
    <w:tbl>
      <w:tblPr>
        <w:tblStyle w:val="88"/>
        <w:tblW w:w="5153"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535"/>
        <w:gridCol w:w="1963"/>
        <w:gridCol w:w="1229"/>
        <w:gridCol w:w="1581"/>
        <w:gridCol w:w="1480"/>
        <w:gridCol w:w="1512"/>
        <w:gridCol w:w="755"/>
        <w:gridCol w:w="919"/>
        <w:gridCol w:w="1006"/>
        <w:gridCol w:w="1168"/>
        <w:gridCol w:w="2295"/>
      </w:tblGrid>
      <w:tr w14:paraId="458F63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vAlign w:val="center"/>
          </w:tcPr>
          <w:p w14:paraId="14C4E5EB">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序号</w:t>
            </w:r>
          </w:p>
        </w:tc>
        <w:tc>
          <w:tcPr>
            <w:tcW w:w="679" w:type="pct"/>
            <w:vAlign w:val="center"/>
          </w:tcPr>
          <w:p w14:paraId="292FF267">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危险废物名称</w:t>
            </w:r>
          </w:p>
        </w:tc>
        <w:tc>
          <w:tcPr>
            <w:tcW w:w="425" w:type="pct"/>
            <w:vAlign w:val="center"/>
          </w:tcPr>
          <w:p w14:paraId="6E2B01CD">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废物类别</w:t>
            </w:r>
          </w:p>
        </w:tc>
        <w:tc>
          <w:tcPr>
            <w:tcW w:w="547" w:type="pct"/>
            <w:vAlign w:val="center"/>
          </w:tcPr>
          <w:p w14:paraId="0AEAEB21">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eastAsia" w:cs="Times New Roman"/>
                <w:b/>
                <w:color w:val="000000" w:themeColor="text1"/>
                <w:sz w:val="21"/>
                <w:szCs w:val="21"/>
                <w:lang w:eastAsia="zh-CN"/>
                <w14:textFill>
                  <w14:solidFill>
                    <w14:schemeClr w14:val="tx1"/>
                  </w14:solidFill>
                </w14:textFill>
              </w:rPr>
              <w:t>废物</w:t>
            </w:r>
            <w:r>
              <w:rPr>
                <w:rFonts w:hint="default" w:ascii="Times New Roman" w:hAnsi="Times New Roman" w:cs="Times New Roman"/>
                <w:b/>
                <w:color w:val="000000" w:themeColor="text1"/>
                <w:sz w:val="21"/>
                <w:szCs w:val="21"/>
                <w14:textFill>
                  <w14:solidFill>
                    <w14:schemeClr w14:val="tx1"/>
                  </w14:solidFill>
                </w14:textFill>
              </w:rPr>
              <w:t>代码</w:t>
            </w:r>
          </w:p>
        </w:tc>
        <w:tc>
          <w:tcPr>
            <w:tcW w:w="512" w:type="pct"/>
            <w:vAlign w:val="center"/>
          </w:tcPr>
          <w:p w14:paraId="3408F5E0">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产生量（吨/年）</w:t>
            </w:r>
          </w:p>
        </w:tc>
        <w:tc>
          <w:tcPr>
            <w:tcW w:w="523" w:type="pct"/>
            <w:vAlign w:val="center"/>
          </w:tcPr>
          <w:p w14:paraId="730684DB">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产生工序及装置</w:t>
            </w:r>
          </w:p>
        </w:tc>
        <w:tc>
          <w:tcPr>
            <w:tcW w:w="261" w:type="pct"/>
            <w:vAlign w:val="center"/>
          </w:tcPr>
          <w:p w14:paraId="470C08F4">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形态</w:t>
            </w:r>
          </w:p>
        </w:tc>
        <w:tc>
          <w:tcPr>
            <w:tcW w:w="318" w:type="pct"/>
            <w:vAlign w:val="center"/>
          </w:tcPr>
          <w:p w14:paraId="54310E99">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主要</w:t>
            </w:r>
          </w:p>
          <w:p w14:paraId="2ACFD72C">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成分</w:t>
            </w:r>
          </w:p>
        </w:tc>
        <w:tc>
          <w:tcPr>
            <w:tcW w:w="348" w:type="pct"/>
            <w:vAlign w:val="center"/>
          </w:tcPr>
          <w:p w14:paraId="479E1CEA">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有害</w:t>
            </w:r>
          </w:p>
          <w:p w14:paraId="34C2489D">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成分</w:t>
            </w:r>
          </w:p>
        </w:tc>
        <w:tc>
          <w:tcPr>
            <w:tcW w:w="404" w:type="pct"/>
            <w:vAlign w:val="center"/>
          </w:tcPr>
          <w:p w14:paraId="3743B8AF">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危险</w:t>
            </w:r>
          </w:p>
          <w:p w14:paraId="2C867F8E">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特性</w:t>
            </w:r>
          </w:p>
        </w:tc>
        <w:tc>
          <w:tcPr>
            <w:tcW w:w="794" w:type="pct"/>
            <w:vAlign w:val="center"/>
          </w:tcPr>
          <w:p w14:paraId="354EE279">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污染防治措施</w:t>
            </w:r>
          </w:p>
        </w:tc>
      </w:tr>
      <w:tr w14:paraId="7FD2B4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vAlign w:val="center"/>
          </w:tcPr>
          <w:p w14:paraId="714D65EC">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679" w:type="pct"/>
            <w:shd w:val="clear" w:color="auto" w:fill="auto"/>
            <w:vAlign w:val="center"/>
          </w:tcPr>
          <w:p w14:paraId="246E8779">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废活性炭</w:t>
            </w:r>
          </w:p>
        </w:tc>
        <w:tc>
          <w:tcPr>
            <w:tcW w:w="425" w:type="pct"/>
            <w:shd w:val="clear" w:color="auto" w:fill="auto"/>
            <w:vAlign w:val="center"/>
          </w:tcPr>
          <w:p w14:paraId="73D8FCDA">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HW49</w:t>
            </w:r>
          </w:p>
        </w:tc>
        <w:tc>
          <w:tcPr>
            <w:tcW w:w="547" w:type="pct"/>
            <w:shd w:val="clear" w:color="auto" w:fill="auto"/>
            <w:vAlign w:val="center"/>
          </w:tcPr>
          <w:p w14:paraId="25590A77">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900-039-49</w:t>
            </w:r>
          </w:p>
        </w:tc>
        <w:tc>
          <w:tcPr>
            <w:tcW w:w="512" w:type="pct"/>
            <w:shd w:val="clear" w:color="auto" w:fill="auto"/>
            <w:vAlign w:val="center"/>
          </w:tcPr>
          <w:p w14:paraId="5BDDBFCA">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6.92</w:t>
            </w:r>
          </w:p>
        </w:tc>
        <w:tc>
          <w:tcPr>
            <w:tcW w:w="523" w:type="pct"/>
            <w:shd w:val="clear" w:color="auto" w:fill="auto"/>
            <w:vAlign w:val="center"/>
          </w:tcPr>
          <w:p w14:paraId="55802842">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废气治理</w:t>
            </w:r>
          </w:p>
        </w:tc>
        <w:tc>
          <w:tcPr>
            <w:tcW w:w="261" w:type="pct"/>
            <w:shd w:val="clear" w:color="auto" w:fill="auto"/>
            <w:vAlign w:val="center"/>
          </w:tcPr>
          <w:p w14:paraId="3699A4F8">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shd w:val="clear" w:color="auto" w:fill="auto"/>
            <w:vAlign w:val="center"/>
          </w:tcPr>
          <w:p w14:paraId="5AC81484">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废活性炭</w:t>
            </w:r>
          </w:p>
        </w:tc>
        <w:tc>
          <w:tcPr>
            <w:tcW w:w="348" w:type="pct"/>
            <w:shd w:val="clear" w:color="auto" w:fill="auto"/>
            <w:vAlign w:val="center"/>
          </w:tcPr>
          <w:p w14:paraId="302B0128">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废活性炭</w:t>
            </w:r>
          </w:p>
        </w:tc>
        <w:tc>
          <w:tcPr>
            <w:tcW w:w="404" w:type="pct"/>
            <w:shd w:val="clear" w:color="auto" w:fill="auto"/>
            <w:vAlign w:val="center"/>
          </w:tcPr>
          <w:p w14:paraId="09E5DEA8">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w:t>
            </w:r>
          </w:p>
        </w:tc>
        <w:tc>
          <w:tcPr>
            <w:tcW w:w="794" w:type="pct"/>
            <w:vMerge w:val="restart"/>
            <w:vAlign w:val="center"/>
          </w:tcPr>
          <w:p w14:paraId="6D93058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委托有资质单位处置</w:t>
            </w:r>
          </w:p>
        </w:tc>
      </w:tr>
      <w:tr w14:paraId="2DB579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vAlign w:val="center"/>
          </w:tcPr>
          <w:p w14:paraId="6E96DAE5">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679" w:type="pct"/>
            <w:shd w:val="clear" w:color="auto" w:fill="auto"/>
            <w:vAlign w:val="center"/>
          </w:tcPr>
          <w:p w14:paraId="2B15AF36">
            <w:pPr>
              <w:topLinePunct/>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废润滑油</w:t>
            </w:r>
          </w:p>
        </w:tc>
        <w:tc>
          <w:tcPr>
            <w:tcW w:w="425" w:type="pct"/>
            <w:shd w:val="clear" w:color="auto" w:fill="auto"/>
            <w:vAlign w:val="center"/>
          </w:tcPr>
          <w:p w14:paraId="1AAB16F9">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HW08</w:t>
            </w:r>
          </w:p>
        </w:tc>
        <w:tc>
          <w:tcPr>
            <w:tcW w:w="547" w:type="pct"/>
            <w:shd w:val="clear" w:color="auto" w:fill="auto"/>
            <w:vAlign w:val="center"/>
          </w:tcPr>
          <w:p w14:paraId="22DF2A72">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900-214-08</w:t>
            </w:r>
          </w:p>
        </w:tc>
        <w:tc>
          <w:tcPr>
            <w:tcW w:w="512" w:type="pct"/>
            <w:shd w:val="clear" w:color="auto" w:fill="auto"/>
            <w:vAlign w:val="center"/>
          </w:tcPr>
          <w:p w14:paraId="4F56AFE2">
            <w:pPr>
              <w:topLinePunct/>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p>
        </w:tc>
        <w:tc>
          <w:tcPr>
            <w:tcW w:w="523" w:type="pct"/>
            <w:shd w:val="clear" w:color="auto" w:fill="auto"/>
            <w:vAlign w:val="center"/>
          </w:tcPr>
          <w:p w14:paraId="26C725F1">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机械维修过程</w:t>
            </w:r>
          </w:p>
        </w:tc>
        <w:tc>
          <w:tcPr>
            <w:tcW w:w="261" w:type="pct"/>
            <w:shd w:val="clear" w:color="auto" w:fill="auto"/>
            <w:vAlign w:val="center"/>
          </w:tcPr>
          <w:p w14:paraId="398C3724">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液态</w:t>
            </w:r>
          </w:p>
        </w:tc>
        <w:tc>
          <w:tcPr>
            <w:tcW w:w="318" w:type="pct"/>
            <w:shd w:val="clear" w:color="auto" w:fill="auto"/>
            <w:vAlign w:val="center"/>
          </w:tcPr>
          <w:p w14:paraId="56B8B962">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矿物油</w:t>
            </w:r>
          </w:p>
        </w:tc>
        <w:tc>
          <w:tcPr>
            <w:tcW w:w="348" w:type="pct"/>
            <w:shd w:val="clear" w:color="auto" w:fill="auto"/>
            <w:vAlign w:val="center"/>
          </w:tcPr>
          <w:p w14:paraId="44E3FE44">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矿物油</w:t>
            </w:r>
          </w:p>
        </w:tc>
        <w:tc>
          <w:tcPr>
            <w:tcW w:w="404" w:type="pct"/>
            <w:shd w:val="clear" w:color="auto" w:fill="auto"/>
            <w:vAlign w:val="center"/>
          </w:tcPr>
          <w:p w14:paraId="1999736A">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T，I</w:t>
            </w:r>
          </w:p>
        </w:tc>
        <w:tc>
          <w:tcPr>
            <w:tcW w:w="794" w:type="pct"/>
            <w:vMerge w:val="continue"/>
            <w:vAlign w:val="center"/>
          </w:tcPr>
          <w:p w14:paraId="6786D3E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1A4E44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shd w:val="clear" w:color="auto" w:fill="auto"/>
            <w:vAlign w:val="center"/>
          </w:tcPr>
          <w:p w14:paraId="29FED4EC">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679" w:type="pct"/>
            <w:shd w:val="clear" w:color="auto" w:fill="auto"/>
            <w:vAlign w:val="center"/>
          </w:tcPr>
          <w:p w14:paraId="4B9DE1D2">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含油抹布及手套</w:t>
            </w:r>
          </w:p>
        </w:tc>
        <w:tc>
          <w:tcPr>
            <w:tcW w:w="425" w:type="pct"/>
            <w:shd w:val="clear" w:color="auto" w:fill="auto"/>
            <w:vAlign w:val="center"/>
          </w:tcPr>
          <w:p w14:paraId="6CEA034C">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HW49</w:t>
            </w:r>
          </w:p>
        </w:tc>
        <w:tc>
          <w:tcPr>
            <w:tcW w:w="547" w:type="pct"/>
            <w:shd w:val="clear" w:color="auto" w:fill="auto"/>
            <w:vAlign w:val="center"/>
          </w:tcPr>
          <w:p w14:paraId="715857AB">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900-041-49</w:t>
            </w:r>
          </w:p>
        </w:tc>
        <w:tc>
          <w:tcPr>
            <w:tcW w:w="512" w:type="pct"/>
            <w:shd w:val="clear" w:color="auto" w:fill="auto"/>
            <w:vAlign w:val="center"/>
          </w:tcPr>
          <w:p w14:paraId="0ACC0C72">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0.1</w:t>
            </w:r>
          </w:p>
        </w:tc>
        <w:tc>
          <w:tcPr>
            <w:tcW w:w="523" w:type="pct"/>
            <w:shd w:val="clear" w:color="auto" w:fill="auto"/>
            <w:vAlign w:val="center"/>
          </w:tcPr>
          <w:p w14:paraId="31729AA3">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机械维修过程</w:t>
            </w:r>
          </w:p>
        </w:tc>
        <w:tc>
          <w:tcPr>
            <w:tcW w:w="261" w:type="pct"/>
            <w:shd w:val="clear" w:color="auto" w:fill="auto"/>
            <w:vAlign w:val="center"/>
          </w:tcPr>
          <w:p w14:paraId="4C3950F4">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shd w:val="clear" w:color="auto" w:fill="auto"/>
            <w:vAlign w:val="center"/>
          </w:tcPr>
          <w:p w14:paraId="37DB9EC7">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矿物油</w:t>
            </w:r>
          </w:p>
        </w:tc>
        <w:tc>
          <w:tcPr>
            <w:tcW w:w="348" w:type="pct"/>
            <w:shd w:val="clear" w:color="auto" w:fill="auto"/>
            <w:vAlign w:val="center"/>
          </w:tcPr>
          <w:p w14:paraId="76BFAE85">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矿物油</w:t>
            </w:r>
          </w:p>
        </w:tc>
        <w:tc>
          <w:tcPr>
            <w:tcW w:w="404" w:type="pct"/>
            <w:shd w:val="clear" w:color="auto" w:fill="auto"/>
            <w:vAlign w:val="center"/>
          </w:tcPr>
          <w:p w14:paraId="1D40D627">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T/In</w:t>
            </w:r>
          </w:p>
        </w:tc>
        <w:tc>
          <w:tcPr>
            <w:tcW w:w="794" w:type="pct"/>
            <w:vMerge w:val="continue"/>
            <w:vAlign w:val="center"/>
          </w:tcPr>
          <w:p w14:paraId="05B8B1D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1DAC87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shd w:val="clear" w:color="auto" w:fill="auto"/>
            <w:vAlign w:val="center"/>
          </w:tcPr>
          <w:p w14:paraId="57640792">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w:t>
            </w:r>
          </w:p>
        </w:tc>
        <w:tc>
          <w:tcPr>
            <w:tcW w:w="679" w:type="pct"/>
            <w:vAlign w:val="center"/>
          </w:tcPr>
          <w:p w14:paraId="5DA629F4">
            <w:pPr>
              <w:topLinePunct/>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废油桶</w:t>
            </w:r>
          </w:p>
        </w:tc>
        <w:tc>
          <w:tcPr>
            <w:tcW w:w="425" w:type="pct"/>
            <w:shd w:val="clear" w:color="auto" w:fill="auto"/>
            <w:vAlign w:val="center"/>
          </w:tcPr>
          <w:p w14:paraId="0E5829EC">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HW49</w:t>
            </w:r>
          </w:p>
        </w:tc>
        <w:tc>
          <w:tcPr>
            <w:tcW w:w="547" w:type="pct"/>
            <w:shd w:val="clear" w:color="auto" w:fill="auto"/>
            <w:vAlign w:val="center"/>
          </w:tcPr>
          <w:p w14:paraId="0D0D7436">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900-041-49</w:t>
            </w:r>
          </w:p>
        </w:tc>
        <w:tc>
          <w:tcPr>
            <w:tcW w:w="512" w:type="pct"/>
            <w:shd w:val="clear" w:color="auto" w:fill="auto"/>
            <w:vAlign w:val="center"/>
          </w:tcPr>
          <w:p w14:paraId="5EA7F403">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2</w:t>
            </w:r>
          </w:p>
        </w:tc>
        <w:tc>
          <w:tcPr>
            <w:tcW w:w="523" w:type="pct"/>
            <w:shd w:val="clear" w:color="auto" w:fill="auto"/>
            <w:vAlign w:val="center"/>
          </w:tcPr>
          <w:p w14:paraId="324A8B71">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机械维修过程</w:t>
            </w:r>
          </w:p>
        </w:tc>
        <w:tc>
          <w:tcPr>
            <w:tcW w:w="261" w:type="pct"/>
            <w:shd w:val="clear" w:color="auto" w:fill="auto"/>
            <w:vAlign w:val="center"/>
          </w:tcPr>
          <w:p w14:paraId="5967DAED">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shd w:val="clear" w:color="auto" w:fill="auto"/>
            <w:vAlign w:val="center"/>
          </w:tcPr>
          <w:p w14:paraId="13B910AF">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矿物油</w:t>
            </w:r>
          </w:p>
        </w:tc>
        <w:tc>
          <w:tcPr>
            <w:tcW w:w="348" w:type="pct"/>
            <w:shd w:val="clear" w:color="auto" w:fill="auto"/>
            <w:vAlign w:val="center"/>
          </w:tcPr>
          <w:p w14:paraId="13C00CDB">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矿物油</w:t>
            </w:r>
          </w:p>
        </w:tc>
        <w:tc>
          <w:tcPr>
            <w:tcW w:w="404" w:type="pct"/>
            <w:shd w:val="clear" w:color="auto" w:fill="auto"/>
            <w:vAlign w:val="center"/>
          </w:tcPr>
          <w:p w14:paraId="4127308B">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T/In</w:t>
            </w:r>
          </w:p>
        </w:tc>
        <w:tc>
          <w:tcPr>
            <w:tcW w:w="794" w:type="pct"/>
            <w:vMerge w:val="continue"/>
            <w:vAlign w:val="center"/>
          </w:tcPr>
          <w:p w14:paraId="01515DF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14125A0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shd w:val="clear" w:color="auto" w:fill="auto"/>
            <w:vAlign w:val="center"/>
          </w:tcPr>
          <w:p w14:paraId="6441BB42">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w:t>
            </w:r>
          </w:p>
        </w:tc>
        <w:tc>
          <w:tcPr>
            <w:tcW w:w="679" w:type="pct"/>
            <w:vAlign w:val="center"/>
          </w:tcPr>
          <w:p w14:paraId="6958024E">
            <w:pPr>
              <w:topLinePunct/>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固体杂质</w:t>
            </w:r>
          </w:p>
        </w:tc>
        <w:tc>
          <w:tcPr>
            <w:tcW w:w="425" w:type="pct"/>
            <w:vAlign w:val="center"/>
          </w:tcPr>
          <w:p w14:paraId="35EC2290">
            <w:pPr>
              <w:topLinePunct/>
              <w:spacing w:line="276" w:lineRule="auto"/>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SW59</w:t>
            </w:r>
          </w:p>
        </w:tc>
        <w:tc>
          <w:tcPr>
            <w:tcW w:w="547" w:type="pct"/>
            <w:vAlign w:val="center"/>
          </w:tcPr>
          <w:p w14:paraId="4170C51C">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900-099-S59</w:t>
            </w:r>
          </w:p>
        </w:tc>
        <w:tc>
          <w:tcPr>
            <w:tcW w:w="512" w:type="pct"/>
            <w:vAlign w:val="center"/>
          </w:tcPr>
          <w:p w14:paraId="0581CA83">
            <w:pPr>
              <w:topLinePunct/>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185.505</w:t>
            </w:r>
          </w:p>
        </w:tc>
        <w:tc>
          <w:tcPr>
            <w:tcW w:w="523" w:type="pct"/>
            <w:vAlign w:val="center"/>
          </w:tcPr>
          <w:p w14:paraId="06C89E56">
            <w:pPr>
              <w:topLinePunct/>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分选</w:t>
            </w:r>
          </w:p>
        </w:tc>
        <w:tc>
          <w:tcPr>
            <w:tcW w:w="261" w:type="pct"/>
            <w:vAlign w:val="center"/>
          </w:tcPr>
          <w:p w14:paraId="3AB42BEE">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vAlign w:val="center"/>
          </w:tcPr>
          <w:p w14:paraId="70FE8CD6">
            <w:pPr>
              <w:topLinePunct/>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348" w:type="pct"/>
            <w:vAlign w:val="center"/>
          </w:tcPr>
          <w:p w14:paraId="2B5807A7">
            <w:pPr>
              <w:topLinePunct/>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404" w:type="pct"/>
            <w:vAlign w:val="center"/>
          </w:tcPr>
          <w:p w14:paraId="53BB99A0">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794" w:type="pct"/>
            <w:vMerge w:val="restart"/>
            <w:vAlign w:val="center"/>
          </w:tcPr>
          <w:p w14:paraId="2FA85941">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外售综合利用</w:t>
            </w:r>
          </w:p>
        </w:tc>
      </w:tr>
      <w:tr w14:paraId="09724F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shd w:val="clear" w:color="auto" w:fill="auto"/>
            <w:vAlign w:val="center"/>
          </w:tcPr>
          <w:p w14:paraId="787F4186">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6</w:t>
            </w:r>
          </w:p>
        </w:tc>
        <w:tc>
          <w:tcPr>
            <w:tcW w:w="679" w:type="pct"/>
            <w:shd w:val="clear" w:color="auto" w:fill="auto"/>
            <w:vAlign w:val="center"/>
          </w:tcPr>
          <w:p w14:paraId="2DD3E302">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布袋除尘器收集粉尘</w:t>
            </w:r>
          </w:p>
        </w:tc>
        <w:tc>
          <w:tcPr>
            <w:tcW w:w="425" w:type="pct"/>
            <w:shd w:val="clear" w:color="auto" w:fill="auto"/>
            <w:vAlign w:val="center"/>
          </w:tcPr>
          <w:p w14:paraId="70EE50B8">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SW59</w:t>
            </w:r>
          </w:p>
        </w:tc>
        <w:tc>
          <w:tcPr>
            <w:tcW w:w="547" w:type="pct"/>
            <w:shd w:val="clear" w:color="auto" w:fill="auto"/>
            <w:vAlign w:val="center"/>
          </w:tcPr>
          <w:p w14:paraId="687F8A56">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900-099-S59</w:t>
            </w:r>
          </w:p>
        </w:tc>
        <w:tc>
          <w:tcPr>
            <w:tcW w:w="512" w:type="pct"/>
            <w:vAlign w:val="center"/>
          </w:tcPr>
          <w:p w14:paraId="305BF685">
            <w:pPr>
              <w:topLinePunct/>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12.257</w:t>
            </w:r>
          </w:p>
        </w:tc>
        <w:tc>
          <w:tcPr>
            <w:tcW w:w="523" w:type="pct"/>
            <w:vAlign w:val="center"/>
          </w:tcPr>
          <w:p w14:paraId="29C4ECFC">
            <w:pPr>
              <w:topLinePunct/>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废气治理</w:t>
            </w:r>
          </w:p>
        </w:tc>
        <w:tc>
          <w:tcPr>
            <w:tcW w:w="261" w:type="pct"/>
            <w:vAlign w:val="center"/>
          </w:tcPr>
          <w:p w14:paraId="39349240">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vAlign w:val="center"/>
          </w:tcPr>
          <w:p w14:paraId="57C32B4E">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348" w:type="pct"/>
            <w:vAlign w:val="center"/>
          </w:tcPr>
          <w:p w14:paraId="16E50128">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404" w:type="pct"/>
            <w:vAlign w:val="center"/>
          </w:tcPr>
          <w:p w14:paraId="3E75916E">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794" w:type="pct"/>
            <w:vMerge w:val="continue"/>
            <w:vAlign w:val="center"/>
          </w:tcPr>
          <w:p w14:paraId="21BBF9E6">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307797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shd w:val="clear" w:color="auto" w:fill="auto"/>
            <w:vAlign w:val="center"/>
          </w:tcPr>
          <w:p w14:paraId="63A67F6D">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w:t>
            </w:r>
          </w:p>
        </w:tc>
        <w:tc>
          <w:tcPr>
            <w:tcW w:w="679" w:type="pct"/>
            <w:shd w:val="clear" w:color="auto" w:fill="auto"/>
            <w:vAlign w:val="center"/>
          </w:tcPr>
          <w:p w14:paraId="7BE6AD8B">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废包装材料</w:t>
            </w:r>
          </w:p>
        </w:tc>
        <w:tc>
          <w:tcPr>
            <w:tcW w:w="425" w:type="pct"/>
            <w:shd w:val="clear" w:color="auto" w:fill="auto"/>
            <w:vAlign w:val="center"/>
          </w:tcPr>
          <w:p w14:paraId="5733F8BF">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SW59</w:t>
            </w:r>
          </w:p>
        </w:tc>
        <w:tc>
          <w:tcPr>
            <w:tcW w:w="547" w:type="pct"/>
            <w:shd w:val="clear" w:color="auto" w:fill="auto"/>
            <w:vAlign w:val="center"/>
          </w:tcPr>
          <w:p w14:paraId="0DFB9C6A">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900-099-S59</w:t>
            </w:r>
          </w:p>
        </w:tc>
        <w:tc>
          <w:tcPr>
            <w:tcW w:w="512" w:type="pct"/>
            <w:vAlign w:val="center"/>
          </w:tcPr>
          <w:p w14:paraId="360198BF">
            <w:pPr>
              <w:topLinePunct/>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523" w:type="pct"/>
            <w:vAlign w:val="center"/>
          </w:tcPr>
          <w:p w14:paraId="0F36D4F2">
            <w:pPr>
              <w:topLinePunct/>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拆包</w:t>
            </w:r>
          </w:p>
        </w:tc>
        <w:tc>
          <w:tcPr>
            <w:tcW w:w="261" w:type="pct"/>
            <w:vAlign w:val="center"/>
          </w:tcPr>
          <w:p w14:paraId="36F73936">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vAlign w:val="center"/>
          </w:tcPr>
          <w:p w14:paraId="52AB7E03">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348" w:type="pct"/>
            <w:vAlign w:val="center"/>
          </w:tcPr>
          <w:p w14:paraId="47A0ED74">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404" w:type="pct"/>
            <w:vAlign w:val="center"/>
          </w:tcPr>
          <w:p w14:paraId="0202E636">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794" w:type="pct"/>
            <w:vMerge w:val="continue"/>
            <w:vAlign w:val="center"/>
          </w:tcPr>
          <w:p w14:paraId="7ACC9568">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3A847E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185" w:type="pct"/>
            <w:shd w:val="clear" w:color="auto" w:fill="auto"/>
            <w:vAlign w:val="center"/>
          </w:tcPr>
          <w:p w14:paraId="188E8EC5">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8</w:t>
            </w:r>
          </w:p>
        </w:tc>
        <w:tc>
          <w:tcPr>
            <w:tcW w:w="679" w:type="pct"/>
            <w:shd w:val="clear" w:color="auto" w:fill="auto"/>
            <w:vAlign w:val="center"/>
          </w:tcPr>
          <w:p w14:paraId="5AA36CC8">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废沙</w:t>
            </w:r>
          </w:p>
        </w:tc>
        <w:tc>
          <w:tcPr>
            <w:tcW w:w="425" w:type="pct"/>
            <w:vAlign w:val="center"/>
          </w:tcPr>
          <w:p w14:paraId="45D75ADE">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SW59</w:t>
            </w:r>
          </w:p>
        </w:tc>
        <w:tc>
          <w:tcPr>
            <w:tcW w:w="547" w:type="pct"/>
            <w:vAlign w:val="center"/>
          </w:tcPr>
          <w:p w14:paraId="4A2A25C5">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900-009-S59</w:t>
            </w:r>
          </w:p>
        </w:tc>
        <w:tc>
          <w:tcPr>
            <w:tcW w:w="512" w:type="pct"/>
            <w:vAlign w:val="center"/>
          </w:tcPr>
          <w:p w14:paraId="6D5BD7BD">
            <w:pPr>
              <w:topLinePunct/>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2.5</w:t>
            </w:r>
          </w:p>
        </w:tc>
        <w:tc>
          <w:tcPr>
            <w:tcW w:w="523" w:type="pct"/>
            <w:vAlign w:val="center"/>
          </w:tcPr>
          <w:p w14:paraId="5458B085">
            <w:pPr>
              <w:topLinePunct/>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过滤净化</w:t>
            </w:r>
          </w:p>
        </w:tc>
        <w:tc>
          <w:tcPr>
            <w:tcW w:w="261" w:type="pct"/>
            <w:vAlign w:val="center"/>
          </w:tcPr>
          <w:p w14:paraId="4739A1AE">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vAlign w:val="center"/>
          </w:tcPr>
          <w:p w14:paraId="095CD579">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348" w:type="pct"/>
            <w:vAlign w:val="center"/>
          </w:tcPr>
          <w:p w14:paraId="4B589060">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404" w:type="pct"/>
            <w:vAlign w:val="center"/>
          </w:tcPr>
          <w:p w14:paraId="3546F3F9">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794" w:type="pct"/>
            <w:vMerge w:val="continue"/>
            <w:vAlign w:val="center"/>
          </w:tcPr>
          <w:p w14:paraId="75338FB6">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1F77CF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shd w:val="clear" w:color="auto" w:fill="auto"/>
            <w:vAlign w:val="center"/>
          </w:tcPr>
          <w:p w14:paraId="5AF659B4">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9</w:t>
            </w:r>
          </w:p>
        </w:tc>
        <w:tc>
          <w:tcPr>
            <w:tcW w:w="679" w:type="pct"/>
            <w:shd w:val="clear" w:color="auto" w:fill="auto"/>
            <w:vAlign w:val="center"/>
          </w:tcPr>
          <w:p w14:paraId="2F5845C2">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污水站污泥</w:t>
            </w:r>
          </w:p>
        </w:tc>
        <w:tc>
          <w:tcPr>
            <w:tcW w:w="425" w:type="pct"/>
            <w:vAlign w:val="center"/>
          </w:tcPr>
          <w:p w14:paraId="5771E302">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SW59</w:t>
            </w:r>
          </w:p>
        </w:tc>
        <w:tc>
          <w:tcPr>
            <w:tcW w:w="547" w:type="pct"/>
            <w:vAlign w:val="center"/>
          </w:tcPr>
          <w:p w14:paraId="05858798">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900-099-S59</w:t>
            </w:r>
          </w:p>
        </w:tc>
        <w:tc>
          <w:tcPr>
            <w:tcW w:w="512" w:type="pct"/>
            <w:vAlign w:val="center"/>
          </w:tcPr>
          <w:p w14:paraId="47B63B6E">
            <w:pPr>
              <w:topLinePunct/>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w:t>
            </w:r>
            <w:r>
              <w:rPr>
                <w:rFonts w:hint="default" w:ascii="Times New Roman" w:hAnsi="Times New Roman" w:cs="Times New Roman"/>
                <w:color w:val="000000" w:themeColor="text1"/>
                <w:sz w:val="21"/>
                <w:szCs w:val="21"/>
                <w:lang w:val="en-US" w:eastAsia="zh-CN"/>
                <w14:textFill>
                  <w14:solidFill>
                    <w14:schemeClr w14:val="tx1"/>
                  </w14:solidFill>
                </w14:textFill>
              </w:rPr>
              <w:t>0</w:t>
            </w:r>
          </w:p>
        </w:tc>
        <w:tc>
          <w:tcPr>
            <w:tcW w:w="523" w:type="pct"/>
            <w:vAlign w:val="center"/>
          </w:tcPr>
          <w:p w14:paraId="2568CAC4">
            <w:pPr>
              <w:topLinePunct/>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污水处理</w:t>
            </w:r>
          </w:p>
        </w:tc>
        <w:tc>
          <w:tcPr>
            <w:tcW w:w="261" w:type="pct"/>
            <w:vAlign w:val="center"/>
          </w:tcPr>
          <w:p w14:paraId="7C0D7AD1">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vAlign w:val="center"/>
          </w:tcPr>
          <w:p w14:paraId="5DDAF6BE">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348" w:type="pct"/>
            <w:vAlign w:val="center"/>
          </w:tcPr>
          <w:p w14:paraId="10CC9BD6">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404" w:type="pct"/>
            <w:vAlign w:val="center"/>
          </w:tcPr>
          <w:p w14:paraId="0411B52D">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794" w:type="pct"/>
            <w:vMerge w:val="continue"/>
            <w:vAlign w:val="center"/>
          </w:tcPr>
          <w:p w14:paraId="71777989">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5A60B8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vAlign w:val="center"/>
          </w:tcPr>
          <w:p w14:paraId="6FFD46A5">
            <w:pPr>
              <w:topLinePunct/>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c>
          <w:tcPr>
            <w:tcW w:w="679" w:type="pct"/>
            <w:vAlign w:val="center"/>
          </w:tcPr>
          <w:p w14:paraId="0278B092">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生活垃圾</w:t>
            </w:r>
          </w:p>
        </w:tc>
        <w:tc>
          <w:tcPr>
            <w:tcW w:w="425" w:type="pct"/>
            <w:vAlign w:val="center"/>
          </w:tcPr>
          <w:p w14:paraId="4B2034CD">
            <w:pPr>
              <w:topLinePunct/>
              <w:spacing w:line="276"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SW64</w:t>
            </w:r>
          </w:p>
        </w:tc>
        <w:tc>
          <w:tcPr>
            <w:tcW w:w="547" w:type="pct"/>
            <w:vAlign w:val="center"/>
          </w:tcPr>
          <w:p w14:paraId="7418832D">
            <w:pPr>
              <w:topLinePunct/>
              <w:spacing w:line="276"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900-099-S64</w:t>
            </w:r>
          </w:p>
        </w:tc>
        <w:tc>
          <w:tcPr>
            <w:tcW w:w="512" w:type="pct"/>
            <w:vAlign w:val="center"/>
          </w:tcPr>
          <w:p w14:paraId="5E505F0D">
            <w:pPr>
              <w:topLinePunct/>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7.5</w:t>
            </w:r>
          </w:p>
        </w:tc>
        <w:tc>
          <w:tcPr>
            <w:tcW w:w="523" w:type="pct"/>
            <w:vAlign w:val="center"/>
          </w:tcPr>
          <w:p w14:paraId="631B8601">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办公区</w:t>
            </w:r>
          </w:p>
        </w:tc>
        <w:tc>
          <w:tcPr>
            <w:tcW w:w="261" w:type="pct"/>
            <w:vAlign w:val="center"/>
          </w:tcPr>
          <w:p w14:paraId="3D72295D">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vAlign w:val="center"/>
          </w:tcPr>
          <w:p w14:paraId="343D9E82">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生活垃圾</w:t>
            </w:r>
          </w:p>
        </w:tc>
        <w:tc>
          <w:tcPr>
            <w:tcW w:w="348" w:type="pct"/>
            <w:vAlign w:val="center"/>
          </w:tcPr>
          <w:p w14:paraId="3A9D8ECC">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404" w:type="pct"/>
            <w:vAlign w:val="center"/>
          </w:tcPr>
          <w:p w14:paraId="42C598BC">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794" w:type="pct"/>
            <w:vAlign w:val="center"/>
          </w:tcPr>
          <w:p w14:paraId="37F8C643">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环卫部门统一清运</w:t>
            </w:r>
          </w:p>
        </w:tc>
      </w:tr>
    </w:tbl>
    <w:p w14:paraId="17E06997">
      <w:pPr>
        <w:spacing w:line="360" w:lineRule="auto"/>
        <w:ind w:firstLine="420"/>
        <w:rPr>
          <w:rFonts w:hint="default" w:ascii="Times New Roman" w:hAnsi="Times New Roman" w:eastAsia="黑体" w:cs="Times New Roman"/>
          <w:b/>
          <w:color w:val="000000" w:themeColor="text1"/>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AndChars" w:linePitch="312" w:charSpace="0"/>
        </w:sectPr>
      </w:pPr>
    </w:p>
    <w:p w14:paraId="7808FD9A">
      <w:pPr>
        <w:pStyle w:val="3159"/>
        <w:rPr>
          <w:rFonts w:hint="default" w:ascii="Times New Roman" w:hAnsi="Times New Roman" w:eastAsia="黑体" w:cs="Times New Roman"/>
          <w:b w:val="0"/>
          <w:color w:val="000000" w:themeColor="text1"/>
          <w14:textFill>
            <w14:solidFill>
              <w14:schemeClr w14:val="tx1"/>
            </w14:solidFill>
          </w14:textFill>
        </w:rPr>
      </w:pPr>
      <w:bookmarkStart w:id="59" w:name="_Toc173837660"/>
      <w:r>
        <w:rPr>
          <w:rFonts w:hint="default" w:ascii="Times New Roman" w:hAnsi="Times New Roman" w:eastAsia="黑体" w:cs="Times New Roman"/>
          <w:b w:val="0"/>
          <w:color w:val="000000" w:themeColor="text1"/>
          <w14:textFill>
            <w14:solidFill>
              <w14:schemeClr w14:val="tx1"/>
            </w14:solidFill>
          </w14:textFill>
        </w:rPr>
        <w:t>3.</w:t>
      </w:r>
      <w:r>
        <w:rPr>
          <w:rFonts w:hint="default" w:ascii="Times New Roman" w:hAnsi="Times New Roman" w:eastAsia="黑体" w:cs="Times New Roman"/>
          <w:b w:val="0"/>
          <w:color w:val="000000" w:themeColor="text1"/>
          <w:lang w:val="en-US" w:eastAsia="zh-CN"/>
          <w14:textFill>
            <w14:solidFill>
              <w14:schemeClr w14:val="tx1"/>
            </w14:solidFill>
          </w14:textFill>
        </w:rPr>
        <w:t>3</w:t>
      </w:r>
      <w:r>
        <w:rPr>
          <w:rFonts w:hint="default" w:ascii="Times New Roman" w:hAnsi="Times New Roman" w:eastAsia="黑体" w:cs="Times New Roman"/>
          <w:b w:val="0"/>
          <w:color w:val="000000" w:themeColor="text1"/>
          <w14:textFill>
            <w14:solidFill>
              <w14:schemeClr w14:val="tx1"/>
            </w14:solidFill>
          </w14:textFill>
        </w:rPr>
        <w:t>.4噪声</w:t>
      </w:r>
      <w:bookmarkEnd w:id="59"/>
    </w:p>
    <w:p w14:paraId="54237D92">
      <w:pPr>
        <w:spacing w:line="360" w:lineRule="auto"/>
        <w:ind w:firstLine="42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本项目噪声污染源主要包括生产线和辅助设备（风机、泵类），噪声值在80~90dB（A）之间，均布置在车间内部，项目选用低噪声设备，采取基础减振、隔声、消声加强管理。项目各种产噪设备噪声源强可见下表。</w:t>
      </w:r>
    </w:p>
    <w:p w14:paraId="4418EB4E">
      <w:pPr>
        <w:spacing w:line="360" w:lineRule="auto"/>
        <w:jc w:val="center"/>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表3.</w:t>
      </w:r>
      <w:r>
        <w:rPr>
          <w:rFonts w:hint="default" w:ascii="Times New Roman" w:hAnsi="Times New Roman" w:eastAsia="黑体" w:cs="Times New Roman"/>
          <w:color w:val="000000" w:themeColor="text1"/>
          <w:sz w:val="24"/>
          <w:lang w:val="en-US" w:eastAsia="zh-CN"/>
          <w14:textFill>
            <w14:solidFill>
              <w14:schemeClr w14:val="tx1"/>
            </w14:solidFill>
          </w14:textFill>
        </w:rPr>
        <w:t>3</w:t>
      </w:r>
      <w:r>
        <w:rPr>
          <w:rFonts w:hint="default" w:ascii="Times New Roman" w:hAnsi="Times New Roman" w:eastAsia="黑体" w:cs="Times New Roman"/>
          <w:color w:val="000000" w:themeColor="text1"/>
          <w:sz w:val="24"/>
          <w14:textFill>
            <w14:solidFill>
              <w14:schemeClr w14:val="tx1"/>
            </w14:solidFill>
          </w14:textFill>
        </w:rPr>
        <w:t>-7工业企业噪声源强调查清单（室外声源）</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9"/>
        <w:gridCol w:w="1059"/>
        <w:gridCol w:w="851"/>
        <w:gridCol w:w="850"/>
        <w:gridCol w:w="850"/>
        <w:gridCol w:w="1701"/>
        <w:gridCol w:w="1624"/>
        <w:gridCol w:w="978"/>
      </w:tblGrid>
      <w:tr w14:paraId="0FA04D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357" w:type="pct"/>
            <w:vMerge w:val="restart"/>
            <w:vAlign w:val="center"/>
          </w:tcPr>
          <w:p w14:paraId="30A900C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序号</w:t>
            </w:r>
          </w:p>
        </w:tc>
        <w:tc>
          <w:tcPr>
            <w:tcW w:w="621" w:type="pct"/>
            <w:vMerge w:val="restart"/>
            <w:vAlign w:val="center"/>
          </w:tcPr>
          <w:p w14:paraId="29AC9BC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声源名称</w:t>
            </w:r>
          </w:p>
        </w:tc>
        <w:tc>
          <w:tcPr>
            <w:tcW w:w="1496" w:type="pct"/>
            <w:gridSpan w:val="3"/>
            <w:vAlign w:val="center"/>
          </w:tcPr>
          <w:p w14:paraId="3192C6F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空间相对位置/m</w:t>
            </w:r>
          </w:p>
        </w:tc>
        <w:tc>
          <w:tcPr>
            <w:tcW w:w="998" w:type="pct"/>
            <w:vAlign w:val="center"/>
          </w:tcPr>
          <w:p w14:paraId="5942119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声源源强</w:t>
            </w:r>
          </w:p>
        </w:tc>
        <w:tc>
          <w:tcPr>
            <w:tcW w:w="952" w:type="pct"/>
            <w:vMerge w:val="restart"/>
            <w:vAlign w:val="center"/>
          </w:tcPr>
          <w:p w14:paraId="6FC1ABA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声源控制措施</w:t>
            </w:r>
          </w:p>
        </w:tc>
        <w:tc>
          <w:tcPr>
            <w:tcW w:w="573" w:type="pct"/>
            <w:vMerge w:val="restart"/>
            <w:vAlign w:val="center"/>
          </w:tcPr>
          <w:p w14:paraId="02D2362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运行时段</w:t>
            </w:r>
          </w:p>
        </w:tc>
      </w:tr>
      <w:tr w14:paraId="5C671A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vMerge w:val="continue"/>
            <w:shd w:val="clear" w:color="auto" w:fill="FFFFFF"/>
            <w:vAlign w:val="center"/>
          </w:tcPr>
          <w:p w14:paraId="4ED3C39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21" w:type="pct"/>
            <w:vMerge w:val="continue"/>
            <w:shd w:val="clear" w:color="auto" w:fill="FFFFFF"/>
            <w:vAlign w:val="center"/>
          </w:tcPr>
          <w:p w14:paraId="57C0678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99" w:type="pct"/>
            <w:shd w:val="clear" w:color="auto" w:fill="FFFFFF"/>
            <w:vAlign w:val="center"/>
          </w:tcPr>
          <w:p w14:paraId="2BA14DD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X</w:t>
            </w:r>
          </w:p>
        </w:tc>
        <w:tc>
          <w:tcPr>
            <w:tcW w:w="498" w:type="pct"/>
            <w:shd w:val="clear" w:color="auto" w:fill="FFFFFF"/>
            <w:vAlign w:val="center"/>
          </w:tcPr>
          <w:p w14:paraId="01CF604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Y</w:t>
            </w:r>
          </w:p>
        </w:tc>
        <w:tc>
          <w:tcPr>
            <w:tcW w:w="498" w:type="pct"/>
            <w:shd w:val="clear" w:color="auto" w:fill="FFFFFF"/>
            <w:vAlign w:val="center"/>
          </w:tcPr>
          <w:p w14:paraId="1A55F1E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Z</w:t>
            </w:r>
          </w:p>
        </w:tc>
        <w:tc>
          <w:tcPr>
            <w:tcW w:w="998" w:type="pct"/>
            <w:shd w:val="clear" w:color="auto" w:fill="FFFFFF"/>
            <w:vAlign w:val="center"/>
          </w:tcPr>
          <w:p w14:paraId="4950676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声功率级/dB(A)</w:t>
            </w:r>
          </w:p>
        </w:tc>
        <w:tc>
          <w:tcPr>
            <w:tcW w:w="952" w:type="pct"/>
            <w:vMerge w:val="continue"/>
            <w:shd w:val="clear" w:color="auto" w:fill="FFFFFF"/>
            <w:vAlign w:val="center"/>
          </w:tcPr>
          <w:p w14:paraId="076169E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73" w:type="pct"/>
            <w:vMerge w:val="continue"/>
            <w:shd w:val="clear" w:color="auto" w:fill="FFFFFF"/>
            <w:vAlign w:val="center"/>
          </w:tcPr>
          <w:p w14:paraId="18A9506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5F5D3D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c>
          <w:tcPr>
            <w:tcW w:w="357" w:type="pct"/>
            <w:shd w:val="clear" w:color="auto" w:fill="FFFFFF"/>
            <w:vAlign w:val="center"/>
          </w:tcPr>
          <w:p w14:paraId="049B719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621" w:type="pct"/>
            <w:shd w:val="clear" w:color="auto" w:fill="FFFFFF"/>
            <w:vAlign w:val="center"/>
          </w:tcPr>
          <w:p w14:paraId="684B929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1#风机</w:t>
            </w:r>
          </w:p>
        </w:tc>
        <w:tc>
          <w:tcPr>
            <w:tcW w:w="499" w:type="pct"/>
            <w:shd w:val="clear" w:color="auto" w:fill="FFFFFF"/>
            <w:vAlign w:val="center"/>
          </w:tcPr>
          <w:p w14:paraId="51B4CF42">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w:t>
            </w:r>
          </w:p>
        </w:tc>
        <w:tc>
          <w:tcPr>
            <w:tcW w:w="498" w:type="pct"/>
            <w:shd w:val="clear" w:color="auto" w:fill="FFFFFF"/>
            <w:vAlign w:val="center"/>
          </w:tcPr>
          <w:p w14:paraId="56F17DF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22</w:t>
            </w:r>
          </w:p>
        </w:tc>
        <w:tc>
          <w:tcPr>
            <w:tcW w:w="498" w:type="pct"/>
            <w:shd w:val="clear" w:color="auto" w:fill="FFFFFF"/>
            <w:vAlign w:val="center"/>
          </w:tcPr>
          <w:p w14:paraId="0546A345">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0.5</w:t>
            </w:r>
          </w:p>
        </w:tc>
        <w:tc>
          <w:tcPr>
            <w:tcW w:w="998" w:type="pct"/>
            <w:shd w:val="clear" w:color="auto" w:fill="FFFFFF"/>
            <w:vAlign w:val="center"/>
          </w:tcPr>
          <w:p w14:paraId="2298EE8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90</w:t>
            </w:r>
          </w:p>
        </w:tc>
        <w:tc>
          <w:tcPr>
            <w:tcW w:w="952" w:type="pct"/>
            <w:vMerge w:val="restart"/>
            <w:shd w:val="clear" w:color="auto" w:fill="FFFFFF"/>
            <w:vAlign w:val="center"/>
          </w:tcPr>
          <w:p w14:paraId="00D89C3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选用低噪声设备、减振、消声</w:t>
            </w:r>
          </w:p>
        </w:tc>
        <w:tc>
          <w:tcPr>
            <w:tcW w:w="573" w:type="pct"/>
            <w:vMerge w:val="restart"/>
            <w:shd w:val="clear" w:color="auto" w:fill="FFFFFF"/>
            <w:vAlign w:val="center"/>
          </w:tcPr>
          <w:p w14:paraId="6C3F141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昼间</w:t>
            </w:r>
          </w:p>
          <w:p w14:paraId="2594B8A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夜间</w:t>
            </w:r>
          </w:p>
        </w:tc>
      </w:tr>
      <w:tr w14:paraId="13081B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90" w:hRule="atLeast"/>
        </w:trPr>
        <w:tc>
          <w:tcPr>
            <w:tcW w:w="357" w:type="pct"/>
            <w:shd w:val="clear" w:color="auto" w:fill="FFFFFF"/>
            <w:vAlign w:val="center"/>
          </w:tcPr>
          <w:p w14:paraId="380AF7A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621" w:type="pct"/>
            <w:shd w:val="clear" w:color="auto" w:fill="FFFFFF"/>
            <w:vAlign w:val="center"/>
          </w:tcPr>
          <w:p w14:paraId="6DCCC59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2#风机</w:t>
            </w:r>
          </w:p>
        </w:tc>
        <w:tc>
          <w:tcPr>
            <w:tcW w:w="499" w:type="pct"/>
            <w:shd w:val="clear" w:color="auto" w:fill="FFFFFF"/>
            <w:vAlign w:val="center"/>
          </w:tcPr>
          <w:p w14:paraId="4A69AB51">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498" w:type="pct"/>
            <w:shd w:val="clear" w:color="auto" w:fill="FFFFFF"/>
            <w:vAlign w:val="center"/>
          </w:tcPr>
          <w:p w14:paraId="0A36052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25</w:t>
            </w:r>
          </w:p>
        </w:tc>
        <w:tc>
          <w:tcPr>
            <w:tcW w:w="498" w:type="pct"/>
            <w:shd w:val="clear" w:color="auto" w:fill="FFFFFF"/>
            <w:vAlign w:val="center"/>
          </w:tcPr>
          <w:p w14:paraId="3C01B8D7">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0.5</w:t>
            </w:r>
          </w:p>
        </w:tc>
        <w:tc>
          <w:tcPr>
            <w:tcW w:w="998" w:type="pct"/>
            <w:shd w:val="clear" w:color="auto" w:fill="FFFFFF"/>
            <w:vAlign w:val="center"/>
          </w:tcPr>
          <w:p w14:paraId="4817C1D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w:t>
            </w:r>
          </w:p>
        </w:tc>
        <w:tc>
          <w:tcPr>
            <w:tcW w:w="952" w:type="pct"/>
            <w:vMerge w:val="continue"/>
            <w:shd w:val="clear" w:color="auto" w:fill="FFFFFF"/>
            <w:vAlign w:val="center"/>
          </w:tcPr>
          <w:p w14:paraId="6E4E8C0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73" w:type="pct"/>
            <w:vMerge w:val="continue"/>
            <w:shd w:val="clear" w:color="auto" w:fill="FFFFFF"/>
            <w:vAlign w:val="center"/>
          </w:tcPr>
          <w:p w14:paraId="4F16E62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6F9E2E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c>
          <w:tcPr>
            <w:tcW w:w="357" w:type="pct"/>
            <w:shd w:val="clear" w:color="auto" w:fill="FFFFFF"/>
            <w:vAlign w:val="center"/>
          </w:tcPr>
          <w:p w14:paraId="7471A38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621" w:type="pct"/>
            <w:shd w:val="clear" w:color="auto" w:fill="FFFFFF"/>
            <w:vAlign w:val="center"/>
          </w:tcPr>
          <w:p w14:paraId="4DE1DF3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3#风机</w:t>
            </w:r>
          </w:p>
        </w:tc>
        <w:tc>
          <w:tcPr>
            <w:tcW w:w="499" w:type="pct"/>
            <w:shd w:val="clear" w:color="auto" w:fill="FFFFFF"/>
            <w:vAlign w:val="center"/>
          </w:tcPr>
          <w:p w14:paraId="632C2229">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55</w:t>
            </w:r>
          </w:p>
        </w:tc>
        <w:tc>
          <w:tcPr>
            <w:tcW w:w="498" w:type="pct"/>
            <w:shd w:val="clear" w:color="auto" w:fill="FFFFFF"/>
            <w:vAlign w:val="center"/>
          </w:tcPr>
          <w:p w14:paraId="6442D7A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56</w:t>
            </w:r>
          </w:p>
        </w:tc>
        <w:tc>
          <w:tcPr>
            <w:tcW w:w="498" w:type="pct"/>
            <w:shd w:val="clear" w:color="auto" w:fill="FFFFFF"/>
            <w:vAlign w:val="center"/>
          </w:tcPr>
          <w:p w14:paraId="2005186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0.5</w:t>
            </w:r>
          </w:p>
        </w:tc>
        <w:tc>
          <w:tcPr>
            <w:tcW w:w="998" w:type="pct"/>
            <w:shd w:val="clear" w:color="auto" w:fill="FFFFFF"/>
            <w:vAlign w:val="center"/>
          </w:tcPr>
          <w:p w14:paraId="4EE5004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w:t>
            </w:r>
          </w:p>
        </w:tc>
        <w:tc>
          <w:tcPr>
            <w:tcW w:w="952" w:type="pct"/>
            <w:vMerge w:val="continue"/>
            <w:shd w:val="clear" w:color="auto" w:fill="FFFFFF"/>
            <w:vAlign w:val="center"/>
          </w:tcPr>
          <w:p w14:paraId="5D985C8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73" w:type="pct"/>
            <w:vMerge w:val="continue"/>
            <w:shd w:val="clear" w:color="auto" w:fill="FFFFFF"/>
            <w:vAlign w:val="center"/>
          </w:tcPr>
          <w:p w14:paraId="3BFDBBA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534011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c>
          <w:tcPr>
            <w:tcW w:w="357" w:type="pct"/>
            <w:shd w:val="clear" w:color="auto" w:fill="FFFFFF"/>
            <w:vAlign w:val="center"/>
          </w:tcPr>
          <w:p w14:paraId="5A809CF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621" w:type="pct"/>
            <w:shd w:val="clear" w:color="auto" w:fill="FFFFFF"/>
            <w:vAlign w:val="center"/>
          </w:tcPr>
          <w:p w14:paraId="1E070F9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4#风机</w:t>
            </w:r>
          </w:p>
        </w:tc>
        <w:tc>
          <w:tcPr>
            <w:tcW w:w="499" w:type="pct"/>
            <w:shd w:val="clear" w:color="auto" w:fill="FFFFFF"/>
            <w:vAlign w:val="center"/>
          </w:tcPr>
          <w:p w14:paraId="5B2D7FC9">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-14</w:t>
            </w:r>
          </w:p>
        </w:tc>
        <w:tc>
          <w:tcPr>
            <w:tcW w:w="498" w:type="pct"/>
            <w:shd w:val="clear" w:color="auto" w:fill="FFFFFF"/>
            <w:vAlign w:val="center"/>
          </w:tcPr>
          <w:p w14:paraId="1577638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56</w:t>
            </w:r>
          </w:p>
        </w:tc>
        <w:tc>
          <w:tcPr>
            <w:tcW w:w="498" w:type="pct"/>
            <w:shd w:val="clear" w:color="auto" w:fill="FFFFFF"/>
            <w:vAlign w:val="center"/>
          </w:tcPr>
          <w:p w14:paraId="29D5985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0.5</w:t>
            </w:r>
          </w:p>
        </w:tc>
        <w:tc>
          <w:tcPr>
            <w:tcW w:w="998" w:type="pct"/>
            <w:shd w:val="clear" w:color="auto" w:fill="FFFFFF"/>
            <w:vAlign w:val="center"/>
          </w:tcPr>
          <w:p w14:paraId="40B61126">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90</w:t>
            </w:r>
          </w:p>
        </w:tc>
        <w:tc>
          <w:tcPr>
            <w:tcW w:w="952" w:type="pct"/>
            <w:vMerge w:val="continue"/>
            <w:shd w:val="clear" w:color="auto" w:fill="FFFFFF"/>
            <w:vAlign w:val="center"/>
          </w:tcPr>
          <w:p w14:paraId="154830F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73" w:type="pct"/>
            <w:vMerge w:val="continue"/>
            <w:shd w:val="clear" w:color="auto" w:fill="FFFFFF"/>
            <w:vAlign w:val="center"/>
          </w:tcPr>
          <w:p w14:paraId="69CB376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347C97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c>
          <w:tcPr>
            <w:tcW w:w="357" w:type="pct"/>
            <w:shd w:val="clear" w:color="auto" w:fill="FFFFFF"/>
            <w:vAlign w:val="center"/>
          </w:tcPr>
          <w:p w14:paraId="03CECC4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621" w:type="pct"/>
            <w:shd w:val="clear" w:color="auto" w:fill="FFFFFF"/>
            <w:vAlign w:val="center"/>
          </w:tcPr>
          <w:p w14:paraId="6C02D6A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5#风机</w:t>
            </w:r>
          </w:p>
        </w:tc>
        <w:tc>
          <w:tcPr>
            <w:tcW w:w="499" w:type="pct"/>
            <w:shd w:val="clear" w:color="auto" w:fill="FFFFFF"/>
            <w:vAlign w:val="center"/>
          </w:tcPr>
          <w:p w14:paraId="6F16ECE5">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58</w:t>
            </w:r>
          </w:p>
        </w:tc>
        <w:tc>
          <w:tcPr>
            <w:tcW w:w="498" w:type="pct"/>
            <w:shd w:val="clear" w:color="auto" w:fill="FFFFFF"/>
            <w:vAlign w:val="center"/>
          </w:tcPr>
          <w:p w14:paraId="2A02C46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57</w:t>
            </w:r>
          </w:p>
        </w:tc>
        <w:tc>
          <w:tcPr>
            <w:tcW w:w="498" w:type="pct"/>
            <w:shd w:val="clear" w:color="auto" w:fill="FFFFFF"/>
            <w:vAlign w:val="center"/>
          </w:tcPr>
          <w:p w14:paraId="6D6201B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0.5</w:t>
            </w:r>
          </w:p>
        </w:tc>
        <w:tc>
          <w:tcPr>
            <w:tcW w:w="998" w:type="pct"/>
            <w:shd w:val="clear" w:color="auto" w:fill="FFFFFF"/>
            <w:vAlign w:val="center"/>
          </w:tcPr>
          <w:p w14:paraId="3B74C9DE">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90</w:t>
            </w:r>
          </w:p>
        </w:tc>
        <w:tc>
          <w:tcPr>
            <w:tcW w:w="952" w:type="pct"/>
            <w:vMerge w:val="continue"/>
            <w:shd w:val="clear" w:color="auto" w:fill="FFFFFF"/>
            <w:vAlign w:val="center"/>
          </w:tcPr>
          <w:p w14:paraId="53A4268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73" w:type="pct"/>
            <w:vMerge w:val="continue"/>
            <w:shd w:val="clear" w:color="auto" w:fill="FFFFFF"/>
            <w:vAlign w:val="center"/>
          </w:tcPr>
          <w:p w14:paraId="6C2981C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bl>
    <w:p w14:paraId="097175FB">
      <w:pPr>
        <w:spacing w:line="360" w:lineRule="auto"/>
        <w:ind w:firstLine="42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表中坐标以厂界中心（经度</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116.58732176</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纬度</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32.67061092）为坐标原点，正东向为X轴正方向，正北向为Y轴正方向。</w:t>
      </w:r>
    </w:p>
    <w:p w14:paraId="16DCEDA0">
      <w:pPr>
        <w:spacing w:line="360" w:lineRule="auto"/>
        <w:ind w:firstLine="420"/>
        <w:rPr>
          <w:rFonts w:hint="default" w:ascii="Times New Roman" w:hAnsi="Times New Roman" w:cs="Times New Roman"/>
          <w:b/>
          <w:color w:val="000000" w:themeColor="text1"/>
          <w:sz w:val="24"/>
          <w14:textFill>
            <w14:solidFill>
              <w14:schemeClr w14:val="tx1"/>
            </w14:solidFill>
          </w14:textFill>
        </w:rPr>
      </w:pPr>
    </w:p>
    <w:p w14:paraId="42C89956">
      <w:pPr>
        <w:spacing w:line="360" w:lineRule="auto"/>
        <w:ind w:firstLine="420"/>
        <w:rPr>
          <w:rFonts w:hint="default" w:ascii="Times New Roman" w:hAnsi="Times New Roman" w:cs="Times New Roman"/>
          <w:color w:val="000000" w:themeColor="text1"/>
          <w:sz w:val="24"/>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E8F8DB6">
      <w:pPr>
        <w:spacing w:line="360" w:lineRule="auto"/>
        <w:jc w:val="center"/>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表3.</w:t>
      </w:r>
      <w:r>
        <w:rPr>
          <w:rFonts w:hint="default" w:ascii="Times New Roman" w:hAnsi="Times New Roman" w:eastAsia="黑体" w:cs="Times New Roman"/>
          <w:color w:val="000000" w:themeColor="text1"/>
          <w:sz w:val="24"/>
          <w:lang w:val="en-US" w:eastAsia="zh-CN"/>
          <w14:textFill>
            <w14:solidFill>
              <w14:schemeClr w14:val="tx1"/>
            </w14:solidFill>
          </w14:textFill>
        </w:rPr>
        <w:t>3</w:t>
      </w:r>
      <w:r>
        <w:rPr>
          <w:rFonts w:hint="default" w:ascii="Times New Roman" w:hAnsi="Times New Roman" w:eastAsia="黑体" w:cs="Times New Roman"/>
          <w:color w:val="000000" w:themeColor="text1"/>
          <w:sz w:val="24"/>
          <w14:textFill>
            <w14:solidFill>
              <w14:schemeClr w14:val="tx1"/>
            </w14:solidFill>
          </w14:textFill>
        </w:rPr>
        <w:t>-8工业企业噪声源强调查清单（室内声源）</w:t>
      </w:r>
    </w:p>
    <w:tbl>
      <w:tblPr>
        <w:tblStyle w:val="88"/>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3"/>
        <w:gridCol w:w="516"/>
        <w:gridCol w:w="505"/>
        <w:gridCol w:w="937"/>
        <w:gridCol w:w="618"/>
        <w:gridCol w:w="525"/>
        <w:gridCol w:w="584"/>
        <w:gridCol w:w="584"/>
        <w:gridCol w:w="598"/>
        <w:gridCol w:w="479"/>
        <w:gridCol w:w="479"/>
        <w:gridCol w:w="479"/>
        <w:gridCol w:w="510"/>
        <w:gridCol w:w="479"/>
        <w:gridCol w:w="479"/>
        <w:gridCol w:w="479"/>
        <w:gridCol w:w="493"/>
        <w:gridCol w:w="423"/>
        <w:gridCol w:w="448"/>
        <w:gridCol w:w="459"/>
        <w:gridCol w:w="459"/>
        <w:gridCol w:w="485"/>
        <w:gridCol w:w="493"/>
        <w:gridCol w:w="493"/>
        <w:gridCol w:w="493"/>
        <w:gridCol w:w="493"/>
        <w:gridCol w:w="750"/>
      </w:tblGrid>
      <w:tr w14:paraId="355B1B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9" w:type="pct"/>
            <w:vMerge w:val="restart"/>
            <w:vAlign w:val="center"/>
          </w:tcPr>
          <w:p w14:paraId="3D1BD1E7">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序号</w:t>
            </w:r>
          </w:p>
        </w:tc>
        <w:tc>
          <w:tcPr>
            <w:tcW w:w="182" w:type="pct"/>
            <w:vMerge w:val="restart"/>
            <w:vAlign w:val="center"/>
          </w:tcPr>
          <w:p w14:paraId="243DE86D">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建筑物名称</w:t>
            </w:r>
          </w:p>
        </w:tc>
        <w:tc>
          <w:tcPr>
            <w:tcW w:w="178" w:type="pct"/>
            <w:vMerge w:val="restart"/>
            <w:vAlign w:val="center"/>
          </w:tcPr>
          <w:p w14:paraId="65C1A273">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声源名称</w:t>
            </w:r>
          </w:p>
        </w:tc>
        <w:tc>
          <w:tcPr>
            <w:tcW w:w="330" w:type="pct"/>
            <w:vMerge w:val="restart"/>
            <w:vAlign w:val="center"/>
          </w:tcPr>
          <w:p w14:paraId="5B8B4F95">
            <w:pPr>
              <w:spacing w:line="276" w:lineRule="auto"/>
              <w:jc w:val="center"/>
              <w:rPr>
                <w:rFonts w:hint="default" w:ascii="Times New Roman" w:hAnsi="Times New Roman" w:eastAsia="宋体" w:cs="Times New Roman"/>
                <w:b/>
                <w:color w:val="000000" w:themeColor="text1"/>
                <w:sz w:val="21"/>
                <w:szCs w:val="21"/>
                <w:lang w:val="en-US" w:eastAsia="zh-CN"/>
                <w14:textFill>
                  <w14:solidFill>
                    <w14:schemeClr w14:val="tx1"/>
                  </w14:solidFill>
                </w14:textFill>
              </w:rPr>
            </w:pPr>
            <w:r>
              <w:rPr>
                <w:rFonts w:hint="default" w:ascii="Times New Roman" w:hAnsi="Times New Roman" w:cs="Times New Roman"/>
                <w:b/>
                <w:color w:val="000000" w:themeColor="text1"/>
                <w:sz w:val="21"/>
                <w:szCs w:val="21"/>
                <w:lang w:eastAsia="zh-CN"/>
                <w14:textFill>
                  <w14:solidFill>
                    <w14:schemeClr w14:val="tx1"/>
                  </w14:solidFill>
                </w14:textFill>
              </w:rPr>
              <w:t>型号</w:t>
            </w:r>
            <w:r>
              <w:rPr>
                <w:rFonts w:hint="default" w:ascii="Times New Roman" w:hAnsi="Times New Roman" w:cs="Times New Roman"/>
                <w:b/>
                <w:color w:val="000000" w:themeColor="text1"/>
                <w:sz w:val="21"/>
                <w:szCs w:val="21"/>
                <w:lang w:val="en-US" w:eastAsia="zh-CN"/>
                <w14:textFill>
                  <w14:solidFill>
                    <w14:schemeClr w14:val="tx1"/>
                  </w14:solidFill>
                </w14:textFill>
              </w:rPr>
              <w:t>/规格</w:t>
            </w:r>
          </w:p>
        </w:tc>
        <w:tc>
          <w:tcPr>
            <w:tcW w:w="218" w:type="pct"/>
            <w:vAlign w:val="center"/>
          </w:tcPr>
          <w:p w14:paraId="5047B154">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声源源强</w:t>
            </w:r>
          </w:p>
        </w:tc>
        <w:tc>
          <w:tcPr>
            <w:tcW w:w="185" w:type="pct"/>
            <w:vMerge w:val="restart"/>
            <w:vAlign w:val="center"/>
          </w:tcPr>
          <w:p w14:paraId="30B06664">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声源控制措施</w:t>
            </w:r>
          </w:p>
        </w:tc>
        <w:tc>
          <w:tcPr>
            <w:tcW w:w="623" w:type="pct"/>
            <w:gridSpan w:val="3"/>
            <w:vAlign w:val="center"/>
          </w:tcPr>
          <w:p w14:paraId="4FF047E0">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空间相对位置/m</w:t>
            </w:r>
          </w:p>
        </w:tc>
        <w:tc>
          <w:tcPr>
            <w:tcW w:w="687" w:type="pct"/>
            <w:gridSpan w:val="4"/>
            <w:vAlign w:val="center"/>
          </w:tcPr>
          <w:p w14:paraId="0B3108F0">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距室内边界距离/m</w:t>
            </w:r>
          </w:p>
        </w:tc>
        <w:tc>
          <w:tcPr>
            <w:tcW w:w="681" w:type="pct"/>
            <w:gridSpan w:val="4"/>
            <w:vAlign w:val="center"/>
          </w:tcPr>
          <w:p w14:paraId="135DA24D">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室内边界声级/dB(A)</w:t>
            </w:r>
          </w:p>
        </w:tc>
        <w:tc>
          <w:tcPr>
            <w:tcW w:w="149" w:type="pct"/>
            <w:vMerge w:val="restart"/>
            <w:vAlign w:val="center"/>
          </w:tcPr>
          <w:p w14:paraId="751A2EA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运行时段</w:t>
            </w:r>
          </w:p>
        </w:tc>
        <w:tc>
          <w:tcPr>
            <w:tcW w:w="653" w:type="pct"/>
            <w:gridSpan w:val="4"/>
            <w:vAlign w:val="center"/>
          </w:tcPr>
          <w:p w14:paraId="37BFE415">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建筑物插入损失/dB(A)</w:t>
            </w:r>
          </w:p>
        </w:tc>
        <w:tc>
          <w:tcPr>
            <w:tcW w:w="960" w:type="pct"/>
            <w:gridSpan w:val="5"/>
            <w:vAlign w:val="center"/>
          </w:tcPr>
          <w:p w14:paraId="34599EAD">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建筑物外噪声声压级/dB(A)</w:t>
            </w:r>
          </w:p>
        </w:tc>
      </w:tr>
      <w:tr w14:paraId="4522D1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vMerge w:val="continue"/>
            <w:shd w:val="clear" w:color="auto" w:fill="FFFFFF"/>
            <w:tcMar>
              <w:top w:w="0" w:type="dxa"/>
              <w:left w:w="0" w:type="dxa"/>
              <w:bottom w:w="0" w:type="dxa"/>
              <w:right w:w="0" w:type="dxa"/>
            </w:tcMar>
            <w:vAlign w:val="center"/>
          </w:tcPr>
          <w:p w14:paraId="059BB2F3">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p>
        </w:tc>
        <w:tc>
          <w:tcPr>
            <w:tcW w:w="182" w:type="pct"/>
            <w:vMerge w:val="continue"/>
            <w:shd w:val="clear" w:color="auto" w:fill="FFFFFF"/>
            <w:tcMar>
              <w:top w:w="0" w:type="dxa"/>
              <w:left w:w="0" w:type="dxa"/>
              <w:bottom w:w="0" w:type="dxa"/>
              <w:right w:w="0" w:type="dxa"/>
            </w:tcMar>
            <w:vAlign w:val="center"/>
          </w:tcPr>
          <w:p w14:paraId="6E49868F">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4D4B057E">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75A03C06">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207E550C">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声功率级/dB(A)</w:t>
            </w:r>
          </w:p>
        </w:tc>
        <w:tc>
          <w:tcPr>
            <w:tcW w:w="185" w:type="pct"/>
            <w:vMerge w:val="continue"/>
            <w:shd w:val="clear" w:color="auto" w:fill="FFFFFF"/>
            <w:tcMar>
              <w:top w:w="0" w:type="dxa"/>
              <w:left w:w="0" w:type="dxa"/>
              <w:bottom w:w="0" w:type="dxa"/>
              <w:right w:w="0" w:type="dxa"/>
            </w:tcMar>
            <w:vAlign w:val="center"/>
          </w:tcPr>
          <w:p w14:paraId="6B4B1FFF">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574D60E2">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X</w:t>
            </w:r>
          </w:p>
        </w:tc>
        <w:tc>
          <w:tcPr>
            <w:tcW w:w="206" w:type="pct"/>
            <w:shd w:val="clear" w:color="auto" w:fill="FFFFFF"/>
            <w:tcMar>
              <w:top w:w="0" w:type="dxa"/>
              <w:left w:w="0" w:type="dxa"/>
              <w:bottom w:w="0" w:type="dxa"/>
              <w:right w:w="0" w:type="dxa"/>
            </w:tcMar>
            <w:vAlign w:val="center"/>
          </w:tcPr>
          <w:p w14:paraId="78C30916">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Y</w:t>
            </w:r>
          </w:p>
        </w:tc>
        <w:tc>
          <w:tcPr>
            <w:tcW w:w="211" w:type="pct"/>
            <w:shd w:val="clear" w:color="auto" w:fill="FFFFFF"/>
            <w:tcMar>
              <w:top w:w="0" w:type="dxa"/>
              <w:left w:w="0" w:type="dxa"/>
              <w:bottom w:w="0" w:type="dxa"/>
              <w:right w:w="0" w:type="dxa"/>
            </w:tcMar>
            <w:vAlign w:val="center"/>
          </w:tcPr>
          <w:p w14:paraId="04A04200">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Z</w:t>
            </w:r>
          </w:p>
        </w:tc>
        <w:tc>
          <w:tcPr>
            <w:tcW w:w="169" w:type="pct"/>
            <w:shd w:val="clear" w:color="auto" w:fill="FFFFFF"/>
            <w:tcMar>
              <w:top w:w="0" w:type="dxa"/>
              <w:left w:w="0" w:type="dxa"/>
              <w:bottom w:w="0" w:type="dxa"/>
              <w:right w:w="0" w:type="dxa"/>
            </w:tcMar>
            <w:vAlign w:val="center"/>
          </w:tcPr>
          <w:p w14:paraId="76B6C510">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东</w:t>
            </w:r>
          </w:p>
        </w:tc>
        <w:tc>
          <w:tcPr>
            <w:tcW w:w="169" w:type="pct"/>
            <w:shd w:val="clear" w:color="auto" w:fill="FFFFFF"/>
            <w:tcMar>
              <w:top w:w="0" w:type="dxa"/>
              <w:left w:w="0" w:type="dxa"/>
              <w:bottom w:w="0" w:type="dxa"/>
              <w:right w:w="0" w:type="dxa"/>
            </w:tcMar>
            <w:vAlign w:val="center"/>
          </w:tcPr>
          <w:p w14:paraId="25772D9E">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南</w:t>
            </w:r>
          </w:p>
        </w:tc>
        <w:tc>
          <w:tcPr>
            <w:tcW w:w="169" w:type="pct"/>
            <w:shd w:val="clear" w:color="auto" w:fill="FFFFFF"/>
            <w:tcMar>
              <w:top w:w="0" w:type="dxa"/>
              <w:left w:w="0" w:type="dxa"/>
              <w:bottom w:w="0" w:type="dxa"/>
              <w:right w:w="0" w:type="dxa"/>
            </w:tcMar>
            <w:vAlign w:val="center"/>
          </w:tcPr>
          <w:p w14:paraId="55FCD7AA">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西</w:t>
            </w:r>
          </w:p>
        </w:tc>
        <w:tc>
          <w:tcPr>
            <w:tcW w:w="180" w:type="pct"/>
            <w:shd w:val="clear" w:color="auto" w:fill="FFFFFF"/>
            <w:tcMar>
              <w:top w:w="0" w:type="dxa"/>
              <w:left w:w="0" w:type="dxa"/>
              <w:bottom w:w="0" w:type="dxa"/>
              <w:right w:w="0" w:type="dxa"/>
            </w:tcMar>
            <w:vAlign w:val="center"/>
          </w:tcPr>
          <w:p w14:paraId="7FEEBD57">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北</w:t>
            </w:r>
          </w:p>
        </w:tc>
        <w:tc>
          <w:tcPr>
            <w:tcW w:w="169" w:type="pct"/>
            <w:shd w:val="clear" w:color="auto" w:fill="FFFFFF"/>
            <w:tcMar>
              <w:top w:w="0" w:type="dxa"/>
              <w:left w:w="0" w:type="dxa"/>
              <w:bottom w:w="0" w:type="dxa"/>
              <w:right w:w="0" w:type="dxa"/>
            </w:tcMar>
            <w:vAlign w:val="center"/>
          </w:tcPr>
          <w:p w14:paraId="77A2DDDD">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东</w:t>
            </w:r>
          </w:p>
        </w:tc>
        <w:tc>
          <w:tcPr>
            <w:tcW w:w="169" w:type="pct"/>
            <w:shd w:val="clear" w:color="auto" w:fill="FFFFFF"/>
            <w:tcMar>
              <w:top w:w="0" w:type="dxa"/>
              <w:left w:w="0" w:type="dxa"/>
              <w:bottom w:w="0" w:type="dxa"/>
              <w:right w:w="0" w:type="dxa"/>
            </w:tcMar>
            <w:vAlign w:val="center"/>
          </w:tcPr>
          <w:p w14:paraId="2F60AC1A">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南</w:t>
            </w:r>
          </w:p>
        </w:tc>
        <w:tc>
          <w:tcPr>
            <w:tcW w:w="169" w:type="pct"/>
            <w:shd w:val="clear" w:color="auto" w:fill="FFFFFF"/>
            <w:tcMar>
              <w:top w:w="0" w:type="dxa"/>
              <w:left w:w="0" w:type="dxa"/>
              <w:bottom w:w="0" w:type="dxa"/>
              <w:right w:w="0" w:type="dxa"/>
            </w:tcMar>
            <w:vAlign w:val="center"/>
          </w:tcPr>
          <w:p w14:paraId="71EB5BB4">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西</w:t>
            </w:r>
          </w:p>
        </w:tc>
        <w:tc>
          <w:tcPr>
            <w:tcW w:w="174" w:type="pct"/>
            <w:shd w:val="clear" w:color="auto" w:fill="FFFFFF"/>
            <w:tcMar>
              <w:top w:w="0" w:type="dxa"/>
              <w:left w:w="0" w:type="dxa"/>
              <w:bottom w:w="0" w:type="dxa"/>
              <w:right w:w="0" w:type="dxa"/>
            </w:tcMar>
            <w:vAlign w:val="center"/>
          </w:tcPr>
          <w:p w14:paraId="30D1A1B2">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北</w:t>
            </w:r>
          </w:p>
        </w:tc>
        <w:tc>
          <w:tcPr>
            <w:tcW w:w="149" w:type="pct"/>
            <w:vMerge w:val="continue"/>
            <w:shd w:val="clear" w:color="auto" w:fill="FFFFFF"/>
            <w:tcMar>
              <w:top w:w="0" w:type="dxa"/>
              <w:left w:w="0" w:type="dxa"/>
              <w:bottom w:w="0" w:type="dxa"/>
              <w:right w:w="0" w:type="dxa"/>
            </w:tcMar>
            <w:vAlign w:val="center"/>
          </w:tcPr>
          <w:p w14:paraId="30E9387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8" w:type="pct"/>
            <w:shd w:val="clear" w:color="auto" w:fill="FFFFFF"/>
            <w:tcMar>
              <w:top w:w="0" w:type="dxa"/>
              <w:left w:w="0" w:type="dxa"/>
              <w:bottom w:w="0" w:type="dxa"/>
              <w:right w:w="0" w:type="dxa"/>
            </w:tcMar>
            <w:vAlign w:val="center"/>
          </w:tcPr>
          <w:p w14:paraId="399EDDAF">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东</w:t>
            </w:r>
          </w:p>
        </w:tc>
        <w:tc>
          <w:tcPr>
            <w:tcW w:w="162" w:type="pct"/>
            <w:shd w:val="clear" w:color="auto" w:fill="FFFFFF"/>
            <w:tcMar>
              <w:top w:w="0" w:type="dxa"/>
              <w:left w:w="0" w:type="dxa"/>
              <w:bottom w:w="0" w:type="dxa"/>
              <w:right w:w="0" w:type="dxa"/>
            </w:tcMar>
            <w:vAlign w:val="center"/>
          </w:tcPr>
          <w:p w14:paraId="61784C6C">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南</w:t>
            </w:r>
          </w:p>
        </w:tc>
        <w:tc>
          <w:tcPr>
            <w:tcW w:w="162" w:type="pct"/>
            <w:shd w:val="clear" w:color="auto" w:fill="FFFFFF"/>
            <w:tcMar>
              <w:top w:w="0" w:type="dxa"/>
              <w:left w:w="0" w:type="dxa"/>
              <w:bottom w:w="0" w:type="dxa"/>
              <w:right w:w="0" w:type="dxa"/>
            </w:tcMar>
            <w:vAlign w:val="center"/>
          </w:tcPr>
          <w:p w14:paraId="45156F31">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西</w:t>
            </w:r>
          </w:p>
        </w:tc>
        <w:tc>
          <w:tcPr>
            <w:tcW w:w="171" w:type="pct"/>
            <w:shd w:val="clear" w:color="auto" w:fill="FFFFFF"/>
            <w:tcMar>
              <w:top w:w="0" w:type="dxa"/>
              <w:left w:w="0" w:type="dxa"/>
              <w:bottom w:w="0" w:type="dxa"/>
              <w:right w:w="0" w:type="dxa"/>
            </w:tcMar>
            <w:vAlign w:val="center"/>
          </w:tcPr>
          <w:p w14:paraId="720841F9">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北</w:t>
            </w:r>
          </w:p>
        </w:tc>
        <w:tc>
          <w:tcPr>
            <w:tcW w:w="174" w:type="pct"/>
            <w:shd w:val="clear" w:color="auto" w:fill="FFFFFF"/>
            <w:tcMar>
              <w:top w:w="0" w:type="dxa"/>
              <w:left w:w="0" w:type="dxa"/>
              <w:bottom w:w="0" w:type="dxa"/>
              <w:right w:w="0" w:type="dxa"/>
            </w:tcMar>
            <w:vAlign w:val="center"/>
          </w:tcPr>
          <w:p w14:paraId="32FF00E4">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东</w:t>
            </w:r>
          </w:p>
        </w:tc>
        <w:tc>
          <w:tcPr>
            <w:tcW w:w="174" w:type="pct"/>
            <w:shd w:val="clear" w:color="auto" w:fill="FFFFFF"/>
            <w:tcMar>
              <w:top w:w="0" w:type="dxa"/>
              <w:left w:w="0" w:type="dxa"/>
              <w:bottom w:w="0" w:type="dxa"/>
              <w:right w:w="0" w:type="dxa"/>
            </w:tcMar>
            <w:vAlign w:val="center"/>
          </w:tcPr>
          <w:p w14:paraId="4DD09B08">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南</w:t>
            </w:r>
          </w:p>
        </w:tc>
        <w:tc>
          <w:tcPr>
            <w:tcW w:w="174" w:type="pct"/>
            <w:shd w:val="clear" w:color="auto" w:fill="FFFFFF"/>
            <w:tcMar>
              <w:top w:w="0" w:type="dxa"/>
              <w:left w:w="0" w:type="dxa"/>
              <w:bottom w:w="0" w:type="dxa"/>
              <w:right w:w="0" w:type="dxa"/>
            </w:tcMar>
            <w:vAlign w:val="center"/>
          </w:tcPr>
          <w:p w14:paraId="341221B9">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西</w:t>
            </w:r>
          </w:p>
        </w:tc>
        <w:tc>
          <w:tcPr>
            <w:tcW w:w="174" w:type="pct"/>
            <w:shd w:val="clear" w:color="auto" w:fill="FFFFFF"/>
            <w:tcMar>
              <w:top w:w="0" w:type="dxa"/>
              <w:left w:w="0" w:type="dxa"/>
              <w:bottom w:w="0" w:type="dxa"/>
              <w:right w:w="0" w:type="dxa"/>
            </w:tcMar>
            <w:vAlign w:val="center"/>
          </w:tcPr>
          <w:p w14:paraId="4FCDAA67">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北</w:t>
            </w:r>
          </w:p>
        </w:tc>
        <w:tc>
          <w:tcPr>
            <w:tcW w:w="264" w:type="pct"/>
            <w:shd w:val="clear" w:color="auto" w:fill="FFFFFF"/>
            <w:tcMar>
              <w:top w:w="0" w:type="dxa"/>
              <w:left w:w="0" w:type="dxa"/>
              <w:bottom w:w="0" w:type="dxa"/>
              <w:right w:w="0" w:type="dxa"/>
            </w:tcMar>
            <w:vAlign w:val="center"/>
          </w:tcPr>
          <w:p w14:paraId="24265EF5">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建筑物外距离</w:t>
            </w:r>
          </w:p>
        </w:tc>
      </w:tr>
      <w:tr w14:paraId="1365AE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176B640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82" w:type="pct"/>
            <w:vMerge w:val="restart"/>
            <w:shd w:val="clear" w:color="auto" w:fill="FFFFFF"/>
            <w:tcMar>
              <w:top w:w="0" w:type="dxa"/>
              <w:left w:w="0" w:type="dxa"/>
              <w:bottom w:w="0" w:type="dxa"/>
              <w:right w:w="0" w:type="dxa"/>
            </w:tcMar>
            <w:vAlign w:val="center"/>
          </w:tcPr>
          <w:p w14:paraId="4888B00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1#厂房</w:t>
            </w:r>
          </w:p>
        </w:tc>
        <w:tc>
          <w:tcPr>
            <w:tcW w:w="178" w:type="pct"/>
            <w:vMerge w:val="restart"/>
            <w:shd w:val="clear" w:color="auto" w:fill="FFFFFF"/>
            <w:tcMar>
              <w:top w:w="0" w:type="dxa"/>
              <w:left w:w="0" w:type="dxa"/>
              <w:bottom w:w="0" w:type="dxa"/>
              <w:right w:w="0" w:type="dxa"/>
            </w:tcMar>
            <w:vAlign w:val="center"/>
          </w:tcPr>
          <w:p w14:paraId="50EC0EC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脱水机</w:t>
            </w:r>
          </w:p>
        </w:tc>
        <w:tc>
          <w:tcPr>
            <w:tcW w:w="330" w:type="pct"/>
            <w:vMerge w:val="restart"/>
            <w:shd w:val="clear" w:color="auto" w:fill="FFFFFF"/>
            <w:tcMar>
              <w:top w:w="0" w:type="dxa"/>
              <w:left w:w="0" w:type="dxa"/>
              <w:bottom w:w="0" w:type="dxa"/>
              <w:right w:w="0" w:type="dxa"/>
            </w:tcMar>
            <w:vAlign w:val="center"/>
          </w:tcPr>
          <w:p w14:paraId="0537912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800型</w:t>
            </w:r>
          </w:p>
        </w:tc>
        <w:tc>
          <w:tcPr>
            <w:tcW w:w="218" w:type="pct"/>
            <w:shd w:val="clear" w:color="auto" w:fill="FFFFFF"/>
            <w:tcMar>
              <w:top w:w="0" w:type="dxa"/>
              <w:left w:w="0" w:type="dxa"/>
              <w:bottom w:w="0" w:type="dxa"/>
              <w:right w:w="0" w:type="dxa"/>
            </w:tcMar>
            <w:vAlign w:val="center"/>
          </w:tcPr>
          <w:p w14:paraId="15B622F4">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r>
              <w:rPr>
                <w:rFonts w:hint="eastAsia" w:cs="Times New Roman"/>
                <w:color w:val="000000" w:themeColor="text1"/>
                <w:sz w:val="21"/>
                <w:szCs w:val="21"/>
                <w:lang w:val="en-US" w:eastAsia="zh-CN"/>
                <w14:textFill>
                  <w14:solidFill>
                    <w14:schemeClr w14:val="tx1"/>
                  </w14:solidFill>
                </w14:textFill>
              </w:rPr>
              <w:t>5</w:t>
            </w:r>
          </w:p>
        </w:tc>
        <w:tc>
          <w:tcPr>
            <w:tcW w:w="185" w:type="pct"/>
            <w:vMerge w:val="restart"/>
            <w:shd w:val="clear" w:color="auto" w:fill="FFFFFF"/>
            <w:tcMar>
              <w:top w:w="0" w:type="dxa"/>
              <w:left w:w="0" w:type="dxa"/>
              <w:bottom w:w="0" w:type="dxa"/>
              <w:right w:w="0" w:type="dxa"/>
            </w:tcMar>
            <w:vAlign w:val="center"/>
          </w:tcPr>
          <w:p w14:paraId="0FA0A5F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选用低噪声设备、减振、厂房隔声、消声</w:t>
            </w:r>
          </w:p>
        </w:tc>
        <w:tc>
          <w:tcPr>
            <w:tcW w:w="206" w:type="pct"/>
            <w:shd w:val="clear" w:color="auto" w:fill="FFFFFF"/>
            <w:tcMar>
              <w:top w:w="0" w:type="dxa"/>
              <w:left w:w="0" w:type="dxa"/>
              <w:bottom w:w="0" w:type="dxa"/>
              <w:right w:w="0" w:type="dxa"/>
            </w:tcMar>
            <w:vAlign w:val="center"/>
          </w:tcPr>
          <w:p w14:paraId="09447C8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23</w:t>
            </w:r>
          </w:p>
        </w:tc>
        <w:tc>
          <w:tcPr>
            <w:tcW w:w="206" w:type="pct"/>
            <w:shd w:val="clear" w:color="auto" w:fill="FFFFFF"/>
            <w:tcMar>
              <w:top w:w="0" w:type="dxa"/>
              <w:left w:w="0" w:type="dxa"/>
              <w:bottom w:w="0" w:type="dxa"/>
              <w:right w:w="0" w:type="dxa"/>
            </w:tcMar>
            <w:vAlign w:val="center"/>
          </w:tcPr>
          <w:p w14:paraId="362DABC9">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w:t>
            </w:r>
          </w:p>
        </w:tc>
        <w:tc>
          <w:tcPr>
            <w:tcW w:w="211" w:type="pct"/>
            <w:shd w:val="clear" w:color="auto" w:fill="FFFFFF"/>
            <w:tcMar>
              <w:top w:w="0" w:type="dxa"/>
              <w:left w:w="0" w:type="dxa"/>
              <w:bottom w:w="0" w:type="dxa"/>
              <w:right w:w="0" w:type="dxa"/>
            </w:tcMar>
            <w:vAlign w:val="center"/>
          </w:tcPr>
          <w:p w14:paraId="43C4775B">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8</w:t>
            </w:r>
          </w:p>
        </w:tc>
        <w:tc>
          <w:tcPr>
            <w:tcW w:w="169" w:type="pct"/>
            <w:shd w:val="clear" w:color="auto" w:fill="FFFFFF"/>
            <w:tcMar>
              <w:top w:w="0" w:type="dxa"/>
              <w:left w:w="0" w:type="dxa"/>
              <w:bottom w:w="0" w:type="dxa"/>
              <w:right w:w="0" w:type="dxa"/>
            </w:tcMar>
            <w:vAlign w:val="center"/>
          </w:tcPr>
          <w:p w14:paraId="4BD0F2B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93</w:t>
            </w:r>
          </w:p>
        </w:tc>
        <w:tc>
          <w:tcPr>
            <w:tcW w:w="169" w:type="pct"/>
            <w:shd w:val="clear" w:color="auto" w:fill="FFFFFF"/>
            <w:tcMar>
              <w:top w:w="0" w:type="dxa"/>
              <w:left w:w="0" w:type="dxa"/>
              <w:bottom w:w="0" w:type="dxa"/>
              <w:right w:w="0" w:type="dxa"/>
            </w:tcMar>
            <w:vAlign w:val="center"/>
          </w:tcPr>
          <w:p w14:paraId="49BCC441">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49</w:t>
            </w:r>
          </w:p>
        </w:tc>
        <w:tc>
          <w:tcPr>
            <w:tcW w:w="169" w:type="pct"/>
            <w:shd w:val="clear" w:color="auto" w:fill="FFFFFF"/>
            <w:tcMar>
              <w:top w:w="0" w:type="dxa"/>
              <w:left w:w="0" w:type="dxa"/>
              <w:bottom w:w="0" w:type="dxa"/>
              <w:right w:w="0" w:type="dxa"/>
            </w:tcMar>
            <w:vAlign w:val="center"/>
          </w:tcPr>
          <w:p w14:paraId="145BEEF2">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37</w:t>
            </w:r>
          </w:p>
        </w:tc>
        <w:tc>
          <w:tcPr>
            <w:tcW w:w="180" w:type="pct"/>
            <w:shd w:val="clear" w:color="auto" w:fill="FFFFFF"/>
            <w:tcMar>
              <w:top w:w="0" w:type="dxa"/>
              <w:left w:w="0" w:type="dxa"/>
              <w:bottom w:w="0" w:type="dxa"/>
              <w:right w:w="0" w:type="dxa"/>
            </w:tcMar>
            <w:vAlign w:val="center"/>
          </w:tcPr>
          <w:p w14:paraId="10B0C39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61</w:t>
            </w:r>
          </w:p>
        </w:tc>
        <w:tc>
          <w:tcPr>
            <w:tcW w:w="169" w:type="pct"/>
            <w:shd w:val="clear" w:color="auto" w:fill="FFFFFF"/>
            <w:tcMar>
              <w:top w:w="0" w:type="dxa"/>
              <w:left w:w="0" w:type="dxa"/>
              <w:bottom w:w="0" w:type="dxa"/>
              <w:right w:w="0" w:type="dxa"/>
            </w:tcMar>
            <w:vAlign w:val="center"/>
          </w:tcPr>
          <w:p w14:paraId="7E8257F7">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5</w:t>
            </w:r>
          </w:p>
        </w:tc>
        <w:tc>
          <w:tcPr>
            <w:tcW w:w="169" w:type="pct"/>
            <w:shd w:val="clear" w:color="auto" w:fill="FFFFFF"/>
            <w:tcMar>
              <w:top w:w="0" w:type="dxa"/>
              <w:left w:w="0" w:type="dxa"/>
              <w:bottom w:w="0" w:type="dxa"/>
              <w:right w:w="0" w:type="dxa"/>
            </w:tcMar>
            <w:vAlign w:val="center"/>
          </w:tcPr>
          <w:p w14:paraId="3B7AADE1">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7</w:t>
            </w:r>
          </w:p>
        </w:tc>
        <w:tc>
          <w:tcPr>
            <w:tcW w:w="169" w:type="pct"/>
            <w:shd w:val="clear" w:color="auto" w:fill="FFFFFF"/>
            <w:tcMar>
              <w:top w:w="0" w:type="dxa"/>
              <w:left w:w="0" w:type="dxa"/>
              <w:bottom w:w="0" w:type="dxa"/>
              <w:right w:w="0" w:type="dxa"/>
            </w:tcMar>
            <w:vAlign w:val="center"/>
          </w:tcPr>
          <w:p w14:paraId="6AE8A1B6">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9</w:t>
            </w:r>
          </w:p>
        </w:tc>
        <w:tc>
          <w:tcPr>
            <w:tcW w:w="174" w:type="pct"/>
            <w:shd w:val="clear" w:color="auto" w:fill="FFFFFF"/>
            <w:tcMar>
              <w:top w:w="0" w:type="dxa"/>
              <w:left w:w="0" w:type="dxa"/>
              <w:bottom w:w="0" w:type="dxa"/>
              <w:right w:w="0" w:type="dxa"/>
            </w:tcMar>
            <w:vAlign w:val="center"/>
          </w:tcPr>
          <w:p w14:paraId="362D8018">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49" w:type="pct"/>
            <w:vMerge w:val="restart"/>
            <w:shd w:val="clear" w:color="auto" w:fill="FFFFFF"/>
            <w:tcMar>
              <w:top w:w="0" w:type="dxa"/>
              <w:left w:w="0" w:type="dxa"/>
              <w:bottom w:w="0" w:type="dxa"/>
              <w:right w:w="0" w:type="dxa"/>
            </w:tcMar>
            <w:vAlign w:val="center"/>
          </w:tcPr>
          <w:p w14:paraId="06B9824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昼间</w:t>
            </w:r>
            <w:r>
              <w:rPr>
                <w:rFonts w:hint="default" w:ascii="Times New Roman" w:hAnsi="Times New Roman" w:cs="Times New Roman"/>
                <w:color w:val="000000" w:themeColor="text1"/>
                <w:sz w:val="21"/>
                <w:szCs w:val="21"/>
                <w:lang w:val="en-US" w:eastAsia="zh-CN"/>
                <w14:textFill>
                  <w14:solidFill>
                    <w14:schemeClr w14:val="tx1"/>
                  </w14:solidFill>
                </w14:textFill>
              </w:rPr>
              <w:t>/夜间</w:t>
            </w:r>
          </w:p>
        </w:tc>
        <w:tc>
          <w:tcPr>
            <w:tcW w:w="158" w:type="pct"/>
            <w:shd w:val="clear" w:color="auto" w:fill="FFFFFF"/>
            <w:tcMar>
              <w:top w:w="0" w:type="dxa"/>
              <w:left w:w="0" w:type="dxa"/>
              <w:bottom w:w="0" w:type="dxa"/>
              <w:right w:w="0" w:type="dxa"/>
            </w:tcMar>
            <w:vAlign w:val="center"/>
          </w:tcPr>
          <w:p w14:paraId="6C08E82D">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62" w:type="pct"/>
            <w:shd w:val="clear" w:color="auto" w:fill="FFFFFF"/>
            <w:tcMar>
              <w:top w:w="0" w:type="dxa"/>
              <w:left w:w="0" w:type="dxa"/>
              <w:bottom w:w="0" w:type="dxa"/>
              <w:right w:w="0" w:type="dxa"/>
            </w:tcMar>
            <w:vAlign w:val="center"/>
          </w:tcPr>
          <w:p w14:paraId="4F2ED70D">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62" w:type="pct"/>
            <w:shd w:val="clear" w:color="auto" w:fill="FFFFFF"/>
            <w:tcMar>
              <w:top w:w="0" w:type="dxa"/>
              <w:left w:w="0" w:type="dxa"/>
              <w:bottom w:w="0" w:type="dxa"/>
              <w:right w:w="0" w:type="dxa"/>
            </w:tcMar>
            <w:vAlign w:val="center"/>
          </w:tcPr>
          <w:p w14:paraId="2ABCBDDB">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1" w:type="pct"/>
            <w:shd w:val="clear" w:color="auto" w:fill="FFFFFF"/>
            <w:tcMar>
              <w:top w:w="0" w:type="dxa"/>
              <w:left w:w="0" w:type="dxa"/>
              <w:bottom w:w="0" w:type="dxa"/>
              <w:right w:w="0" w:type="dxa"/>
            </w:tcMar>
            <w:vAlign w:val="center"/>
          </w:tcPr>
          <w:p w14:paraId="20EEADA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0F51A8B8">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174" w:type="pct"/>
            <w:shd w:val="clear" w:color="auto" w:fill="FFFFFF"/>
            <w:tcMar>
              <w:top w:w="0" w:type="dxa"/>
              <w:left w:w="0" w:type="dxa"/>
              <w:bottom w:w="0" w:type="dxa"/>
              <w:right w:w="0" w:type="dxa"/>
            </w:tcMar>
            <w:vAlign w:val="center"/>
          </w:tcPr>
          <w:p w14:paraId="6CE1026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174" w:type="pct"/>
            <w:shd w:val="clear" w:color="auto" w:fill="FFFFFF"/>
            <w:tcMar>
              <w:top w:w="0" w:type="dxa"/>
              <w:left w:w="0" w:type="dxa"/>
              <w:bottom w:w="0" w:type="dxa"/>
              <w:right w:w="0" w:type="dxa"/>
            </w:tcMar>
            <w:vAlign w:val="center"/>
          </w:tcPr>
          <w:p w14:paraId="3F884F82">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49</w:t>
            </w:r>
          </w:p>
        </w:tc>
        <w:tc>
          <w:tcPr>
            <w:tcW w:w="174" w:type="pct"/>
            <w:shd w:val="clear" w:color="auto" w:fill="FFFFFF"/>
            <w:tcMar>
              <w:top w:w="0" w:type="dxa"/>
              <w:left w:w="0" w:type="dxa"/>
              <w:bottom w:w="0" w:type="dxa"/>
              <w:right w:w="0" w:type="dxa"/>
            </w:tcMar>
            <w:vAlign w:val="center"/>
          </w:tcPr>
          <w:p w14:paraId="6F21EB38">
            <w:pPr>
              <w:spacing w:line="276" w:lineRule="auto"/>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264" w:type="pct"/>
            <w:shd w:val="clear" w:color="auto" w:fill="FFFFFF"/>
            <w:tcMar>
              <w:top w:w="0" w:type="dxa"/>
              <w:left w:w="0" w:type="dxa"/>
              <w:bottom w:w="0" w:type="dxa"/>
              <w:right w:w="0" w:type="dxa"/>
            </w:tcMar>
            <w:vAlign w:val="center"/>
          </w:tcPr>
          <w:p w14:paraId="1E2D0A7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7B2F10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41BC514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182" w:type="pct"/>
            <w:vMerge w:val="continue"/>
            <w:shd w:val="clear" w:color="auto" w:fill="FFFFFF"/>
            <w:tcMar>
              <w:top w:w="0" w:type="dxa"/>
              <w:left w:w="0" w:type="dxa"/>
              <w:bottom w:w="0" w:type="dxa"/>
              <w:right w:w="0" w:type="dxa"/>
            </w:tcMar>
            <w:vAlign w:val="center"/>
          </w:tcPr>
          <w:p w14:paraId="1913FBA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6524751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1319F5B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45AF5F94">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r>
              <w:rPr>
                <w:rFonts w:hint="eastAsia" w:cs="Times New Roman"/>
                <w:color w:val="000000" w:themeColor="text1"/>
                <w:sz w:val="21"/>
                <w:szCs w:val="21"/>
                <w:lang w:val="en-US" w:eastAsia="zh-CN"/>
                <w14:textFill>
                  <w14:solidFill>
                    <w14:schemeClr w14:val="tx1"/>
                  </w14:solidFill>
                </w14:textFill>
              </w:rPr>
              <w:t>5</w:t>
            </w:r>
          </w:p>
        </w:tc>
        <w:tc>
          <w:tcPr>
            <w:tcW w:w="185" w:type="pct"/>
            <w:vMerge w:val="continue"/>
            <w:shd w:val="clear" w:color="auto" w:fill="FFFFFF"/>
            <w:tcMar>
              <w:top w:w="0" w:type="dxa"/>
              <w:left w:w="0" w:type="dxa"/>
              <w:bottom w:w="0" w:type="dxa"/>
              <w:right w:w="0" w:type="dxa"/>
            </w:tcMar>
            <w:vAlign w:val="center"/>
          </w:tcPr>
          <w:p w14:paraId="413BEB1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5AC2A72F">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23</w:t>
            </w:r>
          </w:p>
        </w:tc>
        <w:tc>
          <w:tcPr>
            <w:tcW w:w="206" w:type="pct"/>
            <w:shd w:val="clear" w:color="auto" w:fill="FFFFFF"/>
            <w:tcMar>
              <w:top w:w="0" w:type="dxa"/>
              <w:left w:w="0" w:type="dxa"/>
              <w:bottom w:w="0" w:type="dxa"/>
              <w:right w:w="0" w:type="dxa"/>
            </w:tcMar>
            <w:vAlign w:val="center"/>
          </w:tcPr>
          <w:p w14:paraId="73C3CA2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-13</w:t>
            </w:r>
          </w:p>
        </w:tc>
        <w:tc>
          <w:tcPr>
            <w:tcW w:w="211" w:type="pct"/>
            <w:shd w:val="clear" w:color="auto" w:fill="FFFFFF"/>
            <w:tcMar>
              <w:top w:w="0" w:type="dxa"/>
              <w:left w:w="0" w:type="dxa"/>
              <w:bottom w:w="0" w:type="dxa"/>
              <w:right w:w="0" w:type="dxa"/>
            </w:tcMar>
            <w:vAlign w:val="center"/>
          </w:tcPr>
          <w:p w14:paraId="580C2C28">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8</w:t>
            </w:r>
          </w:p>
        </w:tc>
        <w:tc>
          <w:tcPr>
            <w:tcW w:w="169" w:type="pct"/>
            <w:shd w:val="clear" w:color="auto" w:fill="FFFFFF"/>
            <w:tcMar>
              <w:top w:w="0" w:type="dxa"/>
              <w:left w:w="0" w:type="dxa"/>
              <w:bottom w:w="0" w:type="dxa"/>
              <w:right w:w="0" w:type="dxa"/>
            </w:tcMar>
            <w:vAlign w:val="center"/>
          </w:tcPr>
          <w:p w14:paraId="70DB0F3A">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w:t>
            </w:r>
            <w:r>
              <w:rPr>
                <w:rFonts w:hint="eastAsia" w:cs="Times New Roman"/>
                <w:color w:val="000000" w:themeColor="text1"/>
                <w:sz w:val="21"/>
                <w:szCs w:val="21"/>
                <w:lang w:val="en-US" w:eastAsia="zh-CN"/>
                <w14:textFill>
                  <w14:solidFill>
                    <w14:schemeClr w14:val="tx1"/>
                  </w14:solidFill>
                </w14:textFill>
              </w:rPr>
              <w:t>3</w:t>
            </w:r>
          </w:p>
        </w:tc>
        <w:tc>
          <w:tcPr>
            <w:tcW w:w="169" w:type="pct"/>
            <w:shd w:val="clear" w:color="auto" w:fill="FFFFFF"/>
            <w:tcMar>
              <w:top w:w="0" w:type="dxa"/>
              <w:left w:w="0" w:type="dxa"/>
              <w:bottom w:w="0" w:type="dxa"/>
              <w:right w:w="0" w:type="dxa"/>
            </w:tcMar>
            <w:vAlign w:val="center"/>
          </w:tcPr>
          <w:p w14:paraId="46C8450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169" w:type="pct"/>
            <w:shd w:val="clear" w:color="auto" w:fill="FFFFFF"/>
            <w:tcMar>
              <w:top w:w="0" w:type="dxa"/>
              <w:left w:w="0" w:type="dxa"/>
              <w:bottom w:w="0" w:type="dxa"/>
              <w:right w:w="0" w:type="dxa"/>
            </w:tcMar>
            <w:vAlign w:val="center"/>
          </w:tcPr>
          <w:p w14:paraId="58A381A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37</w:t>
            </w:r>
          </w:p>
        </w:tc>
        <w:tc>
          <w:tcPr>
            <w:tcW w:w="180" w:type="pct"/>
            <w:shd w:val="clear" w:color="auto" w:fill="FFFFFF"/>
            <w:tcMar>
              <w:top w:w="0" w:type="dxa"/>
              <w:left w:w="0" w:type="dxa"/>
              <w:bottom w:w="0" w:type="dxa"/>
              <w:right w:w="0" w:type="dxa"/>
            </w:tcMar>
            <w:vAlign w:val="center"/>
          </w:tcPr>
          <w:p w14:paraId="1B20D10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68</w:t>
            </w:r>
          </w:p>
        </w:tc>
        <w:tc>
          <w:tcPr>
            <w:tcW w:w="169" w:type="pct"/>
            <w:shd w:val="clear" w:color="auto" w:fill="FFFFFF"/>
            <w:tcMar>
              <w:top w:w="0" w:type="dxa"/>
              <w:left w:w="0" w:type="dxa"/>
              <w:bottom w:w="0" w:type="dxa"/>
              <w:right w:w="0" w:type="dxa"/>
            </w:tcMar>
            <w:vAlign w:val="center"/>
          </w:tcPr>
          <w:p w14:paraId="6E4CAB98">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5</w:t>
            </w:r>
          </w:p>
        </w:tc>
        <w:tc>
          <w:tcPr>
            <w:tcW w:w="169" w:type="pct"/>
            <w:shd w:val="clear" w:color="auto" w:fill="FFFFFF"/>
            <w:tcMar>
              <w:top w:w="0" w:type="dxa"/>
              <w:left w:w="0" w:type="dxa"/>
              <w:bottom w:w="0" w:type="dxa"/>
              <w:right w:w="0" w:type="dxa"/>
            </w:tcMar>
            <w:vAlign w:val="center"/>
          </w:tcPr>
          <w:p w14:paraId="5031A634">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7</w:t>
            </w:r>
          </w:p>
        </w:tc>
        <w:tc>
          <w:tcPr>
            <w:tcW w:w="169" w:type="pct"/>
            <w:shd w:val="clear" w:color="auto" w:fill="FFFFFF"/>
            <w:tcMar>
              <w:top w:w="0" w:type="dxa"/>
              <w:left w:w="0" w:type="dxa"/>
              <w:bottom w:w="0" w:type="dxa"/>
              <w:right w:w="0" w:type="dxa"/>
            </w:tcMar>
            <w:vAlign w:val="center"/>
          </w:tcPr>
          <w:p w14:paraId="484D8F1C">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9</w:t>
            </w:r>
          </w:p>
        </w:tc>
        <w:tc>
          <w:tcPr>
            <w:tcW w:w="174" w:type="pct"/>
            <w:shd w:val="clear" w:color="auto" w:fill="FFFFFF"/>
            <w:tcMar>
              <w:top w:w="0" w:type="dxa"/>
              <w:left w:w="0" w:type="dxa"/>
              <w:bottom w:w="0" w:type="dxa"/>
              <w:right w:w="0" w:type="dxa"/>
            </w:tcMar>
            <w:vAlign w:val="center"/>
          </w:tcPr>
          <w:p w14:paraId="471C34E9">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49" w:type="pct"/>
            <w:vMerge w:val="continue"/>
            <w:shd w:val="clear" w:color="auto" w:fill="FFFFFF"/>
            <w:tcMar>
              <w:top w:w="0" w:type="dxa"/>
              <w:left w:w="0" w:type="dxa"/>
              <w:bottom w:w="0" w:type="dxa"/>
              <w:right w:w="0" w:type="dxa"/>
            </w:tcMar>
            <w:vAlign w:val="center"/>
          </w:tcPr>
          <w:p w14:paraId="2A6F6A0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58" w:type="pct"/>
            <w:shd w:val="clear" w:color="auto" w:fill="FFFFFF"/>
            <w:tcMar>
              <w:top w:w="0" w:type="dxa"/>
              <w:left w:w="0" w:type="dxa"/>
              <w:bottom w:w="0" w:type="dxa"/>
              <w:right w:w="0" w:type="dxa"/>
            </w:tcMar>
            <w:vAlign w:val="center"/>
          </w:tcPr>
          <w:p w14:paraId="7527A7C0">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62" w:type="pct"/>
            <w:shd w:val="clear" w:color="auto" w:fill="FFFFFF"/>
            <w:tcMar>
              <w:top w:w="0" w:type="dxa"/>
              <w:left w:w="0" w:type="dxa"/>
              <w:bottom w:w="0" w:type="dxa"/>
              <w:right w:w="0" w:type="dxa"/>
            </w:tcMar>
            <w:vAlign w:val="center"/>
          </w:tcPr>
          <w:p w14:paraId="7A38EAE8">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62" w:type="pct"/>
            <w:shd w:val="clear" w:color="auto" w:fill="FFFFFF"/>
            <w:tcMar>
              <w:top w:w="0" w:type="dxa"/>
              <w:left w:w="0" w:type="dxa"/>
              <w:bottom w:w="0" w:type="dxa"/>
              <w:right w:w="0" w:type="dxa"/>
            </w:tcMar>
            <w:vAlign w:val="center"/>
          </w:tcPr>
          <w:p w14:paraId="5654DE36">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1" w:type="pct"/>
            <w:shd w:val="clear" w:color="auto" w:fill="FFFFFF"/>
            <w:tcMar>
              <w:top w:w="0" w:type="dxa"/>
              <w:left w:w="0" w:type="dxa"/>
              <w:bottom w:w="0" w:type="dxa"/>
              <w:right w:w="0" w:type="dxa"/>
            </w:tcMar>
            <w:vAlign w:val="center"/>
          </w:tcPr>
          <w:p w14:paraId="48897529">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7BD770B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174" w:type="pct"/>
            <w:shd w:val="clear" w:color="auto" w:fill="FFFFFF"/>
            <w:tcMar>
              <w:top w:w="0" w:type="dxa"/>
              <w:left w:w="0" w:type="dxa"/>
              <w:bottom w:w="0" w:type="dxa"/>
              <w:right w:w="0" w:type="dxa"/>
            </w:tcMar>
            <w:vAlign w:val="center"/>
          </w:tcPr>
          <w:p w14:paraId="11F0039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174" w:type="pct"/>
            <w:shd w:val="clear" w:color="auto" w:fill="FFFFFF"/>
            <w:tcMar>
              <w:top w:w="0" w:type="dxa"/>
              <w:left w:w="0" w:type="dxa"/>
              <w:bottom w:w="0" w:type="dxa"/>
              <w:right w:w="0" w:type="dxa"/>
            </w:tcMar>
            <w:vAlign w:val="center"/>
          </w:tcPr>
          <w:p w14:paraId="3024B63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49</w:t>
            </w:r>
          </w:p>
        </w:tc>
        <w:tc>
          <w:tcPr>
            <w:tcW w:w="174" w:type="pct"/>
            <w:shd w:val="clear" w:color="auto" w:fill="FFFFFF"/>
            <w:tcMar>
              <w:top w:w="0" w:type="dxa"/>
              <w:left w:w="0" w:type="dxa"/>
              <w:bottom w:w="0" w:type="dxa"/>
              <w:right w:w="0" w:type="dxa"/>
            </w:tcMar>
            <w:vAlign w:val="center"/>
          </w:tcPr>
          <w:p w14:paraId="5BEC863E">
            <w:pPr>
              <w:spacing w:line="276" w:lineRule="auto"/>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264" w:type="pct"/>
            <w:shd w:val="clear" w:color="auto" w:fill="FFFFFF"/>
            <w:tcMar>
              <w:top w:w="0" w:type="dxa"/>
              <w:left w:w="0" w:type="dxa"/>
              <w:bottom w:w="0" w:type="dxa"/>
              <w:right w:w="0" w:type="dxa"/>
            </w:tcMar>
            <w:vAlign w:val="center"/>
          </w:tcPr>
          <w:p w14:paraId="0EB6EC9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2261FA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1CCD90D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182" w:type="pct"/>
            <w:vMerge w:val="continue"/>
            <w:shd w:val="clear" w:color="auto" w:fill="FFFFFF"/>
            <w:tcMar>
              <w:top w:w="0" w:type="dxa"/>
              <w:left w:w="0" w:type="dxa"/>
              <w:bottom w:w="0" w:type="dxa"/>
              <w:right w:w="0" w:type="dxa"/>
            </w:tcMar>
            <w:vAlign w:val="center"/>
          </w:tcPr>
          <w:p w14:paraId="66785EE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1ED4FDF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0037E93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574542CE">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r>
              <w:rPr>
                <w:rFonts w:hint="eastAsia" w:cs="Times New Roman"/>
                <w:color w:val="000000" w:themeColor="text1"/>
                <w:sz w:val="21"/>
                <w:szCs w:val="21"/>
                <w:lang w:val="en-US" w:eastAsia="zh-CN"/>
                <w14:textFill>
                  <w14:solidFill>
                    <w14:schemeClr w14:val="tx1"/>
                  </w14:solidFill>
                </w14:textFill>
              </w:rPr>
              <w:t>5</w:t>
            </w:r>
          </w:p>
        </w:tc>
        <w:tc>
          <w:tcPr>
            <w:tcW w:w="185" w:type="pct"/>
            <w:vMerge w:val="continue"/>
            <w:shd w:val="clear" w:color="auto" w:fill="FFFFFF"/>
            <w:tcMar>
              <w:top w:w="0" w:type="dxa"/>
              <w:left w:w="0" w:type="dxa"/>
              <w:bottom w:w="0" w:type="dxa"/>
              <w:right w:w="0" w:type="dxa"/>
            </w:tcMar>
            <w:vAlign w:val="center"/>
          </w:tcPr>
          <w:p w14:paraId="6A998DC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6B985AAB">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p>
        </w:tc>
        <w:tc>
          <w:tcPr>
            <w:tcW w:w="206" w:type="pct"/>
            <w:shd w:val="clear" w:color="auto" w:fill="FFFFFF"/>
            <w:tcMar>
              <w:top w:w="0" w:type="dxa"/>
              <w:left w:w="0" w:type="dxa"/>
              <w:bottom w:w="0" w:type="dxa"/>
              <w:right w:w="0" w:type="dxa"/>
            </w:tcMar>
            <w:vAlign w:val="center"/>
          </w:tcPr>
          <w:p w14:paraId="07E151A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w:t>
            </w:r>
          </w:p>
        </w:tc>
        <w:tc>
          <w:tcPr>
            <w:tcW w:w="211" w:type="pct"/>
            <w:shd w:val="clear" w:color="auto" w:fill="FFFFFF"/>
            <w:tcMar>
              <w:top w:w="0" w:type="dxa"/>
              <w:left w:w="0" w:type="dxa"/>
              <w:bottom w:w="0" w:type="dxa"/>
              <w:right w:w="0" w:type="dxa"/>
            </w:tcMar>
            <w:vAlign w:val="center"/>
          </w:tcPr>
          <w:p w14:paraId="74988ADA">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8</w:t>
            </w:r>
          </w:p>
        </w:tc>
        <w:tc>
          <w:tcPr>
            <w:tcW w:w="169" w:type="pct"/>
            <w:shd w:val="clear" w:color="auto" w:fill="FFFFFF"/>
            <w:tcMar>
              <w:top w:w="0" w:type="dxa"/>
              <w:left w:w="0" w:type="dxa"/>
              <w:bottom w:w="0" w:type="dxa"/>
              <w:right w:w="0" w:type="dxa"/>
            </w:tcMar>
            <w:vAlign w:val="center"/>
          </w:tcPr>
          <w:p w14:paraId="03252EA7">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55</w:t>
            </w:r>
          </w:p>
        </w:tc>
        <w:tc>
          <w:tcPr>
            <w:tcW w:w="169" w:type="pct"/>
            <w:shd w:val="clear" w:color="auto" w:fill="FFFFFF"/>
            <w:tcMar>
              <w:top w:w="0" w:type="dxa"/>
              <w:left w:w="0" w:type="dxa"/>
              <w:bottom w:w="0" w:type="dxa"/>
              <w:right w:w="0" w:type="dxa"/>
            </w:tcMar>
            <w:vAlign w:val="center"/>
          </w:tcPr>
          <w:p w14:paraId="4DE4A6F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49</w:t>
            </w:r>
          </w:p>
        </w:tc>
        <w:tc>
          <w:tcPr>
            <w:tcW w:w="169" w:type="pct"/>
            <w:shd w:val="clear" w:color="auto" w:fill="FFFFFF"/>
            <w:tcMar>
              <w:top w:w="0" w:type="dxa"/>
              <w:left w:w="0" w:type="dxa"/>
              <w:bottom w:w="0" w:type="dxa"/>
              <w:right w:w="0" w:type="dxa"/>
            </w:tcMar>
            <w:vAlign w:val="center"/>
          </w:tcPr>
          <w:p w14:paraId="59003D93">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65</w:t>
            </w:r>
          </w:p>
        </w:tc>
        <w:tc>
          <w:tcPr>
            <w:tcW w:w="180" w:type="pct"/>
            <w:shd w:val="clear" w:color="auto" w:fill="FFFFFF"/>
            <w:tcMar>
              <w:top w:w="0" w:type="dxa"/>
              <w:left w:w="0" w:type="dxa"/>
              <w:bottom w:w="0" w:type="dxa"/>
              <w:right w:w="0" w:type="dxa"/>
            </w:tcMar>
            <w:vAlign w:val="center"/>
          </w:tcPr>
          <w:p w14:paraId="7E0E419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61</w:t>
            </w:r>
          </w:p>
        </w:tc>
        <w:tc>
          <w:tcPr>
            <w:tcW w:w="169" w:type="pct"/>
            <w:shd w:val="clear" w:color="auto" w:fill="FFFFFF"/>
            <w:tcMar>
              <w:top w:w="0" w:type="dxa"/>
              <w:left w:w="0" w:type="dxa"/>
              <w:bottom w:w="0" w:type="dxa"/>
              <w:right w:w="0" w:type="dxa"/>
            </w:tcMar>
            <w:vAlign w:val="center"/>
          </w:tcPr>
          <w:p w14:paraId="1B98151A">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7</w:t>
            </w:r>
          </w:p>
        </w:tc>
        <w:tc>
          <w:tcPr>
            <w:tcW w:w="169" w:type="pct"/>
            <w:shd w:val="clear" w:color="auto" w:fill="FFFFFF"/>
            <w:tcMar>
              <w:top w:w="0" w:type="dxa"/>
              <w:left w:w="0" w:type="dxa"/>
              <w:bottom w:w="0" w:type="dxa"/>
              <w:right w:w="0" w:type="dxa"/>
            </w:tcMar>
            <w:vAlign w:val="center"/>
          </w:tcPr>
          <w:p w14:paraId="2C6D662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7</w:t>
            </w:r>
          </w:p>
        </w:tc>
        <w:tc>
          <w:tcPr>
            <w:tcW w:w="169" w:type="pct"/>
            <w:shd w:val="clear" w:color="auto" w:fill="FFFFFF"/>
            <w:tcMar>
              <w:top w:w="0" w:type="dxa"/>
              <w:left w:w="0" w:type="dxa"/>
              <w:bottom w:w="0" w:type="dxa"/>
              <w:right w:w="0" w:type="dxa"/>
            </w:tcMar>
            <w:vAlign w:val="center"/>
          </w:tcPr>
          <w:p w14:paraId="5EC70B4A">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1567E88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49" w:type="pct"/>
            <w:vMerge w:val="continue"/>
            <w:shd w:val="clear" w:color="auto" w:fill="FFFFFF"/>
            <w:tcMar>
              <w:top w:w="0" w:type="dxa"/>
              <w:left w:w="0" w:type="dxa"/>
              <w:bottom w:w="0" w:type="dxa"/>
              <w:right w:w="0" w:type="dxa"/>
            </w:tcMar>
            <w:vAlign w:val="center"/>
          </w:tcPr>
          <w:p w14:paraId="28BA739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49CC62E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7857E53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A8E2BD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0DA05FB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7DAACB96">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174" w:type="pct"/>
            <w:shd w:val="clear" w:color="auto" w:fill="FFFFFF"/>
            <w:tcMar>
              <w:top w:w="0" w:type="dxa"/>
              <w:left w:w="0" w:type="dxa"/>
              <w:bottom w:w="0" w:type="dxa"/>
              <w:right w:w="0" w:type="dxa"/>
            </w:tcMar>
            <w:vAlign w:val="center"/>
          </w:tcPr>
          <w:p w14:paraId="65E87D8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174" w:type="pct"/>
            <w:shd w:val="clear" w:color="auto" w:fill="FFFFFF"/>
            <w:tcMar>
              <w:top w:w="0" w:type="dxa"/>
              <w:left w:w="0" w:type="dxa"/>
              <w:bottom w:w="0" w:type="dxa"/>
              <w:right w:w="0" w:type="dxa"/>
            </w:tcMar>
            <w:vAlign w:val="center"/>
          </w:tcPr>
          <w:p w14:paraId="3FC4A75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174" w:type="pct"/>
            <w:shd w:val="clear" w:color="auto" w:fill="FFFFFF"/>
            <w:tcMar>
              <w:top w:w="0" w:type="dxa"/>
              <w:left w:w="0" w:type="dxa"/>
              <w:bottom w:w="0" w:type="dxa"/>
              <w:right w:w="0" w:type="dxa"/>
            </w:tcMar>
            <w:vAlign w:val="center"/>
          </w:tcPr>
          <w:p w14:paraId="7C2AF5D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264" w:type="pct"/>
            <w:shd w:val="clear" w:color="auto" w:fill="FFFFFF"/>
            <w:tcMar>
              <w:top w:w="0" w:type="dxa"/>
              <w:left w:w="0" w:type="dxa"/>
              <w:bottom w:w="0" w:type="dxa"/>
              <w:right w:w="0" w:type="dxa"/>
            </w:tcMar>
            <w:vAlign w:val="center"/>
          </w:tcPr>
          <w:p w14:paraId="7B5E27A0">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r>
      <w:tr w14:paraId="69D76D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18DB80D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182" w:type="pct"/>
            <w:vMerge w:val="continue"/>
            <w:shd w:val="clear" w:color="auto" w:fill="FFFFFF"/>
            <w:tcMar>
              <w:top w:w="0" w:type="dxa"/>
              <w:left w:w="0" w:type="dxa"/>
              <w:bottom w:w="0" w:type="dxa"/>
              <w:right w:w="0" w:type="dxa"/>
            </w:tcMar>
            <w:vAlign w:val="center"/>
          </w:tcPr>
          <w:p w14:paraId="0B2CD66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2A27978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081042F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379EEBF7">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8</w:t>
            </w:r>
            <w:r>
              <w:rPr>
                <w:rFonts w:hint="eastAsia" w:cs="Times New Roman"/>
                <w:color w:val="000000" w:themeColor="text1"/>
                <w:sz w:val="21"/>
                <w:szCs w:val="21"/>
                <w:lang w:val="en-US" w:eastAsia="zh-CN"/>
                <w14:textFill>
                  <w14:solidFill>
                    <w14:schemeClr w14:val="tx1"/>
                  </w14:solidFill>
                </w14:textFill>
              </w:rPr>
              <w:t>5</w:t>
            </w:r>
          </w:p>
        </w:tc>
        <w:tc>
          <w:tcPr>
            <w:tcW w:w="185" w:type="pct"/>
            <w:vMerge w:val="continue"/>
            <w:shd w:val="clear" w:color="auto" w:fill="FFFFFF"/>
            <w:tcMar>
              <w:top w:w="0" w:type="dxa"/>
              <w:left w:w="0" w:type="dxa"/>
              <w:bottom w:w="0" w:type="dxa"/>
              <w:right w:w="0" w:type="dxa"/>
            </w:tcMar>
            <w:vAlign w:val="center"/>
          </w:tcPr>
          <w:p w14:paraId="182FDE5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4215B862">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p>
        </w:tc>
        <w:tc>
          <w:tcPr>
            <w:tcW w:w="206" w:type="pct"/>
            <w:shd w:val="clear" w:color="auto" w:fill="FFFFFF"/>
            <w:tcMar>
              <w:top w:w="0" w:type="dxa"/>
              <w:left w:w="0" w:type="dxa"/>
              <w:bottom w:w="0" w:type="dxa"/>
              <w:right w:w="0" w:type="dxa"/>
            </w:tcMar>
            <w:vAlign w:val="center"/>
          </w:tcPr>
          <w:p w14:paraId="5B92AB1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-13</w:t>
            </w:r>
          </w:p>
        </w:tc>
        <w:tc>
          <w:tcPr>
            <w:tcW w:w="211" w:type="pct"/>
            <w:shd w:val="clear" w:color="auto" w:fill="FFFFFF"/>
            <w:tcMar>
              <w:top w:w="0" w:type="dxa"/>
              <w:left w:w="0" w:type="dxa"/>
              <w:bottom w:w="0" w:type="dxa"/>
              <w:right w:w="0" w:type="dxa"/>
            </w:tcMar>
            <w:vAlign w:val="center"/>
          </w:tcPr>
          <w:p w14:paraId="6E14C387">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8</w:t>
            </w:r>
          </w:p>
        </w:tc>
        <w:tc>
          <w:tcPr>
            <w:tcW w:w="169" w:type="pct"/>
            <w:shd w:val="clear" w:color="auto" w:fill="FFFFFF"/>
            <w:tcMar>
              <w:top w:w="0" w:type="dxa"/>
              <w:left w:w="0" w:type="dxa"/>
              <w:bottom w:w="0" w:type="dxa"/>
              <w:right w:w="0" w:type="dxa"/>
            </w:tcMar>
            <w:vAlign w:val="center"/>
          </w:tcPr>
          <w:p w14:paraId="0603D03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55</w:t>
            </w:r>
          </w:p>
        </w:tc>
        <w:tc>
          <w:tcPr>
            <w:tcW w:w="169" w:type="pct"/>
            <w:shd w:val="clear" w:color="auto" w:fill="FFFFFF"/>
            <w:tcMar>
              <w:top w:w="0" w:type="dxa"/>
              <w:left w:w="0" w:type="dxa"/>
              <w:bottom w:w="0" w:type="dxa"/>
              <w:right w:w="0" w:type="dxa"/>
            </w:tcMar>
            <w:vAlign w:val="center"/>
          </w:tcPr>
          <w:p w14:paraId="331B9FE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169" w:type="pct"/>
            <w:shd w:val="clear" w:color="auto" w:fill="FFFFFF"/>
            <w:tcMar>
              <w:top w:w="0" w:type="dxa"/>
              <w:left w:w="0" w:type="dxa"/>
              <w:bottom w:w="0" w:type="dxa"/>
              <w:right w:w="0" w:type="dxa"/>
            </w:tcMar>
            <w:vAlign w:val="center"/>
          </w:tcPr>
          <w:p w14:paraId="1CD4D1B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65</w:t>
            </w:r>
          </w:p>
        </w:tc>
        <w:tc>
          <w:tcPr>
            <w:tcW w:w="180" w:type="pct"/>
            <w:shd w:val="clear" w:color="auto" w:fill="FFFFFF"/>
            <w:tcMar>
              <w:top w:w="0" w:type="dxa"/>
              <w:left w:w="0" w:type="dxa"/>
              <w:bottom w:w="0" w:type="dxa"/>
              <w:right w:w="0" w:type="dxa"/>
            </w:tcMar>
            <w:vAlign w:val="center"/>
          </w:tcPr>
          <w:p w14:paraId="057FDEF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68</w:t>
            </w:r>
          </w:p>
        </w:tc>
        <w:tc>
          <w:tcPr>
            <w:tcW w:w="169" w:type="pct"/>
            <w:shd w:val="clear" w:color="auto" w:fill="FFFFFF"/>
            <w:tcMar>
              <w:top w:w="0" w:type="dxa"/>
              <w:left w:w="0" w:type="dxa"/>
              <w:bottom w:w="0" w:type="dxa"/>
              <w:right w:w="0" w:type="dxa"/>
            </w:tcMar>
            <w:vAlign w:val="center"/>
          </w:tcPr>
          <w:p w14:paraId="7F87C9F5">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7</w:t>
            </w:r>
          </w:p>
        </w:tc>
        <w:tc>
          <w:tcPr>
            <w:tcW w:w="169" w:type="pct"/>
            <w:shd w:val="clear" w:color="auto" w:fill="FFFFFF"/>
            <w:tcMar>
              <w:top w:w="0" w:type="dxa"/>
              <w:left w:w="0" w:type="dxa"/>
              <w:bottom w:w="0" w:type="dxa"/>
              <w:right w:w="0" w:type="dxa"/>
            </w:tcMar>
            <w:vAlign w:val="center"/>
          </w:tcPr>
          <w:p w14:paraId="5F77632E">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7</w:t>
            </w:r>
          </w:p>
        </w:tc>
        <w:tc>
          <w:tcPr>
            <w:tcW w:w="169" w:type="pct"/>
            <w:shd w:val="clear" w:color="auto" w:fill="FFFFFF"/>
            <w:tcMar>
              <w:top w:w="0" w:type="dxa"/>
              <w:left w:w="0" w:type="dxa"/>
              <w:bottom w:w="0" w:type="dxa"/>
              <w:right w:w="0" w:type="dxa"/>
            </w:tcMar>
            <w:vAlign w:val="center"/>
          </w:tcPr>
          <w:p w14:paraId="66D24396">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29B14E8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49" w:type="pct"/>
            <w:vMerge w:val="continue"/>
            <w:shd w:val="clear" w:color="auto" w:fill="FFFFFF"/>
            <w:tcMar>
              <w:top w:w="0" w:type="dxa"/>
              <w:left w:w="0" w:type="dxa"/>
              <w:bottom w:w="0" w:type="dxa"/>
              <w:right w:w="0" w:type="dxa"/>
            </w:tcMar>
            <w:vAlign w:val="center"/>
          </w:tcPr>
          <w:p w14:paraId="2E43C87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66AC9E1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248D000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0023BE0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1F8D382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507A4D5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493" w:type="dxa"/>
            <w:shd w:val="clear" w:color="auto" w:fill="FFFFFF"/>
            <w:tcMar>
              <w:top w:w="0" w:type="dxa"/>
              <w:left w:w="0" w:type="dxa"/>
              <w:bottom w:w="0" w:type="dxa"/>
              <w:right w:w="0" w:type="dxa"/>
            </w:tcMar>
            <w:vAlign w:val="center"/>
          </w:tcPr>
          <w:p w14:paraId="64F6DBE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493" w:type="dxa"/>
            <w:shd w:val="clear" w:color="auto" w:fill="FFFFFF"/>
            <w:tcMar>
              <w:top w:w="0" w:type="dxa"/>
              <w:left w:w="0" w:type="dxa"/>
              <w:bottom w:w="0" w:type="dxa"/>
              <w:right w:w="0" w:type="dxa"/>
            </w:tcMar>
            <w:vAlign w:val="center"/>
          </w:tcPr>
          <w:p w14:paraId="6DA692F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493" w:type="dxa"/>
            <w:shd w:val="clear" w:color="auto" w:fill="FFFFFF"/>
            <w:tcMar>
              <w:top w:w="0" w:type="dxa"/>
              <w:left w:w="0" w:type="dxa"/>
              <w:bottom w:w="0" w:type="dxa"/>
              <w:right w:w="0" w:type="dxa"/>
            </w:tcMar>
            <w:vAlign w:val="center"/>
          </w:tcPr>
          <w:p w14:paraId="13D0954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264" w:type="pct"/>
            <w:shd w:val="clear" w:color="auto" w:fill="FFFFFF"/>
            <w:tcMar>
              <w:top w:w="0" w:type="dxa"/>
              <w:left w:w="0" w:type="dxa"/>
              <w:bottom w:w="0" w:type="dxa"/>
              <w:right w:w="0" w:type="dxa"/>
            </w:tcMar>
            <w:vAlign w:val="center"/>
          </w:tcPr>
          <w:p w14:paraId="13A4591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r>
      <w:tr w14:paraId="360D99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4CE06CF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182" w:type="pct"/>
            <w:vMerge w:val="continue"/>
            <w:shd w:val="clear" w:color="auto" w:fill="FFFFFF"/>
            <w:tcMar>
              <w:top w:w="0" w:type="dxa"/>
              <w:left w:w="0" w:type="dxa"/>
              <w:bottom w:w="0" w:type="dxa"/>
              <w:right w:w="0" w:type="dxa"/>
            </w:tcMar>
            <w:vAlign w:val="center"/>
          </w:tcPr>
          <w:p w14:paraId="274866F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4D54986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64EF2B2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352C4376">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8</w:t>
            </w:r>
            <w:r>
              <w:rPr>
                <w:rFonts w:hint="eastAsia" w:cs="Times New Roman"/>
                <w:color w:val="000000" w:themeColor="text1"/>
                <w:sz w:val="21"/>
                <w:szCs w:val="21"/>
                <w:lang w:val="en-US" w:eastAsia="zh-CN"/>
                <w14:textFill>
                  <w14:solidFill>
                    <w14:schemeClr w14:val="tx1"/>
                  </w14:solidFill>
                </w14:textFill>
              </w:rPr>
              <w:t>5</w:t>
            </w:r>
          </w:p>
        </w:tc>
        <w:tc>
          <w:tcPr>
            <w:tcW w:w="185" w:type="pct"/>
            <w:vMerge w:val="continue"/>
            <w:shd w:val="clear" w:color="auto" w:fill="FFFFFF"/>
            <w:tcMar>
              <w:top w:w="0" w:type="dxa"/>
              <w:left w:w="0" w:type="dxa"/>
              <w:bottom w:w="0" w:type="dxa"/>
              <w:right w:w="0" w:type="dxa"/>
            </w:tcMar>
            <w:vAlign w:val="center"/>
          </w:tcPr>
          <w:p w14:paraId="7225EA9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2C86974B">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w:t>
            </w:r>
          </w:p>
        </w:tc>
        <w:tc>
          <w:tcPr>
            <w:tcW w:w="206" w:type="pct"/>
            <w:shd w:val="clear" w:color="auto" w:fill="FFFFFF"/>
            <w:tcMar>
              <w:top w:w="0" w:type="dxa"/>
              <w:left w:w="0" w:type="dxa"/>
              <w:bottom w:w="0" w:type="dxa"/>
              <w:right w:w="0" w:type="dxa"/>
            </w:tcMar>
            <w:vAlign w:val="center"/>
          </w:tcPr>
          <w:p w14:paraId="74F7F8A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-13</w:t>
            </w:r>
          </w:p>
        </w:tc>
        <w:tc>
          <w:tcPr>
            <w:tcW w:w="211" w:type="pct"/>
            <w:shd w:val="clear" w:color="auto" w:fill="FFFFFF"/>
            <w:tcMar>
              <w:top w:w="0" w:type="dxa"/>
              <w:left w:w="0" w:type="dxa"/>
              <w:bottom w:w="0" w:type="dxa"/>
              <w:right w:w="0" w:type="dxa"/>
            </w:tcMar>
            <w:vAlign w:val="center"/>
          </w:tcPr>
          <w:p w14:paraId="16F33095">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8</w:t>
            </w:r>
          </w:p>
        </w:tc>
        <w:tc>
          <w:tcPr>
            <w:tcW w:w="169" w:type="pct"/>
            <w:shd w:val="clear" w:color="auto" w:fill="FFFFFF"/>
            <w:tcMar>
              <w:top w:w="0" w:type="dxa"/>
              <w:left w:w="0" w:type="dxa"/>
              <w:bottom w:w="0" w:type="dxa"/>
              <w:right w:w="0" w:type="dxa"/>
            </w:tcMar>
            <w:vAlign w:val="center"/>
          </w:tcPr>
          <w:p w14:paraId="1AEBA92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52</w:t>
            </w:r>
          </w:p>
        </w:tc>
        <w:tc>
          <w:tcPr>
            <w:tcW w:w="169" w:type="pct"/>
            <w:shd w:val="clear" w:color="auto" w:fill="FFFFFF"/>
            <w:tcMar>
              <w:top w:w="0" w:type="dxa"/>
              <w:left w:w="0" w:type="dxa"/>
              <w:bottom w:w="0" w:type="dxa"/>
              <w:right w:w="0" w:type="dxa"/>
            </w:tcMar>
            <w:vAlign w:val="center"/>
          </w:tcPr>
          <w:p w14:paraId="66D38AF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169" w:type="pct"/>
            <w:shd w:val="clear" w:color="auto" w:fill="FFFFFF"/>
            <w:tcMar>
              <w:top w:w="0" w:type="dxa"/>
              <w:left w:w="0" w:type="dxa"/>
              <w:bottom w:w="0" w:type="dxa"/>
              <w:right w:w="0" w:type="dxa"/>
            </w:tcMar>
            <w:vAlign w:val="center"/>
          </w:tcPr>
          <w:p w14:paraId="751E270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68</w:t>
            </w:r>
          </w:p>
        </w:tc>
        <w:tc>
          <w:tcPr>
            <w:tcW w:w="180" w:type="pct"/>
            <w:shd w:val="clear" w:color="auto" w:fill="FFFFFF"/>
            <w:tcMar>
              <w:top w:w="0" w:type="dxa"/>
              <w:left w:w="0" w:type="dxa"/>
              <w:bottom w:w="0" w:type="dxa"/>
              <w:right w:w="0" w:type="dxa"/>
            </w:tcMar>
            <w:vAlign w:val="center"/>
          </w:tcPr>
          <w:p w14:paraId="43BB6D2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68</w:t>
            </w:r>
          </w:p>
        </w:tc>
        <w:tc>
          <w:tcPr>
            <w:tcW w:w="169" w:type="pct"/>
            <w:shd w:val="clear" w:color="auto" w:fill="FFFFFF"/>
            <w:tcMar>
              <w:top w:w="0" w:type="dxa"/>
              <w:left w:w="0" w:type="dxa"/>
              <w:bottom w:w="0" w:type="dxa"/>
              <w:right w:w="0" w:type="dxa"/>
            </w:tcMar>
            <w:vAlign w:val="center"/>
          </w:tcPr>
          <w:p w14:paraId="239B957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7</w:t>
            </w:r>
          </w:p>
        </w:tc>
        <w:tc>
          <w:tcPr>
            <w:tcW w:w="169" w:type="pct"/>
            <w:shd w:val="clear" w:color="auto" w:fill="FFFFFF"/>
            <w:tcMar>
              <w:top w:w="0" w:type="dxa"/>
              <w:left w:w="0" w:type="dxa"/>
              <w:bottom w:w="0" w:type="dxa"/>
              <w:right w:w="0" w:type="dxa"/>
            </w:tcMar>
            <w:vAlign w:val="center"/>
          </w:tcPr>
          <w:p w14:paraId="2F44820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7</w:t>
            </w:r>
          </w:p>
        </w:tc>
        <w:tc>
          <w:tcPr>
            <w:tcW w:w="169" w:type="pct"/>
            <w:shd w:val="clear" w:color="auto" w:fill="FFFFFF"/>
            <w:tcMar>
              <w:top w:w="0" w:type="dxa"/>
              <w:left w:w="0" w:type="dxa"/>
              <w:bottom w:w="0" w:type="dxa"/>
              <w:right w:w="0" w:type="dxa"/>
            </w:tcMar>
            <w:vAlign w:val="center"/>
          </w:tcPr>
          <w:p w14:paraId="67789A0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3B95815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49" w:type="pct"/>
            <w:vMerge w:val="continue"/>
            <w:shd w:val="clear" w:color="auto" w:fill="FFFFFF"/>
            <w:tcMar>
              <w:top w:w="0" w:type="dxa"/>
              <w:left w:w="0" w:type="dxa"/>
              <w:bottom w:w="0" w:type="dxa"/>
              <w:right w:w="0" w:type="dxa"/>
            </w:tcMar>
            <w:vAlign w:val="center"/>
          </w:tcPr>
          <w:p w14:paraId="4D42B06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6F7910F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2CE8AFE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24409DC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4B2B828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50D8BCC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493" w:type="dxa"/>
            <w:shd w:val="clear" w:color="auto" w:fill="FFFFFF"/>
            <w:tcMar>
              <w:top w:w="0" w:type="dxa"/>
              <w:left w:w="0" w:type="dxa"/>
              <w:bottom w:w="0" w:type="dxa"/>
              <w:right w:w="0" w:type="dxa"/>
            </w:tcMar>
            <w:vAlign w:val="center"/>
          </w:tcPr>
          <w:p w14:paraId="73BDB0E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493" w:type="dxa"/>
            <w:shd w:val="clear" w:color="auto" w:fill="FFFFFF"/>
            <w:tcMar>
              <w:top w:w="0" w:type="dxa"/>
              <w:left w:w="0" w:type="dxa"/>
              <w:bottom w:w="0" w:type="dxa"/>
              <w:right w:w="0" w:type="dxa"/>
            </w:tcMar>
            <w:vAlign w:val="center"/>
          </w:tcPr>
          <w:p w14:paraId="0125310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493" w:type="dxa"/>
            <w:shd w:val="clear" w:color="auto" w:fill="FFFFFF"/>
            <w:tcMar>
              <w:top w:w="0" w:type="dxa"/>
              <w:left w:w="0" w:type="dxa"/>
              <w:bottom w:w="0" w:type="dxa"/>
              <w:right w:w="0" w:type="dxa"/>
            </w:tcMar>
            <w:vAlign w:val="center"/>
          </w:tcPr>
          <w:p w14:paraId="379166A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264" w:type="pct"/>
            <w:shd w:val="clear" w:color="auto" w:fill="FFFFFF"/>
            <w:tcMar>
              <w:top w:w="0" w:type="dxa"/>
              <w:left w:w="0" w:type="dxa"/>
              <w:bottom w:w="0" w:type="dxa"/>
              <w:right w:w="0" w:type="dxa"/>
            </w:tcMar>
            <w:vAlign w:val="center"/>
          </w:tcPr>
          <w:p w14:paraId="7177352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077852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20FD8C89">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6</w:t>
            </w:r>
          </w:p>
        </w:tc>
        <w:tc>
          <w:tcPr>
            <w:tcW w:w="182" w:type="pct"/>
            <w:vMerge w:val="continue"/>
            <w:shd w:val="clear" w:color="auto" w:fill="FFFFFF"/>
            <w:tcMar>
              <w:top w:w="0" w:type="dxa"/>
              <w:left w:w="0" w:type="dxa"/>
              <w:bottom w:w="0" w:type="dxa"/>
              <w:right w:w="0" w:type="dxa"/>
            </w:tcMar>
            <w:vAlign w:val="center"/>
          </w:tcPr>
          <w:p w14:paraId="35A187E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1A7513E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restart"/>
            <w:shd w:val="clear" w:color="auto" w:fill="FFFFFF"/>
            <w:tcMar>
              <w:top w:w="0" w:type="dxa"/>
              <w:left w:w="0" w:type="dxa"/>
              <w:bottom w:w="0" w:type="dxa"/>
              <w:right w:w="0" w:type="dxa"/>
            </w:tcMar>
            <w:vAlign w:val="center"/>
          </w:tcPr>
          <w:p w14:paraId="53399E9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600型</w:t>
            </w:r>
          </w:p>
        </w:tc>
        <w:tc>
          <w:tcPr>
            <w:tcW w:w="218" w:type="pct"/>
            <w:shd w:val="clear" w:color="auto" w:fill="FFFFFF"/>
            <w:tcMar>
              <w:top w:w="0" w:type="dxa"/>
              <w:left w:w="0" w:type="dxa"/>
              <w:bottom w:w="0" w:type="dxa"/>
              <w:right w:w="0" w:type="dxa"/>
            </w:tcMar>
            <w:vAlign w:val="center"/>
          </w:tcPr>
          <w:p w14:paraId="4631278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8</w:t>
            </w:r>
            <w:r>
              <w:rPr>
                <w:rFonts w:hint="eastAsia" w:cs="Times New Roman"/>
                <w:color w:val="000000" w:themeColor="text1"/>
                <w:sz w:val="21"/>
                <w:szCs w:val="21"/>
                <w:lang w:val="en-US" w:eastAsia="zh-CN"/>
                <w14:textFill>
                  <w14:solidFill>
                    <w14:schemeClr w14:val="tx1"/>
                  </w14:solidFill>
                </w14:textFill>
              </w:rPr>
              <w:t>5</w:t>
            </w:r>
          </w:p>
        </w:tc>
        <w:tc>
          <w:tcPr>
            <w:tcW w:w="185" w:type="pct"/>
            <w:vMerge w:val="continue"/>
            <w:shd w:val="clear" w:color="auto" w:fill="FFFFFF"/>
            <w:tcMar>
              <w:top w:w="0" w:type="dxa"/>
              <w:left w:w="0" w:type="dxa"/>
              <w:bottom w:w="0" w:type="dxa"/>
              <w:right w:w="0" w:type="dxa"/>
            </w:tcMar>
            <w:vAlign w:val="center"/>
          </w:tcPr>
          <w:p w14:paraId="77B260C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7E508F2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206" w:type="pct"/>
            <w:shd w:val="clear" w:color="auto" w:fill="FFFFFF"/>
            <w:tcMar>
              <w:top w:w="0" w:type="dxa"/>
              <w:left w:w="0" w:type="dxa"/>
              <w:bottom w:w="0" w:type="dxa"/>
              <w:right w:w="0" w:type="dxa"/>
            </w:tcMar>
            <w:vAlign w:val="center"/>
          </w:tcPr>
          <w:p w14:paraId="61F9C89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-25</w:t>
            </w:r>
          </w:p>
        </w:tc>
        <w:tc>
          <w:tcPr>
            <w:tcW w:w="211" w:type="pct"/>
            <w:shd w:val="clear" w:color="auto" w:fill="FFFFFF"/>
            <w:tcMar>
              <w:top w:w="0" w:type="dxa"/>
              <w:left w:w="0" w:type="dxa"/>
              <w:bottom w:w="0" w:type="dxa"/>
              <w:right w:w="0" w:type="dxa"/>
            </w:tcMar>
            <w:vAlign w:val="center"/>
          </w:tcPr>
          <w:p w14:paraId="34B5B024">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5</w:t>
            </w:r>
          </w:p>
        </w:tc>
        <w:tc>
          <w:tcPr>
            <w:tcW w:w="169" w:type="pct"/>
            <w:shd w:val="clear" w:color="auto" w:fill="FFFFFF"/>
            <w:tcMar>
              <w:top w:w="0" w:type="dxa"/>
              <w:left w:w="0" w:type="dxa"/>
              <w:bottom w:w="0" w:type="dxa"/>
              <w:right w:w="0" w:type="dxa"/>
            </w:tcMar>
            <w:vAlign w:val="center"/>
          </w:tcPr>
          <w:p w14:paraId="350103C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75</w:t>
            </w:r>
          </w:p>
        </w:tc>
        <w:tc>
          <w:tcPr>
            <w:tcW w:w="169" w:type="pct"/>
            <w:shd w:val="clear" w:color="auto" w:fill="FFFFFF"/>
            <w:tcMar>
              <w:top w:w="0" w:type="dxa"/>
              <w:left w:w="0" w:type="dxa"/>
              <w:bottom w:w="0" w:type="dxa"/>
              <w:right w:w="0" w:type="dxa"/>
            </w:tcMar>
            <w:vAlign w:val="center"/>
          </w:tcPr>
          <w:p w14:paraId="10ABF02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30</w:t>
            </w:r>
          </w:p>
        </w:tc>
        <w:tc>
          <w:tcPr>
            <w:tcW w:w="169" w:type="pct"/>
            <w:shd w:val="clear" w:color="auto" w:fill="FFFFFF"/>
            <w:tcMar>
              <w:top w:w="0" w:type="dxa"/>
              <w:left w:w="0" w:type="dxa"/>
              <w:bottom w:w="0" w:type="dxa"/>
              <w:right w:w="0" w:type="dxa"/>
            </w:tcMar>
            <w:vAlign w:val="center"/>
          </w:tcPr>
          <w:p w14:paraId="5AE24CD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180" w:type="pct"/>
            <w:shd w:val="clear" w:color="auto" w:fill="FFFFFF"/>
            <w:tcMar>
              <w:top w:w="0" w:type="dxa"/>
              <w:left w:w="0" w:type="dxa"/>
              <w:bottom w:w="0" w:type="dxa"/>
              <w:right w:w="0" w:type="dxa"/>
            </w:tcMar>
            <w:vAlign w:val="center"/>
          </w:tcPr>
          <w:p w14:paraId="28B95A5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80</w:t>
            </w:r>
          </w:p>
        </w:tc>
        <w:tc>
          <w:tcPr>
            <w:tcW w:w="169" w:type="pct"/>
            <w:shd w:val="clear" w:color="auto" w:fill="FFFFFF"/>
            <w:tcMar>
              <w:top w:w="0" w:type="dxa"/>
              <w:left w:w="0" w:type="dxa"/>
              <w:bottom w:w="0" w:type="dxa"/>
              <w:right w:w="0" w:type="dxa"/>
            </w:tcMar>
            <w:vAlign w:val="center"/>
          </w:tcPr>
          <w:p w14:paraId="4BDCDF3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69" w:type="pct"/>
            <w:shd w:val="clear" w:color="auto" w:fill="FFFFFF"/>
            <w:tcMar>
              <w:top w:w="0" w:type="dxa"/>
              <w:left w:w="0" w:type="dxa"/>
              <w:bottom w:w="0" w:type="dxa"/>
              <w:right w:w="0" w:type="dxa"/>
            </w:tcMar>
            <w:vAlign w:val="center"/>
          </w:tcPr>
          <w:p w14:paraId="1DB44AA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69</w:t>
            </w:r>
          </w:p>
        </w:tc>
        <w:tc>
          <w:tcPr>
            <w:tcW w:w="169" w:type="pct"/>
            <w:shd w:val="clear" w:color="auto" w:fill="FFFFFF"/>
            <w:tcMar>
              <w:top w:w="0" w:type="dxa"/>
              <w:left w:w="0" w:type="dxa"/>
              <w:bottom w:w="0" w:type="dxa"/>
              <w:right w:w="0" w:type="dxa"/>
            </w:tcMar>
            <w:vAlign w:val="center"/>
          </w:tcPr>
          <w:p w14:paraId="63FC883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67</w:t>
            </w:r>
          </w:p>
        </w:tc>
        <w:tc>
          <w:tcPr>
            <w:tcW w:w="174" w:type="pct"/>
            <w:shd w:val="clear" w:color="auto" w:fill="FFFFFF"/>
            <w:tcMar>
              <w:top w:w="0" w:type="dxa"/>
              <w:left w:w="0" w:type="dxa"/>
              <w:bottom w:w="0" w:type="dxa"/>
              <w:right w:w="0" w:type="dxa"/>
            </w:tcMar>
            <w:vAlign w:val="center"/>
          </w:tcPr>
          <w:p w14:paraId="4AB17A2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49" w:type="pct"/>
            <w:vMerge w:val="continue"/>
            <w:shd w:val="clear" w:color="auto" w:fill="FFFFFF"/>
            <w:tcMar>
              <w:top w:w="0" w:type="dxa"/>
              <w:left w:w="0" w:type="dxa"/>
              <w:bottom w:w="0" w:type="dxa"/>
              <w:right w:w="0" w:type="dxa"/>
            </w:tcMar>
            <w:vAlign w:val="center"/>
          </w:tcPr>
          <w:p w14:paraId="3B30918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2565B2F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354D0EF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3E86284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3DA491D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6C5EAB59">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37C5706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9</w:t>
            </w:r>
          </w:p>
        </w:tc>
        <w:tc>
          <w:tcPr>
            <w:tcW w:w="174" w:type="pct"/>
            <w:shd w:val="clear" w:color="auto" w:fill="FFFFFF"/>
            <w:tcMar>
              <w:top w:w="0" w:type="dxa"/>
              <w:left w:w="0" w:type="dxa"/>
              <w:bottom w:w="0" w:type="dxa"/>
              <w:right w:w="0" w:type="dxa"/>
            </w:tcMar>
            <w:vAlign w:val="center"/>
          </w:tcPr>
          <w:p w14:paraId="73D9D047">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7</w:t>
            </w:r>
          </w:p>
        </w:tc>
        <w:tc>
          <w:tcPr>
            <w:tcW w:w="174" w:type="pct"/>
            <w:shd w:val="clear" w:color="auto" w:fill="FFFFFF"/>
            <w:tcMar>
              <w:top w:w="0" w:type="dxa"/>
              <w:left w:w="0" w:type="dxa"/>
              <w:bottom w:w="0" w:type="dxa"/>
              <w:right w:w="0" w:type="dxa"/>
            </w:tcMar>
            <w:vAlign w:val="center"/>
          </w:tcPr>
          <w:p w14:paraId="0C841F2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6</w:t>
            </w:r>
          </w:p>
        </w:tc>
        <w:tc>
          <w:tcPr>
            <w:tcW w:w="264" w:type="pct"/>
            <w:shd w:val="clear" w:color="auto" w:fill="FFFFFF"/>
            <w:tcMar>
              <w:top w:w="0" w:type="dxa"/>
              <w:left w:w="0" w:type="dxa"/>
              <w:bottom w:w="0" w:type="dxa"/>
              <w:right w:w="0" w:type="dxa"/>
            </w:tcMar>
            <w:vAlign w:val="center"/>
          </w:tcPr>
          <w:p w14:paraId="2A87B34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4B4387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783564E3">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w:t>
            </w:r>
          </w:p>
        </w:tc>
        <w:tc>
          <w:tcPr>
            <w:tcW w:w="182" w:type="pct"/>
            <w:vMerge w:val="continue"/>
            <w:shd w:val="clear" w:color="auto" w:fill="FFFFFF"/>
            <w:tcMar>
              <w:top w:w="0" w:type="dxa"/>
              <w:left w:w="0" w:type="dxa"/>
              <w:bottom w:w="0" w:type="dxa"/>
              <w:right w:w="0" w:type="dxa"/>
            </w:tcMar>
            <w:vAlign w:val="center"/>
          </w:tcPr>
          <w:p w14:paraId="6E91348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1999266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755B9C9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5E970B8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8</w:t>
            </w:r>
            <w:r>
              <w:rPr>
                <w:rFonts w:hint="eastAsia" w:cs="Times New Roman"/>
                <w:color w:val="000000" w:themeColor="text1"/>
                <w:sz w:val="21"/>
                <w:szCs w:val="21"/>
                <w:lang w:val="en-US" w:eastAsia="zh-CN"/>
                <w14:textFill>
                  <w14:solidFill>
                    <w14:schemeClr w14:val="tx1"/>
                  </w14:solidFill>
                </w14:textFill>
              </w:rPr>
              <w:t>5</w:t>
            </w:r>
          </w:p>
        </w:tc>
        <w:tc>
          <w:tcPr>
            <w:tcW w:w="185" w:type="pct"/>
            <w:vMerge w:val="continue"/>
            <w:shd w:val="clear" w:color="auto" w:fill="FFFFFF"/>
            <w:tcMar>
              <w:top w:w="0" w:type="dxa"/>
              <w:left w:w="0" w:type="dxa"/>
              <w:bottom w:w="0" w:type="dxa"/>
              <w:right w:w="0" w:type="dxa"/>
            </w:tcMar>
            <w:vAlign w:val="center"/>
          </w:tcPr>
          <w:p w14:paraId="4E2BA2F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399DD93A">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w:t>
            </w:r>
          </w:p>
        </w:tc>
        <w:tc>
          <w:tcPr>
            <w:tcW w:w="206" w:type="pct"/>
            <w:shd w:val="clear" w:color="auto" w:fill="FFFFFF"/>
            <w:tcMar>
              <w:top w:w="0" w:type="dxa"/>
              <w:left w:w="0" w:type="dxa"/>
              <w:bottom w:w="0" w:type="dxa"/>
              <w:right w:w="0" w:type="dxa"/>
            </w:tcMar>
            <w:vAlign w:val="center"/>
          </w:tcPr>
          <w:p w14:paraId="52CAE9DC">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-25</w:t>
            </w:r>
          </w:p>
        </w:tc>
        <w:tc>
          <w:tcPr>
            <w:tcW w:w="211" w:type="pct"/>
            <w:shd w:val="clear" w:color="auto" w:fill="FFFFFF"/>
            <w:tcMar>
              <w:top w:w="0" w:type="dxa"/>
              <w:left w:w="0" w:type="dxa"/>
              <w:bottom w:w="0" w:type="dxa"/>
              <w:right w:w="0" w:type="dxa"/>
            </w:tcMar>
            <w:vAlign w:val="center"/>
          </w:tcPr>
          <w:p w14:paraId="7333F1E7">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5</w:t>
            </w:r>
          </w:p>
        </w:tc>
        <w:tc>
          <w:tcPr>
            <w:tcW w:w="169" w:type="pct"/>
            <w:shd w:val="clear" w:color="auto" w:fill="FFFFFF"/>
            <w:tcMar>
              <w:top w:w="0" w:type="dxa"/>
              <w:left w:w="0" w:type="dxa"/>
              <w:bottom w:w="0" w:type="dxa"/>
              <w:right w:w="0" w:type="dxa"/>
            </w:tcMar>
            <w:vAlign w:val="center"/>
          </w:tcPr>
          <w:p w14:paraId="11EC571E">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52</w:t>
            </w:r>
          </w:p>
        </w:tc>
        <w:tc>
          <w:tcPr>
            <w:tcW w:w="169" w:type="pct"/>
            <w:shd w:val="clear" w:color="auto" w:fill="FFFFFF"/>
            <w:tcMar>
              <w:top w:w="0" w:type="dxa"/>
              <w:left w:w="0" w:type="dxa"/>
              <w:bottom w:w="0" w:type="dxa"/>
              <w:right w:w="0" w:type="dxa"/>
            </w:tcMar>
            <w:vAlign w:val="center"/>
          </w:tcPr>
          <w:p w14:paraId="4044ABC1">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30</w:t>
            </w:r>
          </w:p>
        </w:tc>
        <w:tc>
          <w:tcPr>
            <w:tcW w:w="169" w:type="pct"/>
            <w:shd w:val="clear" w:color="auto" w:fill="FFFFFF"/>
            <w:tcMar>
              <w:top w:w="0" w:type="dxa"/>
              <w:left w:w="0" w:type="dxa"/>
              <w:bottom w:w="0" w:type="dxa"/>
              <w:right w:w="0" w:type="dxa"/>
            </w:tcMar>
            <w:vAlign w:val="center"/>
          </w:tcPr>
          <w:p w14:paraId="382734E6">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68</w:t>
            </w:r>
          </w:p>
        </w:tc>
        <w:tc>
          <w:tcPr>
            <w:tcW w:w="180" w:type="pct"/>
            <w:shd w:val="clear" w:color="auto" w:fill="FFFFFF"/>
            <w:tcMar>
              <w:top w:w="0" w:type="dxa"/>
              <w:left w:w="0" w:type="dxa"/>
              <w:bottom w:w="0" w:type="dxa"/>
              <w:right w:w="0" w:type="dxa"/>
            </w:tcMar>
            <w:vAlign w:val="center"/>
          </w:tcPr>
          <w:p w14:paraId="1B92617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80</w:t>
            </w:r>
          </w:p>
        </w:tc>
        <w:tc>
          <w:tcPr>
            <w:tcW w:w="169" w:type="pct"/>
            <w:shd w:val="clear" w:color="auto" w:fill="FFFFFF"/>
            <w:tcMar>
              <w:top w:w="0" w:type="dxa"/>
              <w:left w:w="0" w:type="dxa"/>
              <w:bottom w:w="0" w:type="dxa"/>
              <w:right w:w="0" w:type="dxa"/>
            </w:tcMar>
            <w:vAlign w:val="center"/>
          </w:tcPr>
          <w:p w14:paraId="5F328109">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67</w:t>
            </w:r>
          </w:p>
        </w:tc>
        <w:tc>
          <w:tcPr>
            <w:tcW w:w="169" w:type="pct"/>
            <w:shd w:val="clear" w:color="auto" w:fill="FFFFFF"/>
            <w:tcMar>
              <w:top w:w="0" w:type="dxa"/>
              <w:left w:w="0" w:type="dxa"/>
              <w:bottom w:w="0" w:type="dxa"/>
              <w:right w:w="0" w:type="dxa"/>
            </w:tcMar>
            <w:vAlign w:val="center"/>
          </w:tcPr>
          <w:p w14:paraId="2272543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69</w:t>
            </w:r>
          </w:p>
        </w:tc>
        <w:tc>
          <w:tcPr>
            <w:tcW w:w="169" w:type="pct"/>
            <w:shd w:val="clear" w:color="auto" w:fill="FFFFFF"/>
            <w:tcMar>
              <w:top w:w="0" w:type="dxa"/>
              <w:left w:w="0" w:type="dxa"/>
              <w:bottom w:w="0" w:type="dxa"/>
              <w:right w:w="0" w:type="dxa"/>
            </w:tcMar>
            <w:vAlign w:val="center"/>
          </w:tcPr>
          <w:p w14:paraId="2CF4BD1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07DDAFA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49" w:type="pct"/>
            <w:vMerge w:val="continue"/>
            <w:shd w:val="clear" w:color="auto" w:fill="FFFFFF"/>
            <w:tcMar>
              <w:top w:w="0" w:type="dxa"/>
              <w:left w:w="0" w:type="dxa"/>
              <w:bottom w:w="0" w:type="dxa"/>
              <w:right w:w="0" w:type="dxa"/>
            </w:tcMar>
            <w:vAlign w:val="center"/>
          </w:tcPr>
          <w:p w14:paraId="4876E9C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0526D2C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50C8C8B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70D2604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2C4C811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3328064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7</w:t>
            </w:r>
          </w:p>
        </w:tc>
        <w:tc>
          <w:tcPr>
            <w:tcW w:w="174" w:type="pct"/>
            <w:shd w:val="clear" w:color="auto" w:fill="FFFFFF"/>
            <w:tcMar>
              <w:top w:w="0" w:type="dxa"/>
              <w:left w:w="0" w:type="dxa"/>
              <w:bottom w:w="0" w:type="dxa"/>
              <w:right w:w="0" w:type="dxa"/>
            </w:tcMar>
            <w:vAlign w:val="center"/>
          </w:tcPr>
          <w:p w14:paraId="1A9A7B6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9</w:t>
            </w:r>
          </w:p>
        </w:tc>
        <w:tc>
          <w:tcPr>
            <w:tcW w:w="174" w:type="pct"/>
            <w:shd w:val="clear" w:color="auto" w:fill="FFFFFF"/>
            <w:tcMar>
              <w:top w:w="0" w:type="dxa"/>
              <w:left w:w="0" w:type="dxa"/>
              <w:bottom w:w="0" w:type="dxa"/>
              <w:right w:w="0" w:type="dxa"/>
            </w:tcMar>
            <w:vAlign w:val="center"/>
          </w:tcPr>
          <w:p w14:paraId="475DA15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0F5C8C7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6</w:t>
            </w:r>
          </w:p>
        </w:tc>
        <w:tc>
          <w:tcPr>
            <w:tcW w:w="264" w:type="pct"/>
            <w:shd w:val="clear" w:color="auto" w:fill="FFFFFF"/>
            <w:tcMar>
              <w:top w:w="0" w:type="dxa"/>
              <w:left w:w="0" w:type="dxa"/>
              <w:bottom w:w="0" w:type="dxa"/>
              <w:right w:w="0" w:type="dxa"/>
            </w:tcMar>
            <w:vAlign w:val="center"/>
          </w:tcPr>
          <w:p w14:paraId="099A5DD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690017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76968FF6">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8</w:t>
            </w:r>
          </w:p>
        </w:tc>
        <w:tc>
          <w:tcPr>
            <w:tcW w:w="182" w:type="pct"/>
            <w:vMerge w:val="continue"/>
            <w:shd w:val="clear" w:color="auto" w:fill="FFFFFF"/>
            <w:tcMar>
              <w:top w:w="0" w:type="dxa"/>
              <w:left w:w="0" w:type="dxa"/>
              <w:bottom w:w="0" w:type="dxa"/>
              <w:right w:w="0" w:type="dxa"/>
            </w:tcMar>
            <w:vAlign w:val="center"/>
          </w:tcPr>
          <w:p w14:paraId="40B2F98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1B74AD6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shd w:val="clear" w:color="auto" w:fill="FFFFFF"/>
            <w:tcMar>
              <w:top w:w="0" w:type="dxa"/>
              <w:left w:w="0" w:type="dxa"/>
              <w:bottom w:w="0" w:type="dxa"/>
              <w:right w:w="0" w:type="dxa"/>
            </w:tcMar>
            <w:vAlign w:val="center"/>
          </w:tcPr>
          <w:p w14:paraId="6E25A31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1000型</w:t>
            </w:r>
          </w:p>
        </w:tc>
        <w:tc>
          <w:tcPr>
            <w:tcW w:w="218" w:type="pct"/>
            <w:shd w:val="clear" w:color="auto" w:fill="FFFFFF"/>
            <w:tcMar>
              <w:top w:w="0" w:type="dxa"/>
              <w:left w:w="0" w:type="dxa"/>
              <w:bottom w:w="0" w:type="dxa"/>
              <w:right w:w="0" w:type="dxa"/>
            </w:tcMar>
            <w:vAlign w:val="center"/>
          </w:tcPr>
          <w:p w14:paraId="616115D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8</w:t>
            </w:r>
            <w:r>
              <w:rPr>
                <w:rFonts w:hint="eastAsia" w:cs="Times New Roman"/>
                <w:color w:val="000000" w:themeColor="text1"/>
                <w:sz w:val="21"/>
                <w:szCs w:val="21"/>
                <w:lang w:val="en-US" w:eastAsia="zh-CN"/>
                <w14:textFill>
                  <w14:solidFill>
                    <w14:schemeClr w14:val="tx1"/>
                  </w14:solidFill>
                </w14:textFill>
              </w:rPr>
              <w:t>5</w:t>
            </w:r>
          </w:p>
        </w:tc>
        <w:tc>
          <w:tcPr>
            <w:tcW w:w="185" w:type="pct"/>
            <w:vMerge w:val="continue"/>
            <w:shd w:val="clear" w:color="auto" w:fill="FFFFFF"/>
            <w:tcMar>
              <w:top w:w="0" w:type="dxa"/>
              <w:left w:w="0" w:type="dxa"/>
              <w:bottom w:w="0" w:type="dxa"/>
              <w:right w:w="0" w:type="dxa"/>
            </w:tcMar>
            <w:vAlign w:val="center"/>
          </w:tcPr>
          <w:p w14:paraId="784CA23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0AF45999">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w:t>
            </w:r>
          </w:p>
        </w:tc>
        <w:tc>
          <w:tcPr>
            <w:tcW w:w="206" w:type="pct"/>
            <w:shd w:val="clear" w:color="auto" w:fill="FFFFFF"/>
            <w:tcMar>
              <w:top w:w="0" w:type="dxa"/>
              <w:left w:w="0" w:type="dxa"/>
              <w:bottom w:w="0" w:type="dxa"/>
              <w:right w:w="0" w:type="dxa"/>
            </w:tcMar>
            <w:vAlign w:val="center"/>
          </w:tcPr>
          <w:p w14:paraId="3E6614A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w:t>
            </w:r>
          </w:p>
        </w:tc>
        <w:tc>
          <w:tcPr>
            <w:tcW w:w="211" w:type="pct"/>
            <w:shd w:val="clear" w:color="auto" w:fill="FFFFFF"/>
            <w:tcMar>
              <w:top w:w="0" w:type="dxa"/>
              <w:left w:w="0" w:type="dxa"/>
              <w:bottom w:w="0" w:type="dxa"/>
              <w:right w:w="0" w:type="dxa"/>
            </w:tcMar>
            <w:vAlign w:val="center"/>
          </w:tcPr>
          <w:p w14:paraId="4F80ACBE">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w:t>
            </w:r>
          </w:p>
        </w:tc>
        <w:tc>
          <w:tcPr>
            <w:tcW w:w="169" w:type="pct"/>
            <w:shd w:val="clear" w:color="auto" w:fill="FFFFFF"/>
            <w:tcMar>
              <w:top w:w="0" w:type="dxa"/>
              <w:left w:w="0" w:type="dxa"/>
              <w:bottom w:w="0" w:type="dxa"/>
              <w:right w:w="0" w:type="dxa"/>
            </w:tcMar>
            <w:vAlign w:val="center"/>
          </w:tcPr>
          <w:p w14:paraId="53C5CE9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52</w:t>
            </w:r>
          </w:p>
        </w:tc>
        <w:tc>
          <w:tcPr>
            <w:tcW w:w="169" w:type="pct"/>
            <w:shd w:val="clear" w:color="auto" w:fill="FFFFFF"/>
            <w:tcMar>
              <w:top w:w="0" w:type="dxa"/>
              <w:left w:w="0" w:type="dxa"/>
              <w:bottom w:w="0" w:type="dxa"/>
              <w:right w:w="0" w:type="dxa"/>
            </w:tcMar>
            <w:vAlign w:val="center"/>
          </w:tcPr>
          <w:p w14:paraId="1B51D3B5">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49</w:t>
            </w:r>
          </w:p>
        </w:tc>
        <w:tc>
          <w:tcPr>
            <w:tcW w:w="169" w:type="pct"/>
            <w:shd w:val="clear" w:color="auto" w:fill="FFFFFF"/>
            <w:tcMar>
              <w:top w:w="0" w:type="dxa"/>
              <w:left w:w="0" w:type="dxa"/>
              <w:bottom w:w="0" w:type="dxa"/>
              <w:right w:w="0" w:type="dxa"/>
            </w:tcMar>
            <w:vAlign w:val="center"/>
          </w:tcPr>
          <w:p w14:paraId="5ABD034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68</w:t>
            </w:r>
          </w:p>
        </w:tc>
        <w:tc>
          <w:tcPr>
            <w:tcW w:w="180" w:type="pct"/>
            <w:shd w:val="clear" w:color="auto" w:fill="FFFFFF"/>
            <w:tcMar>
              <w:top w:w="0" w:type="dxa"/>
              <w:left w:w="0" w:type="dxa"/>
              <w:bottom w:w="0" w:type="dxa"/>
              <w:right w:w="0" w:type="dxa"/>
            </w:tcMar>
            <w:vAlign w:val="center"/>
          </w:tcPr>
          <w:p w14:paraId="531D1F8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61</w:t>
            </w:r>
          </w:p>
        </w:tc>
        <w:tc>
          <w:tcPr>
            <w:tcW w:w="169" w:type="pct"/>
            <w:shd w:val="clear" w:color="auto" w:fill="FFFFFF"/>
            <w:tcMar>
              <w:top w:w="0" w:type="dxa"/>
              <w:left w:w="0" w:type="dxa"/>
              <w:bottom w:w="0" w:type="dxa"/>
              <w:right w:w="0" w:type="dxa"/>
            </w:tcMar>
            <w:vAlign w:val="center"/>
          </w:tcPr>
          <w:p w14:paraId="60F28A6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67</w:t>
            </w:r>
          </w:p>
        </w:tc>
        <w:tc>
          <w:tcPr>
            <w:tcW w:w="169" w:type="pct"/>
            <w:shd w:val="clear" w:color="auto" w:fill="FFFFFF"/>
            <w:tcMar>
              <w:top w:w="0" w:type="dxa"/>
              <w:left w:w="0" w:type="dxa"/>
              <w:bottom w:w="0" w:type="dxa"/>
              <w:right w:w="0" w:type="dxa"/>
            </w:tcMar>
            <w:vAlign w:val="center"/>
          </w:tcPr>
          <w:p w14:paraId="1B68FFB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67</w:t>
            </w:r>
          </w:p>
        </w:tc>
        <w:tc>
          <w:tcPr>
            <w:tcW w:w="169" w:type="pct"/>
            <w:shd w:val="clear" w:color="auto" w:fill="FFFFFF"/>
            <w:tcMar>
              <w:top w:w="0" w:type="dxa"/>
              <w:left w:w="0" w:type="dxa"/>
              <w:bottom w:w="0" w:type="dxa"/>
              <w:right w:w="0" w:type="dxa"/>
            </w:tcMar>
            <w:vAlign w:val="center"/>
          </w:tcPr>
          <w:p w14:paraId="0416DBA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3BA6E02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49" w:type="pct"/>
            <w:vMerge w:val="continue"/>
            <w:shd w:val="clear" w:color="auto" w:fill="FFFFFF"/>
            <w:tcMar>
              <w:top w:w="0" w:type="dxa"/>
              <w:left w:w="0" w:type="dxa"/>
              <w:bottom w:w="0" w:type="dxa"/>
              <w:right w:w="0" w:type="dxa"/>
            </w:tcMar>
            <w:vAlign w:val="center"/>
          </w:tcPr>
          <w:p w14:paraId="643E57B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1EF404D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50E1B52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319C1A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23BDC16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32F2635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7</w:t>
            </w:r>
          </w:p>
        </w:tc>
        <w:tc>
          <w:tcPr>
            <w:tcW w:w="174" w:type="pct"/>
            <w:shd w:val="clear" w:color="auto" w:fill="FFFFFF"/>
            <w:tcMar>
              <w:top w:w="0" w:type="dxa"/>
              <w:left w:w="0" w:type="dxa"/>
              <w:bottom w:w="0" w:type="dxa"/>
              <w:right w:w="0" w:type="dxa"/>
            </w:tcMar>
            <w:vAlign w:val="center"/>
          </w:tcPr>
          <w:p w14:paraId="4336CBD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7</w:t>
            </w:r>
          </w:p>
        </w:tc>
        <w:tc>
          <w:tcPr>
            <w:tcW w:w="174" w:type="pct"/>
            <w:shd w:val="clear" w:color="auto" w:fill="FFFFFF"/>
            <w:tcMar>
              <w:top w:w="0" w:type="dxa"/>
              <w:left w:w="0" w:type="dxa"/>
              <w:bottom w:w="0" w:type="dxa"/>
              <w:right w:w="0" w:type="dxa"/>
            </w:tcMar>
            <w:vAlign w:val="center"/>
          </w:tcPr>
          <w:p w14:paraId="3F9E6D6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3EC6626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6</w:t>
            </w:r>
          </w:p>
        </w:tc>
        <w:tc>
          <w:tcPr>
            <w:tcW w:w="264" w:type="pct"/>
            <w:shd w:val="clear" w:color="auto" w:fill="FFFFFF"/>
            <w:tcMar>
              <w:top w:w="0" w:type="dxa"/>
              <w:left w:w="0" w:type="dxa"/>
              <w:bottom w:w="0" w:type="dxa"/>
              <w:right w:w="0" w:type="dxa"/>
            </w:tcMar>
            <w:vAlign w:val="center"/>
          </w:tcPr>
          <w:p w14:paraId="7CAAB4C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5C711A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1BD1BC49">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9</w:t>
            </w:r>
          </w:p>
        </w:tc>
        <w:tc>
          <w:tcPr>
            <w:tcW w:w="182" w:type="pct"/>
            <w:vMerge w:val="continue"/>
            <w:shd w:val="clear" w:color="auto" w:fill="FFFFFF"/>
            <w:tcMar>
              <w:top w:w="0" w:type="dxa"/>
              <w:left w:w="0" w:type="dxa"/>
              <w:bottom w:w="0" w:type="dxa"/>
              <w:right w:w="0" w:type="dxa"/>
            </w:tcMar>
            <w:vAlign w:val="center"/>
          </w:tcPr>
          <w:p w14:paraId="204C684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restart"/>
            <w:shd w:val="clear" w:color="auto" w:fill="FFFFFF"/>
            <w:tcMar>
              <w:top w:w="0" w:type="dxa"/>
              <w:left w:w="0" w:type="dxa"/>
              <w:bottom w:w="0" w:type="dxa"/>
              <w:right w:w="0" w:type="dxa"/>
            </w:tcMar>
            <w:vAlign w:val="center"/>
          </w:tcPr>
          <w:p w14:paraId="73CE6EAA">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四吸风选机</w:t>
            </w:r>
          </w:p>
        </w:tc>
        <w:tc>
          <w:tcPr>
            <w:tcW w:w="330" w:type="pct"/>
            <w:vMerge w:val="restart"/>
            <w:shd w:val="clear" w:color="auto" w:fill="FFFFFF"/>
            <w:tcMar>
              <w:top w:w="0" w:type="dxa"/>
              <w:left w:w="0" w:type="dxa"/>
              <w:bottom w:w="0" w:type="dxa"/>
              <w:right w:w="0" w:type="dxa"/>
            </w:tcMar>
            <w:vAlign w:val="center"/>
          </w:tcPr>
          <w:p w14:paraId="62DC5783">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6000*1200</w:t>
            </w:r>
          </w:p>
        </w:tc>
        <w:tc>
          <w:tcPr>
            <w:tcW w:w="218" w:type="pct"/>
            <w:shd w:val="clear" w:color="auto" w:fill="FFFFFF"/>
            <w:tcMar>
              <w:top w:w="0" w:type="dxa"/>
              <w:left w:w="0" w:type="dxa"/>
              <w:bottom w:w="0" w:type="dxa"/>
              <w:right w:w="0" w:type="dxa"/>
            </w:tcMar>
            <w:vAlign w:val="center"/>
          </w:tcPr>
          <w:p w14:paraId="76D8330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3D251D2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7DFA435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c>
          <w:tcPr>
            <w:tcW w:w="206" w:type="pct"/>
            <w:shd w:val="clear" w:color="auto" w:fill="FFFFFF"/>
            <w:tcMar>
              <w:top w:w="0" w:type="dxa"/>
              <w:left w:w="0" w:type="dxa"/>
              <w:bottom w:w="0" w:type="dxa"/>
              <w:right w:w="0" w:type="dxa"/>
            </w:tcMar>
            <w:vAlign w:val="center"/>
          </w:tcPr>
          <w:p w14:paraId="08CD1C8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p>
        </w:tc>
        <w:tc>
          <w:tcPr>
            <w:tcW w:w="211" w:type="pct"/>
            <w:shd w:val="clear" w:color="auto" w:fill="FFFFFF"/>
            <w:tcMar>
              <w:top w:w="0" w:type="dxa"/>
              <w:left w:w="0" w:type="dxa"/>
              <w:bottom w:w="0" w:type="dxa"/>
              <w:right w:w="0" w:type="dxa"/>
            </w:tcMar>
            <w:vAlign w:val="center"/>
          </w:tcPr>
          <w:p w14:paraId="47C8C5A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0B5B462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w:t>
            </w:r>
          </w:p>
        </w:tc>
        <w:tc>
          <w:tcPr>
            <w:tcW w:w="169" w:type="pct"/>
            <w:shd w:val="clear" w:color="auto" w:fill="FFFFFF"/>
            <w:tcMar>
              <w:top w:w="0" w:type="dxa"/>
              <w:left w:w="0" w:type="dxa"/>
              <w:bottom w:w="0" w:type="dxa"/>
              <w:right w:w="0" w:type="dxa"/>
            </w:tcMar>
            <w:vAlign w:val="center"/>
          </w:tcPr>
          <w:p w14:paraId="549E3A6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w:t>
            </w:r>
          </w:p>
        </w:tc>
        <w:tc>
          <w:tcPr>
            <w:tcW w:w="169" w:type="pct"/>
            <w:shd w:val="clear" w:color="auto" w:fill="FFFFFF"/>
            <w:tcMar>
              <w:top w:w="0" w:type="dxa"/>
              <w:left w:w="0" w:type="dxa"/>
              <w:bottom w:w="0" w:type="dxa"/>
              <w:right w:w="0" w:type="dxa"/>
            </w:tcMar>
            <w:vAlign w:val="center"/>
          </w:tcPr>
          <w:p w14:paraId="5108F67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180" w:type="pct"/>
            <w:shd w:val="clear" w:color="auto" w:fill="FFFFFF"/>
            <w:tcMar>
              <w:top w:w="0" w:type="dxa"/>
              <w:left w:w="0" w:type="dxa"/>
              <w:bottom w:w="0" w:type="dxa"/>
              <w:right w:w="0" w:type="dxa"/>
            </w:tcMar>
            <w:vAlign w:val="center"/>
          </w:tcPr>
          <w:p w14:paraId="55AC69D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60</w:t>
            </w:r>
          </w:p>
        </w:tc>
        <w:tc>
          <w:tcPr>
            <w:tcW w:w="169" w:type="pct"/>
            <w:shd w:val="clear" w:color="auto" w:fill="FFFFFF"/>
            <w:tcMar>
              <w:top w:w="0" w:type="dxa"/>
              <w:left w:w="0" w:type="dxa"/>
              <w:bottom w:w="0" w:type="dxa"/>
              <w:right w:w="0" w:type="dxa"/>
            </w:tcMar>
            <w:vAlign w:val="center"/>
          </w:tcPr>
          <w:p w14:paraId="1162CAB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2</w:t>
            </w:r>
          </w:p>
        </w:tc>
        <w:tc>
          <w:tcPr>
            <w:tcW w:w="169" w:type="pct"/>
            <w:shd w:val="clear" w:color="auto" w:fill="FFFFFF"/>
            <w:tcMar>
              <w:top w:w="0" w:type="dxa"/>
              <w:left w:w="0" w:type="dxa"/>
              <w:bottom w:w="0" w:type="dxa"/>
              <w:right w:w="0" w:type="dxa"/>
            </w:tcMar>
            <w:vAlign w:val="center"/>
          </w:tcPr>
          <w:p w14:paraId="12C526C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2</w:t>
            </w:r>
          </w:p>
        </w:tc>
        <w:tc>
          <w:tcPr>
            <w:tcW w:w="169" w:type="pct"/>
            <w:shd w:val="clear" w:color="auto" w:fill="FFFFFF"/>
            <w:tcMar>
              <w:top w:w="0" w:type="dxa"/>
              <w:left w:w="0" w:type="dxa"/>
              <w:bottom w:w="0" w:type="dxa"/>
              <w:right w:w="0" w:type="dxa"/>
            </w:tcMar>
            <w:vAlign w:val="center"/>
          </w:tcPr>
          <w:p w14:paraId="259E067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74" w:type="pct"/>
            <w:shd w:val="clear" w:color="auto" w:fill="FFFFFF"/>
            <w:tcMar>
              <w:top w:w="0" w:type="dxa"/>
              <w:left w:w="0" w:type="dxa"/>
              <w:bottom w:w="0" w:type="dxa"/>
              <w:right w:w="0" w:type="dxa"/>
            </w:tcMar>
            <w:vAlign w:val="center"/>
          </w:tcPr>
          <w:p w14:paraId="0561AAD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49" w:type="pct"/>
            <w:vMerge w:val="continue"/>
            <w:shd w:val="clear" w:color="auto" w:fill="FFFFFF"/>
            <w:tcMar>
              <w:top w:w="0" w:type="dxa"/>
              <w:left w:w="0" w:type="dxa"/>
              <w:bottom w:w="0" w:type="dxa"/>
              <w:right w:w="0" w:type="dxa"/>
            </w:tcMar>
            <w:vAlign w:val="center"/>
          </w:tcPr>
          <w:p w14:paraId="178B1B7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64C8B17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623268A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1327574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32CC4AD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4101B79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174" w:type="pct"/>
            <w:shd w:val="clear" w:color="auto" w:fill="FFFFFF"/>
            <w:tcMar>
              <w:top w:w="0" w:type="dxa"/>
              <w:left w:w="0" w:type="dxa"/>
              <w:bottom w:w="0" w:type="dxa"/>
              <w:right w:w="0" w:type="dxa"/>
            </w:tcMar>
            <w:vAlign w:val="center"/>
          </w:tcPr>
          <w:p w14:paraId="1217AF7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174" w:type="pct"/>
            <w:shd w:val="clear" w:color="auto" w:fill="FFFFFF"/>
            <w:tcMar>
              <w:top w:w="0" w:type="dxa"/>
              <w:left w:w="0" w:type="dxa"/>
              <w:bottom w:w="0" w:type="dxa"/>
              <w:right w:w="0" w:type="dxa"/>
            </w:tcMar>
            <w:vAlign w:val="center"/>
          </w:tcPr>
          <w:p w14:paraId="599843C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174" w:type="pct"/>
            <w:shd w:val="clear" w:color="auto" w:fill="FFFFFF"/>
            <w:tcMar>
              <w:top w:w="0" w:type="dxa"/>
              <w:left w:w="0" w:type="dxa"/>
              <w:bottom w:w="0" w:type="dxa"/>
              <w:right w:w="0" w:type="dxa"/>
            </w:tcMar>
            <w:vAlign w:val="center"/>
          </w:tcPr>
          <w:p w14:paraId="7EBDC4E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264" w:type="pct"/>
            <w:shd w:val="clear" w:color="auto" w:fill="FFFFFF"/>
            <w:tcMar>
              <w:top w:w="0" w:type="dxa"/>
              <w:left w:w="0" w:type="dxa"/>
              <w:bottom w:w="0" w:type="dxa"/>
              <w:right w:w="0" w:type="dxa"/>
            </w:tcMar>
            <w:vAlign w:val="center"/>
          </w:tcPr>
          <w:p w14:paraId="7CFA252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112E2B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90" w:hRule="atLeast"/>
          <w:jc w:val="center"/>
        </w:trPr>
        <w:tc>
          <w:tcPr>
            <w:tcW w:w="149" w:type="pct"/>
            <w:shd w:val="clear" w:color="auto" w:fill="FFFFFF"/>
            <w:tcMar>
              <w:top w:w="0" w:type="dxa"/>
              <w:left w:w="0" w:type="dxa"/>
              <w:bottom w:w="0" w:type="dxa"/>
              <w:right w:w="0" w:type="dxa"/>
            </w:tcMar>
            <w:vAlign w:val="center"/>
          </w:tcPr>
          <w:p w14:paraId="566420E3">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10</w:t>
            </w:r>
          </w:p>
        </w:tc>
        <w:tc>
          <w:tcPr>
            <w:tcW w:w="182" w:type="pct"/>
            <w:vMerge w:val="continue"/>
            <w:shd w:val="clear" w:color="auto" w:fill="FFFFFF"/>
            <w:tcMar>
              <w:top w:w="0" w:type="dxa"/>
              <w:left w:w="0" w:type="dxa"/>
              <w:bottom w:w="0" w:type="dxa"/>
              <w:right w:w="0" w:type="dxa"/>
            </w:tcMar>
            <w:vAlign w:val="center"/>
          </w:tcPr>
          <w:p w14:paraId="25DA4FF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7BE4E43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6F6F829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32458B4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627D0C1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46E75B1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c>
          <w:tcPr>
            <w:tcW w:w="206" w:type="pct"/>
            <w:shd w:val="clear" w:color="auto" w:fill="FFFFFF"/>
            <w:tcMar>
              <w:top w:w="0" w:type="dxa"/>
              <w:left w:w="0" w:type="dxa"/>
              <w:bottom w:w="0" w:type="dxa"/>
              <w:right w:w="0" w:type="dxa"/>
            </w:tcMar>
            <w:vAlign w:val="center"/>
          </w:tcPr>
          <w:p w14:paraId="118D265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w:t>
            </w:r>
          </w:p>
        </w:tc>
        <w:tc>
          <w:tcPr>
            <w:tcW w:w="211" w:type="pct"/>
            <w:shd w:val="clear" w:color="auto" w:fill="FFFFFF"/>
            <w:tcMar>
              <w:top w:w="0" w:type="dxa"/>
              <w:left w:w="0" w:type="dxa"/>
              <w:bottom w:w="0" w:type="dxa"/>
              <w:right w:w="0" w:type="dxa"/>
            </w:tcMar>
            <w:vAlign w:val="center"/>
          </w:tcPr>
          <w:p w14:paraId="24351BB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3852725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w:t>
            </w:r>
          </w:p>
        </w:tc>
        <w:tc>
          <w:tcPr>
            <w:tcW w:w="169" w:type="pct"/>
            <w:shd w:val="clear" w:color="auto" w:fill="FFFFFF"/>
            <w:tcMar>
              <w:top w:w="0" w:type="dxa"/>
              <w:left w:w="0" w:type="dxa"/>
              <w:bottom w:w="0" w:type="dxa"/>
              <w:right w:w="0" w:type="dxa"/>
            </w:tcMar>
            <w:vAlign w:val="center"/>
          </w:tcPr>
          <w:p w14:paraId="2FB956D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w:t>
            </w:r>
          </w:p>
        </w:tc>
        <w:tc>
          <w:tcPr>
            <w:tcW w:w="169" w:type="pct"/>
            <w:shd w:val="clear" w:color="auto" w:fill="FFFFFF"/>
            <w:tcMar>
              <w:top w:w="0" w:type="dxa"/>
              <w:left w:w="0" w:type="dxa"/>
              <w:bottom w:w="0" w:type="dxa"/>
              <w:right w:w="0" w:type="dxa"/>
            </w:tcMar>
            <w:vAlign w:val="center"/>
          </w:tcPr>
          <w:p w14:paraId="59EC8CB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180" w:type="pct"/>
            <w:shd w:val="clear" w:color="auto" w:fill="FFFFFF"/>
            <w:tcMar>
              <w:top w:w="0" w:type="dxa"/>
              <w:left w:w="0" w:type="dxa"/>
              <w:bottom w:w="0" w:type="dxa"/>
              <w:right w:w="0" w:type="dxa"/>
            </w:tcMar>
            <w:vAlign w:val="center"/>
          </w:tcPr>
          <w:p w14:paraId="0B232FC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w:t>
            </w:r>
          </w:p>
        </w:tc>
        <w:tc>
          <w:tcPr>
            <w:tcW w:w="169" w:type="pct"/>
            <w:shd w:val="clear" w:color="auto" w:fill="FFFFFF"/>
            <w:tcMar>
              <w:top w:w="0" w:type="dxa"/>
              <w:left w:w="0" w:type="dxa"/>
              <w:bottom w:w="0" w:type="dxa"/>
              <w:right w:w="0" w:type="dxa"/>
            </w:tcMar>
            <w:vAlign w:val="center"/>
          </w:tcPr>
          <w:p w14:paraId="4FCFBF3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2</w:t>
            </w:r>
          </w:p>
        </w:tc>
        <w:tc>
          <w:tcPr>
            <w:tcW w:w="169" w:type="pct"/>
            <w:shd w:val="clear" w:color="auto" w:fill="FFFFFF"/>
            <w:tcMar>
              <w:top w:w="0" w:type="dxa"/>
              <w:left w:w="0" w:type="dxa"/>
              <w:bottom w:w="0" w:type="dxa"/>
              <w:right w:w="0" w:type="dxa"/>
            </w:tcMar>
            <w:vAlign w:val="center"/>
          </w:tcPr>
          <w:p w14:paraId="1F7137C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2</w:t>
            </w:r>
          </w:p>
        </w:tc>
        <w:tc>
          <w:tcPr>
            <w:tcW w:w="169" w:type="pct"/>
            <w:shd w:val="clear" w:color="auto" w:fill="FFFFFF"/>
            <w:tcMar>
              <w:top w:w="0" w:type="dxa"/>
              <w:left w:w="0" w:type="dxa"/>
              <w:bottom w:w="0" w:type="dxa"/>
              <w:right w:w="0" w:type="dxa"/>
            </w:tcMar>
            <w:vAlign w:val="center"/>
          </w:tcPr>
          <w:p w14:paraId="5686C55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74" w:type="pct"/>
            <w:shd w:val="clear" w:color="auto" w:fill="FFFFFF"/>
            <w:tcMar>
              <w:top w:w="0" w:type="dxa"/>
              <w:left w:w="0" w:type="dxa"/>
              <w:bottom w:w="0" w:type="dxa"/>
              <w:right w:w="0" w:type="dxa"/>
            </w:tcMar>
            <w:vAlign w:val="center"/>
          </w:tcPr>
          <w:p w14:paraId="5E15822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49" w:type="pct"/>
            <w:vMerge w:val="continue"/>
            <w:shd w:val="clear" w:color="auto" w:fill="FFFFFF"/>
            <w:tcMar>
              <w:top w:w="0" w:type="dxa"/>
              <w:left w:w="0" w:type="dxa"/>
              <w:bottom w:w="0" w:type="dxa"/>
              <w:right w:w="0" w:type="dxa"/>
            </w:tcMar>
            <w:vAlign w:val="center"/>
          </w:tcPr>
          <w:p w14:paraId="593A705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7E514B4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51B544A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23E8946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59D8903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63738EA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493" w:type="dxa"/>
            <w:shd w:val="clear" w:color="auto" w:fill="FFFFFF"/>
            <w:tcMar>
              <w:top w:w="0" w:type="dxa"/>
              <w:left w:w="0" w:type="dxa"/>
              <w:bottom w:w="0" w:type="dxa"/>
              <w:right w:w="0" w:type="dxa"/>
            </w:tcMar>
            <w:vAlign w:val="center"/>
          </w:tcPr>
          <w:p w14:paraId="7A586D3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493" w:type="dxa"/>
            <w:shd w:val="clear" w:color="auto" w:fill="FFFFFF"/>
            <w:tcMar>
              <w:top w:w="0" w:type="dxa"/>
              <w:left w:w="0" w:type="dxa"/>
              <w:bottom w:w="0" w:type="dxa"/>
              <w:right w:w="0" w:type="dxa"/>
            </w:tcMar>
            <w:vAlign w:val="center"/>
          </w:tcPr>
          <w:p w14:paraId="627BDF1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393AFB9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264" w:type="pct"/>
            <w:shd w:val="clear" w:color="auto" w:fill="FFFFFF"/>
            <w:tcMar>
              <w:top w:w="0" w:type="dxa"/>
              <w:left w:w="0" w:type="dxa"/>
              <w:bottom w:w="0" w:type="dxa"/>
              <w:right w:w="0" w:type="dxa"/>
            </w:tcMar>
            <w:vAlign w:val="center"/>
          </w:tcPr>
          <w:p w14:paraId="217BD0A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445E97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3A1FA538">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11</w:t>
            </w:r>
          </w:p>
        </w:tc>
        <w:tc>
          <w:tcPr>
            <w:tcW w:w="182" w:type="pct"/>
            <w:vMerge w:val="continue"/>
            <w:shd w:val="clear" w:color="auto" w:fill="FFFFFF"/>
            <w:tcMar>
              <w:top w:w="0" w:type="dxa"/>
              <w:left w:w="0" w:type="dxa"/>
              <w:bottom w:w="0" w:type="dxa"/>
              <w:right w:w="0" w:type="dxa"/>
            </w:tcMar>
            <w:vAlign w:val="center"/>
          </w:tcPr>
          <w:p w14:paraId="6F8D406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6090FA6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51E7D5D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3DF7CD6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72F038C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5EAFC93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c>
          <w:tcPr>
            <w:tcW w:w="206" w:type="pct"/>
            <w:shd w:val="clear" w:color="auto" w:fill="FFFFFF"/>
            <w:tcMar>
              <w:top w:w="0" w:type="dxa"/>
              <w:left w:w="0" w:type="dxa"/>
              <w:bottom w:w="0" w:type="dxa"/>
              <w:right w:w="0" w:type="dxa"/>
            </w:tcMar>
            <w:vAlign w:val="center"/>
          </w:tcPr>
          <w:p w14:paraId="7F84D06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-12</w:t>
            </w:r>
          </w:p>
        </w:tc>
        <w:tc>
          <w:tcPr>
            <w:tcW w:w="211" w:type="pct"/>
            <w:shd w:val="clear" w:color="auto" w:fill="FFFFFF"/>
            <w:tcMar>
              <w:top w:w="0" w:type="dxa"/>
              <w:left w:w="0" w:type="dxa"/>
              <w:bottom w:w="0" w:type="dxa"/>
              <w:right w:w="0" w:type="dxa"/>
            </w:tcMar>
            <w:vAlign w:val="center"/>
          </w:tcPr>
          <w:p w14:paraId="59BAEB1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083766B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w:t>
            </w:r>
          </w:p>
        </w:tc>
        <w:tc>
          <w:tcPr>
            <w:tcW w:w="169" w:type="pct"/>
            <w:shd w:val="clear" w:color="auto" w:fill="FFFFFF"/>
            <w:tcMar>
              <w:top w:w="0" w:type="dxa"/>
              <w:left w:w="0" w:type="dxa"/>
              <w:bottom w:w="0" w:type="dxa"/>
              <w:right w:w="0" w:type="dxa"/>
            </w:tcMar>
            <w:vAlign w:val="center"/>
          </w:tcPr>
          <w:p w14:paraId="69CDD6C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169" w:type="pct"/>
            <w:shd w:val="clear" w:color="auto" w:fill="FFFFFF"/>
            <w:tcMar>
              <w:top w:w="0" w:type="dxa"/>
              <w:left w:w="0" w:type="dxa"/>
              <w:bottom w:w="0" w:type="dxa"/>
              <w:right w:w="0" w:type="dxa"/>
            </w:tcMar>
            <w:vAlign w:val="center"/>
          </w:tcPr>
          <w:p w14:paraId="4FB5B6F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180" w:type="pct"/>
            <w:shd w:val="clear" w:color="auto" w:fill="FFFFFF"/>
            <w:tcMar>
              <w:top w:w="0" w:type="dxa"/>
              <w:left w:w="0" w:type="dxa"/>
              <w:bottom w:w="0" w:type="dxa"/>
              <w:right w:w="0" w:type="dxa"/>
            </w:tcMar>
            <w:vAlign w:val="center"/>
          </w:tcPr>
          <w:p w14:paraId="3A60B5C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67</w:t>
            </w:r>
          </w:p>
        </w:tc>
        <w:tc>
          <w:tcPr>
            <w:tcW w:w="169" w:type="pct"/>
            <w:shd w:val="clear" w:color="auto" w:fill="FFFFFF"/>
            <w:tcMar>
              <w:top w:w="0" w:type="dxa"/>
              <w:left w:w="0" w:type="dxa"/>
              <w:bottom w:w="0" w:type="dxa"/>
              <w:right w:w="0" w:type="dxa"/>
            </w:tcMar>
            <w:vAlign w:val="center"/>
          </w:tcPr>
          <w:p w14:paraId="76AC245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2</w:t>
            </w:r>
          </w:p>
        </w:tc>
        <w:tc>
          <w:tcPr>
            <w:tcW w:w="169" w:type="pct"/>
            <w:shd w:val="clear" w:color="auto" w:fill="FFFFFF"/>
            <w:tcMar>
              <w:top w:w="0" w:type="dxa"/>
              <w:left w:w="0" w:type="dxa"/>
              <w:bottom w:w="0" w:type="dxa"/>
              <w:right w:w="0" w:type="dxa"/>
            </w:tcMar>
            <w:vAlign w:val="center"/>
          </w:tcPr>
          <w:p w14:paraId="476E7BB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69" w:type="pct"/>
            <w:shd w:val="clear" w:color="auto" w:fill="FFFFFF"/>
            <w:tcMar>
              <w:top w:w="0" w:type="dxa"/>
              <w:left w:w="0" w:type="dxa"/>
              <w:bottom w:w="0" w:type="dxa"/>
              <w:right w:w="0" w:type="dxa"/>
            </w:tcMar>
            <w:vAlign w:val="center"/>
          </w:tcPr>
          <w:p w14:paraId="0B1CC16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74" w:type="pct"/>
            <w:shd w:val="clear" w:color="auto" w:fill="FFFFFF"/>
            <w:tcMar>
              <w:top w:w="0" w:type="dxa"/>
              <w:left w:w="0" w:type="dxa"/>
              <w:bottom w:w="0" w:type="dxa"/>
              <w:right w:w="0" w:type="dxa"/>
            </w:tcMar>
            <w:vAlign w:val="center"/>
          </w:tcPr>
          <w:p w14:paraId="2D3CA2B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49" w:type="pct"/>
            <w:vMerge w:val="continue"/>
            <w:shd w:val="clear" w:color="auto" w:fill="FFFFFF"/>
            <w:tcMar>
              <w:top w:w="0" w:type="dxa"/>
              <w:left w:w="0" w:type="dxa"/>
              <w:bottom w:w="0" w:type="dxa"/>
              <w:right w:w="0" w:type="dxa"/>
            </w:tcMar>
            <w:vAlign w:val="center"/>
          </w:tcPr>
          <w:p w14:paraId="0D55A87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2B4F429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70928DB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7904B0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3F88502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357B9BA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174" w:type="pct"/>
            <w:shd w:val="clear" w:color="auto" w:fill="FFFFFF"/>
            <w:tcMar>
              <w:top w:w="0" w:type="dxa"/>
              <w:left w:w="0" w:type="dxa"/>
              <w:bottom w:w="0" w:type="dxa"/>
              <w:right w:w="0" w:type="dxa"/>
            </w:tcMar>
            <w:vAlign w:val="center"/>
          </w:tcPr>
          <w:p w14:paraId="741FBEC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174" w:type="pct"/>
            <w:shd w:val="clear" w:color="auto" w:fill="FFFFFF"/>
            <w:tcMar>
              <w:top w:w="0" w:type="dxa"/>
              <w:left w:w="0" w:type="dxa"/>
              <w:bottom w:w="0" w:type="dxa"/>
              <w:right w:w="0" w:type="dxa"/>
            </w:tcMar>
            <w:vAlign w:val="center"/>
          </w:tcPr>
          <w:p w14:paraId="4F3E9E5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174" w:type="pct"/>
            <w:shd w:val="clear" w:color="auto" w:fill="FFFFFF"/>
            <w:tcMar>
              <w:top w:w="0" w:type="dxa"/>
              <w:left w:w="0" w:type="dxa"/>
              <w:bottom w:w="0" w:type="dxa"/>
              <w:right w:w="0" w:type="dxa"/>
            </w:tcMar>
            <w:vAlign w:val="center"/>
          </w:tcPr>
          <w:p w14:paraId="2E856A5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264" w:type="pct"/>
            <w:shd w:val="clear" w:color="auto" w:fill="FFFFFF"/>
            <w:tcMar>
              <w:top w:w="0" w:type="dxa"/>
              <w:left w:w="0" w:type="dxa"/>
              <w:bottom w:w="0" w:type="dxa"/>
              <w:right w:w="0" w:type="dxa"/>
            </w:tcMar>
            <w:vAlign w:val="center"/>
          </w:tcPr>
          <w:p w14:paraId="081577E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364C55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42C998DA">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12</w:t>
            </w:r>
          </w:p>
        </w:tc>
        <w:tc>
          <w:tcPr>
            <w:tcW w:w="182" w:type="pct"/>
            <w:vMerge w:val="continue"/>
            <w:shd w:val="clear" w:color="auto" w:fill="FFFFFF"/>
            <w:tcMar>
              <w:top w:w="0" w:type="dxa"/>
              <w:left w:w="0" w:type="dxa"/>
              <w:bottom w:w="0" w:type="dxa"/>
              <w:right w:w="0" w:type="dxa"/>
            </w:tcMar>
            <w:vAlign w:val="center"/>
          </w:tcPr>
          <w:p w14:paraId="4A2C99F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2A72982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0341A36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58E8A25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045F808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455CA23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c>
          <w:tcPr>
            <w:tcW w:w="206" w:type="pct"/>
            <w:shd w:val="clear" w:color="auto" w:fill="FFFFFF"/>
            <w:tcMar>
              <w:top w:w="0" w:type="dxa"/>
              <w:left w:w="0" w:type="dxa"/>
              <w:bottom w:w="0" w:type="dxa"/>
              <w:right w:w="0" w:type="dxa"/>
            </w:tcMar>
            <w:vAlign w:val="center"/>
          </w:tcPr>
          <w:p w14:paraId="1FF3434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-14</w:t>
            </w:r>
          </w:p>
        </w:tc>
        <w:tc>
          <w:tcPr>
            <w:tcW w:w="211" w:type="pct"/>
            <w:shd w:val="clear" w:color="auto" w:fill="FFFFFF"/>
            <w:tcMar>
              <w:top w:w="0" w:type="dxa"/>
              <w:left w:w="0" w:type="dxa"/>
              <w:bottom w:w="0" w:type="dxa"/>
              <w:right w:w="0" w:type="dxa"/>
            </w:tcMar>
            <w:vAlign w:val="center"/>
          </w:tcPr>
          <w:p w14:paraId="12E1537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0F03894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w:t>
            </w:r>
          </w:p>
        </w:tc>
        <w:tc>
          <w:tcPr>
            <w:tcW w:w="169" w:type="pct"/>
            <w:shd w:val="clear" w:color="auto" w:fill="FFFFFF"/>
            <w:tcMar>
              <w:top w:w="0" w:type="dxa"/>
              <w:left w:w="0" w:type="dxa"/>
              <w:bottom w:w="0" w:type="dxa"/>
              <w:right w:w="0" w:type="dxa"/>
            </w:tcMar>
            <w:vAlign w:val="center"/>
          </w:tcPr>
          <w:p w14:paraId="57B3B6C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169" w:type="pct"/>
            <w:shd w:val="clear" w:color="auto" w:fill="FFFFFF"/>
            <w:tcMar>
              <w:top w:w="0" w:type="dxa"/>
              <w:left w:w="0" w:type="dxa"/>
              <w:bottom w:w="0" w:type="dxa"/>
              <w:right w:w="0" w:type="dxa"/>
            </w:tcMar>
            <w:vAlign w:val="center"/>
          </w:tcPr>
          <w:p w14:paraId="7055C11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180" w:type="pct"/>
            <w:shd w:val="clear" w:color="auto" w:fill="FFFFFF"/>
            <w:tcMar>
              <w:top w:w="0" w:type="dxa"/>
              <w:left w:w="0" w:type="dxa"/>
              <w:bottom w:w="0" w:type="dxa"/>
              <w:right w:w="0" w:type="dxa"/>
            </w:tcMar>
            <w:vAlign w:val="center"/>
          </w:tcPr>
          <w:p w14:paraId="7AEBE53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69</w:t>
            </w:r>
          </w:p>
        </w:tc>
        <w:tc>
          <w:tcPr>
            <w:tcW w:w="169" w:type="pct"/>
            <w:shd w:val="clear" w:color="auto" w:fill="FFFFFF"/>
            <w:tcMar>
              <w:top w:w="0" w:type="dxa"/>
              <w:left w:w="0" w:type="dxa"/>
              <w:bottom w:w="0" w:type="dxa"/>
              <w:right w:w="0" w:type="dxa"/>
            </w:tcMar>
            <w:vAlign w:val="center"/>
          </w:tcPr>
          <w:p w14:paraId="5A7DCC2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2</w:t>
            </w:r>
          </w:p>
        </w:tc>
        <w:tc>
          <w:tcPr>
            <w:tcW w:w="169" w:type="pct"/>
            <w:shd w:val="clear" w:color="auto" w:fill="FFFFFF"/>
            <w:tcMar>
              <w:top w:w="0" w:type="dxa"/>
              <w:left w:w="0" w:type="dxa"/>
              <w:bottom w:w="0" w:type="dxa"/>
              <w:right w:w="0" w:type="dxa"/>
            </w:tcMar>
            <w:vAlign w:val="center"/>
          </w:tcPr>
          <w:p w14:paraId="6F38503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69" w:type="pct"/>
            <w:shd w:val="clear" w:color="auto" w:fill="FFFFFF"/>
            <w:tcMar>
              <w:top w:w="0" w:type="dxa"/>
              <w:left w:w="0" w:type="dxa"/>
              <w:bottom w:w="0" w:type="dxa"/>
              <w:right w:w="0" w:type="dxa"/>
            </w:tcMar>
            <w:vAlign w:val="center"/>
          </w:tcPr>
          <w:p w14:paraId="3E91F1C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74" w:type="pct"/>
            <w:shd w:val="clear" w:color="auto" w:fill="FFFFFF"/>
            <w:tcMar>
              <w:top w:w="0" w:type="dxa"/>
              <w:left w:w="0" w:type="dxa"/>
              <w:bottom w:w="0" w:type="dxa"/>
              <w:right w:w="0" w:type="dxa"/>
            </w:tcMar>
            <w:vAlign w:val="center"/>
          </w:tcPr>
          <w:p w14:paraId="06E73ED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49" w:type="pct"/>
            <w:vMerge w:val="continue"/>
            <w:shd w:val="clear" w:color="auto" w:fill="FFFFFF"/>
            <w:tcMar>
              <w:top w:w="0" w:type="dxa"/>
              <w:left w:w="0" w:type="dxa"/>
              <w:bottom w:w="0" w:type="dxa"/>
              <w:right w:w="0" w:type="dxa"/>
            </w:tcMar>
            <w:vAlign w:val="center"/>
          </w:tcPr>
          <w:p w14:paraId="27C52C4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2A04ECF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26A35AC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36F2DA6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77C0CBF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30C3CDE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493" w:type="dxa"/>
            <w:shd w:val="clear" w:color="auto" w:fill="FFFFFF"/>
            <w:tcMar>
              <w:top w:w="0" w:type="dxa"/>
              <w:left w:w="0" w:type="dxa"/>
              <w:bottom w:w="0" w:type="dxa"/>
              <w:right w:w="0" w:type="dxa"/>
            </w:tcMar>
            <w:vAlign w:val="center"/>
          </w:tcPr>
          <w:p w14:paraId="0EB82011">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493" w:type="dxa"/>
            <w:shd w:val="clear" w:color="auto" w:fill="FFFFFF"/>
            <w:tcMar>
              <w:top w:w="0" w:type="dxa"/>
              <w:left w:w="0" w:type="dxa"/>
              <w:bottom w:w="0" w:type="dxa"/>
              <w:right w:w="0" w:type="dxa"/>
            </w:tcMar>
            <w:vAlign w:val="center"/>
          </w:tcPr>
          <w:p w14:paraId="22DB08D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4F0A228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264" w:type="pct"/>
            <w:shd w:val="clear" w:color="auto" w:fill="FFFFFF"/>
            <w:tcMar>
              <w:top w:w="0" w:type="dxa"/>
              <w:left w:w="0" w:type="dxa"/>
              <w:bottom w:w="0" w:type="dxa"/>
              <w:right w:w="0" w:type="dxa"/>
            </w:tcMar>
            <w:vAlign w:val="center"/>
          </w:tcPr>
          <w:p w14:paraId="451AA5F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6992DA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3ABC51F2">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13</w:t>
            </w:r>
          </w:p>
        </w:tc>
        <w:tc>
          <w:tcPr>
            <w:tcW w:w="182" w:type="pct"/>
            <w:vMerge w:val="continue"/>
            <w:shd w:val="clear" w:color="auto" w:fill="FFFFFF"/>
            <w:tcMar>
              <w:top w:w="0" w:type="dxa"/>
              <w:left w:w="0" w:type="dxa"/>
              <w:bottom w:w="0" w:type="dxa"/>
              <w:right w:w="0" w:type="dxa"/>
            </w:tcMar>
            <w:vAlign w:val="center"/>
          </w:tcPr>
          <w:p w14:paraId="0B1A19C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151BD38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54D7C3F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6FB78DC1">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220ECB1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464C921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c>
          <w:tcPr>
            <w:tcW w:w="206" w:type="pct"/>
            <w:shd w:val="clear" w:color="auto" w:fill="FFFFFF"/>
            <w:tcMar>
              <w:top w:w="0" w:type="dxa"/>
              <w:left w:w="0" w:type="dxa"/>
              <w:bottom w:w="0" w:type="dxa"/>
              <w:right w:w="0" w:type="dxa"/>
            </w:tcMar>
            <w:vAlign w:val="center"/>
          </w:tcPr>
          <w:p w14:paraId="3B86B02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w:t>
            </w:r>
          </w:p>
        </w:tc>
        <w:tc>
          <w:tcPr>
            <w:tcW w:w="211" w:type="pct"/>
            <w:shd w:val="clear" w:color="auto" w:fill="FFFFFF"/>
            <w:tcMar>
              <w:top w:w="0" w:type="dxa"/>
              <w:left w:w="0" w:type="dxa"/>
              <w:bottom w:w="0" w:type="dxa"/>
              <w:right w:w="0" w:type="dxa"/>
            </w:tcMar>
            <w:vAlign w:val="center"/>
          </w:tcPr>
          <w:p w14:paraId="7570CA9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4F355CD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w:t>
            </w:r>
          </w:p>
        </w:tc>
        <w:tc>
          <w:tcPr>
            <w:tcW w:w="169" w:type="pct"/>
            <w:shd w:val="clear" w:color="auto" w:fill="FFFFFF"/>
            <w:tcMar>
              <w:top w:w="0" w:type="dxa"/>
              <w:left w:w="0" w:type="dxa"/>
              <w:bottom w:w="0" w:type="dxa"/>
              <w:right w:w="0" w:type="dxa"/>
            </w:tcMar>
            <w:vAlign w:val="center"/>
          </w:tcPr>
          <w:p w14:paraId="6A85C1A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35</w:t>
            </w:r>
          </w:p>
        </w:tc>
        <w:tc>
          <w:tcPr>
            <w:tcW w:w="169" w:type="pct"/>
            <w:shd w:val="clear" w:color="auto" w:fill="FFFFFF"/>
            <w:tcMar>
              <w:top w:w="0" w:type="dxa"/>
              <w:left w:w="0" w:type="dxa"/>
              <w:bottom w:w="0" w:type="dxa"/>
              <w:right w:w="0" w:type="dxa"/>
            </w:tcMar>
            <w:vAlign w:val="center"/>
          </w:tcPr>
          <w:p w14:paraId="5AE6995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180" w:type="pct"/>
            <w:shd w:val="clear" w:color="auto" w:fill="FFFFFF"/>
            <w:tcMar>
              <w:top w:w="0" w:type="dxa"/>
              <w:left w:w="0" w:type="dxa"/>
              <w:bottom w:w="0" w:type="dxa"/>
              <w:right w:w="0" w:type="dxa"/>
            </w:tcMar>
            <w:vAlign w:val="center"/>
          </w:tcPr>
          <w:p w14:paraId="1E7E89B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75</w:t>
            </w:r>
          </w:p>
        </w:tc>
        <w:tc>
          <w:tcPr>
            <w:tcW w:w="169" w:type="pct"/>
            <w:shd w:val="clear" w:color="auto" w:fill="FFFFFF"/>
            <w:tcMar>
              <w:top w:w="0" w:type="dxa"/>
              <w:left w:w="0" w:type="dxa"/>
              <w:bottom w:w="0" w:type="dxa"/>
              <w:right w:w="0" w:type="dxa"/>
            </w:tcMar>
            <w:vAlign w:val="center"/>
          </w:tcPr>
          <w:p w14:paraId="7730D54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2</w:t>
            </w:r>
          </w:p>
        </w:tc>
        <w:tc>
          <w:tcPr>
            <w:tcW w:w="169" w:type="pct"/>
            <w:shd w:val="clear" w:color="auto" w:fill="FFFFFF"/>
            <w:tcMar>
              <w:top w:w="0" w:type="dxa"/>
              <w:left w:w="0" w:type="dxa"/>
              <w:bottom w:w="0" w:type="dxa"/>
              <w:right w:w="0" w:type="dxa"/>
            </w:tcMar>
            <w:vAlign w:val="center"/>
          </w:tcPr>
          <w:p w14:paraId="56BFCC9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69" w:type="pct"/>
            <w:shd w:val="clear" w:color="auto" w:fill="FFFFFF"/>
            <w:tcMar>
              <w:top w:w="0" w:type="dxa"/>
              <w:left w:w="0" w:type="dxa"/>
              <w:bottom w:w="0" w:type="dxa"/>
              <w:right w:w="0" w:type="dxa"/>
            </w:tcMar>
            <w:vAlign w:val="center"/>
          </w:tcPr>
          <w:p w14:paraId="46FD2A9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74" w:type="pct"/>
            <w:shd w:val="clear" w:color="auto" w:fill="FFFFFF"/>
            <w:tcMar>
              <w:top w:w="0" w:type="dxa"/>
              <w:left w:w="0" w:type="dxa"/>
              <w:bottom w:w="0" w:type="dxa"/>
              <w:right w:w="0" w:type="dxa"/>
            </w:tcMar>
            <w:vAlign w:val="center"/>
          </w:tcPr>
          <w:p w14:paraId="15E359C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49" w:type="pct"/>
            <w:vMerge w:val="continue"/>
            <w:shd w:val="clear" w:color="auto" w:fill="FFFFFF"/>
            <w:tcMar>
              <w:top w:w="0" w:type="dxa"/>
              <w:left w:w="0" w:type="dxa"/>
              <w:bottom w:w="0" w:type="dxa"/>
              <w:right w:w="0" w:type="dxa"/>
            </w:tcMar>
            <w:vAlign w:val="center"/>
          </w:tcPr>
          <w:p w14:paraId="1226A7B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44063CD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66A9DC6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3DC7E94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01CBDE6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6AD5F01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493" w:type="dxa"/>
            <w:shd w:val="clear" w:color="auto" w:fill="FFFFFF"/>
            <w:tcMar>
              <w:top w:w="0" w:type="dxa"/>
              <w:left w:w="0" w:type="dxa"/>
              <w:bottom w:w="0" w:type="dxa"/>
              <w:right w:w="0" w:type="dxa"/>
            </w:tcMar>
            <w:vAlign w:val="center"/>
          </w:tcPr>
          <w:p w14:paraId="7BD5331E">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493" w:type="dxa"/>
            <w:shd w:val="clear" w:color="auto" w:fill="FFFFFF"/>
            <w:tcMar>
              <w:top w:w="0" w:type="dxa"/>
              <w:left w:w="0" w:type="dxa"/>
              <w:bottom w:w="0" w:type="dxa"/>
              <w:right w:w="0" w:type="dxa"/>
            </w:tcMar>
            <w:vAlign w:val="center"/>
          </w:tcPr>
          <w:p w14:paraId="3F14953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623F54F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264" w:type="pct"/>
            <w:shd w:val="clear" w:color="auto" w:fill="FFFFFF"/>
            <w:tcMar>
              <w:top w:w="0" w:type="dxa"/>
              <w:left w:w="0" w:type="dxa"/>
              <w:bottom w:w="0" w:type="dxa"/>
              <w:right w:w="0" w:type="dxa"/>
            </w:tcMar>
            <w:vAlign w:val="center"/>
          </w:tcPr>
          <w:p w14:paraId="301ABAEF">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r>
      <w:tr w14:paraId="3DCFA6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63A2E74D">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14</w:t>
            </w:r>
          </w:p>
        </w:tc>
        <w:tc>
          <w:tcPr>
            <w:tcW w:w="182" w:type="pct"/>
            <w:vMerge w:val="continue"/>
            <w:shd w:val="clear" w:color="auto" w:fill="FFFFFF"/>
            <w:tcMar>
              <w:top w:w="0" w:type="dxa"/>
              <w:left w:w="0" w:type="dxa"/>
              <w:bottom w:w="0" w:type="dxa"/>
              <w:right w:w="0" w:type="dxa"/>
            </w:tcMar>
            <w:vAlign w:val="center"/>
          </w:tcPr>
          <w:p w14:paraId="2E55348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restart"/>
            <w:shd w:val="clear" w:color="auto" w:fill="FFFFFF"/>
            <w:tcMar>
              <w:top w:w="0" w:type="dxa"/>
              <w:left w:w="0" w:type="dxa"/>
              <w:bottom w:w="0" w:type="dxa"/>
              <w:right w:w="0" w:type="dxa"/>
            </w:tcMar>
            <w:vAlign w:val="center"/>
          </w:tcPr>
          <w:p w14:paraId="65F6D85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涡电流分选一体机</w:t>
            </w:r>
          </w:p>
        </w:tc>
        <w:tc>
          <w:tcPr>
            <w:tcW w:w="330" w:type="pct"/>
            <w:vMerge w:val="restart"/>
            <w:shd w:val="clear" w:color="auto" w:fill="FFFFFF"/>
            <w:tcMar>
              <w:top w:w="0" w:type="dxa"/>
              <w:left w:w="0" w:type="dxa"/>
              <w:bottom w:w="0" w:type="dxa"/>
              <w:right w:w="0" w:type="dxa"/>
            </w:tcMar>
            <w:vAlign w:val="center"/>
          </w:tcPr>
          <w:p w14:paraId="39D229DE">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218" w:type="pct"/>
            <w:shd w:val="clear" w:color="auto" w:fill="FFFFFF"/>
            <w:tcMar>
              <w:top w:w="0" w:type="dxa"/>
              <w:left w:w="0" w:type="dxa"/>
              <w:bottom w:w="0" w:type="dxa"/>
              <w:right w:w="0" w:type="dxa"/>
            </w:tcMar>
            <w:vAlign w:val="center"/>
          </w:tcPr>
          <w:p w14:paraId="140B248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61A8B8F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301F40B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206" w:type="pct"/>
            <w:shd w:val="clear" w:color="auto" w:fill="FFFFFF"/>
            <w:tcMar>
              <w:top w:w="0" w:type="dxa"/>
              <w:left w:w="0" w:type="dxa"/>
              <w:bottom w:w="0" w:type="dxa"/>
              <w:right w:w="0" w:type="dxa"/>
            </w:tcMar>
            <w:vAlign w:val="center"/>
          </w:tcPr>
          <w:p w14:paraId="701AE35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p>
        </w:tc>
        <w:tc>
          <w:tcPr>
            <w:tcW w:w="211" w:type="pct"/>
            <w:shd w:val="clear" w:color="auto" w:fill="FFFFFF"/>
            <w:tcMar>
              <w:top w:w="0" w:type="dxa"/>
              <w:left w:w="0" w:type="dxa"/>
              <w:bottom w:w="0" w:type="dxa"/>
              <w:right w:w="0" w:type="dxa"/>
            </w:tcMar>
            <w:vAlign w:val="center"/>
          </w:tcPr>
          <w:p w14:paraId="44BB321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1C7FB5A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169" w:type="pct"/>
            <w:shd w:val="clear" w:color="auto" w:fill="FFFFFF"/>
            <w:tcMar>
              <w:top w:w="0" w:type="dxa"/>
              <w:left w:w="0" w:type="dxa"/>
              <w:bottom w:w="0" w:type="dxa"/>
              <w:right w:w="0" w:type="dxa"/>
            </w:tcMar>
            <w:vAlign w:val="center"/>
          </w:tcPr>
          <w:p w14:paraId="79C010D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w:t>
            </w:r>
          </w:p>
        </w:tc>
        <w:tc>
          <w:tcPr>
            <w:tcW w:w="169" w:type="pct"/>
            <w:shd w:val="clear" w:color="auto" w:fill="FFFFFF"/>
            <w:tcMar>
              <w:top w:w="0" w:type="dxa"/>
              <w:left w:w="0" w:type="dxa"/>
              <w:bottom w:w="0" w:type="dxa"/>
              <w:right w:w="0" w:type="dxa"/>
            </w:tcMar>
            <w:vAlign w:val="center"/>
          </w:tcPr>
          <w:p w14:paraId="5E37A65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75</w:t>
            </w:r>
          </w:p>
        </w:tc>
        <w:tc>
          <w:tcPr>
            <w:tcW w:w="180" w:type="pct"/>
            <w:shd w:val="clear" w:color="auto" w:fill="FFFFFF"/>
            <w:tcMar>
              <w:top w:w="0" w:type="dxa"/>
              <w:left w:w="0" w:type="dxa"/>
              <w:bottom w:w="0" w:type="dxa"/>
              <w:right w:w="0" w:type="dxa"/>
            </w:tcMar>
            <w:vAlign w:val="center"/>
          </w:tcPr>
          <w:p w14:paraId="2202C04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60</w:t>
            </w:r>
          </w:p>
        </w:tc>
        <w:tc>
          <w:tcPr>
            <w:tcW w:w="169" w:type="pct"/>
            <w:shd w:val="clear" w:color="auto" w:fill="FFFFFF"/>
            <w:tcMar>
              <w:top w:w="0" w:type="dxa"/>
              <w:left w:w="0" w:type="dxa"/>
              <w:bottom w:w="0" w:type="dxa"/>
              <w:right w:w="0" w:type="dxa"/>
            </w:tcMar>
            <w:vAlign w:val="center"/>
          </w:tcPr>
          <w:p w14:paraId="47E2A93A">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69" w:type="pct"/>
            <w:shd w:val="clear" w:color="auto" w:fill="FFFFFF"/>
            <w:tcMar>
              <w:top w:w="0" w:type="dxa"/>
              <w:left w:w="0" w:type="dxa"/>
              <w:bottom w:w="0" w:type="dxa"/>
              <w:right w:w="0" w:type="dxa"/>
            </w:tcMar>
            <w:vAlign w:val="center"/>
          </w:tcPr>
          <w:p w14:paraId="3DDF0726">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69" w:type="pct"/>
            <w:shd w:val="clear" w:color="auto" w:fill="FFFFFF"/>
            <w:tcMar>
              <w:top w:w="0" w:type="dxa"/>
              <w:left w:w="0" w:type="dxa"/>
              <w:bottom w:w="0" w:type="dxa"/>
              <w:right w:w="0" w:type="dxa"/>
            </w:tcMar>
            <w:vAlign w:val="center"/>
          </w:tcPr>
          <w:p w14:paraId="58E05F7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74" w:type="pct"/>
            <w:shd w:val="clear" w:color="auto" w:fill="FFFFFF"/>
            <w:tcMar>
              <w:top w:w="0" w:type="dxa"/>
              <w:left w:w="0" w:type="dxa"/>
              <w:bottom w:w="0" w:type="dxa"/>
              <w:right w:w="0" w:type="dxa"/>
            </w:tcMar>
            <w:vAlign w:val="center"/>
          </w:tcPr>
          <w:p w14:paraId="66D1610F">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49" w:type="pct"/>
            <w:vMerge w:val="continue"/>
            <w:shd w:val="clear" w:color="auto" w:fill="FFFFFF"/>
            <w:tcMar>
              <w:top w:w="0" w:type="dxa"/>
              <w:left w:w="0" w:type="dxa"/>
              <w:bottom w:w="0" w:type="dxa"/>
              <w:right w:w="0" w:type="dxa"/>
            </w:tcMar>
            <w:vAlign w:val="center"/>
          </w:tcPr>
          <w:p w14:paraId="435298F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2E35A6C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15C2D58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2F191E2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73256A0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0D673C5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174" w:type="pct"/>
            <w:shd w:val="clear" w:color="auto" w:fill="FFFFFF"/>
            <w:tcMar>
              <w:top w:w="0" w:type="dxa"/>
              <w:left w:w="0" w:type="dxa"/>
              <w:bottom w:w="0" w:type="dxa"/>
              <w:right w:w="0" w:type="dxa"/>
            </w:tcMar>
            <w:vAlign w:val="center"/>
          </w:tcPr>
          <w:p w14:paraId="4118D9C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174" w:type="pct"/>
            <w:shd w:val="clear" w:color="auto" w:fill="FFFFFF"/>
            <w:tcMar>
              <w:top w:w="0" w:type="dxa"/>
              <w:left w:w="0" w:type="dxa"/>
              <w:bottom w:w="0" w:type="dxa"/>
              <w:right w:w="0" w:type="dxa"/>
            </w:tcMar>
            <w:vAlign w:val="center"/>
          </w:tcPr>
          <w:p w14:paraId="05676B9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bidi="ar-SA"/>
                <w14:textFill>
                  <w14:solidFill>
                    <w14:schemeClr w14:val="tx1"/>
                  </w14:solidFill>
                </w14:textFill>
              </w:rPr>
              <w:t>41</w:t>
            </w:r>
          </w:p>
        </w:tc>
        <w:tc>
          <w:tcPr>
            <w:tcW w:w="174" w:type="pct"/>
            <w:shd w:val="clear" w:color="auto" w:fill="FFFFFF"/>
            <w:tcMar>
              <w:top w:w="0" w:type="dxa"/>
              <w:left w:w="0" w:type="dxa"/>
              <w:bottom w:w="0" w:type="dxa"/>
              <w:right w:w="0" w:type="dxa"/>
            </w:tcMar>
            <w:vAlign w:val="center"/>
          </w:tcPr>
          <w:p w14:paraId="43BD26D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264" w:type="pct"/>
            <w:shd w:val="clear" w:color="auto" w:fill="FFFFFF"/>
            <w:tcMar>
              <w:top w:w="0" w:type="dxa"/>
              <w:left w:w="0" w:type="dxa"/>
              <w:bottom w:w="0" w:type="dxa"/>
              <w:right w:w="0" w:type="dxa"/>
            </w:tcMar>
            <w:vAlign w:val="center"/>
          </w:tcPr>
          <w:p w14:paraId="5FA487A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13E45E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12D91E59">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15</w:t>
            </w:r>
          </w:p>
        </w:tc>
        <w:tc>
          <w:tcPr>
            <w:tcW w:w="182" w:type="pct"/>
            <w:vMerge w:val="continue"/>
            <w:shd w:val="clear" w:color="auto" w:fill="FFFFFF"/>
            <w:tcMar>
              <w:top w:w="0" w:type="dxa"/>
              <w:left w:w="0" w:type="dxa"/>
              <w:bottom w:w="0" w:type="dxa"/>
              <w:right w:w="0" w:type="dxa"/>
            </w:tcMar>
            <w:vAlign w:val="center"/>
          </w:tcPr>
          <w:p w14:paraId="16CE15E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76839B1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572189B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3624B29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60D16C7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49097C8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206" w:type="pct"/>
            <w:shd w:val="clear" w:color="auto" w:fill="FFFFFF"/>
            <w:tcMar>
              <w:top w:w="0" w:type="dxa"/>
              <w:left w:w="0" w:type="dxa"/>
              <w:bottom w:w="0" w:type="dxa"/>
              <w:right w:w="0" w:type="dxa"/>
            </w:tcMar>
            <w:vAlign w:val="center"/>
          </w:tcPr>
          <w:p w14:paraId="32009D1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w:t>
            </w:r>
          </w:p>
        </w:tc>
        <w:tc>
          <w:tcPr>
            <w:tcW w:w="211" w:type="pct"/>
            <w:shd w:val="clear" w:color="auto" w:fill="FFFFFF"/>
            <w:tcMar>
              <w:top w:w="0" w:type="dxa"/>
              <w:left w:w="0" w:type="dxa"/>
              <w:bottom w:w="0" w:type="dxa"/>
              <w:right w:w="0" w:type="dxa"/>
            </w:tcMar>
            <w:vAlign w:val="center"/>
          </w:tcPr>
          <w:p w14:paraId="7FF078A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19A54EA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169" w:type="pct"/>
            <w:shd w:val="clear" w:color="auto" w:fill="FFFFFF"/>
            <w:tcMar>
              <w:top w:w="0" w:type="dxa"/>
              <w:left w:w="0" w:type="dxa"/>
              <w:bottom w:w="0" w:type="dxa"/>
              <w:right w:w="0" w:type="dxa"/>
            </w:tcMar>
            <w:vAlign w:val="center"/>
          </w:tcPr>
          <w:p w14:paraId="2988220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w:t>
            </w:r>
          </w:p>
        </w:tc>
        <w:tc>
          <w:tcPr>
            <w:tcW w:w="169" w:type="pct"/>
            <w:shd w:val="clear" w:color="auto" w:fill="FFFFFF"/>
            <w:tcMar>
              <w:top w:w="0" w:type="dxa"/>
              <w:left w:w="0" w:type="dxa"/>
              <w:bottom w:w="0" w:type="dxa"/>
              <w:right w:w="0" w:type="dxa"/>
            </w:tcMar>
            <w:vAlign w:val="center"/>
          </w:tcPr>
          <w:p w14:paraId="0759120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75</w:t>
            </w:r>
          </w:p>
        </w:tc>
        <w:tc>
          <w:tcPr>
            <w:tcW w:w="180" w:type="pct"/>
            <w:shd w:val="clear" w:color="auto" w:fill="FFFFFF"/>
            <w:tcMar>
              <w:top w:w="0" w:type="dxa"/>
              <w:left w:w="0" w:type="dxa"/>
              <w:bottom w:w="0" w:type="dxa"/>
              <w:right w:w="0" w:type="dxa"/>
            </w:tcMar>
            <w:vAlign w:val="center"/>
          </w:tcPr>
          <w:p w14:paraId="3CCA929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w:t>
            </w:r>
          </w:p>
        </w:tc>
        <w:tc>
          <w:tcPr>
            <w:tcW w:w="169" w:type="pct"/>
            <w:shd w:val="clear" w:color="auto" w:fill="FFFFFF"/>
            <w:tcMar>
              <w:top w:w="0" w:type="dxa"/>
              <w:left w:w="0" w:type="dxa"/>
              <w:bottom w:w="0" w:type="dxa"/>
              <w:right w:w="0" w:type="dxa"/>
            </w:tcMar>
            <w:vAlign w:val="center"/>
          </w:tcPr>
          <w:p w14:paraId="688414A1">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69" w:type="pct"/>
            <w:shd w:val="clear" w:color="auto" w:fill="FFFFFF"/>
            <w:tcMar>
              <w:top w:w="0" w:type="dxa"/>
              <w:left w:w="0" w:type="dxa"/>
              <w:bottom w:w="0" w:type="dxa"/>
              <w:right w:w="0" w:type="dxa"/>
            </w:tcMar>
            <w:vAlign w:val="center"/>
          </w:tcPr>
          <w:p w14:paraId="0B248F4F">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69" w:type="pct"/>
            <w:shd w:val="clear" w:color="auto" w:fill="FFFFFF"/>
            <w:tcMar>
              <w:top w:w="0" w:type="dxa"/>
              <w:left w:w="0" w:type="dxa"/>
              <w:bottom w:w="0" w:type="dxa"/>
              <w:right w:w="0" w:type="dxa"/>
            </w:tcMar>
            <w:vAlign w:val="center"/>
          </w:tcPr>
          <w:p w14:paraId="3F1040C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74" w:type="pct"/>
            <w:shd w:val="clear" w:color="auto" w:fill="FFFFFF"/>
            <w:tcMar>
              <w:top w:w="0" w:type="dxa"/>
              <w:left w:w="0" w:type="dxa"/>
              <w:bottom w:w="0" w:type="dxa"/>
              <w:right w:w="0" w:type="dxa"/>
            </w:tcMar>
            <w:vAlign w:val="center"/>
          </w:tcPr>
          <w:p w14:paraId="5607B81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49" w:type="pct"/>
            <w:vMerge w:val="continue"/>
            <w:shd w:val="clear" w:color="auto" w:fill="FFFFFF"/>
            <w:tcMar>
              <w:top w:w="0" w:type="dxa"/>
              <w:left w:w="0" w:type="dxa"/>
              <w:bottom w:w="0" w:type="dxa"/>
              <w:right w:w="0" w:type="dxa"/>
            </w:tcMar>
            <w:vAlign w:val="center"/>
          </w:tcPr>
          <w:p w14:paraId="69066C1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7162026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774DC6F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1379D6F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3C0084D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5CA1C1D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174" w:type="pct"/>
            <w:shd w:val="clear" w:color="auto" w:fill="FFFFFF"/>
            <w:tcMar>
              <w:top w:w="0" w:type="dxa"/>
              <w:left w:w="0" w:type="dxa"/>
              <w:bottom w:w="0" w:type="dxa"/>
              <w:right w:w="0" w:type="dxa"/>
            </w:tcMar>
            <w:vAlign w:val="center"/>
          </w:tcPr>
          <w:p w14:paraId="6359B0B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174" w:type="pct"/>
            <w:shd w:val="clear" w:color="auto" w:fill="FFFFFF"/>
            <w:tcMar>
              <w:top w:w="0" w:type="dxa"/>
              <w:left w:w="0" w:type="dxa"/>
              <w:bottom w:w="0" w:type="dxa"/>
              <w:right w:w="0" w:type="dxa"/>
            </w:tcMar>
            <w:vAlign w:val="center"/>
          </w:tcPr>
          <w:p w14:paraId="6480101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174" w:type="pct"/>
            <w:shd w:val="clear" w:color="auto" w:fill="FFFFFF"/>
            <w:tcMar>
              <w:top w:w="0" w:type="dxa"/>
              <w:left w:w="0" w:type="dxa"/>
              <w:bottom w:w="0" w:type="dxa"/>
              <w:right w:w="0" w:type="dxa"/>
            </w:tcMar>
            <w:vAlign w:val="center"/>
          </w:tcPr>
          <w:p w14:paraId="7EB2ADF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264" w:type="pct"/>
            <w:shd w:val="clear" w:color="auto" w:fill="FFFFFF"/>
            <w:tcMar>
              <w:top w:w="0" w:type="dxa"/>
              <w:left w:w="0" w:type="dxa"/>
              <w:bottom w:w="0" w:type="dxa"/>
              <w:right w:w="0" w:type="dxa"/>
            </w:tcMar>
            <w:vAlign w:val="center"/>
          </w:tcPr>
          <w:p w14:paraId="7AFAA61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376D0E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44B764BF">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16</w:t>
            </w:r>
          </w:p>
        </w:tc>
        <w:tc>
          <w:tcPr>
            <w:tcW w:w="182" w:type="pct"/>
            <w:vMerge w:val="continue"/>
            <w:shd w:val="clear" w:color="auto" w:fill="FFFFFF"/>
            <w:tcMar>
              <w:top w:w="0" w:type="dxa"/>
              <w:left w:w="0" w:type="dxa"/>
              <w:bottom w:w="0" w:type="dxa"/>
              <w:right w:w="0" w:type="dxa"/>
            </w:tcMar>
            <w:vAlign w:val="center"/>
          </w:tcPr>
          <w:p w14:paraId="1352B36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031245E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136A442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1F036CF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59B4395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79B9072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206" w:type="pct"/>
            <w:shd w:val="clear" w:color="auto" w:fill="FFFFFF"/>
            <w:tcMar>
              <w:top w:w="0" w:type="dxa"/>
              <w:left w:w="0" w:type="dxa"/>
              <w:bottom w:w="0" w:type="dxa"/>
              <w:right w:w="0" w:type="dxa"/>
            </w:tcMar>
            <w:vAlign w:val="center"/>
          </w:tcPr>
          <w:p w14:paraId="1604C70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-13</w:t>
            </w:r>
          </w:p>
        </w:tc>
        <w:tc>
          <w:tcPr>
            <w:tcW w:w="211" w:type="pct"/>
            <w:shd w:val="clear" w:color="auto" w:fill="FFFFFF"/>
            <w:tcMar>
              <w:top w:w="0" w:type="dxa"/>
              <w:left w:w="0" w:type="dxa"/>
              <w:bottom w:w="0" w:type="dxa"/>
              <w:right w:w="0" w:type="dxa"/>
            </w:tcMar>
            <w:vAlign w:val="center"/>
          </w:tcPr>
          <w:p w14:paraId="57B1DD5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4FF2756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169" w:type="pct"/>
            <w:shd w:val="clear" w:color="auto" w:fill="FFFFFF"/>
            <w:tcMar>
              <w:top w:w="0" w:type="dxa"/>
              <w:left w:w="0" w:type="dxa"/>
              <w:bottom w:w="0" w:type="dxa"/>
              <w:right w:w="0" w:type="dxa"/>
            </w:tcMar>
            <w:vAlign w:val="center"/>
          </w:tcPr>
          <w:p w14:paraId="33401AA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169" w:type="pct"/>
            <w:shd w:val="clear" w:color="auto" w:fill="FFFFFF"/>
            <w:tcMar>
              <w:top w:w="0" w:type="dxa"/>
              <w:left w:w="0" w:type="dxa"/>
              <w:bottom w:w="0" w:type="dxa"/>
              <w:right w:w="0" w:type="dxa"/>
            </w:tcMar>
            <w:vAlign w:val="center"/>
          </w:tcPr>
          <w:p w14:paraId="7B55C97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75</w:t>
            </w:r>
          </w:p>
        </w:tc>
        <w:tc>
          <w:tcPr>
            <w:tcW w:w="180" w:type="pct"/>
            <w:shd w:val="clear" w:color="auto" w:fill="FFFFFF"/>
            <w:tcMar>
              <w:top w:w="0" w:type="dxa"/>
              <w:left w:w="0" w:type="dxa"/>
              <w:bottom w:w="0" w:type="dxa"/>
              <w:right w:w="0" w:type="dxa"/>
            </w:tcMar>
            <w:vAlign w:val="center"/>
          </w:tcPr>
          <w:p w14:paraId="4B59364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68</w:t>
            </w:r>
          </w:p>
        </w:tc>
        <w:tc>
          <w:tcPr>
            <w:tcW w:w="169" w:type="pct"/>
            <w:shd w:val="clear" w:color="auto" w:fill="FFFFFF"/>
            <w:tcMar>
              <w:top w:w="0" w:type="dxa"/>
              <w:left w:w="0" w:type="dxa"/>
              <w:bottom w:w="0" w:type="dxa"/>
              <w:right w:w="0" w:type="dxa"/>
            </w:tcMar>
            <w:vAlign w:val="center"/>
          </w:tcPr>
          <w:p w14:paraId="17BD0EEE">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69" w:type="pct"/>
            <w:shd w:val="clear" w:color="auto" w:fill="FFFFFF"/>
            <w:tcMar>
              <w:top w:w="0" w:type="dxa"/>
              <w:left w:w="0" w:type="dxa"/>
              <w:bottom w:w="0" w:type="dxa"/>
              <w:right w:w="0" w:type="dxa"/>
            </w:tcMar>
            <w:vAlign w:val="center"/>
          </w:tcPr>
          <w:p w14:paraId="3D8574BF">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69" w:type="pct"/>
            <w:shd w:val="clear" w:color="auto" w:fill="FFFFFF"/>
            <w:tcMar>
              <w:top w:w="0" w:type="dxa"/>
              <w:left w:w="0" w:type="dxa"/>
              <w:bottom w:w="0" w:type="dxa"/>
              <w:right w:w="0" w:type="dxa"/>
            </w:tcMar>
            <w:vAlign w:val="center"/>
          </w:tcPr>
          <w:p w14:paraId="273DBD7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74" w:type="pct"/>
            <w:shd w:val="clear" w:color="auto" w:fill="FFFFFF"/>
            <w:tcMar>
              <w:top w:w="0" w:type="dxa"/>
              <w:left w:w="0" w:type="dxa"/>
              <w:bottom w:w="0" w:type="dxa"/>
              <w:right w:w="0" w:type="dxa"/>
            </w:tcMar>
            <w:vAlign w:val="center"/>
          </w:tcPr>
          <w:p w14:paraId="533380E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49" w:type="pct"/>
            <w:vMerge w:val="continue"/>
            <w:shd w:val="clear" w:color="auto" w:fill="FFFFFF"/>
            <w:tcMar>
              <w:top w:w="0" w:type="dxa"/>
              <w:left w:w="0" w:type="dxa"/>
              <w:bottom w:w="0" w:type="dxa"/>
              <w:right w:w="0" w:type="dxa"/>
            </w:tcMar>
            <w:vAlign w:val="center"/>
          </w:tcPr>
          <w:p w14:paraId="0CD9639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5FADED9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6A644F8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1F801C2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17B0AAC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5EE7860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493" w:type="dxa"/>
            <w:shd w:val="clear" w:color="auto" w:fill="FFFFFF"/>
            <w:tcMar>
              <w:top w:w="0" w:type="dxa"/>
              <w:left w:w="0" w:type="dxa"/>
              <w:bottom w:w="0" w:type="dxa"/>
              <w:right w:w="0" w:type="dxa"/>
            </w:tcMar>
            <w:vAlign w:val="center"/>
          </w:tcPr>
          <w:p w14:paraId="2752599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493" w:type="dxa"/>
            <w:shd w:val="clear" w:color="auto" w:fill="FFFFFF"/>
            <w:tcMar>
              <w:top w:w="0" w:type="dxa"/>
              <w:left w:w="0" w:type="dxa"/>
              <w:bottom w:w="0" w:type="dxa"/>
              <w:right w:w="0" w:type="dxa"/>
            </w:tcMar>
            <w:vAlign w:val="center"/>
          </w:tcPr>
          <w:p w14:paraId="532051B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3FD7DE9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264" w:type="pct"/>
            <w:shd w:val="clear" w:color="auto" w:fill="FFFFFF"/>
            <w:tcMar>
              <w:top w:w="0" w:type="dxa"/>
              <w:left w:w="0" w:type="dxa"/>
              <w:bottom w:w="0" w:type="dxa"/>
              <w:right w:w="0" w:type="dxa"/>
            </w:tcMar>
            <w:vAlign w:val="center"/>
          </w:tcPr>
          <w:p w14:paraId="0098BFA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64626D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4A8F1C7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17</w:t>
            </w:r>
          </w:p>
        </w:tc>
        <w:tc>
          <w:tcPr>
            <w:tcW w:w="182" w:type="pct"/>
            <w:vMerge w:val="restart"/>
            <w:shd w:val="clear" w:color="auto" w:fill="FFFFFF"/>
            <w:tcMar>
              <w:top w:w="0" w:type="dxa"/>
              <w:left w:w="0" w:type="dxa"/>
              <w:bottom w:w="0" w:type="dxa"/>
              <w:right w:w="0" w:type="dxa"/>
            </w:tcMar>
            <w:vAlign w:val="center"/>
          </w:tcPr>
          <w:p w14:paraId="1521708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2#厂房</w:t>
            </w:r>
          </w:p>
        </w:tc>
        <w:tc>
          <w:tcPr>
            <w:tcW w:w="178" w:type="pct"/>
            <w:vMerge w:val="restart"/>
            <w:shd w:val="clear" w:color="auto" w:fill="FFFFFF"/>
            <w:tcMar>
              <w:top w:w="0" w:type="dxa"/>
              <w:left w:w="0" w:type="dxa"/>
              <w:bottom w:w="0" w:type="dxa"/>
              <w:right w:w="0" w:type="dxa"/>
            </w:tcMar>
            <w:vAlign w:val="center"/>
          </w:tcPr>
          <w:p w14:paraId="473D6A1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卧式开包机</w:t>
            </w:r>
          </w:p>
        </w:tc>
        <w:tc>
          <w:tcPr>
            <w:tcW w:w="330" w:type="pct"/>
            <w:vMerge w:val="restart"/>
            <w:shd w:val="clear" w:color="auto" w:fill="FFFFFF"/>
            <w:tcMar>
              <w:top w:w="0" w:type="dxa"/>
              <w:left w:w="0" w:type="dxa"/>
              <w:bottom w:w="0" w:type="dxa"/>
              <w:right w:w="0" w:type="dxa"/>
            </w:tcMar>
            <w:vAlign w:val="center"/>
          </w:tcPr>
          <w:p w14:paraId="35AA0A48">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218" w:type="pct"/>
            <w:shd w:val="clear" w:color="auto" w:fill="FFFFFF"/>
            <w:tcMar>
              <w:top w:w="0" w:type="dxa"/>
              <w:left w:w="0" w:type="dxa"/>
              <w:bottom w:w="0" w:type="dxa"/>
              <w:right w:w="0" w:type="dxa"/>
            </w:tcMar>
            <w:vAlign w:val="center"/>
          </w:tcPr>
          <w:p w14:paraId="0DCD98A7">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185" w:type="pct"/>
            <w:vMerge w:val="continue"/>
            <w:shd w:val="clear" w:color="auto" w:fill="FFFFFF"/>
            <w:tcMar>
              <w:top w:w="0" w:type="dxa"/>
              <w:left w:w="0" w:type="dxa"/>
              <w:bottom w:w="0" w:type="dxa"/>
              <w:right w:w="0" w:type="dxa"/>
            </w:tcMar>
            <w:vAlign w:val="center"/>
          </w:tcPr>
          <w:p w14:paraId="618426B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23834823">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w:t>
            </w:r>
          </w:p>
        </w:tc>
        <w:tc>
          <w:tcPr>
            <w:tcW w:w="206" w:type="pct"/>
            <w:shd w:val="clear" w:color="auto" w:fill="FFFFFF"/>
            <w:tcMar>
              <w:top w:w="0" w:type="dxa"/>
              <w:left w:w="0" w:type="dxa"/>
              <w:bottom w:w="0" w:type="dxa"/>
              <w:right w:w="0" w:type="dxa"/>
            </w:tcMar>
            <w:vAlign w:val="center"/>
          </w:tcPr>
          <w:p w14:paraId="0C7F0495">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24</w:t>
            </w:r>
          </w:p>
        </w:tc>
        <w:tc>
          <w:tcPr>
            <w:tcW w:w="211" w:type="pct"/>
            <w:shd w:val="clear" w:color="auto" w:fill="FFFFFF"/>
            <w:tcMar>
              <w:top w:w="0" w:type="dxa"/>
              <w:left w:w="0" w:type="dxa"/>
              <w:bottom w:w="0" w:type="dxa"/>
              <w:right w:w="0" w:type="dxa"/>
            </w:tcMar>
            <w:vAlign w:val="center"/>
          </w:tcPr>
          <w:p w14:paraId="5F3C0667">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5</w:t>
            </w:r>
          </w:p>
        </w:tc>
        <w:tc>
          <w:tcPr>
            <w:tcW w:w="169" w:type="pct"/>
            <w:shd w:val="clear" w:color="auto" w:fill="FFFFFF"/>
            <w:tcMar>
              <w:top w:w="0" w:type="dxa"/>
              <w:left w:w="0" w:type="dxa"/>
              <w:bottom w:w="0" w:type="dxa"/>
              <w:right w:w="0" w:type="dxa"/>
            </w:tcMar>
            <w:vAlign w:val="center"/>
          </w:tcPr>
          <w:p w14:paraId="050F0FE3">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40</w:t>
            </w:r>
          </w:p>
        </w:tc>
        <w:tc>
          <w:tcPr>
            <w:tcW w:w="169" w:type="pct"/>
            <w:shd w:val="clear" w:color="auto" w:fill="FFFFFF"/>
            <w:tcMar>
              <w:top w:w="0" w:type="dxa"/>
              <w:left w:w="0" w:type="dxa"/>
              <w:bottom w:w="0" w:type="dxa"/>
              <w:right w:w="0" w:type="dxa"/>
            </w:tcMar>
            <w:vAlign w:val="center"/>
          </w:tcPr>
          <w:p w14:paraId="7667E1C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79</w:t>
            </w:r>
          </w:p>
        </w:tc>
        <w:tc>
          <w:tcPr>
            <w:tcW w:w="169" w:type="pct"/>
            <w:shd w:val="clear" w:color="auto" w:fill="FFFFFF"/>
            <w:tcMar>
              <w:top w:w="0" w:type="dxa"/>
              <w:left w:w="0" w:type="dxa"/>
              <w:bottom w:w="0" w:type="dxa"/>
              <w:right w:w="0" w:type="dxa"/>
            </w:tcMar>
            <w:vAlign w:val="center"/>
          </w:tcPr>
          <w:p w14:paraId="56E2D1C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80</w:t>
            </w:r>
          </w:p>
        </w:tc>
        <w:tc>
          <w:tcPr>
            <w:tcW w:w="180" w:type="pct"/>
            <w:shd w:val="clear" w:color="auto" w:fill="FFFFFF"/>
            <w:tcMar>
              <w:top w:w="0" w:type="dxa"/>
              <w:left w:w="0" w:type="dxa"/>
              <w:bottom w:w="0" w:type="dxa"/>
              <w:right w:w="0" w:type="dxa"/>
            </w:tcMar>
            <w:vAlign w:val="center"/>
          </w:tcPr>
          <w:p w14:paraId="04DDB4A8">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31</w:t>
            </w:r>
          </w:p>
        </w:tc>
        <w:tc>
          <w:tcPr>
            <w:tcW w:w="169" w:type="pct"/>
            <w:shd w:val="clear" w:color="auto" w:fill="FFFFFF"/>
            <w:tcMar>
              <w:top w:w="0" w:type="dxa"/>
              <w:left w:w="0" w:type="dxa"/>
              <w:bottom w:w="0" w:type="dxa"/>
              <w:right w:w="0" w:type="dxa"/>
            </w:tcMar>
            <w:vAlign w:val="center"/>
          </w:tcPr>
          <w:p w14:paraId="2B06A729">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8</w:t>
            </w:r>
          </w:p>
        </w:tc>
        <w:tc>
          <w:tcPr>
            <w:tcW w:w="169" w:type="pct"/>
            <w:shd w:val="clear" w:color="auto" w:fill="FFFFFF"/>
            <w:tcMar>
              <w:top w:w="0" w:type="dxa"/>
              <w:left w:w="0" w:type="dxa"/>
              <w:bottom w:w="0" w:type="dxa"/>
              <w:right w:w="0" w:type="dxa"/>
            </w:tcMar>
            <w:vAlign w:val="center"/>
          </w:tcPr>
          <w:p w14:paraId="46744E3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66</w:t>
            </w:r>
          </w:p>
        </w:tc>
        <w:tc>
          <w:tcPr>
            <w:tcW w:w="169" w:type="pct"/>
            <w:shd w:val="clear" w:color="auto" w:fill="FFFFFF"/>
            <w:tcMar>
              <w:top w:w="0" w:type="dxa"/>
              <w:left w:w="0" w:type="dxa"/>
              <w:bottom w:w="0" w:type="dxa"/>
              <w:right w:w="0" w:type="dxa"/>
            </w:tcMar>
            <w:vAlign w:val="center"/>
          </w:tcPr>
          <w:p w14:paraId="7E3768D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66</w:t>
            </w:r>
          </w:p>
        </w:tc>
        <w:tc>
          <w:tcPr>
            <w:tcW w:w="174" w:type="pct"/>
            <w:shd w:val="clear" w:color="auto" w:fill="FFFFFF"/>
            <w:tcMar>
              <w:top w:w="0" w:type="dxa"/>
              <w:left w:w="0" w:type="dxa"/>
              <w:bottom w:w="0" w:type="dxa"/>
              <w:right w:w="0" w:type="dxa"/>
            </w:tcMar>
            <w:vAlign w:val="center"/>
          </w:tcPr>
          <w:p w14:paraId="4F0BB0A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8</w:t>
            </w:r>
          </w:p>
        </w:tc>
        <w:tc>
          <w:tcPr>
            <w:tcW w:w="149" w:type="pct"/>
            <w:vMerge w:val="restart"/>
            <w:shd w:val="clear" w:color="auto" w:fill="FFFFFF"/>
            <w:tcMar>
              <w:top w:w="0" w:type="dxa"/>
              <w:left w:w="0" w:type="dxa"/>
              <w:bottom w:w="0" w:type="dxa"/>
              <w:right w:w="0" w:type="dxa"/>
            </w:tcMar>
            <w:vAlign w:val="center"/>
          </w:tcPr>
          <w:p w14:paraId="50257A7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昼间/夜间</w:t>
            </w:r>
          </w:p>
        </w:tc>
        <w:tc>
          <w:tcPr>
            <w:tcW w:w="448" w:type="dxa"/>
            <w:shd w:val="clear" w:color="auto" w:fill="FFFFFF"/>
            <w:tcMar>
              <w:top w:w="0" w:type="dxa"/>
              <w:left w:w="0" w:type="dxa"/>
              <w:bottom w:w="0" w:type="dxa"/>
              <w:right w:w="0" w:type="dxa"/>
            </w:tcMar>
            <w:vAlign w:val="center"/>
          </w:tcPr>
          <w:p w14:paraId="703363F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0CCA5D5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5999567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21BFCCD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7B48346E">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8</w:t>
            </w:r>
          </w:p>
        </w:tc>
        <w:tc>
          <w:tcPr>
            <w:tcW w:w="174" w:type="pct"/>
            <w:shd w:val="clear" w:color="auto" w:fill="FFFFFF"/>
            <w:tcMar>
              <w:top w:w="0" w:type="dxa"/>
              <w:left w:w="0" w:type="dxa"/>
              <w:bottom w:w="0" w:type="dxa"/>
              <w:right w:w="0" w:type="dxa"/>
            </w:tcMar>
            <w:vAlign w:val="center"/>
          </w:tcPr>
          <w:p w14:paraId="0975ABA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174" w:type="pct"/>
            <w:shd w:val="clear" w:color="auto" w:fill="FFFFFF"/>
            <w:tcMar>
              <w:top w:w="0" w:type="dxa"/>
              <w:left w:w="0" w:type="dxa"/>
              <w:bottom w:w="0" w:type="dxa"/>
              <w:right w:w="0" w:type="dxa"/>
            </w:tcMar>
            <w:vAlign w:val="center"/>
          </w:tcPr>
          <w:p w14:paraId="49085407">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02BC7742">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8</w:t>
            </w:r>
          </w:p>
        </w:tc>
        <w:tc>
          <w:tcPr>
            <w:tcW w:w="264" w:type="pct"/>
            <w:shd w:val="clear" w:color="auto" w:fill="FFFFFF"/>
            <w:tcMar>
              <w:top w:w="0" w:type="dxa"/>
              <w:left w:w="0" w:type="dxa"/>
              <w:bottom w:w="0" w:type="dxa"/>
              <w:right w:w="0" w:type="dxa"/>
            </w:tcMar>
            <w:vAlign w:val="center"/>
          </w:tcPr>
          <w:p w14:paraId="120468F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62EF7F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4C73494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18</w:t>
            </w:r>
          </w:p>
        </w:tc>
        <w:tc>
          <w:tcPr>
            <w:tcW w:w="182" w:type="pct"/>
            <w:vMerge w:val="continue"/>
            <w:shd w:val="clear" w:color="auto" w:fill="FFFFFF"/>
            <w:tcMar>
              <w:top w:w="0" w:type="dxa"/>
              <w:left w:w="0" w:type="dxa"/>
              <w:bottom w:w="0" w:type="dxa"/>
              <w:right w:w="0" w:type="dxa"/>
            </w:tcMar>
            <w:vAlign w:val="center"/>
          </w:tcPr>
          <w:p w14:paraId="10C6D59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3DA2B001">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07E6DF6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705F6321">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185" w:type="pct"/>
            <w:vMerge w:val="continue"/>
            <w:shd w:val="clear" w:color="auto" w:fill="FFFFFF"/>
            <w:tcMar>
              <w:top w:w="0" w:type="dxa"/>
              <w:left w:w="0" w:type="dxa"/>
              <w:bottom w:w="0" w:type="dxa"/>
              <w:right w:w="0" w:type="dxa"/>
            </w:tcMar>
            <w:vAlign w:val="center"/>
          </w:tcPr>
          <w:p w14:paraId="282BDC0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07E00B3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24</w:t>
            </w:r>
          </w:p>
        </w:tc>
        <w:tc>
          <w:tcPr>
            <w:tcW w:w="206" w:type="pct"/>
            <w:shd w:val="clear" w:color="auto" w:fill="FFFFFF"/>
            <w:tcMar>
              <w:top w:w="0" w:type="dxa"/>
              <w:left w:w="0" w:type="dxa"/>
              <w:bottom w:w="0" w:type="dxa"/>
              <w:right w:w="0" w:type="dxa"/>
            </w:tcMar>
            <w:vAlign w:val="center"/>
          </w:tcPr>
          <w:p w14:paraId="50D0F67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24</w:t>
            </w:r>
          </w:p>
        </w:tc>
        <w:tc>
          <w:tcPr>
            <w:tcW w:w="211" w:type="pct"/>
            <w:shd w:val="clear" w:color="auto" w:fill="FFFFFF"/>
            <w:tcMar>
              <w:top w:w="0" w:type="dxa"/>
              <w:left w:w="0" w:type="dxa"/>
              <w:bottom w:w="0" w:type="dxa"/>
              <w:right w:w="0" w:type="dxa"/>
            </w:tcMar>
            <w:vAlign w:val="center"/>
          </w:tcPr>
          <w:p w14:paraId="234379B5">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169" w:type="pct"/>
            <w:shd w:val="clear" w:color="auto" w:fill="FFFFFF"/>
            <w:tcMar>
              <w:top w:w="0" w:type="dxa"/>
              <w:left w:w="0" w:type="dxa"/>
              <w:bottom w:w="0" w:type="dxa"/>
              <w:right w:w="0" w:type="dxa"/>
            </w:tcMar>
            <w:vAlign w:val="center"/>
          </w:tcPr>
          <w:p w14:paraId="48781DA7">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36</w:t>
            </w:r>
          </w:p>
        </w:tc>
        <w:tc>
          <w:tcPr>
            <w:tcW w:w="169" w:type="pct"/>
            <w:shd w:val="clear" w:color="auto" w:fill="FFFFFF"/>
            <w:tcMar>
              <w:top w:w="0" w:type="dxa"/>
              <w:left w:w="0" w:type="dxa"/>
              <w:bottom w:w="0" w:type="dxa"/>
              <w:right w:w="0" w:type="dxa"/>
            </w:tcMar>
            <w:vAlign w:val="center"/>
          </w:tcPr>
          <w:p w14:paraId="4B0B76C1">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79</w:t>
            </w:r>
          </w:p>
        </w:tc>
        <w:tc>
          <w:tcPr>
            <w:tcW w:w="169" w:type="pct"/>
            <w:shd w:val="clear" w:color="auto" w:fill="FFFFFF"/>
            <w:tcMar>
              <w:top w:w="0" w:type="dxa"/>
              <w:left w:w="0" w:type="dxa"/>
              <w:bottom w:w="0" w:type="dxa"/>
              <w:right w:w="0" w:type="dxa"/>
            </w:tcMar>
            <w:vAlign w:val="center"/>
          </w:tcPr>
          <w:p w14:paraId="412B9FC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84</w:t>
            </w:r>
          </w:p>
        </w:tc>
        <w:tc>
          <w:tcPr>
            <w:tcW w:w="180" w:type="pct"/>
            <w:shd w:val="clear" w:color="auto" w:fill="FFFFFF"/>
            <w:tcMar>
              <w:top w:w="0" w:type="dxa"/>
              <w:left w:w="0" w:type="dxa"/>
              <w:bottom w:w="0" w:type="dxa"/>
              <w:right w:w="0" w:type="dxa"/>
            </w:tcMar>
            <w:vAlign w:val="center"/>
          </w:tcPr>
          <w:p w14:paraId="557D0EAE">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31</w:t>
            </w:r>
          </w:p>
        </w:tc>
        <w:tc>
          <w:tcPr>
            <w:tcW w:w="169" w:type="pct"/>
            <w:shd w:val="clear" w:color="auto" w:fill="FFFFFF"/>
            <w:tcMar>
              <w:top w:w="0" w:type="dxa"/>
              <w:left w:w="0" w:type="dxa"/>
              <w:bottom w:w="0" w:type="dxa"/>
              <w:right w:w="0" w:type="dxa"/>
            </w:tcMar>
            <w:vAlign w:val="center"/>
          </w:tcPr>
          <w:p w14:paraId="3580307E">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68</w:t>
            </w:r>
          </w:p>
        </w:tc>
        <w:tc>
          <w:tcPr>
            <w:tcW w:w="169" w:type="pct"/>
            <w:shd w:val="clear" w:color="auto" w:fill="FFFFFF"/>
            <w:tcMar>
              <w:top w:w="0" w:type="dxa"/>
              <w:left w:w="0" w:type="dxa"/>
              <w:bottom w:w="0" w:type="dxa"/>
              <w:right w:w="0" w:type="dxa"/>
            </w:tcMar>
            <w:vAlign w:val="center"/>
          </w:tcPr>
          <w:p w14:paraId="6B27049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66</w:t>
            </w:r>
          </w:p>
        </w:tc>
        <w:tc>
          <w:tcPr>
            <w:tcW w:w="169" w:type="pct"/>
            <w:shd w:val="clear" w:color="auto" w:fill="FFFFFF"/>
            <w:tcMar>
              <w:top w:w="0" w:type="dxa"/>
              <w:left w:w="0" w:type="dxa"/>
              <w:bottom w:w="0" w:type="dxa"/>
              <w:right w:w="0" w:type="dxa"/>
            </w:tcMar>
            <w:vAlign w:val="center"/>
          </w:tcPr>
          <w:p w14:paraId="27FAFDD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66</w:t>
            </w:r>
          </w:p>
        </w:tc>
        <w:tc>
          <w:tcPr>
            <w:tcW w:w="174" w:type="pct"/>
            <w:shd w:val="clear" w:color="auto" w:fill="FFFFFF"/>
            <w:tcMar>
              <w:top w:w="0" w:type="dxa"/>
              <w:left w:w="0" w:type="dxa"/>
              <w:bottom w:w="0" w:type="dxa"/>
              <w:right w:w="0" w:type="dxa"/>
            </w:tcMar>
            <w:vAlign w:val="center"/>
          </w:tcPr>
          <w:p w14:paraId="659F7A6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8</w:t>
            </w:r>
          </w:p>
        </w:tc>
        <w:tc>
          <w:tcPr>
            <w:tcW w:w="149" w:type="pct"/>
            <w:vMerge w:val="continue"/>
            <w:shd w:val="clear" w:color="auto" w:fill="FFFFFF"/>
            <w:tcMar>
              <w:top w:w="0" w:type="dxa"/>
              <w:left w:w="0" w:type="dxa"/>
              <w:bottom w:w="0" w:type="dxa"/>
              <w:right w:w="0" w:type="dxa"/>
            </w:tcMar>
            <w:vAlign w:val="center"/>
          </w:tcPr>
          <w:p w14:paraId="47584D1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4C4806D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03A39FA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1538DC5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2DA9E3A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0472BAE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8</w:t>
            </w:r>
          </w:p>
        </w:tc>
        <w:tc>
          <w:tcPr>
            <w:tcW w:w="493" w:type="dxa"/>
            <w:shd w:val="clear" w:color="auto" w:fill="FFFFFF"/>
            <w:tcMar>
              <w:top w:w="0" w:type="dxa"/>
              <w:left w:w="0" w:type="dxa"/>
              <w:bottom w:w="0" w:type="dxa"/>
              <w:right w:w="0" w:type="dxa"/>
            </w:tcMar>
            <w:vAlign w:val="center"/>
          </w:tcPr>
          <w:p w14:paraId="4E1F07C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493" w:type="dxa"/>
            <w:shd w:val="clear" w:color="auto" w:fill="FFFFFF"/>
            <w:tcMar>
              <w:top w:w="0" w:type="dxa"/>
              <w:left w:w="0" w:type="dxa"/>
              <w:bottom w:w="0" w:type="dxa"/>
              <w:right w:w="0" w:type="dxa"/>
            </w:tcMar>
            <w:vAlign w:val="center"/>
          </w:tcPr>
          <w:p w14:paraId="63A6F49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6</w:t>
            </w:r>
          </w:p>
        </w:tc>
        <w:tc>
          <w:tcPr>
            <w:tcW w:w="493" w:type="dxa"/>
            <w:shd w:val="clear" w:color="auto" w:fill="FFFFFF"/>
            <w:tcMar>
              <w:top w:w="0" w:type="dxa"/>
              <w:left w:w="0" w:type="dxa"/>
              <w:bottom w:w="0" w:type="dxa"/>
              <w:right w:w="0" w:type="dxa"/>
            </w:tcMar>
            <w:vAlign w:val="center"/>
          </w:tcPr>
          <w:p w14:paraId="7769E51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8</w:t>
            </w:r>
          </w:p>
        </w:tc>
        <w:tc>
          <w:tcPr>
            <w:tcW w:w="264" w:type="pct"/>
            <w:shd w:val="clear" w:color="auto" w:fill="FFFFFF"/>
            <w:tcMar>
              <w:top w:w="0" w:type="dxa"/>
              <w:left w:w="0" w:type="dxa"/>
              <w:bottom w:w="0" w:type="dxa"/>
              <w:right w:w="0" w:type="dxa"/>
            </w:tcMar>
            <w:vAlign w:val="center"/>
          </w:tcPr>
          <w:p w14:paraId="392644A1">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r>
      <w:tr w14:paraId="525670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48436FF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19</w:t>
            </w:r>
          </w:p>
        </w:tc>
        <w:tc>
          <w:tcPr>
            <w:tcW w:w="182" w:type="pct"/>
            <w:vMerge w:val="continue"/>
            <w:shd w:val="clear" w:color="auto" w:fill="FFFFFF"/>
            <w:tcMar>
              <w:top w:w="0" w:type="dxa"/>
              <w:left w:w="0" w:type="dxa"/>
              <w:bottom w:w="0" w:type="dxa"/>
              <w:right w:w="0" w:type="dxa"/>
            </w:tcMar>
            <w:vAlign w:val="center"/>
          </w:tcPr>
          <w:p w14:paraId="25D8058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1B011D7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2A555A9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30E5823C">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85</w:t>
            </w:r>
          </w:p>
        </w:tc>
        <w:tc>
          <w:tcPr>
            <w:tcW w:w="185" w:type="pct"/>
            <w:vMerge w:val="continue"/>
            <w:shd w:val="clear" w:color="auto" w:fill="FFFFFF"/>
            <w:tcMar>
              <w:top w:w="0" w:type="dxa"/>
              <w:left w:w="0" w:type="dxa"/>
              <w:bottom w:w="0" w:type="dxa"/>
              <w:right w:w="0" w:type="dxa"/>
            </w:tcMar>
            <w:vAlign w:val="center"/>
          </w:tcPr>
          <w:p w14:paraId="1237603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1370EB4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w:t>
            </w:r>
          </w:p>
        </w:tc>
        <w:tc>
          <w:tcPr>
            <w:tcW w:w="206" w:type="pct"/>
            <w:shd w:val="clear" w:color="auto" w:fill="FFFFFF"/>
            <w:tcMar>
              <w:top w:w="0" w:type="dxa"/>
              <w:left w:w="0" w:type="dxa"/>
              <w:bottom w:w="0" w:type="dxa"/>
              <w:right w:w="0" w:type="dxa"/>
            </w:tcMar>
            <w:vAlign w:val="center"/>
          </w:tcPr>
          <w:p w14:paraId="6AD2C4C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30</w:t>
            </w:r>
          </w:p>
        </w:tc>
        <w:tc>
          <w:tcPr>
            <w:tcW w:w="211" w:type="pct"/>
            <w:shd w:val="clear" w:color="auto" w:fill="FFFFFF"/>
            <w:tcMar>
              <w:top w:w="0" w:type="dxa"/>
              <w:left w:w="0" w:type="dxa"/>
              <w:bottom w:w="0" w:type="dxa"/>
              <w:right w:w="0" w:type="dxa"/>
            </w:tcMar>
            <w:vAlign w:val="center"/>
          </w:tcPr>
          <w:p w14:paraId="5F1C0AA0">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5</w:t>
            </w:r>
          </w:p>
        </w:tc>
        <w:tc>
          <w:tcPr>
            <w:tcW w:w="169" w:type="pct"/>
            <w:shd w:val="clear" w:color="auto" w:fill="FFFFFF"/>
            <w:tcMar>
              <w:top w:w="0" w:type="dxa"/>
              <w:left w:w="0" w:type="dxa"/>
              <w:bottom w:w="0" w:type="dxa"/>
              <w:right w:w="0" w:type="dxa"/>
            </w:tcMar>
            <w:vAlign w:val="center"/>
          </w:tcPr>
          <w:p w14:paraId="27EAE38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110</w:t>
            </w:r>
          </w:p>
        </w:tc>
        <w:tc>
          <w:tcPr>
            <w:tcW w:w="169" w:type="pct"/>
            <w:shd w:val="clear" w:color="auto" w:fill="FFFFFF"/>
            <w:tcMar>
              <w:top w:w="0" w:type="dxa"/>
              <w:left w:w="0" w:type="dxa"/>
              <w:bottom w:w="0" w:type="dxa"/>
              <w:right w:w="0" w:type="dxa"/>
            </w:tcMar>
            <w:vAlign w:val="center"/>
          </w:tcPr>
          <w:p w14:paraId="6B16ECA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169" w:type="pct"/>
            <w:shd w:val="clear" w:color="auto" w:fill="FFFFFF"/>
            <w:tcMar>
              <w:top w:w="0" w:type="dxa"/>
              <w:left w:w="0" w:type="dxa"/>
              <w:bottom w:w="0" w:type="dxa"/>
              <w:right w:w="0" w:type="dxa"/>
            </w:tcMar>
            <w:vAlign w:val="center"/>
          </w:tcPr>
          <w:p w14:paraId="10B83CC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c>
          <w:tcPr>
            <w:tcW w:w="180" w:type="pct"/>
            <w:shd w:val="clear" w:color="auto" w:fill="FFFFFF"/>
            <w:tcMar>
              <w:top w:w="0" w:type="dxa"/>
              <w:left w:w="0" w:type="dxa"/>
              <w:bottom w:w="0" w:type="dxa"/>
              <w:right w:w="0" w:type="dxa"/>
            </w:tcMar>
            <w:vAlign w:val="center"/>
          </w:tcPr>
          <w:p w14:paraId="32BE4BA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25</w:t>
            </w:r>
          </w:p>
        </w:tc>
        <w:tc>
          <w:tcPr>
            <w:tcW w:w="169" w:type="pct"/>
            <w:shd w:val="clear" w:color="auto" w:fill="FFFFFF"/>
            <w:tcMar>
              <w:top w:w="0" w:type="dxa"/>
              <w:left w:w="0" w:type="dxa"/>
              <w:bottom w:w="0" w:type="dxa"/>
              <w:right w:w="0" w:type="dxa"/>
            </w:tcMar>
            <w:vAlign w:val="center"/>
          </w:tcPr>
          <w:p w14:paraId="32DF5A96">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5</w:t>
            </w:r>
          </w:p>
        </w:tc>
        <w:tc>
          <w:tcPr>
            <w:tcW w:w="169" w:type="pct"/>
            <w:shd w:val="clear" w:color="auto" w:fill="FFFFFF"/>
            <w:tcMar>
              <w:top w:w="0" w:type="dxa"/>
              <w:left w:w="0" w:type="dxa"/>
              <w:bottom w:w="0" w:type="dxa"/>
              <w:right w:w="0" w:type="dxa"/>
            </w:tcMar>
            <w:vAlign w:val="center"/>
          </w:tcPr>
          <w:p w14:paraId="1114DE26">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69" w:type="pct"/>
            <w:shd w:val="clear" w:color="auto" w:fill="FFFFFF"/>
            <w:tcMar>
              <w:top w:w="0" w:type="dxa"/>
              <w:left w:w="0" w:type="dxa"/>
              <w:bottom w:w="0" w:type="dxa"/>
              <w:right w:w="0" w:type="dxa"/>
            </w:tcMar>
            <w:vAlign w:val="center"/>
          </w:tcPr>
          <w:p w14:paraId="0C9F1788">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9</w:t>
            </w:r>
          </w:p>
        </w:tc>
        <w:tc>
          <w:tcPr>
            <w:tcW w:w="174" w:type="pct"/>
            <w:shd w:val="clear" w:color="auto" w:fill="FFFFFF"/>
            <w:tcMar>
              <w:top w:w="0" w:type="dxa"/>
              <w:left w:w="0" w:type="dxa"/>
              <w:bottom w:w="0" w:type="dxa"/>
              <w:right w:w="0" w:type="dxa"/>
            </w:tcMar>
            <w:vAlign w:val="center"/>
          </w:tcPr>
          <w:p w14:paraId="38B9ED61">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8</w:t>
            </w:r>
          </w:p>
        </w:tc>
        <w:tc>
          <w:tcPr>
            <w:tcW w:w="149" w:type="pct"/>
            <w:vMerge w:val="continue"/>
            <w:shd w:val="clear" w:color="auto" w:fill="FFFFFF"/>
            <w:tcMar>
              <w:top w:w="0" w:type="dxa"/>
              <w:left w:w="0" w:type="dxa"/>
              <w:bottom w:w="0" w:type="dxa"/>
              <w:right w:w="0" w:type="dxa"/>
            </w:tcMar>
            <w:vAlign w:val="center"/>
          </w:tcPr>
          <w:p w14:paraId="6EAC056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25F3D92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7C1A2EC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575F252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385DE7C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4EDFB33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174" w:type="pct"/>
            <w:shd w:val="clear" w:color="auto" w:fill="FFFFFF"/>
            <w:tcMar>
              <w:top w:w="0" w:type="dxa"/>
              <w:left w:w="0" w:type="dxa"/>
              <w:bottom w:w="0" w:type="dxa"/>
              <w:right w:w="0" w:type="dxa"/>
            </w:tcMar>
            <w:vAlign w:val="center"/>
          </w:tcPr>
          <w:p w14:paraId="771FE071">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4BE06E4B">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9</w:t>
            </w:r>
          </w:p>
        </w:tc>
        <w:tc>
          <w:tcPr>
            <w:tcW w:w="174" w:type="pct"/>
            <w:shd w:val="clear" w:color="auto" w:fill="FFFFFF"/>
            <w:tcMar>
              <w:top w:w="0" w:type="dxa"/>
              <w:left w:w="0" w:type="dxa"/>
              <w:bottom w:w="0" w:type="dxa"/>
              <w:right w:w="0" w:type="dxa"/>
            </w:tcMar>
            <w:vAlign w:val="center"/>
          </w:tcPr>
          <w:p w14:paraId="47C1C606">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8</w:t>
            </w:r>
          </w:p>
        </w:tc>
        <w:tc>
          <w:tcPr>
            <w:tcW w:w="264" w:type="pct"/>
            <w:shd w:val="clear" w:color="auto" w:fill="FFFFFF"/>
            <w:tcMar>
              <w:top w:w="0" w:type="dxa"/>
              <w:left w:w="0" w:type="dxa"/>
              <w:bottom w:w="0" w:type="dxa"/>
              <w:right w:w="0" w:type="dxa"/>
            </w:tcMar>
            <w:vAlign w:val="center"/>
          </w:tcPr>
          <w:p w14:paraId="1ACFCF2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69C393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72CB19F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20</w:t>
            </w:r>
          </w:p>
        </w:tc>
        <w:tc>
          <w:tcPr>
            <w:tcW w:w="182" w:type="pct"/>
            <w:vMerge w:val="continue"/>
            <w:shd w:val="clear" w:color="auto" w:fill="FFFFFF"/>
            <w:tcMar>
              <w:top w:w="0" w:type="dxa"/>
              <w:left w:w="0" w:type="dxa"/>
              <w:bottom w:w="0" w:type="dxa"/>
              <w:right w:w="0" w:type="dxa"/>
            </w:tcMar>
            <w:vAlign w:val="center"/>
          </w:tcPr>
          <w:p w14:paraId="61BFFE7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restart"/>
            <w:shd w:val="clear" w:color="auto" w:fill="FFFFFF"/>
            <w:tcMar>
              <w:top w:w="0" w:type="dxa"/>
              <w:left w:w="0" w:type="dxa"/>
              <w:bottom w:w="0" w:type="dxa"/>
              <w:right w:w="0" w:type="dxa"/>
            </w:tcMar>
            <w:vAlign w:val="center"/>
          </w:tcPr>
          <w:p w14:paraId="4248FF1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震动筛分机</w:t>
            </w:r>
          </w:p>
        </w:tc>
        <w:tc>
          <w:tcPr>
            <w:tcW w:w="330" w:type="pct"/>
            <w:vMerge w:val="restart"/>
            <w:shd w:val="clear" w:color="auto" w:fill="FFFFFF"/>
            <w:tcMar>
              <w:top w:w="0" w:type="dxa"/>
              <w:left w:w="0" w:type="dxa"/>
              <w:bottom w:w="0" w:type="dxa"/>
              <w:right w:w="0" w:type="dxa"/>
            </w:tcMar>
            <w:vAlign w:val="center"/>
          </w:tcPr>
          <w:p w14:paraId="21E3C6A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218" w:type="pct"/>
            <w:shd w:val="clear" w:color="auto" w:fill="FFFFFF"/>
            <w:tcMar>
              <w:top w:w="0" w:type="dxa"/>
              <w:left w:w="0" w:type="dxa"/>
              <w:bottom w:w="0" w:type="dxa"/>
              <w:right w:w="0" w:type="dxa"/>
            </w:tcMar>
            <w:vAlign w:val="center"/>
          </w:tcPr>
          <w:p w14:paraId="59D1355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634D5F3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6EE1A1C1">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45</w:t>
            </w:r>
          </w:p>
        </w:tc>
        <w:tc>
          <w:tcPr>
            <w:tcW w:w="206" w:type="pct"/>
            <w:shd w:val="clear" w:color="auto" w:fill="FFFFFF"/>
            <w:tcMar>
              <w:top w:w="0" w:type="dxa"/>
              <w:left w:w="0" w:type="dxa"/>
              <w:bottom w:w="0" w:type="dxa"/>
              <w:right w:w="0" w:type="dxa"/>
            </w:tcMar>
            <w:vAlign w:val="center"/>
          </w:tcPr>
          <w:p w14:paraId="40EE6B95">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w:t>
            </w:r>
          </w:p>
        </w:tc>
        <w:tc>
          <w:tcPr>
            <w:tcW w:w="211" w:type="pct"/>
            <w:shd w:val="clear" w:color="auto" w:fill="FFFFFF"/>
            <w:tcMar>
              <w:top w:w="0" w:type="dxa"/>
              <w:left w:w="0" w:type="dxa"/>
              <w:bottom w:w="0" w:type="dxa"/>
              <w:right w:w="0" w:type="dxa"/>
            </w:tcMar>
            <w:vAlign w:val="center"/>
          </w:tcPr>
          <w:p w14:paraId="71E940C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7962FB79">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05</w:t>
            </w:r>
          </w:p>
        </w:tc>
        <w:tc>
          <w:tcPr>
            <w:tcW w:w="169" w:type="pct"/>
            <w:shd w:val="clear" w:color="auto" w:fill="FFFFFF"/>
            <w:tcMar>
              <w:top w:w="0" w:type="dxa"/>
              <w:left w:w="0" w:type="dxa"/>
              <w:bottom w:w="0" w:type="dxa"/>
              <w:right w:w="0" w:type="dxa"/>
            </w:tcMar>
            <w:vAlign w:val="center"/>
          </w:tcPr>
          <w:p w14:paraId="1990553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71</w:t>
            </w:r>
          </w:p>
        </w:tc>
        <w:tc>
          <w:tcPr>
            <w:tcW w:w="169" w:type="pct"/>
            <w:shd w:val="clear" w:color="auto" w:fill="FFFFFF"/>
            <w:tcMar>
              <w:top w:w="0" w:type="dxa"/>
              <w:left w:w="0" w:type="dxa"/>
              <w:bottom w:w="0" w:type="dxa"/>
              <w:right w:w="0" w:type="dxa"/>
            </w:tcMar>
            <w:vAlign w:val="center"/>
          </w:tcPr>
          <w:p w14:paraId="79FCEF32">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180" w:type="pct"/>
            <w:shd w:val="clear" w:color="auto" w:fill="FFFFFF"/>
            <w:tcMar>
              <w:top w:w="0" w:type="dxa"/>
              <w:left w:w="0" w:type="dxa"/>
              <w:bottom w:w="0" w:type="dxa"/>
              <w:right w:w="0" w:type="dxa"/>
            </w:tcMar>
            <w:vAlign w:val="center"/>
          </w:tcPr>
          <w:p w14:paraId="5F628096">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39</w:t>
            </w:r>
          </w:p>
        </w:tc>
        <w:tc>
          <w:tcPr>
            <w:tcW w:w="169" w:type="pct"/>
            <w:shd w:val="clear" w:color="auto" w:fill="FFFFFF"/>
            <w:tcMar>
              <w:top w:w="0" w:type="dxa"/>
              <w:left w:w="0" w:type="dxa"/>
              <w:bottom w:w="0" w:type="dxa"/>
              <w:right w:w="0" w:type="dxa"/>
            </w:tcMar>
            <w:vAlign w:val="center"/>
          </w:tcPr>
          <w:p w14:paraId="74AEF97A">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0</w:t>
            </w:r>
          </w:p>
        </w:tc>
        <w:tc>
          <w:tcPr>
            <w:tcW w:w="169" w:type="pct"/>
            <w:shd w:val="clear" w:color="auto" w:fill="FFFFFF"/>
            <w:tcMar>
              <w:top w:w="0" w:type="dxa"/>
              <w:left w:w="0" w:type="dxa"/>
              <w:bottom w:w="0" w:type="dxa"/>
              <w:right w:w="0" w:type="dxa"/>
            </w:tcMar>
            <w:vAlign w:val="center"/>
          </w:tcPr>
          <w:p w14:paraId="5EAD7E3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61</w:t>
            </w:r>
          </w:p>
        </w:tc>
        <w:tc>
          <w:tcPr>
            <w:tcW w:w="169" w:type="pct"/>
            <w:shd w:val="clear" w:color="auto" w:fill="FFFFFF"/>
            <w:tcMar>
              <w:top w:w="0" w:type="dxa"/>
              <w:left w:w="0" w:type="dxa"/>
              <w:bottom w:w="0" w:type="dxa"/>
              <w:right w:w="0" w:type="dxa"/>
            </w:tcMar>
            <w:vAlign w:val="center"/>
          </w:tcPr>
          <w:p w14:paraId="46BD51FC">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44DC7803">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49" w:type="pct"/>
            <w:vMerge w:val="continue"/>
            <w:shd w:val="clear" w:color="auto" w:fill="FFFFFF"/>
            <w:tcMar>
              <w:top w:w="0" w:type="dxa"/>
              <w:left w:w="0" w:type="dxa"/>
              <w:bottom w:w="0" w:type="dxa"/>
              <w:right w:w="0" w:type="dxa"/>
            </w:tcMar>
            <w:vAlign w:val="center"/>
          </w:tcPr>
          <w:p w14:paraId="5544673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574B81D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CD0695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2463E2F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4F92549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6A0D27F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40</w:t>
            </w:r>
          </w:p>
        </w:tc>
        <w:tc>
          <w:tcPr>
            <w:tcW w:w="174" w:type="pct"/>
            <w:shd w:val="clear" w:color="auto" w:fill="FFFFFF"/>
            <w:tcMar>
              <w:top w:w="0" w:type="dxa"/>
              <w:left w:w="0" w:type="dxa"/>
              <w:bottom w:w="0" w:type="dxa"/>
              <w:right w:w="0" w:type="dxa"/>
            </w:tcMar>
            <w:vAlign w:val="center"/>
          </w:tcPr>
          <w:p w14:paraId="1F0CD94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174" w:type="pct"/>
            <w:shd w:val="clear" w:color="auto" w:fill="FFFFFF"/>
            <w:tcMar>
              <w:top w:w="0" w:type="dxa"/>
              <w:left w:w="0" w:type="dxa"/>
              <w:bottom w:w="0" w:type="dxa"/>
              <w:right w:w="0" w:type="dxa"/>
            </w:tcMar>
            <w:vAlign w:val="center"/>
          </w:tcPr>
          <w:p w14:paraId="24C4A86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174" w:type="pct"/>
            <w:shd w:val="clear" w:color="auto" w:fill="FFFFFF"/>
            <w:tcMar>
              <w:top w:w="0" w:type="dxa"/>
              <w:left w:w="0" w:type="dxa"/>
              <w:bottom w:w="0" w:type="dxa"/>
              <w:right w:w="0" w:type="dxa"/>
            </w:tcMar>
            <w:vAlign w:val="center"/>
          </w:tcPr>
          <w:p w14:paraId="3742A0B9">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264" w:type="pct"/>
            <w:shd w:val="clear" w:color="auto" w:fill="FFFFFF"/>
            <w:tcMar>
              <w:top w:w="0" w:type="dxa"/>
              <w:left w:w="0" w:type="dxa"/>
              <w:bottom w:w="0" w:type="dxa"/>
              <w:right w:w="0" w:type="dxa"/>
            </w:tcMar>
            <w:vAlign w:val="center"/>
          </w:tcPr>
          <w:p w14:paraId="7F11EAC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29179D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40" w:hRule="atLeast"/>
          <w:jc w:val="center"/>
        </w:trPr>
        <w:tc>
          <w:tcPr>
            <w:tcW w:w="149" w:type="pct"/>
            <w:shd w:val="clear" w:color="auto" w:fill="FFFFFF"/>
            <w:tcMar>
              <w:top w:w="0" w:type="dxa"/>
              <w:left w:w="0" w:type="dxa"/>
              <w:bottom w:w="0" w:type="dxa"/>
              <w:right w:w="0" w:type="dxa"/>
            </w:tcMar>
            <w:vAlign w:val="center"/>
          </w:tcPr>
          <w:p w14:paraId="3E5A795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21</w:t>
            </w:r>
          </w:p>
        </w:tc>
        <w:tc>
          <w:tcPr>
            <w:tcW w:w="182" w:type="pct"/>
            <w:vMerge w:val="continue"/>
            <w:shd w:val="clear" w:color="auto" w:fill="FFFFFF"/>
            <w:tcMar>
              <w:top w:w="0" w:type="dxa"/>
              <w:left w:w="0" w:type="dxa"/>
              <w:bottom w:w="0" w:type="dxa"/>
              <w:right w:w="0" w:type="dxa"/>
            </w:tcMar>
            <w:vAlign w:val="center"/>
          </w:tcPr>
          <w:p w14:paraId="0299942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7BB22D0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593B308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4652C8E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357BC3F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6132B63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45</w:t>
            </w:r>
          </w:p>
        </w:tc>
        <w:tc>
          <w:tcPr>
            <w:tcW w:w="206" w:type="pct"/>
            <w:shd w:val="clear" w:color="auto" w:fill="FFFFFF"/>
            <w:tcMar>
              <w:top w:w="0" w:type="dxa"/>
              <w:left w:w="0" w:type="dxa"/>
              <w:bottom w:w="0" w:type="dxa"/>
              <w:right w:w="0" w:type="dxa"/>
            </w:tcMar>
            <w:vAlign w:val="center"/>
          </w:tcPr>
          <w:p w14:paraId="45AD978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13</w:t>
            </w:r>
          </w:p>
        </w:tc>
        <w:tc>
          <w:tcPr>
            <w:tcW w:w="211" w:type="pct"/>
            <w:shd w:val="clear" w:color="auto" w:fill="FFFFFF"/>
            <w:tcMar>
              <w:top w:w="0" w:type="dxa"/>
              <w:left w:w="0" w:type="dxa"/>
              <w:bottom w:w="0" w:type="dxa"/>
              <w:right w:w="0" w:type="dxa"/>
            </w:tcMar>
            <w:vAlign w:val="center"/>
          </w:tcPr>
          <w:p w14:paraId="3D35789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3B6EE92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105</w:t>
            </w:r>
          </w:p>
        </w:tc>
        <w:tc>
          <w:tcPr>
            <w:tcW w:w="169" w:type="pct"/>
            <w:shd w:val="clear" w:color="auto" w:fill="FFFFFF"/>
            <w:tcMar>
              <w:top w:w="0" w:type="dxa"/>
              <w:left w:w="0" w:type="dxa"/>
              <w:bottom w:w="0" w:type="dxa"/>
              <w:right w:w="0" w:type="dxa"/>
            </w:tcMar>
            <w:vAlign w:val="center"/>
          </w:tcPr>
          <w:p w14:paraId="0033C50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68</w:t>
            </w:r>
          </w:p>
        </w:tc>
        <w:tc>
          <w:tcPr>
            <w:tcW w:w="169" w:type="pct"/>
            <w:shd w:val="clear" w:color="auto" w:fill="FFFFFF"/>
            <w:tcMar>
              <w:top w:w="0" w:type="dxa"/>
              <w:left w:w="0" w:type="dxa"/>
              <w:bottom w:w="0" w:type="dxa"/>
              <w:right w:w="0" w:type="dxa"/>
            </w:tcMar>
            <w:vAlign w:val="center"/>
          </w:tcPr>
          <w:p w14:paraId="260D4C5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180" w:type="pct"/>
            <w:shd w:val="clear" w:color="auto" w:fill="FFFFFF"/>
            <w:tcMar>
              <w:top w:w="0" w:type="dxa"/>
              <w:left w:w="0" w:type="dxa"/>
              <w:bottom w:w="0" w:type="dxa"/>
              <w:right w:w="0" w:type="dxa"/>
            </w:tcMar>
            <w:vAlign w:val="center"/>
          </w:tcPr>
          <w:p w14:paraId="2FC037C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bidi="ar-SA"/>
                <w14:textFill>
                  <w14:solidFill>
                    <w14:schemeClr w14:val="tx1"/>
                  </w14:solidFill>
                </w14:textFill>
              </w:rPr>
              <w:t>42</w:t>
            </w:r>
          </w:p>
        </w:tc>
        <w:tc>
          <w:tcPr>
            <w:tcW w:w="169" w:type="pct"/>
            <w:shd w:val="clear" w:color="auto" w:fill="FFFFFF"/>
            <w:tcMar>
              <w:top w:w="0" w:type="dxa"/>
              <w:left w:w="0" w:type="dxa"/>
              <w:bottom w:w="0" w:type="dxa"/>
              <w:right w:w="0" w:type="dxa"/>
            </w:tcMar>
            <w:vAlign w:val="center"/>
          </w:tcPr>
          <w:p w14:paraId="21C02383">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0</w:t>
            </w:r>
          </w:p>
        </w:tc>
        <w:tc>
          <w:tcPr>
            <w:tcW w:w="169" w:type="pct"/>
            <w:shd w:val="clear" w:color="auto" w:fill="FFFFFF"/>
            <w:tcMar>
              <w:top w:w="0" w:type="dxa"/>
              <w:left w:w="0" w:type="dxa"/>
              <w:bottom w:w="0" w:type="dxa"/>
              <w:right w:w="0" w:type="dxa"/>
            </w:tcMar>
            <w:vAlign w:val="center"/>
          </w:tcPr>
          <w:p w14:paraId="3E229BD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61</w:t>
            </w:r>
          </w:p>
        </w:tc>
        <w:tc>
          <w:tcPr>
            <w:tcW w:w="169" w:type="pct"/>
            <w:shd w:val="clear" w:color="auto" w:fill="FFFFFF"/>
            <w:tcMar>
              <w:top w:w="0" w:type="dxa"/>
              <w:left w:w="0" w:type="dxa"/>
              <w:bottom w:w="0" w:type="dxa"/>
              <w:right w:w="0" w:type="dxa"/>
            </w:tcMar>
            <w:vAlign w:val="center"/>
          </w:tcPr>
          <w:p w14:paraId="2551C41C">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2EBEF648">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49" w:type="pct"/>
            <w:vMerge w:val="continue"/>
            <w:shd w:val="clear" w:color="auto" w:fill="FFFFFF"/>
            <w:tcMar>
              <w:top w:w="0" w:type="dxa"/>
              <w:left w:w="0" w:type="dxa"/>
              <w:bottom w:w="0" w:type="dxa"/>
              <w:right w:w="0" w:type="dxa"/>
            </w:tcMar>
            <w:vAlign w:val="center"/>
          </w:tcPr>
          <w:p w14:paraId="0FFA203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44A21BD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311BF9F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610DA37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1DDCC7E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26D935AF">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40</w:t>
            </w:r>
          </w:p>
        </w:tc>
        <w:tc>
          <w:tcPr>
            <w:tcW w:w="493" w:type="dxa"/>
            <w:shd w:val="clear" w:color="auto" w:fill="FFFFFF"/>
            <w:tcMar>
              <w:top w:w="0" w:type="dxa"/>
              <w:left w:w="0" w:type="dxa"/>
              <w:bottom w:w="0" w:type="dxa"/>
              <w:right w:w="0" w:type="dxa"/>
            </w:tcMar>
            <w:vAlign w:val="center"/>
          </w:tcPr>
          <w:p w14:paraId="30B2AD4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6B68750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493" w:type="dxa"/>
            <w:shd w:val="clear" w:color="auto" w:fill="FFFFFF"/>
            <w:tcMar>
              <w:top w:w="0" w:type="dxa"/>
              <w:left w:w="0" w:type="dxa"/>
              <w:bottom w:w="0" w:type="dxa"/>
              <w:right w:w="0" w:type="dxa"/>
            </w:tcMar>
            <w:vAlign w:val="center"/>
          </w:tcPr>
          <w:p w14:paraId="09E59F0A">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264" w:type="pct"/>
            <w:shd w:val="clear" w:color="auto" w:fill="FFFFFF"/>
            <w:tcMar>
              <w:top w:w="0" w:type="dxa"/>
              <w:left w:w="0" w:type="dxa"/>
              <w:bottom w:w="0" w:type="dxa"/>
              <w:right w:w="0" w:type="dxa"/>
            </w:tcMar>
            <w:vAlign w:val="center"/>
          </w:tcPr>
          <w:p w14:paraId="7356212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213432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360AA5A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22</w:t>
            </w:r>
          </w:p>
        </w:tc>
        <w:tc>
          <w:tcPr>
            <w:tcW w:w="182" w:type="pct"/>
            <w:vMerge w:val="continue"/>
            <w:shd w:val="clear" w:color="auto" w:fill="FFFFFF"/>
            <w:tcMar>
              <w:top w:w="0" w:type="dxa"/>
              <w:left w:w="0" w:type="dxa"/>
              <w:bottom w:w="0" w:type="dxa"/>
              <w:right w:w="0" w:type="dxa"/>
            </w:tcMar>
            <w:vAlign w:val="center"/>
          </w:tcPr>
          <w:p w14:paraId="06E582C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76AB10C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2192DAB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4605895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159B7FD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6AE9970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35</w:t>
            </w:r>
          </w:p>
        </w:tc>
        <w:tc>
          <w:tcPr>
            <w:tcW w:w="206" w:type="pct"/>
            <w:shd w:val="clear" w:color="auto" w:fill="FFFFFF"/>
            <w:tcMar>
              <w:top w:w="0" w:type="dxa"/>
              <w:left w:w="0" w:type="dxa"/>
              <w:bottom w:w="0" w:type="dxa"/>
              <w:right w:w="0" w:type="dxa"/>
            </w:tcMar>
            <w:vAlign w:val="center"/>
          </w:tcPr>
          <w:p w14:paraId="19E4CA4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w:t>
            </w:r>
          </w:p>
        </w:tc>
        <w:tc>
          <w:tcPr>
            <w:tcW w:w="211" w:type="pct"/>
            <w:shd w:val="clear" w:color="auto" w:fill="FFFFFF"/>
            <w:tcMar>
              <w:top w:w="0" w:type="dxa"/>
              <w:left w:w="0" w:type="dxa"/>
              <w:bottom w:w="0" w:type="dxa"/>
              <w:right w:w="0" w:type="dxa"/>
            </w:tcMar>
            <w:vAlign w:val="center"/>
          </w:tcPr>
          <w:p w14:paraId="23AC86D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3D60B0C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95</w:t>
            </w:r>
          </w:p>
        </w:tc>
        <w:tc>
          <w:tcPr>
            <w:tcW w:w="169" w:type="pct"/>
            <w:shd w:val="clear" w:color="auto" w:fill="FFFFFF"/>
            <w:tcMar>
              <w:top w:w="0" w:type="dxa"/>
              <w:left w:w="0" w:type="dxa"/>
              <w:bottom w:w="0" w:type="dxa"/>
              <w:right w:w="0" w:type="dxa"/>
            </w:tcMar>
            <w:vAlign w:val="center"/>
          </w:tcPr>
          <w:p w14:paraId="30E7577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71</w:t>
            </w:r>
          </w:p>
        </w:tc>
        <w:tc>
          <w:tcPr>
            <w:tcW w:w="169" w:type="pct"/>
            <w:shd w:val="clear" w:color="auto" w:fill="FFFFFF"/>
            <w:tcMar>
              <w:top w:w="0" w:type="dxa"/>
              <w:left w:w="0" w:type="dxa"/>
              <w:bottom w:w="0" w:type="dxa"/>
              <w:right w:w="0" w:type="dxa"/>
            </w:tcMar>
            <w:vAlign w:val="center"/>
          </w:tcPr>
          <w:p w14:paraId="5E3D107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25</w:t>
            </w:r>
          </w:p>
        </w:tc>
        <w:tc>
          <w:tcPr>
            <w:tcW w:w="180" w:type="pct"/>
            <w:shd w:val="clear" w:color="auto" w:fill="FFFFFF"/>
            <w:tcMar>
              <w:top w:w="0" w:type="dxa"/>
              <w:left w:w="0" w:type="dxa"/>
              <w:bottom w:w="0" w:type="dxa"/>
              <w:right w:w="0" w:type="dxa"/>
            </w:tcMar>
            <w:vAlign w:val="center"/>
          </w:tcPr>
          <w:p w14:paraId="7DDCB64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39</w:t>
            </w:r>
          </w:p>
        </w:tc>
        <w:tc>
          <w:tcPr>
            <w:tcW w:w="169" w:type="pct"/>
            <w:shd w:val="clear" w:color="auto" w:fill="FFFFFF"/>
            <w:tcMar>
              <w:top w:w="0" w:type="dxa"/>
              <w:left w:w="0" w:type="dxa"/>
              <w:bottom w:w="0" w:type="dxa"/>
              <w:right w:w="0" w:type="dxa"/>
            </w:tcMar>
            <w:vAlign w:val="center"/>
          </w:tcPr>
          <w:p w14:paraId="0631056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0</w:t>
            </w:r>
          </w:p>
        </w:tc>
        <w:tc>
          <w:tcPr>
            <w:tcW w:w="169" w:type="pct"/>
            <w:shd w:val="clear" w:color="auto" w:fill="FFFFFF"/>
            <w:tcMar>
              <w:top w:w="0" w:type="dxa"/>
              <w:left w:w="0" w:type="dxa"/>
              <w:bottom w:w="0" w:type="dxa"/>
              <w:right w:w="0" w:type="dxa"/>
            </w:tcMar>
            <w:vAlign w:val="center"/>
          </w:tcPr>
          <w:p w14:paraId="2A595A2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61</w:t>
            </w:r>
          </w:p>
        </w:tc>
        <w:tc>
          <w:tcPr>
            <w:tcW w:w="169" w:type="pct"/>
            <w:shd w:val="clear" w:color="auto" w:fill="FFFFFF"/>
            <w:tcMar>
              <w:top w:w="0" w:type="dxa"/>
              <w:left w:w="0" w:type="dxa"/>
              <w:bottom w:w="0" w:type="dxa"/>
              <w:right w:w="0" w:type="dxa"/>
            </w:tcMar>
            <w:vAlign w:val="center"/>
          </w:tcPr>
          <w:p w14:paraId="5DDCF80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60DB773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49" w:type="pct"/>
            <w:vMerge w:val="continue"/>
            <w:shd w:val="clear" w:color="auto" w:fill="FFFFFF"/>
            <w:tcMar>
              <w:top w:w="0" w:type="dxa"/>
              <w:left w:w="0" w:type="dxa"/>
              <w:bottom w:w="0" w:type="dxa"/>
              <w:right w:w="0" w:type="dxa"/>
            </w:tcMar>
            <w:vAlign w:val="center"/>
          </w:tcPr>
          <w:p w14:paraId="76FF68D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7C462B8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5AD82EC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22E86F2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3D02D33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3876780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40</w:t>
            </w:r>
          </w:p>
        </w:tc>
        <w:tc>
          <w:tcPr>
            <w:tcW w:w="493" w:type="dxa"/>
            <w:shd w:val="clear" w:color="auto" w:fill="FFFFFF"/>
            <w:tcMar>
              <w:top w:w="0" w:type="dxa"/>
              <w:left w:w="0" w:type="dxa"/>
              <w:bottom w:w="0" w:type="dxa"/>
              <w:right w:w="0" w:type="dxa"/>
            </w:tcMar>
            <w:vAlign w:val="center"/>
          </w:tcPr>
          <w:p w14:paraId="3D9C1B7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6BCA18A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493" w:type="dxa"/>
            <w:shd w:val="clear" w:color="auto" w:fill="FFFFFF"/>
            <w:tcMar>
              <w:top w:w="0" w:type="dxa"/>
              <w:left w:w="0" w:type="dxa"/>
              <w:bottom w:w="0" w:type="dxa"/>
              <w:right w:w="0" w:type="dxa"/>
            </w:tcMar>
            <w:vAlign w:val="center"/>
          </w:tcPr>
          <w:p w14:paraId="047928C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264" w:type="pct"/>
            <w:shd w:val="clear" w:color="auto" w:fill="FFFFFF"/>
            <w:tcMar>
              <w:top w:w="0" w:type="dxa"/>
              <w:left w:w="0" w:type="dxa"/>
              <w:bottom w:w="0" w:type="dxa"/>
              <w:right w:w="0" w:type="dxa"/>
            </w:tcMar>
            <w:vAlign w:val="center"/>
          </w:tcPr>
          <w:p w14:paraId="5CE8561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r>
      <w:tr w14:paraId="3498DE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4F0121C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23</w:t>
            </w:r>
          </w:p>
        </w:tc>
        <w:tc>
          <w:tcPr>
            <w:tcW w:w="182" w:type="pct"/>
            <w:vMerge w:val="continue"/>
            <w:shd w:val="clear" w:color="auto" w:fill="FFFFFF"/>
            <w:tcMar>
              <w:top w:w="0" w:type="dxa"/>
              <w:left w:w="0" w:type="dxa"/>
              <w:bottom w:w="0" w:type="dxa"/>
              <w:right w:w="0" w:type="dxa"/>
            </w:tcMar>
            <w:vAlign w:val="center"/>
          </w:tcPr>
          <w:p w14:paraId="3F1C96A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2C066F0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168D1A0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4835EF7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2BE8A93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21C7424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35</w:t>
            </w:r>
          </w:p>
        </w:tc>
        <w:tc>
          <w:tcPr>
            <w:tcW w:w="206" w:type="pct"/>
            <w:shd w:val="clear" w:color="auto" w:fill="FFFFFF"/>
            <w:tcMar>
              <w:top w:w="0" w:type="dxa"/>
              <w:left w:w="0" w:type="dxa"/>
              <w:bottom w:w="0" w:type="dxa"/>
              <w:right w:w="0" w:type="dxa"/>
            </w:tcMar>
            <w:vAlign w:val="center"/>
          </w:tcPr>
          <w:p w14:paraId="6E240C7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13</w:t>
            </w:r>
          </w:p>
        </w:tc>
        <w:tc>
          <w:tcPr>
            <w:tcW w:w="211" w:type="pct"/>
            <w:shd w:val="clear" w:color="auto" w:fill="FFFFFF"/>
            <w:tcMar>
              <w:top w:w="0" w:type="dxa"/>
              <w:left w:w="0" w:type="dxa"/>
              <w:bottom w:w="0" w:type="dxa"/>
              <w:right w:w="0" w:type="dxa"/>
            </w:tcMar>
            <w:vAlign w:val="center"/>
          </w:tcPr>
          <w:p w14:paraId="04D0383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59386A7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95</w:t>
            </w:r>
          </w:p>
        </w:tc>
        <w:tc>
          <w:tcPr>
            <w:tcW w:w="169" w:type="pct"/>
            <w:shd w:val="clear" w:color="auto" w:fill="FFFFFF"/>
            <w:tcMar>
              <w:top w:w="0" w:type="dxa"/>
              <w:left w:w="0" w:type="dxa"/>
              <w:bottom w:w="0" w:type="dxa"/>
              <w:right w:w="0" w:type="dxa"/>
            </w:tcMar>
            <w:vAlign w:val="center"/>
          </w:tcPr>
          <w:p w14:paraId="567C3B7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68</w:t>
            </w:r>
          </w:p>
        </w:tc>
        <w:tc>
          <w:tcPr>
            <w:tcW w:w="169" w:type="pct"/>
            <w:shd w:val="clear" w:color="auto" w:fill="FFFFFF"/>
            <w:tcMar>
              <w:top w:w="0" w:type="dxa"/>
              <w:left w:w="0" w:type="dxa"/>
              <w:bottom w:w="0" w:type="dxa"/>
              <w:right w:w="0" w:type="dxa"/>
            </w:tcMar>
            <w:vAlign w:val="center"/>
          </w:tcPr>
          <w:p w14:paraId="13F11B9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25</w:t>
            </w:r>
          </w:p>
        </w:tc>
        <w:tc>
          <w:tcPr>
            <w:tcW w:w="180" w:type="pct"/>
            <w:shd w:val="clear" w:color="auto" w:fill="FFFFFF"/>
            <w:tcMar>
              <w:top w:w="0" w:type="dxa"/>
              <w:left w:w="0" w:type="dxa"/>
              <w:bottom w:w="0" w:type="dxa"/>
              <w:right w:w="0" w:type="dxa"/>
            </w:tcMar>
            <w:vAlign w:val="center"/>
          </w:tcPr>
          <w:p w14:paraId="4E69D57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bidi="ar-SA"/>
                <w14:textFill>
                  <w14:solidFill>
                    <w14:schemeClr w14:val="tx1"/>
                  </w14:solidFill>
                </w14:textFill>
              </w:rPr>
              <w:t>42</w:t>
            </w:r>
          </w:p>
        </w:tc>
        <w:tc>
          <w:tcPr>
            <w:tcW w:w="169" w:type="pct"/>
            <w:shd w:val="clear" w:color="auto" w:fill="FFFFFF"/>
            <w:tcMar>
              <w:top w:w="0" w:type="dxa"/>
              <w:left w:w="0" w:type="dxa"/>
              <w:bottom w:w="0" w:type="dxa"/>
              <w:right w:w="0" w:type="dxa"/>
            </w:tcMar>
            <w:vAlign w:val="center"/>
          </w:tcPr>
          <w:p w14:paraId="53B1E7D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0</w:t>
            </w:r>
          </w:p>
        </w:tc>
        <w:tc>
          <w:tcPr>
            <w:tcW w:w="169" w:type="pct"/>
            <w:shd w:val="clear" w:color="auto" w:fill="FFFFFF"/>
            <w:tcMar>
              <w:top w:w="0" w:type="dxa"/>
              <w:left w:w="0" w:type="dxa"/>
              <w:bottom w:w="0" w:type="dxa"/>
              <w:right w:w="0" w:type="dxa"/>
            </w:tcMar>
            <w:vAlign w:val="center"/>
          </w:tcPr>
          <w:p w14:paraId="5A80826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61</w:t>
            </w:r>
          </w:p>
        </w:tc>
        <w:tc>
          <w:tcPr>
            <w:tcW w:w="169" w:type="pct"/>
            <w:shd w:val="clear" w:color="auto" w:fill="FFFFFF"/>
            <w:tcMar>
              <w:top w:w="0" w:type="dxa"/>
              <w:left w:w="0" w:type="dxa"/>
              <w:bottom w:w="0" w:type="dxa"/>
              <w:right w:w="0" w:type="dxa"/>
            </w:tcMar>
            <w:vAlign w:val="center"/>
          </w:tcPr>
          <w:p w14:paraId="1DB77EB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16892F9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49" w:type="pct"/>
            <w:vMerge w:val="continue"/>
            <w:shd w:val="clear" w:color="auto" w:fill="FFFFFF"/>
            <w:tcMar>
              <w:top w:w="0" w:type="dxa"/>
              <w:left w:w="0" w:type="dxa"/>
              <w:bottom w:w="0" w:type="dxa"/>
              <w:right w:w="0" w:type="dxa"/>
            </w:tcMar>
            <w:vAlign w:val="center"/>
          </w:tcPr>
          <w:p w14:paraId="23BE731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555520F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62FC99B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0F692F0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068BA6F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2F0F4E0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40</w:t>
            </w:r>
          </w:p>
        </w:tc>
        <w:tc>
          <w:tcPr>
            <w:tcW w:w="493" w:type="dxa"/>
            <w:shd w:val="clear" w:color="auto" w:fill="FFFFFF"/>
            <w:tcMar>
              <w:top w:w="0" w:type="dxa"/>
              <w:left w:w="0" w:type="dxa"/>
              <w:bottom w:w="0" w:type="dxa"/>
              <w:right w:w="0" w:type="dxa"/>
            </w:tcMar>
            <w:vAlign w:val="center"/>
          </w:tcPr>
          <w:p w14:paraId="4B8B28F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0CB599B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493" w:type="dxa"/>
            <w:shd w:val="clear" w:color="auto" w:fill="FFFFFF"/>
            <w:tcMar>
              <w:top w:w="0" w:type="dxa"/>
              <w:left w:w="0" w:type="dxa"/>
              <w:bottom w:w="0" w:type="dxa"/>
              <w:right w:w="0" w:type="dxa"/>
            </w:tcMar>
            <w:vAlign w:val="center"/>
          </w:tcPr>
          <w:p w14:paraId="1D12F54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264" w:type="pct"/>
            <w:shd w:val="clear" w:color="auto" w:fill="FFFFFF"/>
            <w:tcMar>
              <w:top w:w="0" w:type="dxa"/>
              <w:left w:w="0" w:type="dxa"/>
              <w:bottom w:w="0" w:type="dxa"/>
              <w:right w:w="0" w:type="dxa"/>
            </w:tcMar>
            <w:vAlign w:val="center"/>
          </w:tcPr>
          <w:p w14:paraId="3AF4F32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r>
      <w:tr w14:paraId="34F092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139D000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24</w:t>
            </w:r>
          </w:p>
        </w:tc>
        <w:tc>
          <w:tcPr>
            <w:tcW w:w="182" w:type="pct"/>
            <w:vMerge w:val="continue"/>
            <w:shd w:val="clear" w:color="auto" w:fill="FFFFFF"/>
            <w:tcMar>
              <w:top w:w="0" w:type="dxa"/>
              <w:left w:w="0" w:type="dxa"/>
              <w:bottom w:w="0" w:type="dxa"/>
              <w:right w:w="0" w:type="dxa"/>
            </w:tcMar>
            <w:vAlign w:val="center"/>
          </w:tcPr>
          <w:p w14:paraId="2239377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44DDE21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27F732A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4FEA17E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568E4AB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699988D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10</w:t>
            </w:r>
          </w:p>
        </w:tc>
        <w:tc>
          <w:tcPr>
            <w:tcW w:w="206" w:type="pct"/>
            <w:shd w:val="clear" w:color="auto" w:fill="FFFFFF"/>
            <w:tcMar>
              <w:top w:w="0" w:type="dxa"/>
              <w:left w:w="0" w:type="dxa"/>
              <w:bottom w:w="0" w:type="dxa"/>
              <w:right w:w="0" w:type="dxa"/>
            </w:tcMar>
            <w:vAlign w:val="center"/>
          </w:tcPr>
          <w:p w14:paraId="037320A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13</w:t>
            </w:r>
          </w:p>
        </w:tc>
        <w:tc>
          <w:tcPr>
            <w:tcW w:w="211" w:type="pct"/>
            <w:shd w:val="clear" w:color="auto" w:fill="FFFFFF"/>
            <w:tcMar>
              <w:top w:w="0" w:type="dxa"/>
              <w:left w:w="0" w:type="dxa"/>
              <w:bottom w:w="0" w:type="dxa"/>
              <w:right w:w="0" w:type="dxa"/>
            </w:tcMar>
            <w:vAlign w:val="center"/>
          </w:tcPr>
          <w:p w14:paraId="0268E98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4D56486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169" w:type="pct"/>
            <w:shd w:val="clear" w:color="auto" w:fill="FFFFFF"/>
            <w:tcMar>
              <w:top w:w="0" w:type="dxa"/>
              <w:left w:w="0" w:type="dxa"/>
              <w:bottom w:w="0" w:type="dxa"/>
              <w:right w:w="0" w:type="dxa"/>
            </w:tcMar>
            <w:vAlign w:val="center"/>
          </w:tcPr>
          <w:p w14:paraId="396BA69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68</w:t>
            </w:r>
          </w:p>
        </w:tc>
        <w:tc>
          <w:tcPr>
            <w:tcW w:w="169" w:type="pct"/>
            <w:shd w:val="clear" w:color="auto" w:fill="FFFFFF"/>
            <w:tcMar>
              <w:top w:w="0" w:type="dxa"/>
              <w:left w:w="0" w:type="dxa"/>
              <w:bottom w:w="0" w:type="dxa"/>
              <w:right w:w="0" w:type="dxa"/>
            </w:tcMar>
            <w:vAlign w:val="center"/>
          </w:tcPr>
          <w:p w14:paraId="015CBE6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w:t>
            </w:r>
          </w:p>
        </w:tc>
        <w:tc>
          <w:tcPr>
            <w:tcW w:w="180" w:type="pct"/>
            <w:shd w:val="clear" w:color="auto" w:fill="FFFFFF"/>
            <w:tcMar>
              <w:top w:w="0" w:type="dxa"/>
              <w:left w:w="0" w:type="dxa"/>
              <w:bottom w:w="0" w:type="dxa"/>
              <w:right w:w="0" w:type="dxa"/>
            </w:tcMar>
            <w:vAlign w:val="center"/>
          </w:tcPr>
          <w:p w14:paraId="18DB3EE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bidi="ar-SA"/>
                <w14:textFill>
                  <w14:solidFill>
                    <w14:schemeClr w14:val="tx1"/>
                  </w14:solidFill>
                </w14:textFill>
              </w:rPr>
              <w:t>42</w:t>
            </w:r>
          </w:p>
        </w:tc>
        <w:tc>
          <w:tcPr>
            <w:tcW w:w="169" w:type="pct"/>
            <w:shd w:val="clear" w:color="auto" w:fill="FFFFFF"/>
            <w:tcMar>
              <w:top w:w="0" w:type="dxa"/>
              <w:left w:w="0" w:type="dxa"/>
              <w:bottom w:w="0" w:type="dxa"/>
              <w:right w:w="0" w:type="dxa"/>
            </w:tcMar>
            <w:vAlign w:val="center"/>
          </w:tcPr>
          <w:p w14:paraId="2335FDAC">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69" w:type="pct"/>
            <w:shd w:val="clear" w:color="auto" w:fill="FFFFFF"/>
            <w:tcMar>
              <w:top w:w="0" w:type="dxa"/>
              <w:left w:w="0" w:type="dxa"/>
              <w:bottom w:w="0" w:type="dxa"/>
              <w:right w:w="0" w:type="dxa"/>
            </w:tcMar>
            <w:vAlign w:val="center"/>
          </w:tcPr>
          <w:p w14:paraId="248393C3">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69" w:type="pct"/>
            <w:shd w:val="clear" w:color="auto" w:fill="FFFFFF"/>
            <w:tcMar>
              <w:top w:w="0" w:type="dxa"/>
              <w:left w:w="0" w:type="dxa"/>
              <w:bottom w:w="0" w:type="dxa"/>
              <w:right w:w="0" w:type="dxa"/>
            </w:tcMar>
            <w:vAlign w:val="center"/>
          </w:tcPr>
          <w:p w14:paraId="4330AB7D">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2</w:t>
            </w:r>
          </w:p>
        </w:tc>
        <w:tc>
          <w:tcPr>
            <w:tcW w:w="174" w:type="pct"/>
            <w:shd w:val="clear" w:color="auto" w:fill="FFFFFF"/>
            <w:tcMar>
              <w:top w:w="0" w:type="dxa"/>
              <w:left w:w="0" w:type="dxa"/>
              <w:bottom w:w="0" w:type="dxa"/>
              <w:right w:w="0" w:type="dxa"/>
            </w:tcMar>
            <w:vAlign w:val="center"/>
          </w:tcPr>
          <w:p w14:paraId="117E6FF7">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49" w:type="pct"/>
            <w:vMerge w:val="continue"/>
            <w:shd w:val="clear" w:color="auto" w:fill="FFFFFF"/>
            <w:tcMar>
              <w:top w:w="0" w:type="dxa"/>
              <w:left w:w="0" w:type="dxa"/>
              <w:bottom w:w="0" w:type="dxa"/>
              <w:right w:w="0" w:type="dxa"/>
            </w:tcMar>
            <w:vAlign w:val="center"/>
          </w:tcPr>
          <w:p w14:paraId="6661A27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042C4D2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6CF66E3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527A6D5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620226C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5F2F0A6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174" w:type="pct"/>
            <w:shd w:val="clear" w:color="auto" w:fill="FFFFFF"/>
            <w:tcMar>
              <w:top w:w="0" w:type="dxa"/>
              <w:left w:w="0" w:type="dxa"/>
              <w:bottom w:w="0" w:type="dxa"/>
              <w:right w:w="0" w:type="dxa"/>
            </w:tcMar>
            <w:vAlign w:val="center"/>
          </w:tcPr>
          <w:p w14:paraId="4410F41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174" w:type="pct"/>
            <w:shd w:val="clear" w:color="auto" w:fill="FFFFFF"/>
            <w:tcMar>
              <w:top w:w="0" w:type="dxa"/>
              <w:left w:w="0" w:type="dxa"/>
              <w:bottom w:w="0" w:type="dxa"/>
              <w:right w:w="0" w:type="dxa"/>
            </w:tcMar>
            <w:vAlign w:val="center"/>
          </w:tcPr>
          <w:p w14:paraId="3CE4D0E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174" w:type="pct"/>
            <w:shd w:val="clear" w:color="auto" w:fill="FFFFFF"/>
            <w:tcMar>
              <w:top w:w="0" w:type="dxa"/>
              <w:left w:w="0" w:type="dxa"/>
              <w:bottom w:w="0" w:type="dxa"/>
              <w:right w:w="0" w:type="dxa"/>
            </w:tcMar>
            <w:vAlign w:val="center"/>
          </w:tcPr>
          <w:p w14:paraId="6774230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bidi="ar-SA"/>
                <w14:textFill>
                  <w14:solidFill>
                    <w14:schemeClr w14:val="tx1"/>
                  </w14:solidFill>
                </w14:textFill>
              </w:rPr>
              <w:t>43</w:t>
            </w:r>
          </w:p>
        </w:tc>
        <w:tc>
          <w:tcPr>
            <w:tcW w:w="264" w:type="pct"/>
            <w:shd w:val="clear" w:color="auto" w:fill="FFFFFF"/>
            <w:tcMar>
              <w:top w:w="0" w:type="dxa"/>
              <w:left w:w="0" w:type="dxa"/>
              <w:bottom w:w="0" w:type="dxa"/>
              <w:right w:w="0" w:type="dxa"/>
            </w:tcMar>
            <w:vAlign w:val="center"/>
          </w:tcPr>
          <w:p w14:paraId="069C5B5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4EE86E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7CF2BBB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25</w:t>
            </w:r>
          </w:p>
        </w:tc>
        <w:tc>
          <w:tcPr>
            <w:tcW w:w="182" w:type="pct"/>
            <w:vMerge w:val="continue"/>
            <w:shd w:val="clear" w:color="auto" w:fill="FFFFFF"/>
            <w:tcMar>
              <w:top w:w="0" w:type="dxa"/>
              <w:left w:w="0" w:type="dxa"/>
              <w:bottom w:w="0" w:type="dxa"/>
              <w:right w:w="0" w:type="dxa"/>
            </w:tcMar>
            <w:vAlign w:val="center"/>
          </w:tcPr>
          <w:p w14:paraId="4B1933B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02C1FC5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62774C2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3E10267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76C5C2E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46D9EB90">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p>
        </w:tc>
        <w:tc>
          <w:tcPr>
            <w:tcW w:w="206" w:type="pct"/>
            <w:shd w:val="clear" w:color="auto" w:fill="FFFFFF"/>
            <w:tcMar>
              <w:top w:w="0" w:type="dxa"/>
              <w:left w:w="0" w:type="dxa"/>
              <w:bottom w:w="0" w:type="dxa"/>
              <w:right w:w="0" w:type="dxa"/>
            </w:tcMar>
            <w:vAlign w:val="center"/>
          </w:tcPr>
          <w:p w14:paraId="352C46D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w:t>
            </w:r>
          </w:p>
        </w:tc>
        <w:tc>
          <w:tcPr>
            <w:tcW w:w="211" w:type="pct"/>
            <w:shd w:val="clear" w:color="auto" w:fill="FFFFFF"/>
            <w:tcMar>
              <w:top w:w="0" w:type="dxa"/>
              <w:left w:w="0" w:type="dxa"/>
              <w:bottom w:w="0" w:type="dxa"/>
              <w:right w:w="0" w:type="dxa"/>
            </w:tcMar>
            <w:vAlign w:val="center"/>
          </w:tcPr>
          <w:p w14:paraId="10B35B8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35D7F31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56</w:t>
            </w:r>
          </w:p>
        </w:tc>
        <w:tc>
          <w:tcPr>
            <w:tcW w:w="169" w:type="pct"/>
            <w:shd w:val="clear" w:color="auto" w:fill="FFFFFF"/>
            <w:tcMar>
              <w:top w:w="0" w:type="dxa"/>
              <w:left w:w="0" w:type="dxa"/>
              <w:bottom w:w="0" w:type="dxa"/>
              <w:right w:w="0" w:type="dxa"/>
            </w:tcMar>
            <w:vAlign w:val="center"/>
          </w:tcPr>
          <w:p w14:paraId="180E33A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71</w:t>
            </w:r>
          </w:p>
        </w:tc>
        <w:tc>
          <w:tcPr>
            <w:tcW w:w="169" w:type="pct"/>
            <w:shd w:val="clear" w:color="auto" w:fill="FFFFFF"/>
            <w:tcMar>
              <w:top w:w="0" w:type="dxa"/>
              <w:left w:w="0" w:type="dxa"/>
              <w:bottom w:w="0" w:type="dxa"/>
              <w:right w:w="0" w:type="dxa"/>
            </w:tcMar>
            <w:vAlign w:val="center"/>
          </w:tcPr>
          <w:p w14:paraId="69330E7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64</w:t>
            </w:r>
          </w:p>
        </w:tc>
        <w:tc>
          <w:tcPr>
            <w:tcW w:w="180" w:type="pct"/>
            <w:shd w:val="clear" w:color="auto" w:fill="FFFFFF"/>
            <w:tcMar>
              <w:top w:w="0" w:type="dxa"/>
              <w:left w:w="0" w:type="dxa"/>
              <w:bottom w:w="0" w:type="dxa"/>
              <w:right w:w="0" w:type="dxa"/>
            </w:tcMar>
            <w:vAlign w:val="center"/>
          </w:tcPr>
          <w:p w14:paraId="693DE87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39</w:t>
            </w:r>
          </w:p>
        </w:tc>
        <w:tc>
          <w:tcPr>
            <w:tcW w:w="169" w:type="pct"/>
            <w:shd w:val="clear" w:color="auto" w:fill="FFFFFF"/>
            <w:tcMar>
              <w:top w:w="0" w:type="dxa"/>
              <w:left w:w="0" w:type="dxa"/>
              <w:bottom w:w="0" w:type="dxa"/>
              <w:right w:w="0" w:type="dxa"/>
            </w:tcMar>
            <w:vAlign w:val="center"/>
          </w:tcPr>
          <w:p w14:paraId="29F55DAE">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2</w:t>
            </w:r>
          </w:p>
        </w:tc>
        <w:tc>
          <w:tcPr>
            <w:tcW w:w="169" w:type="pct"/>
            <w:shd w:val="clear" w:color="auto" w:fill="FFFFFF"/>
            <w:tcMar>
              <w:top w:w="0" w:type="dxa"/>
              <w:left w:w="0" w:type="dxa"/>
              <w:bottom w:w="0" w:type="dxa"/>
              <w:right w:w="0" w:type="dxa"/>
            </w:tcMar>
            <w:vAlign w:val="center"/>
          </w:tcPr>
          <w:p w14:paraId="28AFE880">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69" w:type="pct"/>
            <w:shd w:val="clear" w:color="auto" w:fill="FFFFFF"/>
            <w:tcMar>
              <w:top w:w="0" w:type="dxa"/>
              <w:left w:w="0" w:type="dxa"/>
              <w:bottom w:w="0" w:type="dxa"/>
              <w:right w:w="0" w:type="dxa"/>
            </w:tcMar>
            <w:vAlign w:val="center"/>
          </w:tcPr>
          <w:p w14:paraId="36648190">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74" w:type="pct"/>
            <w:shd w:val="clear" w:color="auto" w:fill="FFFFFF"/>
            <w:tcMar>
              <w:top w:w="0" w:type="dxa"/>
              <w:left w:w="0" w:type="dxa"/>
              <w:bottom w:w="0" w:type="dxa"/>
              <w:right w:w="0" w:type="dxa"/>
            </w:tcMar>
            <w:vAlign w:val="center"/>
          </w:tcPr>
          <w:p w14:paraId="1664DBA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49" w:type="pct"/>
            <w:vMerge w:val="continue"/>
            <w:shd w:val="clear" w:color="auto" w:fill="FFFFFF"/>
            <w:tcMar>
              <w:top w:w="0" w:type="dxa"/>
              <w:left w:w="0" w:type="dxa"/>
              <w:bottom w:w="0" w:type="dxa"/>
              <w:right w:w="0" w:type="dxa"/>
            </w:tcMar>
            <w:vAlign w:val="center"/>
          </w:tcPr>
          <w:p w14:paraId="15F7871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789FA0E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20188F5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7E33AAA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481665F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6A3C371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174" w:type="pct"/>
            <w:shd w:val="clear" w:color="auto" w:fill="FFFFFF"/>
            <w:tcMar>
              <w:top w:w="0" w:type="dxa"/>
              <w:left w:w="0" w:type="dxa"/>
              <w:bottom w:w="0" w:type="dxa"/>
              <w:right w:w="0" w:type="dxa"/>
            </w:tcMar>
            <w:vAlign w:val="center"/>
          </w:tcPr>
          <w:p w14:paraId="7B01FE6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174" w:type="pct"/>
            <w:shd w:val="clear" w:color="auto" w:fill="FFFFFF"/>
            <w:tcMar>
              <w:top w:w="0" w:type="dxa"/>
              <w:left w:w="0" w:type="dxa"/>
              <w:bottom w:w="0" w:type="dxa"/>
              <w:right w:w="0" w:type="dxa"/>
            </w:tcMar>
            <w:vAlign w:val="center"/>
          </w:tcPr>
          <w:p w14:paraId="7CD2AFA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174" w:type="pct"/>
            <w:shd w:val="clear" w:color="auto" w:fill="FFFFFF"/>
            <w:tcMar>
              <w:top w:w="0" w:type="dxa"/>
              <w:left w:w="0" w:type="dxa"/>
              <w:bottom w:w="0" w:type="dxa"/>
              <w:right w:w="0" w:type="dxa"/>
            </w:tcMar>
            <w:vAlign w:val="center"/>
          </w:tcPr>
          <w:p w14:paraId="7C0BCC5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264" w:type="pct"/>
            <w:shd w:val="clear" w:color="auto" w:fill="FFFFFF"/>
            <w:tcMar>
              <w:top w:w="0" w:type="dxa"/>
              <w:left w:w="0" w:type="dxa"/>
              <w:bottom w:w="0" w:type="dxa"/>
              <w:right w:w="0" w:type="dxa"/>
            </w:tcMar>
            <w:vAlign w:val="center"/>
          </w:tcPr>
          <w:p w14:paraId="2AB6331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196D22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1A918B8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26</w:t>
            </w:r>
          </w:p>
        </w:tc>
        <w:tc>
          <w:tcPr>
            <w:tcW w:w="182" w:type="pct"/>
            <w:vMerge w:val="continue"/>
            <w:shd w:val="clear" w:color="auto" w:fill="FFFFFF"/>
            <w:tcMar>
              <w:top w:w="0" w:type="dxa"/>
              <w:left w:w="0" w:type="dxa"/>
              <w:bottom w:w="0" w:type="dxa"/>
              <w:right w:w="0" w:type="dxa"/>
            </w:tcMar>
            <w:vAlign w:val="center"/>
          </w:tcPr>
          <w:p w14:paraId="5F6558E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3C58A9B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6CB61CC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20F27F7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22542BB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3F70E913">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p>
        </w:tc>
        <w:tc>
          <w:tcPr>
            <w:tcW w:w="206" w:type="pct"/>
            <w:shd w:val="clear" w:color="auto" w:fill="FFFFFF"/>
            <w:tcMar>
              <w:top w:w="0" w:type="dxa"/>
              <w:left w:w="0" w:type="dxa"/>
              <w:bottom w:w="0" w:type="dxa"/>
              <w:right w:w="0" w:type="dxa"/>
            </w:tcMar>
            <w:vAlign w:val="center"/>
          </w:tcPr>
          <w:p w14:paraId="6A93AE9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13</w:t>
            </w:r>
          </w:p>
        </w:tc>
        <w:tc>
          <w:tcPr>
            <w:tcW w:w="211" w:type="pct"/>
            <w:shd w:val="clear" w:color="auto" w:fill="FFFFFF"/>
            <w:tcMar>
              <w:top w:w="0" w:type="dxa"/>
              <w:left w:w="0" w:type="dxa"/>
              <w:bottom w:w="0" w:type="dxa"/>
              <w:right w:w="0" w:type="dxa"/>
            </w:tcMar>
            <w:vAlign w:val="center"/>
          </w:tcPr>
          <w:p w14:paraId="455905E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744BBDD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56</w:t>
            </w:r>
          </w:p>
        </w:tc>
        <w:tc>
          <w:tcPr>
            <w:tcW w:w="169" w:type="pct"/>
            <w:shd w:val="clear" w:color="auto" w:fill="FFFFFF"/>
            <w:tcMar>
              <w:top w:w="0" w:type="dxa"/>
              <w:left w:w="0" w:type="dxa"/>
              <w:bottom w:w="0" w:type="dxa"/>
              <w:right w:w="0" w:type="dxa"/>
            </w:tcMar>
            <w:vAlign w:val="center"/>
          </w:tcPr>
          <w:p w14:paraId="0CEFE02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68</w:t>
            </w:r>
          </w:p>
        </w:tc>
        <w:tc>
          <w:tcPr>
            <w:tcW w:w="169" w:type="pct"/>
            <w:shd w:val="clear" w:color="auto" w:fill="FFFFFF"/>
            <w:tcMar>
              <w:top w:w="0" w:type="dxa"/>
              <w:left w:w="0" w:type="dxa"/>
              <w:bottom w:w="0" w:type="dxa"/>
              <w:right w:w="0" w:type="dxa"/>
            </w:tcMar>
            <w:vAlign w:val="center"/>
          </w:tcPr>
          <w:p w14:paraId="68A4F00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64</w:t>
            </w:r>
          </w:p>
        </w:tc>
        <w:tc>
          <w:tcPr>
            <w:tcW w:w="180" w:type="pct"/>
            <w:shd w:val="clear" w:color="auto" w:fill="FFFFFF"/>
            <w:tcMar>
              <w:top w:w="0" w:type="dxa"/>
              <w:left w:w="0" w:type="dxa"/>
              <w:bottom w:w="0" w:type="dxa"/>
              <w:right w:w="0" w:type="dxa"/>
            </w:tcMar>
            <w:vAlign w:val="center"/>
          </w:tcPr>
          <w:p w14:paraId="3EB1C5D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bidi="ar-SA"/>
                <w14:textFill>
                  <w14:solidFill>
                    <w14:schemeClr w14:val="tx1"/>
                  </w14:solidFill>
                </w14:textFill>
              </w:rPr>
              <w:t>42</w:t>
            </w:r>
          </w:p>
        </w:tc>
        <w:tc>
          <w:tcPr>
            <w:tcW w:w="169" w:type="pct"/>
            <w:shd w:val="clear" w:color="auto" w:fill="FFFFFF"/>
            <w:tcMar>
              <w:top w:w="0" w:type="dxa"/>
              <w:left w:w="0" w:type="dxa"/>
              <w:bottom w:w="0" w:type="dxa"/>
              <w:right w:w="0" w:type="dxa"/>
            </w:tcMar>
            <w:vAlign w:val="center"/>
          </w:tcPr>
          <w:p w14:paraId="60E9D77A">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2</w:t>
            </w:r>
          </w:p>
        </w:tc>
        <w:tc>
          <w:tcPr>
            <w:tcW w:w="169" w:type="pct"/>
            <w:shd w:val="clear" w:color="auto" w:fill="FFFFFF"/>
            <w:tcMar>
              <w:top w:w="0" w:type="dxa"/>
              <w:left w:w="0" w:type="dxa"/>
              <w:bottom w:w="0" w:type="dxa"/>
              <w:right w:w="0" w:type="dxa"/>
            </w:tcMar>
            <w:vAlign w:val="center"/>
          </w:tcPr>
          <w:p w14:paraId="334FE752">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69" w:type="pct"/>
            <w:shd w:val="clear" w:color="auto" w:fill="FFFFFF"/>
            <w:tcMar>
              <w:top w:w="0" w:type="dxa"/>
              <w:left w:w="0" w:type="dxa"/>
              <w:bottom w:w="0" w:type="dxa"/>
              <w:right w:w="0" w:type="dxa"/>
            </w:tcMar>
            <w:vAlign w:val="center"/>
          </w:tcPr>
          <w:p w14:paraId="1A2D0066">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74" w:type="pct"/>
            <w:shd w:val="clear" w:color="auto" w:fill="FFFFFF"/>
            <w:tcMar>
              <w:top w:w="0" w:type="dxa"/>
              <w:left w:w="0" w:type="dxa"/>
              <w:bottom w:w="0" w:type="dxa"/>
              <w:right w:w="0" w:type="dxa"/>
            </w:tcMar>
            <w:vAlign w:val="center"/>
          </w:tcPr>
          <w:p w14:paraId="335475D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49" w:type="pct"/>
            <w:vMerge w:val="continue"/>
            <w:shd w:val="clear" w:color="auto" w:fill="FFFFFF"/>
            <w:tcMar>
              <w:top w:w="0" w:type="dxa"/>
              <w:left w:w="0" w:type="dxa"/>
              <w:bottom w:w="0" w:type="dxa"/>
              <w:right w:w="0" w:type="dxa"/>
            </w:tcMar>
            <w:vAlign w:val="center"/>
          </w:tcPr>
          <w:p w14:paraId="5D15B5C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7F7C5F9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01EFE58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7641069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5B7A40F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030905F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493" w:type="dxa"/>
            <w:shd w:val="clear" w:color="auto" w:fill="FFFFFF"/>
            <w:tcMar>
              <w:top w:w="0" w:type="dxa"/>
              <w:left w:w="0" w:type="dxa"/>
              <w:bottom w:w="0" w:type="dxa"/>
              <w:right w:w="0" w:type="dxa"/>
            </w:tcMar>
            <w:vAlign w:val="center"/>
          </w:tcPr>
          <w:p w14:paraId="608997D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3622CB0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21B6FF0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264" w:type="pct"/>
            <w:shd w:val="clear" w:color="auto" w:fill="FFFFFF"/>
            <w:tcMar>
              <w:top w:w="0" w:type="dxa"/>
              <w:left w:w="0" w:type="dxa"/>
              <w:bottom w:w="0" w:type="dxa"/>
              <w:right w:w="0" w:type="dxa"/>
            </w:tcMar>
            <w:vAlign w:val="center"/>
          </w:tcPr>
          <w:p w14:paraId="78DE790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7CBCC5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17212BD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27</w:t>
            </w:r>
          </w:p>
        </w:tc>
        <w:tc>
          <w:tcPr>
            <w:tcW w:w="182" w:type="pct"/>
            <w:vMerge w:val="continue"/>
            <w:shd w:val="clear" w:color="auto" w:fill="FFFFFF"/>
            <w:tcMar>
              <w:top w:w="0" w:type="dxa"/>
              <w:left w:w="0" w:type="dxa"/>
              <w:bottom w:w="0" w:type="dxa"/>
              <w:right w:w="0" w:type="dxa"/>
            </w:tcMar>
            <w:vAlign w:val="center"/>
          </w:tcPr>
          <w:p w14:paraId="703B675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restart"/>
            <w:shd w:val="clear" w:color="auto" w:fill="FFFFFF"/>
            <w:tcMar>
              <w:top w:w="0" w:type="dxa"/>
              <w:left w:w="0" w:type="dxa"/>
              <w:bottom w:w="0" w:type="dxa"/>
              <w:right w:w="0" w:type="dxa"/>
            </w:tcMar>
            <w:vAlign w:val="center"/>
          </w:tcPr>
          <w:p w14:paraId="230723DC">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四吸风选机</w:t>
            </w:r>
          </w:p>
        </w:tc>
        <w:tc>
          <w:tcPr>
            <w:tcW w:w="330" w:type="pct"/>
            <w:vMerge w:val="restart"/>
            <w:shd w:val="clear" w:color="auto" w:fill="FFFFFF"/>
            <w:tcMar>
              <w:top w:w="0" w:type="dxa"/>
              <w:left w:w="0" w:type="dxa"/>
              <w:bottom w:w="0" w:type="dxa"/>
              <w:right w:w="0" w:type="dxa"/>
            </w:tcMar>
            <w:vAlign w:val="center"/>
          </w:tcPr>
          <w:p w14:paraId="1963104C">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218" w:type="pct"/>
            <w:shd w:val="clear" w:color="auto" w:fill="FFFFFF"/>
            <w:tcMar>
              <w:top w:w="0" w:type="dxa"/>
              <w:left w:w="0" w:type="dxa"/>
              <w:bottom w:w="0" w:type="dxa"/>
              <w:right w:w="0" w:type="dxa"/>
            </w:tcMar>
            <w:vAlign w:val="center"/>
          </w:tcPr>
          <w:p w14:paraId="2088B03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6BD767E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3AF5998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28</w:t>
            </w:r>
          </w:p>
        </w:tc>
        <w:tc>
          <w:tcPr>
            <w:tcW w:w="206" w:type="pct"/>
            <w:shd w:val="clear" w:color="auto" w:fill="FFFFFF"/>
            <w:tcMar>
              <w:top w:w="0" w:type="dxa"/>
              <w:left w:w="0" w:type="dxa"/>
              <w:bottom w:w="0" w:type="dxa"/>
              <w:right w:w="0" w:type="dxa"/>
            </w:tcMar>
            <w:vAlign w:val="center"/>
          </w:tcPr>
          <w:p w14:paraId="7B9902C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c>
          <w:tcPr>
            <w:tcW w:w="211" w:type="pct"/>
            <w:shd w:val="clear" w:color="auto" w:fill="FFFFFF"/>
            <w:tcMar>
              <w:top w:w="0" w:type="dxa"/>
              <w:left w:w="0" w:type="dxa"/>
              <w:bottom w:w="0" w:type="dxa"/>
              <w:right w:w="0" w:type="dxa"/>
            </w:tcMar>
            <w:vAlign w:val="center"/>
          </w:tcPr>
          <w:p w14:paraId="686F81A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45D1776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88</w:t>
            </w:r>
          </w:p>
        </w:tc>
        <w:tc>
          <w:tcPr>
            <w:tcW w:w="169" w:type="pct"/>
            <w:shd w:val="clear" w:color="auto" w:fill="FFFFFF"/>
            <w:tcMar>
              <w:top w:w="0" w:type="dxa"/>
              <w:left w:w="0" w:type="dxa"/>
              <w:bottom w:w="0" w:type="dxa"/>
              <w:right w:w="0" w:type="dxa"/>
            </w:tcMar>
            <w:vAlign w:val="center"/>
          </w:tcPr>
          <w:p w14:paraId="79D2A62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65</w:t>
            </w:r>
          </w:p>
        </w:tc>
        <w:tc>
          <w:tcPr>
            <w:tcW w:w="169" w:type="pct"/>
            <w:shd w:val="clear" w:color="auto" w:fill="FFFFFF"/>
            <w:tcMar>
              <w:top w:w="0" w:type="dxa"/>
              <w:left w:w="0" w:type="dxa"/>
              <w:bottom w:w="0" w:type="dxa"/>
              <w:right w:w="0" w:type="dxa"/>
            </w:tcMar>
            <w:vAlign w:val="center"/>
          </w:tcPr>
          <w:p w14:paraId="17644AC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32</w:t>
            </w:r>
          </w:p>
        </w:tc>
        <w:tc>
          <w:tcPr>
            <w:tcW w:w="180" w:type="pct"/>
            <w:shd w:val="clear" w:color="auto" w:fill="FFFFFF"/>
            <w:tcMar>
              <w:top w:w="0" w:type="dxa"/>
              <w:left w:w="0" w:type="dxa"/>
              <w:bottom w:w="0" w:type="dxa"/>
              <w:right w:w="0" w:type="dxa"/>
            </w:tcMar>
            <w:vAlign w:val="center"/>
          </w:tcPr>
          <w:p w14:paraId="579D57B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169" w:type="pct"/>
            <w:shd w:val="clear" w:color="auto" w:fill="FFFFFF"/>
            <w:tcMar>
              <w:top w:w="0" w:type="dxa"/>
              <w:left w:w="0" w:type="dxa"/>
              <w:bottom w:w="0" w:type="dxa"/>
              <w:right w:w="0" w:type="dxa"/>
            </w:tcMar>
            <w:vAlign w:val="center"/>
          </w:tcPr>
          <w:p w14:paraId="129C2779">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69" w:type="pct"/>
            <w:shd w:val="clear" w:color="auto" w:fill="FFFFFF"/>
            <w:tcMar>
              <w:top w:w="0" w:type="dxa"/>
              <w:left w:w="0" w:type="dxa"/>
              <w:bottom w:w="0" w:type="dxa"/>
              <w:right w:w="0" w:type="dxa"/>
            </w:tcMar>
            <w:vAlign w:val="center"/>
          </w:tcPr>
          <w:p w14:paraId="6F45D3E4">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69" w:type="pct"/>
            <w:shd w:val="clear" w:color="auto" w:fill="FFFFFF"/>
            <w:tcMar>
              <w:top w:w="0" w:type="dxa"/>
              <w:left w:w="0" w:type="dxa"/>
              <w:bottom w:w="0" w:type="dxa"/>
              <w:right w:w="0" w:type="dxa"/>
            </w:tcMar>
            <w:vAlign w:val="center"/>
          </w:tcPr>
          <w:p w14:paraId="3DF5CE78">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4</w:t>
            </w:r>
          </w:p>
        </w:tc>
        <w:tc>
          <w:tcPr>
            <w:tcW w:w="174" w:type="pct"/>
            <w:shd w:val="clear" w:color="auto" w:fill="FFFFFF"/>
            <w:tcMar>
              <w:top w:w="0" w:type="dxa"/>
              <w:left w:w="0" w:type="dxa"/>
              <w:bottom w:w="0" w:type="dxa"/>
              <w:right w:w="0" w:type="dxa"/>
            </w:tcMar>
            <w:vAlign w:val="center"/>
          </w:tcPr>
          <w:p w14:paraId="4B7807E4">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49" w:type="pct"/>
            <w:vMerge w:val="continue"/>
            <w:shd w:val="clear" w:color="auto" w:fill="FFFFFF"/>
            <w:tcMar>
              <w:top w:w="0" w:type="dxa"/>
              <w:left w:w="0" w:type="dxa"/>
              <w:bottom w:w="0" w:type="dxa"/>
              <w:right w:w="0" w:type="dxa"/>
            </w:tcMar>
            <w:vAlign w:val="center"/>
          </w:tcPr>
          <w:p w14:paraId="097D266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33C3532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172D9C0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362EBF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5DF7B1A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7BD15F6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174" w:type="pct"/>
            <w:shd w:val="clear" w:color="auto" w:fill="FFFFFF"/>
            <w:tcMar>
              <w:top w:w="0" w:type="dxa"/>
              <w:left w:w="0" w:type="dxa"/>
              <w:bottom w:w="0" w:type="dxa"/>
              <w:right w:w="0" w:type="dxa"/>
            </w:tcMar>
            <w:vAlign w:val="center"/>
          </w:tcPr>
          <w:p w14:paraId="3918F1A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174" w:type="pct"/>
            <w:shd w:val="clear" w:color="auto" w:fill="FFFFFF"/>
            <w:tcMar>
              <w:top w:w="0" w:type="dxa"/>
              <w:left w:w="0" w:type="dxa"/>
              <w:bottom w:w="0" w:type="dxa"/>
              <w:right w:w="0" w:type="dxa"/>
            </w:tcMar>
            <w:vAlign w:val="center"/>
          </w:tcPr>
          <w:p w14:paraId="59A4F05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44</w:t>
            </w:r>
          </w:p>
        </w:tc>
        <w:tc>
          <w:tcPr>
            <w:tcW w:w="174" w:type="pct"/>
            <w:shd w:val="clear" w:color="auto" w:fill="FFFFFF"/>
            <w:tcMar>
              <w:top w:w="0" w:type="dxa"/>
              <w:left w:w="0" w:type="dxa"/>
              <w:bottom w:w="0" w:type="dxa"/>
              <w:right w:w="0" w:type="dxa"/>
            </w:tcMar>
            <w:vAlign w:val="center"/>
          </w:tcPr>
          <w:p w14:paraId="600D468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264" w:type="pct"/>
            <w:shd w:val="clear" w:color="auto" w:fill="FFFFFF"/>
            <w:tcMar>
              <w:top w:w="0" w:type="dxa"/>
              <w:left w:w="0" w:type="dxa"/>
              <w:bottom w:w="0" w:type="dxa"/>
              <w:right w:w="0" w:type="dxa"/>
            </w:tcMar>
            <w:vAlign w:val="center"/>
          </w:tcPr>
          <w:p w14:paraId="3C6BBD6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224A2A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7034E5A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28</w:t>
            </w:r>
          </w:p>
        </w:tc>
        <w:tc>
          <w:tcPr>
            <w:tcW w:w="182" w:type="pct"/>
            <w:vMerge w:val="continue"/>
            <w:shd w:val="clear" w:color="auto" w:fill="FFFFFF"/>
            <w:tcMar>
              <w:top w:w="0" w:type="dxa"/>
              <w:left w:w="0" w:type="dxa"/>
              <w:bottom w:w="0" w:type="dxa"/>
              <w:right w:w="0" w:type="dxa"/>
            </w:tcMar>
            <w:vAlign w:val="center"/>
          </w:tcPr>
          <w:p w14:paraId="2CFC68B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6B22F2F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1BB793D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77E1ADA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1F402CF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56F22D5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26</w:t>
            </w:r>
          </w:p>
        </w:tc>
        <w:tc>
          <w:tcPr>
            <w:tcW w:w="206" w:type="pct"/>
            <w:shd w:val="clear" w:color="auto" w:fill="FFFFFF"/>
            <w:tcMar>
              <w:top w:w="0" w:type="dxa"/>
              <w:left w:w="0" w:type="dxa"/>
              <w:bottom w:w="0" w:type="dxa"/>
              <w:right w:w="0" w:type="dxa"/>
            </w:tcMar>
            <w:vAlign w:val="center"/>
          </w:tcPr>
          <w:p w14:paraId="4874962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c>
          <w:tcPr>
            <w:tcW w:w="211" w:type="pct"/>
            <w:shd w:val="clear" w:color="auto" w:fill="FFFFFF"/>
            <w:tcMar>
              <w:top w:w="0" w:type="dxa"/>
              <w:left w:w="0" w:type="dxa"/>
              <w:bottom w:w="0" w:type="dxa"/>
              <w:right w:w="0" w:type="dxa"/>
            </w:tcMar>
            <w:vAlign w:val="center"/>
          </w:tcPr>
          <w:p w14:paraId="425ADC0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5F91B29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86</w:t>
            </w:r>
          </w:p>
        </w:tc>
        <w:tc>
          <w:tcPr>
            <w:tcW w:w="169" w:type="pct"/>
            <w:shd w:val="clear" w:color="auto" w:fill="FFFFFF"/>
            <w:tcMar>
              <w:top w:w="0" w:type="dxa"/>
              <w:left w:w="0" w:type="dxa"/>
              <w:bottom w:w="0" w:type="dxa"/>
              <w:right w:w="0" w:type="dxa"/>
            </w:tcMar>
            <w:vAlign w:val="center"/>
          </w:tcPr>
          <w:p w14:paraId="3130F78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65</w:t>
            </w:r>
          </w:p>
        </w:tc>
        <w:tc>
          <w:tcPr>
            <w:tcW w:w="169" w:type="pct"/>
            <w:shd w:val="clear" w:color="auto" w:fill="FFFFFF"/>
            <w:tcMar>
              <w:top w:w="0" w:type="dxa"/>
              <w:left w:w="0" w:type="dxa"/>
              <w:bottom w:w="0" w:type="dxa"/>
              <w:right w:w="0" w:type="dxa"/>
            </w:tcMar>
            <w:vAlign w:val="center"/>
          </w:tcPr>
          <w:p w14:paraId="36BBA7F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bidi="ar-SA"/>
                <w14:textFill>
                  <w14:solidFill>
                    <w14:schemeClr w14:val="tx1"/>
                  </w14:solidFill>
                </w14:textFill>
              </w:rPr>
              <w:t>34</w:t>
            </w:r>
          </w:p>
        </w:tc>
        <w:tc>
          <w:tcPr>
            <w:tcW w:w="180" w:type="pct"/>
            <w:shd w:val="clear" w:color="auto" w:fill="FFFFFF"/>
            <w:tcMar>
              <w:top w:w="0" w:type="dxa"/>
              <w:left w:w="0" w:type="dxa"/>
              <w:bottom w:w="0" w:type="dxa"/>
              <w:right w:w="0" w:type="dxa"/>
            </w:tcMar>
            <w:vAlign w:val="center"/>
          </w:tcPr>
          <w:p w14:paraId="78F9152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169" w:type="pct"/>
            <w:shd w:val="clear" w:color="auto" w:fill="FFFFFF"/>
            <w:tcMar>
              <w:top w:w="0" w:type="dxa"/>
              <w:left w:w="0" w:type="dxa"/>
              <w:bottom w:w="0" w:type="dxa"/>
              <w:right w:w="0" w:type="dxa"/>
            </w:tcMar>
            <w:vAlign w:val="center"/>
          </w:tcPr>
          <w:p w14:paraId="5C15B8B0">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69" w:type="pct"/>
            <w:shd w:val="clear" w:color="auto" w:fill="FFFFFF"/>
            <w:tcMar>
              <w:top w:w="0" w:type="dxa"/>
              <w:left w:w="0" w:type="dxa"/>
              <w:bottom w:w="0" w:type="dxa"/>
              <w:right w:w="0" w:type="dxa"/>
            </w:tcMar>
            <w:vAlign w:val="center"/>
          </w:tcPr>
          <w:p w14:paraId="769DD69D">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69" w:type="pct"/>
            <w:shd w:val="clear" w:color="auto" w:fill="FFFFFF"/>
            <w:tcMar>
              <w:top w:w="0" w:type="dxa"/>
              <w:left w:w="0" w:type="dxa"/>
              <w:bottom w:w="0" w:type="dxa"/>
              <w:right w:w="0" w:type="dxa"/>
            </w:tcMar>
            <w:vAlign w:val="center"/>
          </w:tcPr>
          <w:p w14:paraId="5A8148B5">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4</w:t>
            </w:r>
          </w:p>
        </w:tc>
        <w:tc>
          <w:tcPr>
            <w:tcW w:w="174" w:type="pct"/>
            <w:shd w:val="clear" w:color="auto" w:fill="FFFFFF"/>
            <w:tcMar>
              <w:top w:w="0" w:type="dxa"/>
              <w:left w:w="0" w:type="dxa"/>
              <w:bottom w:w="0" w:type="dxa"/>
              <w:right w:w="0" w:type="dxa"/>
            </w:tcMar>
            <w:vAlign w:val="center"/>
          </w:tcPr>
          <w:p w14:paraId="7EB77F16">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3</w:t>
            </w:r>
          </w:p>
        </w:tc>
        <w:tc>
          <w:tcPr>
            <w:tcW w:w="149" w:type="pct"/>
            <w:vMerge w:val="continue"/>
            <w:shd w:val="clear" w:color="auto" w:fill="FFFFFF"/>
            <w:tcMar>
              <w:top w:w="0" w:type="dxa"/>
              <w:left w:w="0" w:type="dxa"/>
              <w:bottom w:w="0" w:type="dxa"/>
              <w:right w:w="0" w:type="dxa"/>
            </w:tcMar>
            <w:vAlign w:val="center"/>
          </w:tcPr>
          <w:p w14:paraId="7E0BEBC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6B1AEBA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207CC19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04F26D5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36FC3DF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5A41148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67C1DD0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3D9569E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44</w:t>
            </w:r>
          </w:p>
        </w:tc>
        <w:tc>
          <w:tcPr>
            <w:tcW w:w="493" w:type="dxa"/>
            <w:shd w:val="clear" w:color="auto" w:fill="FFFFFF"/>
            <w:tcMar>
              <w:top w:w="0" w:type="dxa"/>
              <w:left w:w="0" w:type="dxa"/>
              <w:bottom w:w="0" w:type="dxa"/>
              <w:right w:w="0" w:type="dxa"/>
            </w:tcMar>
            <w:vAlign w:val="center"/>
          </w:tcPr>
          <w:p w14:paraId="2B814A3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264" w:type="pct"/>
            <w:shd w:val="clear" w:color="auto" w:fill="FFFFFF"/>
            <w:tcMar>
              <w:top w:w="0" w:type="dxa"/>
              <w:left w:w="0" w:type="dxa"/>
              <w:bottom w:w="0" w:type="dxa"/>
              <w:right w:w="0" w:type="dxa"/>
            </w:tcMar>
            <w:vAlign w:val="center"/>
          </w:tcPr>
          <w:p w14:paraId="2BE2B58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r>
      <w:tr w14:paraId="4AA511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1860088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29</w:t>
            </w:r>
          </w:p>
        </w:tc>
        <w:tc>
          <w:tcPr>
            <w:tcW w:w="182" w:type="pct"/>
            <w:vMerge w:val="continue"/>
            <w:shd w:val="clear" w:color="auto" w:fill="FFFFFF"/>
            <w:tcMar>
              <w:top w:w="0" w:type="dxa"/>
              <w:left w:w="0" w:type="dxa"/>
              <w:bottom w:w="0" w:type="dxa"/>
              <w:right w:w="0" w:type="dxa"/>
            </w:tcMar>
            <w:vAlign w:val="center"/>
          </w:tcPr>
          <w:p w14:paraId="5F5DB4B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11A6283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7AF070E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5286781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145BDAD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2846AE3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27</w:t>
            </w:r>
          </w:p>
        </w:tc>
        <w:tc>
          <w:tcPr>
            <w:tcW w:w="206" w:type="pct"/>
            <w:shd w:val="clear" w:color="auto" w:fill="FFFFFF"/>
            <w:tcMar>
              <w:top w:w="0" w:type="dxa"/>
              <w:left w:w="0" w:type="dxa"/>
              <w:bottom w:w="0" w:type="dxa"/>
              <w:right w:w="0" w:type="dxa"/>
            </w:tcMar>
            <w:vAlign w:val="center"/>
          </w:tcPr>
          <w:p w14:paraId="6CB6BDE6">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c>
          <w:tcPr>
            <w:tcW w:w="211" w:type="pct"/>
            <w:shd w:val="clear" w:color="auto" w:fill="FFFFFF"/>
            <w:tcMar>
              <w:top w:w="0" w:type="dxa"/>
              <w:left w:w="0" w:type="dxa"/>
              <w:bottom w:w="0" w:type="dxa"/>
              <w:right w:w="0" w:type="dxa"/>
            </w:tcMar>
            <w:vAlign w:val="center"/>
          </w:tcPr>
          <w:p w14:paraId="256BB0E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421F2C2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87</w:t>
            </w:r>
          </w:p>
        </w:tc>
        <w:tc>
          <w:tcPr>
            <w:tcW w:w="169" w:type="pct"/>
            <w:shd w:val="clear" w:color="auto" w:fill="FFFFFF"/>
            <w:tcMar>
              <w:top w:w="0" w:type="dxa"/>
              <w:left w:w="0" w:type="dxa"/>
              <w:bottom w:w="0" w:type="dxa"/>
              <w:right w:w="0" w:type="dxa"/>
            </w:tcMar>
            <w:vAlign w:val="center"/>
          </w:tcPr>
          <w:p w14:paraId="212F64B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56</w:t>
            </w:r>
          </w:p>
        </w:tc>
        <w:tc>
          <w:tcPr>
            <w:tcW w:w="169" w:type="pct"/>
            <w:shd w:val="clear" w:color="auto" w:fill="FFFFFF"/>
            <w:tcMar>
              <w:top w:w="0" w:type="dxa"/>
              <w:left w:w="0" w:type="dxa"/>
              <w:bottom w:w="0" w:type="dxa"/>
              <w:right w:w="0" w:type="dxa"/>
            </w:tcMar>
            <w:vAlign w:val="center"/>
          </w:tcPr>
          <w:p w14:paraId="15DE928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33</w:t>
            </w:r>
          </w:p>
        </w:tc>
        <w:tc>
          <w:tcPr>
            <w:tcW w:w="180" w:type="pct"/>
            <w:shd w:val="clear" w:color="auto" w:fill="FFFFFF"/>
            <w:tcMar>
              <w:top w:w="0" w:type="dxa"/>
              <w:left w:w="0" w:type="dxa"/>
              <w:bottom w:w="0" w:type="dxa"/>
              <w:right w:w="0" w:type="dxa"/>
            </w:tcMar>
            <w:vAlign w:val="center"/>
          </w:tcPr>
          <w:p w14:paraId="294BC2C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54</w:t>
            </w:r>
          </w:p>
        </w:tc>
        <w:tc>
          <w:tcPr>
            <w:tcW w:w="169" w:type="pct"/>
            <w:shd w:val="clear" w:color="auto" w:fill="FFFFFF"/>
            <w:tcMar>
              <w:top w:w="0" w:type="dxa"/>
              <w:left w:w="0" w:type="dxa"/>
              <w:bottom w:w="0" w:type="dxa"/>
              <w:right w:w="0" w:type="dxa"/>
            </w:tcMar>
            <w:vAlign w:val="center"/>
          </w:tcPr>
          <w:p w14:paraId="09E889E3">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69" w:type="pct"/>
            <w:shd w:val="clear" w:color="auto" w:fill="FFFFFF"/>
            <w:tcMar>
              <w:top w:w="0" w:type="dxa"/>
              <w:left w:w="0" w:type="dxa"/>
              <w:bottom w:w="0" w:type="dxa"/>
              <w:right w:w="0" w:type="dxa"/>
            </w:tcMar>
            <w:vAlign w:val="center"/>
          </w:tcPr>
          <w:p w14:paraId="60F35850">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69" w:type="pct"/>
            <w:shd w:val="clear" w:color="auto" w:fill="FFFFFF"/>
            <w:tcMar>
              <w:top w:w="0" w:type="dxa"/>
              <w:left w:w="0" w:type="dxa"/>
              <w:bottom w:w="0" w:type="dxa"/>
              <w:right w:w="0" w:type="dxa"/>
            </w:tcMar>
            <w:vAlign w:val="center"/>
          </w:tcPr>
          <w:p w14:paraId="7939B865">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4</w:t>
            </w:r>
          </w:p>
        </w:tc>
        <w:tc>
          <w:tcPr>
            <w:tcW w:w="174" w:type="pct"/>
            <w:shd w:val="clear" w:color="auto" w:fill="FFFFFF"/>
            <w:tcMar>
              <w:top w:w="0" w:type="dxa"/>
              <w:left w:w="0" w:type="dxa"/>
              <w:bottom w:w="0" w:type="dxa"/>
              <w:right w:w="0" w:type="dxa"/>
            </w:tcMar>
            <w:vAlign w:val="center"/>
          </w:tcPr>
          <w:p w14:paraId="79DD6281">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2</w:t>
            </w:r>
          </w:p>
        </w:tc>
        <w:tc>
          <w:tcPr>
            <w:tcW w:w="149" w:type="pct"/>
            <w:vMerge w:val="continue"/>
            <w:shd w:val="clear" w:color="auto" w:fill="FFFFFF"/>
            <w:tcMar>
              <w:top w:w="0" w:type="dxa"/>
              <w:left w:w="0" w:type="dxa"/>
              <w:bottom w:w="0" w:type="dxa"/>
              <w:right w:w="0" w:type="dxa"/>
            </w:tcMar>
            <w:vAlign w:val="center"/>
          </w:tcPr>
          <w:p w14:paraId="22FD3AF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03820EE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58D3EEF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3107116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2DB2EE7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5B78E02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3A8B1CD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1F592E1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44</w:t>
            </w:r>
          </w:p>
        </w:tc>
        <w:tc>
          <w:tcPr>
            <w:tcW w:w="493" w:type="dxa"/>
            <w:shd w:val="clear" w:color="auto" w:fill="FFFFFF"/>
            <w:tcMar>
              <w:top w:w="0" w:type="dxa"/>
              <w:left w:w="0" w:type="dxa"/>
              <w:bottom w:w="0" w:type="dxa"/>
              <w:right w:w="0" w:type="dxa"/>
            </w:tcMar>
            <w:vAlign w:val="center"/>
          </w:tcPr>
          <w:p w14:paraId="7B099CB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264" w:type="pct"/>
            <w:shd w:val="clear" w:color="auto" w:fill="FFFFFF"/>
            <w:tcMar>
              <w:top w:w="0" w:type="dxa"/>
              <w:left w:w="0" w:type="dxa"/>
              <w:bottom w:w="0" w:type="dxa"/>
              <w:right w:w="0" w:type="dxa"/>
            </w:tcMar>
            <w:vAlign w:val="center"/>
          </w:tcPr>
          <w:p w14:paraId="7039DC1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0DAC61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4965DAE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30</w:t>
            </w:r>
          </w:p>
        </w:tc>
        <w:tc>
          <w:tcPr>
            <w:tcW w:w="182" w:type="pct"/>
            <w:vMerge w:val="continue"/>
            <w:shd w:val="clear" w:color="auto" w:fill="FFFFFF"/>
            <w:tcMar>
              <w:top w:w="0" w:type="dxa"/>
              <w:left w:w="0" w:type="dxa"/>
              <w:bottom w:w="0" w:type="dxa"/>
              <w:right w:w="0" w:type="dxa"/>
            </w:tcMar>
            <w:vAlign w:val="center"/>
          </w:tcPr>
          <w:p w14:paraId="621FBEB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4B349C6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2A41A8E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6C47E29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4749626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05CE151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27</w:t>
            </w:r>
          </w:p>
        </w:tc>
        <w:tc>
          <w:tcPr>
            <w:tcW w:w="206" w:type="pct"/>
            <w:shd w:val="clear" w:color="auto" w:fill="FFFFFF"/>
            <w:tcMar>
              <w:top w:w="0" w:type="dxa"/>
              <w:left w:w="0" w:type="dxa"/>
              <w:bottom w:w="0" w:type="dxa"/>
              <w:right w:w="0" w:type="dxa"/>
            </w:tcMar>
            <w:vAlign w:val="center"/>
          </w:tcPr>
          <w:p w14:paraId="478791D9">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p>
        </w:tc>
        <w:tc>
          <w:tcPr>
            <w:tcW w:w="211" w:type="pct"/>
            <w:shd w:val="clear" w:color="auto" w:fill="FFFFFF"/>
            <w:tcMar>
              <w:top w:w="0" w:type="dxa"/>
              <w:left w:w="0" w:type="dxa"/>
              <w:bottom w:w="0" w:type="dxa"/>
              <w:right w:w="0" w:type="dxa"/>
            </w:tcMar>
            <w:vAlign w:val="center"/>
          </w:tcPr>
          <w:p w14:paraId="2AF48D3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7999576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87</w:t>
            </w:r>
          </w:p>
        </w:tc>
        <w:tc>
          <w:tcPr>
            <w:tcW w:w="169" w:type="pct"/>
            <w:shd w:val="clear" w:color="auto" w:fill="FFFFFF"/>
            <w:tcMar>
              <w:top w:w="0" w:type="dxa"/>
              <w:left w:w="0" w:type="dxa"/>
              <w:bottom w:w="0" w:type="dxa"/>
              <w:right w:w="0" w:type="dxa"/>
            </w:tcMar>
            <w:vAlign w:val="center"/>
          </w:tcPr>
          <w:p w14:paraId="0BBB12C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58</w:t>
            </w:r>
          </w:p>
        </w:tc>
        <w:tc>
          <w:tcPr>
            <w:tcW w:w="169" w:type="pct"/>
            <w:shd w:val="clear" w:color="auto" w:fill="FFFFFF"/>
            <w:tcMar>
              <w:top w:w="0" w:type="dxa"/>
              <w:left w:w="0" w:type="dxa"/>
              <w:bottom w:w="0" w:type="dxa"/>
              <w:right w:w="0" w:type="dxa"/>
            </w:tcMar>
            <w:vAlign w:val="center"/>
          </w:tcPr>
          <w:p w14:paraId="1AB0C3E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33</w:t>
            </w:r>
          </w:p>
        </w:tc>
        <w:tc>
          <w:tcPr>
            <w:tcW w:w="180" w:type="pct"/>
            <w:shd w:val="clear" w:color="auto" w:fill="FFFFFF"/>
            <w:tcMar>
              <w:top w:w="0" w:type="dxa"/>
              <w:left w:w="0" w:type="dxa"/>
              <w:bottom w:w="0" w:type="dxa"/>
              <w:right w:w="0" w:type="dxa"/>
            </w:tcMar>
            <w:vAlign w:val="center"/>
          </w:tcPr>
          <w:p w14:paraId="4ADE061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52</w:t>
            </w:r>
          </w:p>
        </w:tc>
        <w:tc>
          <w:tcPr>
            <w:tcW w:w="169" w:type="pct"/>
            <w:shd w:val="clear" w:color="auto" w:fill="FFFFFF"/>
            <w:tcMar>
              <w:top w:w="0" w:type="dxa"/>
              <w:left w:w="0" w:type="dxa"/>
              <w:bottom w:w="0" w:type="dxa"/>
              <w:right w:w="0" w:type="dxa"/>
            </w:tcMar>
            <w:vAlign w:val="center"/>
          </w:tcPr>
          <w:p w14:paraId="0A70991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69" w:type="pct"/>
            <w:shd w:val="clear" w:color="auto" w:fill="FFFFFF"/>
            <w:tcMar>
              <w:top w:w="0" w:type="dxa"/>
              <w:left w:w="0" w:type="dxa"/>
              <w:bottom w:w="0" w:type="dxa"/>
              <w:right w:w="0" w:type="dxa"/>
            </w:tcMar>
            <w:vAlign w:val="center"/>
          </w:tcPr>
          <w:p w14:paraId="51CC93F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69" w:type="pct"/>
            <w:shd w:val="clear" w:color="auto" w:fill="FFFFFF"/>
            <w:tcMar>
              <w:top w:w="0" w:type="dxa"/>
              <w:left w:w="0" w:type="dxa"/>
              <w:bottom w:w="0" w:type="dxa"/>
              <w:right w:w="0" w:type="dxa"/>
            </w:tcMar>
            <w:vAlign w:val="center"/>
          </w:tcPr>
          <w:p w14:paraId="1B84408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4</w:t>
            </w:r>
          </w:p>
        </w:tc>
        <w:tc>
          <w:tcPr>
            <w:tcW w:w="174" w:type="pct"/>
            <w:shd w:val="clear" w:color="auto" w:fill="FFFFFF"/>
            <w:tcMar>
              <w:top w:w="0" w:type="dxa"/>
              <w:left w:w="0" w:type="dxa"/>
              <w:bottom w:w="0" w:type="dxa"/>
              <w:right w:w="0" w:type="dxa"/>
            </w:tcMar>
            <w:vAlign w:val="center"/>
          </w:tcPr>
          <w:p w14:paraId="1DCCE2E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2</w:t>
            </w:r>
          </w:p>
        </w:tc>
        <w:tc>
          <w:tcPr>
            <w:tcW w:w="149" w:type="pct"/>
            <w:vMerge w:val="continue"/>
            <w:shd w:val="clear" w:color="auto" w:fill="FFFFFF"/>
            <w:tcMar>
              <w:top w:w="0" w:type="dxa"/>
              <w:left w:w="0" w:type="dxa"/>
              <w:bottom w:w="0" w:type="dxa"/>
              <w:right w:w="0" w:type="dxa"/>
            </w:tcMar>
            <w:vAlign w:val="center"/>
          </w:tcPr>
          <w:p w14:paraId="626E234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66AFAEE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5F5FDAA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6E94F62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0F97210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4386268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6B2926E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7D3F19D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44</w:t>
            </w:r>
          </w:p>
        </w:tc>
        <w:tc>
          <w:tcPr>
            <w:tcW w:w="493" w:type="dxa"/>
            <w:shd w:val="clear" w:color="auto" w:fill="FFFFFF"/>
            <w:tcMar>
              <w:top w:w="0" w:type="dxa"/>
              <w:left w:w="0" w:type="dxa"/>
              <w:bottom w:w="0" w:type="dxa"/>
              <w:right w:w="0" w:type="dxa"/>
            </w:tcMar>
            <w:vAlign w:val="center"/>
          </w:tcPr>
          <w:p w14:paraId="0E9C97B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264" w:type="pct"/>
            <w:shd w:val="clear" w:color="auto" w:fill="FFFFFF"/>
            <w:tcMar>
              <w:top w:w="0" w:type="dxa"/>
              <w:left w:w="0" w:type="dxa"/>
              <w:bottom w:w="0" w:type="dxa"/>
              <w:right w:w="0" w:type="dxa"/>
            </w:tcMar>
            <w:vAlign w:val="center"/>
          </w:tcPr>
          <w:p w14:paraId="0E8E4B7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49144D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4C11BB8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31</w:t>
            </w:r>
          </w:p>
        </w:tc>
        <w:tc>
          <w:tcPr>
            <w:tcW w:w="182" w:type="pct"/>
            <w:vMerge w:val="continue"/>
            <w:shd w:val="clear" w:color="auto" w:fill="FFFFFF"/>
            <w:tcMar>
              <w:top w:w="0" w:type="dxa"/>
              <w:left w:w="0" w:type="dxa"/>
              <w:bottom w:w="0" w:type="dxa"/>
              <w:right w:w="0" w:type="dxa"/>
            </w:tcMar>
            <w:vAlign w:val="center"/>
          </w:tcPr>
          <w:p w14:paraId="7B13B02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3C2918B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5236F92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15A2E2E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0D105A6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26DA988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27</w:t>
            </w:r>
          </w:p>
        </w:tc>
        <w:tc>
          <w:tcPr>
            <w:tcW w:w="206" w:type="pct"/>
            <w:shd w:val="clear" w:color="auto" w:fill="FFFFFF"/>
            <w:tcMar>
              <w:top w:w="0" w:type="dxa"/>
              <w:left w:w="0" w:type="dxa"/>
              <w:bottom w:w="0" w:type="dxa"/>
              <w:right w:w="0" w:type="dxa"/>
            </w:tcMar>
            <w:vAlign w:val="center"/>
          </w:tcPr>
          <w:p w14:paraId="19B065EF">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p>
        </w:tc>
        <w:tc>
          <w:tcPr>
            <w:tcW w:w="211" w:type="pct"/>
            <w:shd w:val="clear" w:color="auto" w:fill="FFFFFF"/>
            <w:tcMar>
              <w:top w:w="0" w:type="dxa"/>
              <w:left w:w="0" w:type="dxa"/>
              <w:bottom w:w="0" w:type="dxa"/>
              <w:right w:w="0" w:type="dxa"/>
            </w:tcMar>
            <w:vAlign w:val="center"/>
          </w:tcPr>
          <w:p w14:paraId="321F986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6C01DF88">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87</w:t>
            </w:r>
          </w:p>
        </w:tc>
        <w:tc>
          <w:tcPr>
            <w:tcW w:w="169" w:type="pct"/>
            <w:shd w:val="clear" w:color="auto" w:fill="FFFFFF"/>
            <w:tcMar>
              <w:top w:w="0" w:type="dxa"/>
              <w:left w:w="0" w:type="dxa"/>
              <w:bottom w:w="0" w:type="dxa"/>
              <w:right w:w="0" w:type="dxa"/>
            </w:tcMar>
            <w:vAlign w:val="center"/>
          </w:tcPr>
          <w:p w14:paraId="1C1B79EB">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60</w:t>
            </w:r>
          </w:p>
        </w:tc>
        <w:tc>
          <w:tcPr>
            <w:tcW w:w="169" w:type="pct"/>
            <w:shd w:val="clear" w:color="auto" w:fill="FFFFFF"/>
            <w:tcMar>
              <w:top w:w="0" w:type="dxa"/>
              <w:left w:w="0" w:type="dxa"/>
              <w:bottom w:w="0" w:type="dxa"/>
              <w:right w:w="0" w:type="dxa"/>
            </w:tcMar>
            <w:vAlign w:val="center"/>
          </w:tcPr>
          <w:p w14:paraId="4E89A96C">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33</w:t>
            </w:r>
          </w:p>
        </w:tc>
        <w:tc>
          <w:tcPr>
            <w:tcW w:w="180" w:type="pct"/>
            <w:shd w:val="clear" w:color="auto" w:fill="FFFFFF"/>
            <w:tcMar>
              <w:top w:w="0" w:type="dxa"/>
              <w:left w:w="0" w:type="dxa"/>
              <w:bottom w:w="0" w:type="dxa"/>
              <w:right w:w="0" w:type="dxa"/>
            </w:tcMar>
            <w:vAlign w:val="center"/>
          </w:tcPr>
          <w:p w14:paraId="4F818D17">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w:t>
            </w:r>
          </w:p>
        </w:tc>
        <w:tc>
          <w:tcPr>
            <w:tcW w:w="169" w:type="pct"/>
            <w:shd w:val="clear" w:color="auto" w:fill="FFFFFF"/>
            <w:tcMar>
              <w:top w:w="0" w:type="dxa"/>
              <w:left w:w="0" w:type="dxa"/>
              <w:bottom w:w="0" w:type="dxa"/>
              <w:right w:w="0" w:type="dxa"/>
            </w:tcMar>
            <w:vAlign w:val="center"/>
          </w:tcPr>
          <w:p w14:paraId="2F22872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69" w:type="pct"/>
            <w:shd w:val="clear" w:color="auto" w:fill="FFFFFF"/>
            <w:tcMar>
              <w:top w:w="0" w:type="dxa"/>
              <w:left w:w="0" w:type="dxa"/>
              <w:bottom w:w="0" w:type="dxa"/>
              <w:right w:w="0" w:type="dxa"/>
            </w:tcMar>
            <w:vAlign w:val="center"/>
          </w:tcPr>
          <w:p w14:paraId="2B25EF2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69" w:type="pct"/>
            <w:shd w:val="clear" w:color="auto" w:fill="FFFFFF"/>
            <w:tcMar>
              <w:top w:w="0" w:type="dxa"/>
              <w:left w:w="0" w:type="dxa"/>
              <w:bottom w:w="0" w:type="dxa"/>
              <w:right w:w="0" w:type="dxa"/>
            </w:tcMar>
            <w:vAlign w:val="center"/>
          </w:tcPr>
          <w:p w14:paraId="3AA522E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4</w:t>
            </w:r>
          </w:p>
        </w:tc>
        <w:tc>
          <w:tcPr>
            <w:tcW w:w="174" w:type="pct"/>
            <w:shd w:val="clear" w:color="auto" w:fill="FFFFFF"/>
            <w:tcMar>
              <w:top w:w="0" w:type="dxa"/>
              <w:left w:w="0" w:type="dxa"/>
              <w:bottom w:w="0" w:type="dxa"/>
              <w:right w:w="0" w:type="dxa"/>
            </w:tcMar>
            <w:vAlign w:val="center"/>
          </w:tcPr>
          <w:p w14:paraId="07E3D07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2</w:t>
            </w:r>
          </w:p>
        </w:tc>
        <w:tc>
          <w:tcPr>
            <w:tcW w:w="149" w:type="pct"/>
            <w:vMerge w:val="continue"/>
            <w:shd w:val="clear" w:color="auto" w:fill="FFFFFF"/>
            <w:tcMar>
              <w:top w:w="0" w:type="dxa"/>
              <w:left w:w="0" w:type="dxa"/>
              <w:bottom w:w="0" w:type="dxa"/>
              <w:right w:w="0" w:type="dxa"/>
            </w:tcMar>
            <w:vAlign w:val="center"/>
          </w:tcPr>
          <w:p w14:paraId="7A62D6A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213CBD1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356EE01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ADF121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0C2A1D4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3A1BE36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45AECF4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14021E1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44</w:t>
            </w:r>
          </w:p>
        </w:tc>
        <w:tc>
          <w:tcPr>
            <w:tcW w:w="493" w:type="dxa"/>
            <w:shd w:val="clear" w:color="auto" w:fill="FFFFFF"/>
            <w:tcMar>
              <w:top w:w="0" w:type="dxa"/>
              <w:left w:w="0" w:type="dxa"/>
              <w:bottom w:w="0" w:type="dxa"/>
              <w:right w:w="0" w:type="dxa"/>
            </w:tcMar>
            <w:vAlign w:val="center"/>
          </w:tcPr>
          <w:p w14:paraId="579DBAF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264" w:type="pct"/>
            <w:shd w:val="clear" w:color="auto" w:fill="FFFFFF"/>
            <w:tcMar>
              <w:top w:w="0" w:type="dxa"/>
              <w:left w:w="0" w:type="dxa"/>
              <w:bottom w:w="0" w:type="dxa"/>
              <w:right w:w="0" w:type="dxa"/>
            </w:tcMar>
            <w:vAlign w:val="center"/>
          </w:tcPr>
          <w:p w14:paraId="539F586B">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r>
      <w:tr w14:paraId="0E65AA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054D56F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r>
              <w:rPr>
                <w:rFonts w:hint="eastAsia" w:cs="Times New Roman"/>
                <w:color w:val="000000" w:themeColor="text1"/>
                <w:sz w:val="21"/>
                <w:szCs w:val="21"/>
                <w:lang w:val="en-US" w:eastAsia="zh-CN"/>
                <w14:textFill>
                  <w14:solidFill>
                    <w14:schemeClr w14:val="tx1"/>
                  </w14:solidFill>
                </w14:textFill>
              </w:rPr>
              <w:t>2</w:t>
            </w:r>
          </w:p>
        </w:tc>
        <w:tc>
          <w:tcPr>
            <w:tcW w:w="182" w:type="pct"/>
            <w:vMerge w:val="continue"/>
            <w:shd w:val="clear" w:color="auto" w:fill="FFFFFF"/>
            <w:tcMar>
              <w:top w:w="0" w:type="dxa"/>
              <w:left w:w="0" w:type="dxa"/>
              <w:bottom w:w="0" w:type="dxa"/>
              <w:right w:w="0" w:type="dxa"/>
            </w:tcMar>
            <w:vAlign w:val="center"/>
          </w:tcPr>
          <w:p w14:paraId="65AF4C0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6506F18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6D65ECA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7550894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5802E51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4EFB01F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27</w:t>
            </w:r>
          </w:p>
        </w:tc>
        <w:tc>
          <w:tcPr>
            <w:tcW w:w="206" w:type="pct"/>
            <w:shd w:val="clear" w:color="auto" w:fill="FFFFFF"/>
            <w:tcMar>
              <w:top w:w="0" w:type="dxa"/>
              <w:left w:w="0" w:type="dxa"/>
              <w:bottom w:w="0" w:type="dxa"/>
              <w:right w:w="0" w:type="dxa"/>
            </w:tcMar>
            <w:vAlign w:val="center"/>
          </w:tcPr>
          <w:p w14:paraId="25DEEA9F">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w:t>
            </w:r>
          </w:p>
        </w:tc>
        <w:tc>
          <w:tcPr>
            <w:tcW w:w="211" w:type="pct"/>
            <w:shd w:val="clear" w:color="auto" w:fill="FFFFFF"/>
            <w:tcMar>
              <w:top w:w="0" w:type="dxa"/>
              <w:left w:w="0" w:type="dxa"/>
              <w:bottom w:w="0" w:type="dxa"/>
              <w:right w:w="0" w:type="dxa"/>
            </w:tcMar>
            <w:vAlign w:val="center"/>
          </w:tcPr>
          <w:p w14:paraId="233649B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1C7CE348">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87</w:t>
            </w:r>
          </w:p>
        </w:tc>
        <w:tc>
          <w:tcPr>
            <w:tcW w:w="169" w:type="pct"/>
            <w:shd w:val="clear" w:color="auto" w:fill="FFFFFF"/>
            <w:tcMar>
              <w:top w:w="0" w:type="dxa"/>
              <w:left w:w="0" w:type="dxa"/>
              <w:bottom w:w="0" w:type="dxa"/>
              <w:right w:w="0" w:type="dxa"/>
            </w:tcMar>
            <w:vAlign w:val="center"/>
          </w:tcPr>
          <w:p w14:paraId="5147B835">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w:t>
            </w:r>
          </w:p>
        </w:tc>
        <w:tc>
          <w:tcPr>
            <w:tcW w:w="169" w:type="pct"/>
            <w:shd w:val="clear" w:color="auto" w:fill="FFFFFF"/>
            <w:tcMar>
              <w:top w:w="0" w:type="dxa"/>
              <w:left w:w="0" w:type="dxa"/>
              <w:bottom w:w="0" w:type="dxa"/>
              <w:right w:w="0" w:type="dxa"/>
            </w:tcMar>
            <w:vAlign w:val="center"/>
          </w:tcPr>
          <w:p w14:paraId="2030429B">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33</w:t>
            </w:r>
          </w:p>
        </w:tc>
        <w:tc>
          <w:tcPr>
            <w:tcW w:w="180" w:type="pct"/>
            <w:shd w:val="clear" w:color="auto" w:fill="FFFFFF"/>
            <w:tcMar>
              <w:top w:w="0" w:type="dxa"/>
              <w:left w:w="0" w:type="dxa"/>
              <w:bottom w:w="0" w:type="dxa"/>
              <w:right w:w="0" w:type="dxa"/>
            </w:tcMar>
            <w:vAlign w:val="center"/>
          </w:tcPr>
          <w:p w14:paraId="0CEB39F2">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w:t>
            </w:r>
          </w:p>
        </w:tc>
        <w:tc>
          <w:tcPr>
            <w:tcW w:w="169" w:type="pct"/>
            <w:shd w:val="clear" w:color="auto" w:fill="FFFFFF"/>
            <w:tcMar>
              <w:top w:w="0" w:type="dxa"/>
              <w:left w:w="0" w:type="dxa"/>
              <w:bottom w:w="0" w:type="dxa"/>
              <w:right w:w="0" w:type="dxa"/>
            </w:tcMar>
            <w:vAlign w:val="center"/>
          </w:tcPr>
          <w:p w14:paraId="4E4A456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69" w:type="pct"/>
            <w:shd w:val="clear" w:color="auto" w:fill="FFFFFF"/>
            <w:tcMar>
              <w:top w:w="0" w:type="dxa"/>
              <w:left w:w="0" w:type="dxa"/>
              <w:bottom w:w="0" w:type="dxa"/>
              <w:right w:w="0" w:type="dxa"/>
            </w:tcMar>
            <w:vAlign w:val="center"/>
          </w:tcPr>
          <w:p w14:paraId="08EFDA9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1</w:t>
            </w:r>
          </w:p>
        </w:tc>
        <w:tc>
          <w:tcPr>
            <w:tcW w:w="169" w:type="pct"/>
            <w:shd w:val="clear" w:color="auto" w:fill="FFFFFF"/>
            <w:tcMar>
              <w:top w:w="0" w:type="dxa"/>
              <w:left w:w="0" w:type="dxa"/>
              <w:bottom w:w="0" w:type="dxa"/>
              <w:right w:w="0" w:type="dxa"/>
            </w:tcMar>
            <w:vAlign w:val="center"/>
          </w:tcPr>
          <w:p w14:paraId="43BE6E9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4</w:t>
            </w:r>
          </w:p>
        </w:tc>
        <w:tc>
          <w:tcPr>
            <w:tcW w:w="174" w:type="pct"/>
            <w:shd w:val="clear" w:color="auto" w:fill="FFFFFF"/>
            <w:tcMar>
              <w:top w:w="0" w:type="dxa"/>
              <w:left w:w="0" w:type="dxa"/>
              <w:bottom w:w="0" w:type="dxa"/>
              <w:right w:w="0" w:type="dxa"/>
            </w:tcMar>
            <w:vAlign w:val="center"/>
          </w:tcPr>
          <w:p w14:paraId="412F10D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2</w:t>
            </w:r>
          </w:p>
        </w:tc>
        <w:tc>
          <w:tcPr>
            <w:tcW w:w="149" w:type="pct"/>
            <w:vMerge w:val="continue"/>
            <w:shd w:val="clear" w:color="auto" w:fill="FFFFFF"/>
            <w:tcMar>
              <w:top w:w="0" w:type="dxa"/>
              <w:left w:w="0" w:type="dxa"/>
              <w:bottom w:w="0" w:type="dxa"/>
              <w:right w:w="0" w:type="dxa"/>
            </w:tcMar>
            <w:vAlign w:val="center"/>
          </w:tcPr>
          <w:p w14:paraId="0E429C5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707361C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6E52053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1D3B8A0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38FDF61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2DD752D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18881A2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3B98872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44</w:t>
            </w:r>
          </w:p>
        </w:tc>
        <w:tc>
          <w:tcPr>
            <w:tcW w:w="493" w:type="dxa"/>
            <w:shd w:val="clear" w:color="auto" w:fill="FFFFFF"/>
            <w:tcMar>
              <w:top w:w="0" w:type="dxa"/>
              <w:left w:w="0" w:type="dxa"/>
              <w:bottom w:w="0" w:type="dxa"/>
              <w:right w:w="0" w:type="dxa"/>
            </w:tcMar>
            <w:vAlign w:val="center"/>
          </w:tcPr>
          <w:p w14:paraId="3FBA493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264" w:type="pct"/>
            <w:shd w:val="clear" w:color="auto" w:fill="FFFFFF"/>
            <w:tcMar>
              <w:top w:w="0" w:type="dxa"/>
              <w:left w:w="0" w:type="dxa"/>
              <w:bottom w:w="0" w:type="dxa"/>
              <w:right w:w="0" w:type="dxa"/>
            </w:tcMar>
            <w:vAlign w:val="center"/>
          </w:tcPr>
          <w:p w14:paraId="4B212549">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r>
      <w:tr w14:paraId="16193B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216B194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bidi="ar-SA"/>
                <w14:textFill>
                  <w14:solidFill>
                    <w14:schemeClr w14:val="tx1"/>
                  </w14:solidFill>
                </w14:textFill>
              </w:rPr>
              <w:t>33</w:t>
            </w:r>
          </w:p>
        </w:tc>
        <w:tc>
          <w:tcPr>
            <w:tcW w:w="182" w:type="pct"/>
            <w:vMerge w:val="continue"/>
            <w:shd w:val="clear" w:color="auto" w:fill="FFFFFF"/>
            <w:tcMar>
              <w:top w:w="0" w:type="dxa"/>
              <w:left w:w="0" w:type="dxa"/>
              <w:bottom w:w="0" w:type="dxa"/>
              <w:right w:w="0" w:type="dxa"/>
            </w:tcMar>
            <w:vAlign w:val="center"/>
          </w:tcPr>
          <w:p w14:paraId="0C1181A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051ABF2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1E827BC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4AAB52E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10005C3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68210817">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p>
        </w:tc>
        <w:tc>
          <w:tcPr>
            <w:tcW w:w="206" w:type="pct"/>
            <w:shd w:val="clear" w:color="auto" w:fill="FFFFFF"/>
            <w:tcMar>
              <w:top w:w="0" w:type="dxa"/>
              <w:left w:w="0" w:type="dxa"/>
              <w:bottom w:w="0" w:type="dxa"/>
              <w:right w:w="0" w:type="dxa"/>
            </w:tcMar>
            <w:vAlign w:val="center"/>
          </w:tcPr>
          <w:p w14:paraId="0304A22F">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c>
          <w:tcPr>
            <w:tcW w:w="211" w:type="pct"/>
            <w:shd w:val="clear" w:color="auto" w:fill="FFFFFF"/>
            <w:tcMar>
              <w:top w:w="0" w:type="dxa"/>
              <w:left w:w="0" w:type="dxa"/>
              <w:bottom w:w="0" w:type="dxa"/>
              <w:right w:w="0" w:type="dxa"/>
            </w:tcMar>
            <w:vAlign w:val="center"/>
          </w:tcPr>
          <w:p w14:paraId="0071164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15597F74">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w:t>
            </w:r>
          </w:p>
        </w:tc>
        <w:tc>
          <w:tcPr>
            <w:tcW w:w="169" w:type="pct"/>
            <w:shd w:val="clear" w:color="auto" w:fill="FFFFFF"/>
            <w:tcMar>
              <w:top w:w="0" w:type="dxa"/>
              <w:left w:w="0" w:type="dxa"/>
              <w:bottom w:w="0" w:type="dxa"/>
              <w:right w:w="0" w:type="dxa"/>
            </w:tcMar>
            <w:vAlign w:val="center"/>
          </w:tcPr>
          <w:p w14:paraId="218BA09D">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56</w:t>
            </w:r>
          </w:p>
        </w:tc>
        <w:tc>
          <w:tcPr>
            <w:tcW w:w="169" w:type="pct"/>
            <w:shd w:val="clear" w:color="auto" w:fill="FFFFFF"/>
            <w:tcMar>
              <w:top w:w="0" w:type="dxa"/>
              <w:left w:w="0" w:type="dxa"/>
              <w:bottom w:w="0" w:type="dxa"/>
              <w:right w:w="0" w:type="dxa"/>
            </w:tcMar>
            <w:vAlign w:val="center"/>
          </w:tcPr>
          <w:p w14:paraId="24154EA6">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58</w:t>
            </w:r>
          </w:p>
        </w:tc>
        <w:tc>
          <w:tcPr>
            <w:tcW w:w="180" w:type="pct"/>
            <w:shd w:val="clear" w:color="auto" w:fill="FFFFFF"/>
            <w:tcMar>
              <w:top w:w="0" w:type="dxa"/>
              <w:left w:w="0" w:type="dxa"/>
              <w:bottom w:w="0" w:type="dxa"/>
              <w:right w:w="0" w:type="dxa"/>
            </w:tcMar>
            <w:vAlign w:val="center"/>
          </w:tcPr>
          <w:p w14:paraId="72EE4443">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54</w:t>
            </w:r>
          </w:p>
        </w:tc>
        <w:tc>
          <w:tcPr>
            <w:tcW w:w="169" w:type="pct"/>
            <w:shd w:val="clear" w:color="auto" w:fill="FFFFFF"/>
            <w:tcMar>
              <w:top w:w="0" w:type="dxa"/>
              <w:left w:w="0" w:type="dxa"/>
              <w:bottom w:w="0" w:type="dxa"/>
              <w:right w:w="0" w:type="dxa"/>
            </w:tcMar>
            <w:vAlign w:val="center"/>
          </w:tcPr>
          <w:p w14:paraId="537BDC2E">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61</w:t>
            </w:r>
          </w:p>
        </w:tc>
        <w:tc>
          <w:tcPr>
            <w:tcW w:w="169" w:type="pct"/>
            <w:shd w:val="clear" w:color="auto" w:fill="FFFFFF"/>
            <w:tcMar>
              <w:top w:w="0" w:type="dxa"/>
              <w:left w:w="0" w:type="dxa"/>
              <w:bottom w:w="0" w:type="dxa"/>
              <w:right w:w="0" w:type="dxa"/>
            </w:tcMar>
            <w:vAlign w:val="center"/>
          </w:tcPr>
          <w:p w14:paraId="4FD3D00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61</w:t>
            </w:r>
          </w:p>
        </w:tc>
        <w:tc>
          <w:tcPr>
            <w:tcW w:w="169" w:type="pct"/>
            <w:shd w:val="clear" w:color="auto" w:fill="FFFFFF"/>
            <w:tcMar>
              <w:top w:w="0" w:type="dxa"/>
              <w:left w:w="0" w:type="dxa"/>
              <w:bottom w:w="0" w:type="dxa"/>
              <w:right w:w="0" w:type="dxa"/>
            </w:tcMar>
            <w:vAlign w:val="center"/>
          </w:tcPr>
          <w:p w14:paraId="6A21965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61</w:t>
            </w:r>
          </w:p>
        </w:tc>
        <w:tc>
          <w:tcPr>
            <w:tcW w:w="174" w:type="pct"/>
            <w:shd w:val="clear" w:color="auto" w:fill="FFFFFF"/>
            <w:tcMar>
              <w:top w:w="0" w:type="dxa"/>
              <w:left w:w="0" w:type="dxa"/>
              <w:bottom w:w="0" w:type="dxa"/>
              <w:right w:w="0" w:type="dxa"/>
            </w:tcMar>
            <w:vAlign w:val="center"/>
          </w:tcPr>
          <w:p w14:paraId="24DDC867">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w:t>
            </w:r>
          </w:p>
        </w:tc>
        <w:tc>
          <w:tcPr>
            <w:tcW w:w="149" w:type="pct"/>
            <w:vMerge w:val="continue"/>
            <w:shd w:val="clear" w:color="auto" w:fill="FFFFFF"/>
            <w:tcMar>
              <w:top w:w="0" w:type="dxa"/>
              <w:left w:w="0" w:type="dxa"/>
              <w:bottom w:w="0" w:type="dxa"/>
              <w:right w:w="0" w:type="dxa"/>
            </w:tcMar>
            <w:vAlign w:val="center"/>
          </w:tcPr>
          <w:p w14:paraId="03EA35D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4DC20FC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9AAC64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6D96FA3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395243A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50C4BA4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588C746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250DD34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44</w:t>
            </w:r>
          </w:p>
        </w:tc>
        <w:tc>
          <w:tcPr>
            <w:tcW w:w="493" w:type="dxa"/>
            <w:shd w:val="clear" w:color="auto" w:fill="FFFFFF"/>
            <w:tcMar>
              <w:top w:w="0" w:type="dxa"/>
              <w:left w:w="0" w:type="dxa"/>
              <w:bottom w:w="0" w:type="dxa"/>
              <w:right w:w="0" w:type="dxa"/>
            </w:tcMar>
            <w:vAlign w:val="center"/>
          </w:tcPr>
          <w:p w14:paraId="42A6BDC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264" w:type="pct"/>
            <w:shd w:val="clear" w:color="auto" w:fill="FFFFFF"/>
            <w:tcMar>
              <w:top w:w="0" w:type="dxa"/>
              <w:left w:w="0" w:type="dxa"/>
              <w:bottom w:w="0" w:type="dxa"/>
              <w:right w:w="0" w:type="dxa"/>
            </w:tcMar>
            <w:vAlign w:val="center"/>
          </w:tcPr>
          <w:p w14:paraId="61A4CD26">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r>
      <w:tr w14:paraId="72CA83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5857DC9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pacing w:val="-2"/>
                <w:sz w:val="21"/>
                <w:szCs w:val="21"/>
                <w:lang w:val="en-US" w:eastAsia="zh-CN" w:bidi="ar-SA"/>
                <w14:textFill>
                  <w14:solidFill>
                    <w14:schemeClr w14:val="tx1"/>
                  </w14:solidFill>
                </w14:textFill>
              </w:rPr>
              <w:t>34</w:t>
            </w:r>
          </w:p>
        </w:tc>
        <w:tc>
          <w:tcPr>
            <w:tcW w:w="182" w:type="pct"/>
            <w:vMerge w:val="continue"/>
            <w:shd w:val="clear" w:color="auto" w:fill="FFFFFF"/>
            <w:tcMar>
              <w:top w:w="0" w:type="dxa"/>
              <w:left w:w="0" w:type="dxa"/>
              <w:bottom w:w="0" w:type="dxa"/>
              <w:right w:w="0" w:type="dxa"/>
            </w:tcMar>
            <w:vAlign w:val="center"/>
          </w:tcPr>
          <w:p w14:paraId="34A761E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108787A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39EE8D4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377C92C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431A1A4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4CA8C0C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p>
        </w:tc>
        <w:tc>
          <w:tcPr>
            <w:tcW w:w="206" w:type="pct"/>
            <w:shd w:val="clear" w:color="auto" w:fill="FFFFFF"/>
            <w:tcMar>
              <w:top w:w="0" w:type="dxa"/>
              <w:left w:w="0" w:type="dxa"/>
              <w:bottom w:w="0" w:type="dxa"/>
              <w:right w:w="0" w:type="dxa"/>
            </w:tcMar>
            <w:vAlign w:val="center"/>
          </w:tcPr>
          <w:p w14:paraId="14C39E86">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p>
        </w:tc>
        <w:tc>
          <w:tcPr>
            <w:tcW w:w="211" w:type="pct"/>
            <w:shd w:val="clear" w:color="auto" w:fill="FFFFFF"/>
            <w:tcMar>
              <w:top w:w="0" w:type="dxa"/>
              <w:left w:w="0" w:type="dxa"/>
              <w:bottom w:w="0" w:type="dxa"/>
              <w:right w:w="0" w:type="dxa"/>
            </w:tcMar>
            <w:vAlign w:val="center"/>
          </w:tcPr>
          <w:p w14:paraId="25A24C2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7014198E">
            <w:pPr>
              <w:spacing w:line="276" w:lineRule="auto"/>
              <w:jc w:val="center"/>
              <w:rPr>
                <w:rFonts w:hint="eastAsia"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w:t>
            </w:r>
          </w:p>
        </w:tc>
        <w:tc>
          <w:tcPr>
            <w:tcW w:w="169" w:type="pct"/>
            <w:shd w:val="clear" w:color="auto" w:fill="FFFFFF"/>
            <w:tcMar>
              <w:top w:w="0" w:type="dxa"/>
              <w:left w:w="0" w:type="dxa"/>
              <w:bottom w:w="0" w:type="dxa"/>
              <w:right w:w="0" w:type="dxa"/>
            </w:tcMar>
            <w:vAlign w:val="center"/>
          </w:tcPr>
          <w:p w14:paraId="698444E7">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58</w:t>
            </w:r>
          </w:p>
        </w:tc>
        <w:tc>
          <w:tcPr>
            <w:tcW w:w="169" w:type="pct"/>
            <w:shd w:val="clear" w:color="auto" w:fill="FFFFFF"/>
            <w:tcMar>
              <w:top w:w="0" w:type="dxa"/>
              <w:left w:w="0" w:type="dxa"/>
              <w:bottom w:w="0" w:type="dxa"/>
              <w:right w:w="0" w:type="dxa"/>
            </w:tcMar>
            <w:vAlign w:val="center"/>
          </w:tcPr>
          <w:p w14:paraId="1D8A5653">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58</w:t>
            </w:r>
          </w:p>
        </w:tc>
        <w:tc>
          <w:tcPr>
            <w:tcW w:w="180" w:type="pct"/>
            <w:shd w:val="clear" w:color="auto" w:fill="FFFFFF"/>
            <w:tcMar>
              <w:top w:w="0" w:type="dxa"/>
              <w:left w:w="0" w:type="dxa"/>
              <w:bottom w:w="0" w:type="dxa"/>
              <w:right w:w="0" w:type="dxa"/>
            </w:tcMar>
            <w:vAlign w:val="center"/>
          </w:tcPr>
          <w:p w14:paraId="5A72C250">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52</w:t>
            </w:r>
          </w:p>
        </w:tc>
        <w:tc>
          <w:tcPr>
            <w:tcW w:w="169" w:type="pct"/>
            <w:shd w:val="clear" w:color="auto" w:fill="FFFFFF"/>
            <w:tcMar>
              <w:top w:w="0" w:type="dxa"/>
              <w:left w:w="0" w:type="dxa"/>
              <w:bottom w:w="0" w:type="dxa"/>
              <w:right w:w="0" w:type="dxa"/>
            </w:tcMar>
            <w:vAlign w:val="center"/>
          </w:tcPr>
          <w:p w14:paraId="2B523FF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61</w:t>
            </w:r>
          </w:p>
        </w:tc>
        <w:tc>
          <w:tcPr>
            <w:tcW w:w="169" w:type="pct"/>
            <w:shd w:val="clear" w:color="auto" w:fill="FFFFFF"/>
            <w:tcMar>
              <w:top w:w="0" w:type="dxa"/>
              <w:left w:w="0" w:type="dxa"/>
              <w:bottom w:w="0" w:type="dxa"/>
              <w:right w:w="0" w:type="dxa"/>
            </w:tcMar>
            <w:vAlign w:val="center"/>
          </w:tcPr>
          <w:p w14:paraId="74D1543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61</w:t>
            </w:r>
          </w:p>
        </w:tc>
        <w:tc>
          <w:tcPr>
            <w:tcW w:w="169" w:type="pct"/>
            <w:shd w:val="clear" w:color="auto" w:fill="FFFFFF"/>
            <w:tcMar>
              <w:top w:w="0" w:type="dxa"/>
              <w:left w:w="0" w:type="dxa"/>
              <w:bottom w:w="0" w:type="dxa"/>
              <w:right w:w="0" w:type="dxa"/>
            </w:tcMar>
            <w:vAlign w:val="center"/>
          </w:tcPr>
          <w:p w14:paraId="58C8D45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61</w:t>
            </w:r>
          </w:p>
        </w:tc>
        <w:tc>
          <w:tcPr>
            <w:tcW w:w="174" w:type="pct"/>
            <w:shd w:val="clear" w:color="auto" w:fill="FFFFFF"/>
            <w:tcMar>
              <w:top w:w="0" w:type="dxa"/>
              <w:left w:w="0" w:type="dxa"/>
              <w:bottom w:w="0" w:type="dxa"/>
              <w:right w:w="0" w:type="dxa"/>
            </w:tcMar>
            <w:vAlign w:val="center"/>
          </w:tcPr>
          <w:p w14:paraId="4655737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w:t>
            </w:r>
          </w:p>
        </w:tc>
        <w:tc>
          <w:tcPr>
            <w:tcW w:w="149" w:type="pct"/>
            <w:vMerge w:val="continue"/>
            <w:shd w:val="clear" w:color="auto" w:fill="FFFFFF"/>
            <w:tcMar>
              <w:top w:w="0" w:type="dxa"/>
              <w:left w:w="0" w:type="dxa"/>
              <w:bottom w:w="0" w:type="dxa"/>
              <w:right w:w="0" w:type="dxa"/>
            </w:tcMar>
            <w:vAlign w:val="center"/>
          </w:tcPr>
          <w:p w14:paraId="7AE1792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511E0F5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2ACEE22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7D3BA9C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2A8EFAD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7DA4201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2B6C4D1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106D900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44</w:t>
            </w:r>
          </w:p>
        </w:tc>
        <w:tc>
          <w:tcPr>
            <w:tcW w:w="493" w:type="dxa"/>
            <w:shd w:val="clear" w:color="auto" w:fill="FFFFFF"/>
            <w:tcMar>
              <w:top w:w="0" w:type="dxa"/>
              <w:left w:w="0" w:type="dxa"/>
              <w:bottom w:w="0" w:type="dxa"/>
              <w:right w:w="0" w:type="dxa"/>
            </w:tcMar>
            <w:vAlign w:val="center"/>
          </w:tcPr>
          <w:p w14:paraId="73D5990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264" w:type="pct"/>
            <w:shd w:val="clear" w:color="auto" w:fill="FFFFFF"/>
            <w:tcMar>
              <w:top w:w="0" w:type="dxa"/>
              <w:left w:w="0" w:type="dxa"/>
              <w:bottom w:w="0" w:type="dxa"/>
              <w:right w:w="0" w:type="dxa"/>
            </w:tcMar>
            <w:vAlign w:val="center"/>
          </w:tcPr>
          <w:p w14:paraId="36F0EE01">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r>
      <w:tr w14:paraId="1DD469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26EB854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35</w:t>
            </w:r>
          </w:p>
        </w:tc>
        <w:tc>
          <w:tcPr>
            <w:tcW w:w="182" w:type="pct"/>
            <w:vMerge w:val="continue"/>
            <w:shd w:val="clear" w:color="auto" w:fill="FFFFFF"/>
            <w:tcMar>
              <w:top w:w="0" w:type="dxa"/>
              <w:left w:w="0" w:type="dxa"/>
              <w:bottom w:w="0" w:type="dxa"/>
              <w:right w:w="0" w:type="dxa"/>
            </w:tcMar>
            <w:vAlign w:val="center"/>
          </w:tcPr>
          <w:p w14:paraId="58690FF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6A855E7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47AE861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46D8987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18F055B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50EC247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p>
        </w:tc>
        <w:tc>
          <w:tcPr>
            <w:tcW w:w="206" w:type="pct"/>
            <w:shd w:val="clear" w:color="auto" w:fill="FFFFFF"/>
            <w:tcMar>
              <w:top w:w="0" w:type="dxa"/>
              <w:left w:w="0" w:type="dxa"/>
              <w:bottom w:w="0" w:type="dxa"/>
              <w:right w:w="0" w:type="dxa"/>
            </w:tcMar>
            <w:vAlign w:val="center"/>
          </w:tcPr>
          <w:p w14:paraId="2E4626E4">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p>
        </w:tc>
        <w:tc>
          <w:tcPr>
            <w:tcW w:w="211" w:type="pct"/>
            <w:shd w:val="clear" w:color="auto" w:fill="FFFFFF"/>
            <w:tcMar>
              <w:top w:w="0" w:type="dxa"/>
              <w:left w:w="0" w:type="dxa"/>
              <w:bottom w:w="0" w:type="dxa"/>
              <w:right w:w="0" w:type="dxa"/>
            </w:tcMar>
            <w:vAlign w:val="center"/>
          </w:tcPr>
          <w:p w14:paraId="6A86B11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3899F7C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w:t>
            </w:r>
          </w:p>
        </w:tc>
        <w:tc>
          <w:tcPr>
            <w:tcW w:w="169" w:type="pct"/>
            <w:shd w:val="clear" w:color="auto" w:fill="FFFFFF"/>
            <w:tcMar>
              <w:top w:w="0" w:type="dxa"/>
              <w:left w:w="0" w:type="dxa"/>
              <w:bottom w:w="0" w:type="dxa"/>
              <w:right w:w="0" w:type="dxa"/>
            </w:tcMar>
            <w:vAlign w:val="center"/>
          </w:tcPr>
          <w:p w14:paraId="3CAFD52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60</w:t>
            </w:r>
          </w:p>
        </w:tc>
        <w:tc>
          <w:tcPr>
            <w:tcW w:w="169" w:type="pct"/>
            <w:shd w:val="clear" w:color="auto" w:fill="FFFFFF"/>
            <w:tcMar>
              <w:top w:w="0" w:type="dxa"/>
              <w:left w:w="0" w:type="dxa"/>
              <w:bottom w:w="0" w:type="dxa"/>
              <w:right w:w="0" w:type="dxa"/>
            </w:tcMar>
            <w:vAlign w:val="center"/>
          </w:tcPr>
          <w:p w14:paraId="1E0B5A8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58</w:t>
            </w:r>
          </w:p>
        </w:tc>
        <w:tc>
          <w:tcPr>
            <w:tcW w:w="180" w:type="pct"/>
            <w:shd w:val="clear" w:color="auto" w:fill="FFFFFF"/>
            <w:tcMar>
              <w:top w:w="0" w:type="dxa"/>
              <w:left w:w="0" w:type="dxa"/>
              <w:bottom w:w="0" w:type="dxa"/>
              <w:right w:w="0" w:type="dxa"/>
            </w:tcMar>
            <w:vAlign w:val="center"/>
          </w:tcPr>
          <w:p w14:paraId="06EB51B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w:t>
            </w:r>
          </w:p>
        </w:tc>
        <w:tc>
          <w:tcPr>
            <w:tcW w:w="169" w:type="pct"/>
            <w:shd w:val="clear" w:color="auto" w:fill="FFFFFF"/>
            <w:tcMar>
              <w:top w:w="0" w:type="dxa"/>
              <w:left w:w="0" w:type="dxa"/>
              <w:bottom w:w="0" w:type="dxa"/>
              <w:right w:w="0" w:type="dxa"/>
            </w:tcMar>
            <w:vAlign w:val="center"/>
          </w:tcPr>
          <w:p w14:paraId="7D8F0A5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61</w:t>
            </w:r>
          </w:p>
        </w:tc>
        <w:tc>
          <w:tcPr>
            <w:tcW w:w="169" w:type="pct"/>
            <w:shd w:val="clear" w:color="auto" w:fill="FFFFFF"/>
            <w:tcMar>
              <w:top w:w="0" w:type="dxa"/>
              <w:left w:w="0" w:type="dxa"/>
              <w:bottom w:w="0" w:type="dxa"/>
              <w:right w:w="0" w:type="dxa"/>
            </w:tcMar>
            <w:vAlign w:val="center"/>
          </w:tcPr>
          <w:p w14:paraId="370369C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61</w:t>
            </w:r>
          </w:p>
        </w:tc>
        <w:tc>
          <w:tcPr>
            <w:tcW w:w="169" w:type="pct"/>
            <w:shd w:val="clear" w:color="auto" w:fill="FFFFFF"/>
            <w:tcMar>
              <w:top w:w="0" w:type="dxa"/>
              <w:left w:w="0" w:type="dxa"/>
              <w:bottom w:w="0" w:type="dxa"/>
              <w:right w:w="0" w:type="dxa"/>
            </w:tcMar>
            <w:vAlign w:val="center"/>
          </w:tcPr>
          <w:p w14:paraId="17F1C5B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61</w:t>
            </w:r>
          </w:p>
        </w:tc>
        <w:tc>
          <w:tcPr>
            <w:tcW w:w="174" w:type="pct"/>
            <w:shd w:val="clear" w:color="auto" w:fill="FFFFFF"/>
            <w:tcMar>
              <w:top w:w="0" w:type="dxa"/>
              <w:left w:w="0" w:type="dxa"/>
              <w:bottom w:w="0" w:type="dxa"/>
              <w:right w:w="0" w:type="dxa"/>
            </w:tcMar>
            <w:vAlign w:val="center"/>
          </w:tcPr>
          <w:p w14:paraId="702B908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w:t>
            </w:r>
          </w:p>
        </w:tc>
        <w:tc>
          <w:tcPr>
            <w:tcW w:w="149" w:type="pct"/>
            <w:vMerge w:val="continue"/>
            <w:shd w:val="clear" w:color="auto" w:fill="FFFFFF"/>
            <w:tcMar>
              <w:top w:w="0" w:type="dxa"/>
              <w:left w:w="0" w:type="dxa"/>
              <w:bottom w:w="0" w:type="dxa"/>
              <w:right w:w="0" w:type="dxa"/>
            </w:tcMar>
            <w:vAlign w:val="center"/>
          </w:tcPr>
          <w:p w14:paraId="6BB7A3A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7F8A133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68C0E90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68C3DF3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7B15FC9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5243F8C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283B396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493" w:type="dxa"/>
            <w:shd w:val="clear" w:color="auto" w:fill="FFFFFF"/>
            <w:tcMar>
              <w:top w:w="0" w:type="dxa"/>
              <w:left w:w="0" w:type="dxa"/>
              <w:bottom w:w="0" w:type="dxa"/>
              <w:right w:w="0" w:type="dxa"/>
            </w:tcMar>
            <w:vAlign w:val="center"/>
          </w:tcPr>
          <w:p w14:paraId="062973A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44</w:t>
            </w:r>
          </w:p>
        </w:tc>
        <w:tc>
          <w:tcPr>
            <w:tcW w:w="493" w:type="dxa"/>
            <w:shd w:val="clear" w:color="auto" w:fill="FFFFFF"/>
            <w:tcMar>
              <w:top w:w="0" w:type="dxa"/>
              <w:left w:w="0" w:type="dxa"/>
              <w:bottom w:w="0" w:type="dxa"/>
              <w:right w:w="0" w:type="dxa"/>
            </w:tcMar>
            <w:vAlign w:val="center"/>
          </w:tcPr>
          <w:p w14:paraId="3D454A3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264" w:type="pct"/>
            <w:shd w:val="clear" w:color="auto" w:fill="FFFFFF"/>
            <w:tcMar>
              <w:top w:w="0" w:type="dxa"/>
              <w:left w:w="0" w:type="dxa"/>
              <w:bottom w:w="0" w:type="dxa"/>
              <w:right w:w="0" w:type="dxa"/>
            </w:tcMar>
            <w:vAlign w:val="center"/>
          </w:tcPr>
          <w:p w14:paraId="6F2436B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21785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1546E18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36</w:t>
            </w:r>
          </w:p>
        </w:tc>
        <w:tc>
          <w:tcPr>
            <w:tcW w:w="182" w:type="pct"/>
            <w:vMerge w:val="continue"/>
            <w:shd w:val="clear" w:color="auto" w:fill="FFFFFF"/>
            <w:tcMar>
              <w:top w:w="0" w:type="dxa"/>
              <w:left w:w="0" w:type="dxa"/>
              <w:bottom w:w="0" w:type="dxa"/>
              <w:right w:w="0" w:type="dxa"/>
            </w:tcMar>
            <w:vAlign w:val="center"/>
          </w:tcPr>
          <w:p w14:paraId="6B81668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366CC29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27B2122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30C05D2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w:t>
            </w:r>
          </w:p>
        </w:tc>
        <w:tc>
          <w:tcPr>
            <w:tcW w:w="185" w:type="pct"/>
            <w:vMerge w:val="continue"/>
            <w:shd w:val="clear" w:color="auto" w:fill="FFFFFF"/>
            <w:tcMar>
              <w:top w:w="0" w:type="dxa"/>
              <w:left w:w="0" w:type="dxa"/>
              <w:bottom w:w="0" w:type="dxa"/>
              <w:right w:w="0" w:type="dxa"/>
            </w:tcMar>
            <w:vAlign w:val="center"/>
          </w:tcPr>
          <w:p w14:paraId="557A54A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58C6B76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p>
        </w:tc>
        <w:tc>
          <w:tcPr>
            <w:tcW w:w="206" w:type="pct"/>
            <w:shd w:val="clear" w:color="auto" w:fill="FFFFFF"/>
            <w:tcMar>
              <w:top w:w="0" w:type="dxa"/>
              <w:left w:w="0" w:type="dxa"/>
              <w:bottom w:w="0" w:type="dxa"/>
              <w:right w:w="0" w:type="dxa"/>
            </w:tcMar>
            <w:vAlign w:val="center"/>
          </w:tcPr>
          <w:p w14:paraId="1179123D">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w:t>
            </w:r>
          </w:p>
        </w:tc>
        <w:tc>
          <w:tcPr>
            <w:tcW w:w="211" w:type="pct"/>
            <w:shd w:val="clear" w:color="auto" w:fill="FFFFFF"/>
            <w:tcMar>
              <w:top w:w="0" w:type="dxa"/>
              <w:left w:w="0" w:type="dxa"/>
              <w:bottom w:w="0" w:type="dxa"/>
              <w:right w:w="0" w:type="dxa"/>
            </w:tcMar>
            <w:vAlign w:val="center"/>
          </w:tcPr>
          <w:p w14:paraId="5B3F433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169" w:type="pct"/>
            <w:shd w:val="clear" w:color="auto" w:fill="FFFFFF"/>
            <w:tcMar>
              <w:top w:w="0" w:type="dxa"/>
              <w:left w:w="0" w:type="dxa"/>
              <w:bottom w:w="0" w:type="dxa"/>
              <w:right w:w="0" w:type="dxa"/>
            </w:tcMar>
            <w:vAlign w:val="center"/>
          </w:tcPr>
          <w:p w14:paraId="6FDA77D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w:t>
            </w:r>
          </w:p>
        </w:tc>
        <w:tc>
          <w:tcPr>
            <w:tcW w:w="169" w:type="pct"/>
            <w:shd w:val="clear" w:color="auto" w:fill="FFFFFF"/>
            <w:tcMar>
              <w:top w:w="0" w:type="dxa"/>
              <w:left w:w="0" w:type="dxa"/>
              <w:bottom w:w="0" w:type="dxa"/>
              <w:right w:w="0" w:type="dxa"/>
            </w:tcMar>
            <w:vAlign w:val="center"/>
          </w:tcPr>
          <w:p w14:paraId="3A5D963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w:t>
            </w:r>
          </w:p>
        </w:tc>
        <w:tc>
          <w:tcPr>
            <w:tcW w:w="169" w:type="pct"/>
            <w:shd w:val="clear" w:color="auto" w:fill="FFFFFF"/>
            <w:tcMar>
              <w:top w:w="0" w:type="dxa"/>
              <w:left w:w="0" w:type="dxa"/>
              <w:bottom w:w="0" w:type="dxa"/>
              <w:right w:w="0" w:type="dxa"/>
            </w:tcMar>
            <w:vAlign w:val="center"/>
          </w:tcPr>
          <w:p w14:paraId="09840B8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58</w:t>
            </w:r>
          </w:p>
        </w:tc>
        <w:tc>
          <w:tcPr>
            <w:tcW w:w="180" w:type="pct"/>
            <w:shd w:val="clear" w:color="auto" w:fill="FFFFFF"/>
            <w:tcMar>
              <w:top w:w="0" w:type="dxa"/>
              <w:left w:w="0" w:type="dxa"/>
              <w:bottom w:w="0" w:type="dxa"/>
              <w:right w:w="0" w:type="dxa"/>
            </w:tcMar>
            <w:vAlign w:val="center"/>
          </w:tcPr>
          <w:p w14:paraId="56FB07EF">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w:t>
            </w:r>
          </w:p>
        </w:tc>
        <w:tc>
          <w:tcPr>
            <w:tcW w:w="169" w:type="pct"/>
            <w:shd w:val="clear" w:color="auto" w:fill="FFFFFF"/>
            <w:tcMar>
              <w:top w:w="0" w:type="dxa"/>
              <w:left w:w="0" w:type="dxa"/>
              <w:bottom w:w="0" w:type="dxa"/>
              <w:right w:w="0" w:type="dxa"/>
            </w:tcMar>
            <w:vAlign w:val="center"/>
          </w:tcPr>
          <w:p w14:paraId="0FE19668">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61</w:t>
            </w:r>
          </w:p>
        </w:tc>
        <w:tc>
          <w:tcPr>
            <w:tcW w:w="169" w:type="pct"/>
            <w:shd w:val="clear" w:color="auto" w:fill="FFFFFF"/>
            <w:tcMar>
              <w:top w:w="0" w:type="dxa"/>
              <w:left w:w="0" w:type="dxa"/>
              <w:bottom w:w="0" w:type="dxa"/>
              <w:right w:w="0" w:type="dxa"/>
            </w:tcMar>
            <w:vAlign w:val="center"/>
          </w:tcPr>
          <w:p w14:paraId="78172B8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61</w:t>
            </w:r>
          </w:p>
        </w:tc>
        <w:tc>
          <w:tcPr>
            <w:tcW w:w="169" w:type="pct"/>
            <w:shd w:val="clear" w:color="auto" w:fill="FFFFFF"/>
            <w:tcMar>
              <w:top w:w="0" w:type="dxa"/>
              <w:left w:w="0" w:type="dxa"/>
              <w:bottom w:w="0" w:type="dxa"/>
              <w:right w:w="0" w:type="dxa"/>
            </w:tcMar>
            <w:vAlign w:val="center"/>
          </w:tcPr>
          <w:p w14:paraId="41380CB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61</w:t>
            </w:r>
          </w:p>
        </w:tc>
        <w:tc>
          <w:tcPr>
            <w:tcW w:w="174" w:type="pct"/>
            <w:shd w:val="clear" w:color="auto" w:fill="FFFFFF"/>
            <w:tcMar>
              <w:top w:w="0" w:type="dxa"/>
              <w:left w:w="0" w:type="dxa"/>
              <w:bottom w:w="0" w:type="dxa"/>
              <w:right w:w="0" w:type="dxa"/>
            </w:tcMar>
            <w:vAlign w:val="center"/>
          </w:tcPr>
          <w:p w14:paraId="54A2AB0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w:t>
            </w:r>
          </w:p>
        </w:tc>
        <w:tc>
          <w:tcPr>
            <w:tcW w:w="149" w:type="pct"/>
            <w:vMerge w:val="continue"/>
            <w:shd w:val="clear" w:color="auto" w:fill="FFFFFF"/>
            <w:tcMar>
              <w:top w:w="0" w:type="dxa"/>
              <w:left w:w="0" w:type="dxa"/>
              <w:bottom w:w="0" w:type="dxa"/>
              <w:right w:w="0" w:type="dxa"/>
            </w:tcMar>
            <w:vAlign w:val="center"/>
          </w:tcPr>
          <w:p w14:paraId="2ECDB09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053A323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1B60A54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09A929E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79131A6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42C01A2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174" w:type="pct"/>
            <w:shd w:val="clear" w:color="auto" w:fill="FFFFFF"/>
            <w:tcMar>
              <w:top w:w="0" w:type="dxa"/>
              <w:left w:w="0" w:type="dxa"/>
              <w:bottom w:w="0" w:type="dxa"/>
              <w:right w:w="0" w:type="dxa"/>
            </w:tcMar>
            <w:vAlign w:val="center"/>
          </w:tcPr>
          <w:p w14:paraId="7100C55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174" w:type="pct"/>
            <w:shd w:val="clear" w:color="auto" w:fill="FFFFFF"/>
            <w:tcMar>
              <w:top w:w="0" w:type="dxa"/>
              <w:left w:w="0" w:type="dxa"/>
              <w:bottom w:w="0" w:type="dxa"/>
              <w:right w:w="0" w:type="dxa"/>
            </w:tcMar>
            <w:vAlign w:val="center"/>
          </w:tcPr>
          <w:p w14:paraId="439099B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174" w:type="pct"/>
            <w:shd w:val="clear" w:color="auto" w:fill="FFFFFF"/>
            <w:tcMar>
              <w:top w:w="0" w:type="dxa"/>
              <w:left w:w="0" w:type="dxa"/>
              <w:bottom w:w="0" w:type="dxa"/>
              <w:right w:w="0" w:type="dxa"/>
            </w:tcMar>
            <w:vAlign w:val="center"/>
          </w:tcPr>
          <w:p w14:paraId="08D80E5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264" w:type="pct"/>
            <w:shd w:val="clear" w:color="auto" w:fill="FFFFFF"/>
            <w:tcMar>
              <w:top w:w="0" w:type="dxa"/>
              <w:left w:w="0" w:type="dxa"/>
              <w:bottom w:w="0" w:type="dxa"/>
              <w:right w:w="0" w:type="dxa"/>
            </w:tcMar>
            <w:vAlign w:val="center"/>
          </w:tcPr>
          <w:p w14:paraId="4924D834">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0208D4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7D17EAAC">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37</w:t>
            </w:r>
          </w:p>
        </w:tc>
        <w:tc>
          <w:tcPr>
            <w:tcW w:w="182" w:type="pct"/>
            <w:vMerge w:val="continue"/>
            <w:shd w:val="clear" w:color="auto" w:fill="FFFFFF"/>
            <w:tcMar>
              <w:top w:w="0" w:type="dxa"/>
              <w:left w:w="0" w:type="dxa"/>
              <w:bottom w:w="0" w:type="dxa"/>
              <w:right w:w="0" w:type="dxa"/>
            </w:tcMar>
            <w:vAlign w:val="center"/>
          </w:tcPr>
          <w:p w14:paraId="7FD5ABE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restart"/>
            <w:shd w:val="clear" w:color="auto" w:fill="FFFFFF"/>
            <w:tcMar>
              <w:top w:w="0" w:type="dxa"/>
              <w:left w:w="0" w:type="dxa"/>
              <w:bottom w:w="0" w:type="dxa"/>
              <w:right w:w="0" w:type="dxa"/>
            </w:tcMar>
            <w:vAlign w:val="center"/>
          </w:tcPr>
          <w:p w14:paraId="2B634657">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脱水机</w:t>
            </w:r>
          </w:p>
        </w:tc>
        <w:tc>
          <w:tcPr>
            <w:tcW w:w="330" w:type="pct"/>
            <w:shd w:val="clear" w:color="auto" w:fill="FFFFFF"/>
            <w:tcMar>
              <w:top w:w="0" w:type="dxa"/>
              <w:left w:w="0" w:type="dxa"/>
              <w:bottom w:w="0" w:type="dxa"/>
              <w:right w:w="0" w:type="dxa"/>
            </w:tcMar>
            <w:vAlign w:val="center"/>
          </w:tcPr>
          <w:p w14:paraId="51BE5461">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800型</w:t>
            </w:r>
          </w:p>
        </w:tc>
        <w:tc>
          <w:tcPr>
            <w:tcW w:w="218" w:type="pct"/>
            <w:shd w:val="clear" w:color="auto" w:fill="FFFFFF"/>
            <w:tcMar>
              <w:top w:w="0" w:type="dxa"/>
              <w:left w:w="0" w:type="dxa"/>
              <w:bottom w:w="0" w:type="dxa"/>
              <w:right w:w="0" w:type="dxa"/>
            </w:tcMar>
            <w:vAlign w:val="center"/>
          </w:tcPr>
          <w:p w14:paraId="7CDD2D6C">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185" w:type="pct"/>
            <w:vMerge w:val="continue"/>
            <w:shd w:val="clear" w:color="auto" w:fill="FFFFFF"/>
            <w:tcMar>
              <w:top w:w="0" w:type="dxa"/>
              <w:left w:w="0" w:type="dxa"/>
              <w:bottom w:w="0" w:type="dxa"/>
              <w:right w:w="0" w:type="dxa"/>
            </w:tcMar>
            <w:vAlign w:val="center"/>
          </w:tcPr>
          <w:p w14:paraId="3DB377A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369AF04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30</w:t>
            </w:r>
          </w:p>
        </w:tc>
        <w:tc>
          <w:tcPr>
            <w:tcW w:w="206" w:type="pct"/>
            <w:shd w:val="clear" w:color="auto" w:fill="FFFFFF"/>
            <w:tcMar>
              <w:top w:w="0" w:type="dxa"/>
              <w:left w:w="0" w:type="dxa"/>
              <w:bottom w:w="0" w:type="dxa"/>
              <w:right w:w="0" w:type="dxa"/>
            </w:tcMar>
            <w:vAlign w:val="center"/>
          </w:tcPr>
          <w:p w14:paraId="4674E483">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p>
        </w:tc>
        <w:tc>
          <w:tcPr>
            <w:tcW w:w="211" w:type="pct"/>
            <w:shd w:val="clear" w:color="auto" w:fill="FFFFFF"/>
            <w:tcMar>
              <w:top w:w="0" w:type="dxa"/>
              <w:left w:w="0" w:type="dxa"/>
              <w:bottom w:w="0" w:type="dxa"/>
              <w:right w:w="0" w:type="dxa"/>
            </w:tcMar>
            <w:vAlign w:val="center"/>
          </w:tcPr>
          <w:p w14:paraId="5388C933">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8</w:t>
            </w:r>
          </w:p>
        </w:tc>
        <w:tc>
          <w:tcPr>
            <w:tcW w:w="169" w:type="pct"/>
            <w:shd w:val="clear" w:color="auto" w:fill="FFFFFF"/>
            <w:tcMar>
              <w:top w:w="0" w:type="dxa"/>
              <w:left w:w="0" w:type="dxa"/>
              <w:bottom w:w="0" w:type="dxa"/>
              <w:right w:w="0" w:type="dxa"/>
            </w:tcMar>
            <w:vAlign w:val="center"/>
          </w:tcPr>
          <w:p w14:paraId="6477CF8B">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90</w:t>
            </w:r>
          </w:p>
        </w:tc>
        <w:tc>
          <w:tcPr>
            <w:tcW w:w="169" w:type="pct"/>
            <w:shd w:val="clear" w:color="auto" w:fill="FFFFFF"/>
            <w:tcMar>
              <w:top w:w="0" w:type="dxa"/>
              <w:left w:w="0" w:type="dxa"/>
              <w:bottom w:w="0" w:type="dxa"/>
              <w:right w:w="0" w:type="dxa"/>
            </w:tcMar>
            <w:vAlign w:val="center"/>
          </w:tcPr>
          <w:p w14:paraId="0CB6F8C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51</w:t>
            </w:r>
          </w:p>
        </w:tc>
        <w:tc>
          <w:tcPr>
            <w:tcW w:w="169" w:type="pct"/>
            <w:shd w:val="clear" w:color="auto" w:fill="FFFFFF"/>
            <w:tcMar>
              <w:top w:w="0" w:type="dxa"/>
              <w:left w:w="0" w:type="dxa"/>
              <w:bottom w:w="0" w:type="dxa"/>
              <w:right w:w="0" w:type="dxa"/>
            </w:tcMar>
            <w:vAlign w:val="center"/>
          </w:tcPr>
          <w:p w14:paraId="1253DFD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30</w:t>
            </w:r>
          </w:p>
        </w:tc>
        <w:tc>
          <w:tcPr>
            <w:tcW w:w="180" w:type="pct"/>
            <w:shd w:val="clear" w:color="auto" w:fill="FFFFFF"/>
            <w:tcMar>
              <w:top w:w="0" w:type="dxa"/>
              <w:left w:w="0" w:type="dxa"/>
              <w:bottom w:w="0" w:type="dxa"/>
              <w:right w:w="0" w:type="dxa"/>
            </w:tcMar>
            <w:vAlign w:val="center"/>
          </w:tcPr>
          <w:p w14:paraId="32620DC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59</w:t>
            </w:r>
          </w:p>
        </w:tc>
        <w:tc>
          <w:tcPr>
            <w:tcW w:w="169" w:type="pct"/>
            <w:shd w:val="clear" w:color="auto" w:fill="FFFFFF"/>
            <w:tcMar>
              <w:top w:w="0" w:type="dxa"/>
              <w:left w:w="0" w:type="dxa"/>
              <w:bottom w:w="0" w:type="dxa"/>
              <w:right w:w="0" w:type="dxa"/>
            </w:tcMar>
            <w:vAlign w:val="center"/>
          </w:tcPr>
          <w:p w14:paraId="6925B06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66</w:t>
            </w:r>
          </w:p>
        </w:tc>
        <w:tc>
          <w:tcPr>
            <w:tcW w:w="169" w:type="pct"/>
            <w:shd w:val="clear" w:color="auto" w:fill="FFFFFF"/>
            <w:tcMar>
              <w:top w:w="0" w:type="dxa"/>
              <w:left w:w="0" w:type="dxa"/>
              <w:bottom w:w="0" w:type="dxa"/>
              <w:right w:w="0" w:type="dxa"/>
            </w:tcMar>
            <w:vAlign w:val="center"/>
          </w:tcPr>
          <w:p w14:paraId="605BC601">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8</w:t>
            </w:r>
          </w:p>
        </w:tc>
        <w:tc>
          <w:tcPr>
            <w:tcW w:w="169" w:type="pct"/>
            <w:shd w:val="clear" w:color="auto" w:fill="FFFFFF"/>
            <w:tcMar>
              <w:top w:w="0" w:type="dxa"/>
              <w:left w:w="0" w:type="dxa"/>
              <w:bottom w:w="0" w:type="dxa"/>
              <w:right w:w="0" w:type="dxa"/>
            </w:tcMar>
            <w:vAlign w:val="center"/>
          </w:tcPr>
          <w:p w14:paraId="1B87B964">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9</w:t>
            </w:r>
          </w:p>
        </w:tc>
        <w:tc>
          <w:tcPr>
            <w:tcW w:w="174" w:type="pct"/>
            <w:shd w:val="clear" w:color="auto" w:fill="FFFFFF"/>
            <w:tcMar>
              <w:top w:w="0" w:type="dxa"/>
              <w:left w:w="0" w:type="dxa"/>
              <w:bottom w:w="0" w:type="dxa"/>
              <w:right w:w="0" w:type="dxa"/>
            </w:tcMar>
            <w:vAlign w:val="center"/>
          </w:tcPr>
          <w:p w14:paraId="77245113">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8</w:t>
            </w:r>
          </w:p>
        </w:tc>
        <w:tc>
          <w:tcPr>
            <w:tcW w:w="149" w:type="pct"/>
            <w:vMerge w:val="continue"/>
            <w:shd w:val="clear" w:color="auto" w:fill="FFFFFF"/>
            <w:tcMar>
              <w:top w:w="0" w:type="dxa"/>
              <w:left w:w="0" w:type="dxa"/>
              <w:bottom w:w="0" w:type="dxa"/>
              <w:right w:w="0" w:type="dxa"/>
            </w:tcMar>
            <w:vAlign w:val="center"/>
          </w:tcPr>
          <w:p w14:paraId="5F95952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6431C8F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CF9A7FA">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A3C5CB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372A2B8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2A9E015A">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73457ABB">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8</w:t>
            </w:r>
          </w:p>
        </w:tc>
        <w:tc>
          <w:tcPr>
            <w:tcW w:w="174" w:type="pct"/>
            <w:shd w:val="clear" w:color="auto" w:fill="FFFFFF"/>
            <w:tcMar>
              <w:top w:w="0" w:type="dxa"/>
              <w:left w:w="0" w:type="dxa"/>
              <w:bottom w:w="0" w:type="dxa"/>
              <w:right w:w="0" w:type="dxa"/>
            </w:tcMar>
            <w:vAlign w:val="center"/>
          </w:tcPr>
          <w:p w14:paraId="08336211">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9</w:t>
            </w:r>
          </w:p>
        </w:tc>
        <w:tc>
          <w:tcPr>
            <w:tcW w:w="174" w:type="pct"/>
            <w:shd w:val="clear" w:color="auto" w:fill="FFFFFF"/>
            <w:tcMar>
              <w:top w:w="0" w:type="dxa"/>
              <w:left w:w="0" w:type="dxa"/>
              <w:bottom w:w="0" w:type="dxa"/>
              <w:right w:w="0" w:type="dxa"/>
            </w:tcMar>
            <w:vAlign w:val="center"/>
          </w:tcPr>
          <w:p w14:paraId="245AC8BC">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8</w:t>
            </w:r>
          </w:p>
        </w:tc>
        <w:tc>
          <w:tcPr>
            <w:tcW w:w="264" w:type="pct"/>
            <w:shd w:val="clear" w:color="auto" w:fill="FFFFFF"/>
            <w:tcMar>
              <w:top w:w="0" w:type="dxa"/>
              <w:left w:w="0" w:type="dxa"/>
              <w:bottom w:w="0" w:type="dxa"/>
              <w:right w:w="0" w:type="dxa"/>
            </w:tcMar>
            <w:vAlign w:val="center"/>
          </w:tcPr>
          <w:p w14:paraId="1E30180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26EBC2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2822700D">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38</w:t>
            </w:r>
          </w:p>
        </w:tc>
        <w:tc>
          <w:tcPr>
            <w:tcW w:w="182" w:type="pct"/>
            <w:vMerge w:val="continue"/>
            <w:shd w:val="clear" w:color="auto" w:fill="FFFFFF"/>
            <w:tcMar>
              <w:top w:w="0" w:type="dxa"/>
              <w:left w:w="0" w:type="dxa"/>
              <w:bottom w:w="0" w:type="dxa"/>
              <w:right w:w="0" w:type="dxa"/>
            </w:tcMar>
            <w:vAlign w:val="center"/>
          </w:tcPr>
          <w:p w14:paraId="2049842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6FFE8A3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restart"/>
            <w:shd w:val="clear" w:color="auto" w:fill="FFFFFF"/>
            <w:tcMar>
              <w:top w:w="0" w:type="dxa"/>
              <w:left w:w="0" w:type="dxa"/>
              <w:bottom w:w="0" w:type="dxa"/>
              <w:right w:w="0" w:type="dxa"/>
            </w:tcMar>
            <w:vAlign w:val="center"/>
          </w:tcPr>
          <w:p w14:paraId="1395558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600型</w:t>
            </w:r>
          </w:p>
        </w:tc>
        <w:tc>
          <w:tcPr>
            <w:tcW w:w="218" w:type="pct"/>
            <w:shd w:val="clear" w:color="auto" w:fill="FFFFFF"/>
            <w:tcMar>
              <w:top w:w="0" w:type="dxa"/>
              <w:left w:w="0" w:type="dxa"/>
              <w:bottom w:w="0" w:type="dxa"/>
              <w:right w:w="0" w:type="dxa"/>
            </w:tcMar>
            <w:vAlign w:val="center"/>
          </w:tcPr>
          <w:p w14:paraId="04C366A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85</w:t>
            </w:r>
          </w:p>
        </w:tc>
        <w:tc>
          <w:tcPr>
            <w:tcW w:w="185" w:type="pct"/>
            <w:vMerge w:val="continue"/>
            <w:shd w:val="clear" w:color="auto" w:fill="FFFFFF"/>
            <w:tcMar>
              <w:top w:w="0" w:type="dxa"/>
              <w:left w:w="0" w:type="dxa"/>
              <w:bottom w:w="0" w:type="dxa"/>
              <w:right w:w="0" w:type="dxa"/>
            </w:tcMar>
            <w:vAlign w:val="center"/>
          </w:tcPr>
          <w:p w14:paraId="3FAE8D5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7B3A919E">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30</w:t>
            </w:r>
          </w:p>
        </w:tc>
        <w:tc>
          <w:tcPr>
            <w:tcW w:w="206" w:type="pct"/>
            <w:shd w:val="clear" w:color="auto" w:fill="FFFFFF"/>
            <w:tcMar>
              <w:top w:w="0" w:type="dxa"/>
              <w:left w:w="0" w:type="dxa"/>
              <w:bottom w:w="0" w:type="dxa"/>
              <w:right w:w="0" w:type="dxa"/>
            </w:tcMar>
            <w:vAlign w:val="center"/>
          </w:tcPr>
          <w:p w14:paraId="0931944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w:t>
            </w:r>
          </w:p>
        </w:tc>
        <w:tc>
          <w:tcPr>
            <w:tcW w:w="211" w:type="pct"/>
            <w:shd w:val="clear" w:color="auto" w:fill="FFFFFF"/>
            <w:tcMar>
              <w:top w:w="0" w:type="dxa"/>
              <w:left w:w="0" w:type="dxa"/>
              <w:bottom w:w="0" w:type="dxa"/>
              <w:right w:w="0" w:type="dxa"/>
            </w:tcMar>
            <w:vAlign w:val="center"/>
          </w:tcPr>
          <w:p w14:paraId="0E8DE7B1">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5</w:t>
            </w:r>
          </w:p>
        </w:tc>
        <w:tc>
          <w:tcPr>
            <w:tcW w:w="169" w:type="pct"/>
            <w:shd w:val="clear" w:color="auto" w:fill="FFFFFF"/>
            <w:tcMar>
              <w:top w:w="0" w:type="dxa"/>
              <w:left w:w="0" w:type="dxa"/>
              <w:bottom w:w="0" w:type="dxa"/>
              <w:right w:w="0" w:type="dxa"/>
            </w:tcMar>
            <w:vAlign w:val="center"/>
          </w:tcPr>
          <w:p w14:paraId="5EE27C8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90</w:t>
            </w:r>
          </w:p>
        </w:tc>
        <w:tc>
          <w:tcPr>
            <w:tcW w:w="169" w:type="pct"/>
            <w:shd w:val="clear" w:color="auto" w:fill="FFFFFF"/>
            <w:tcMar>
              <w:top w:w="0" w:type="dxa"/>
              <w:left w:w="0" w:type="dxa"/>
              <w:bottom w:w="0" w:type="dxa"/>
              <w:right w:w="0" w:type="dxa"/>
            </w:tcMar>
            <w:vAlign w:val="center"/>
          </w:tcPr>
          <w:p w14:paraId="298C5AB9">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75</w:t>
            </w:r>
          </w:p>
        </w:tc>
        <w:tc>
          <w:tcPr>
            <w:tcW w:w="169" w:type="pct"/>
            <w:shd w:val="clear" w:color="auto" w:fill="FFFFFF"/>
            <w:tcMar>
              <w:top w:w="0" w:type="dxa"/>
              <w:left w:w="0" w:type="dxa"/>
              <w:bottom w:w="0" w:type="dxa"/>
              <w:right w:w="0" w:type="dxa"/>
            </w:tcMar>
            <w:vAlign w:val="center"/>
          </w:tcPr>
          <w:p w14:paraId="47C67BD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30</w:t>
            </w:r>
          </w:p>
        </w:tc>
        <w:tc>
          <w:tcPr>
            <w:tcW w:w="180" w:type="pct"/>
            <w:shd w:val="clear" w:color="auto" w:fill="FFFFFF"/>
            <w:tcMar>
              <w:top w:w="0" w:type="dxa"/>
              <w:left w:w="0" w:type="dxa"/>
              <w:bottom w:w="0" w:type="dxa"/>
              <w:right w:w="0" w:type="dxa"/>
            </w:tcMar>
            <w:vAlign w:val="center"/>
          </w:tcPr>
          <w:p w14:paraId="7D28DED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35</w:t>
            </w:r>
          </w:p>
        </w:tc>
        <w:tc>
          <w:tcPr>
            <w:tcW w:w="169" w:type="pct"/>
            <w:shd w:val="clear" w:color="auto" w:fill="FFFFFF"/>
            <w:tcMar>
              <w:top w:w="0" w:type="dxa"/>
              <w:left w:w="0" w:type="dxa"/>
              <w:bottom w:w="0" w:type="dxa"/>
              <w:right w:w="0" w:type="dxa"/>
            </w:tcMar>
            <w:vAlign w:val="center"/>
          </w:tcPr>
          <w:p w14:paraId="019E252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66</w:t>
            </w:r>
          </w:p>
        </w:tc>
        <w:tc>
          <w:tcPr>
            <w:tcW w:w="169" w:type="pct"/>
            <w:shd w:val="clear" w:color="auto" w:fill="FFFFFF"/>
            <w:tcMar>
              <w:top w:w="0" w:type="dxa"/>
              <w:left w:w="0" w:type="dxa"/>
              <w:bottom w:w="0" w:type="dxa"/>
              <w:right w:w="0" w:type="dxa"/>
            </w:tcMar>
            <w:vAlign w:val="center"/>
          </w:tcPr>
          <w:p w14:paraId="40978065">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7</w:t>
            </w:r>
          </w:p>
        </w:tc>
        <w:tc>
          <w:tcPr>
            <w:tcW w:w="169" w:type="pct"/>
            <w:shd w:val="clear" w:color="auto" w:fill="FFFFFF"/>
            <w:tcMar>
              <w:top w:w="0" w:type="dxa"/>
              <w:left w:w="0" w:type="dxa"/>
              <w:bottom w:w="0" w:type="dxa"/>
              <w:right w:w="0" w:type="dxa"/>
            </w:tcMar>
            <w:vAlign w:val="center"/>
          </w:tcPr>
          <w:p w14:paraId="12BA28C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9</w:t>
            </w:r>
          </w:p>
        </w:tc>
        <w:tc>
          <w:tcPr>
            <w:tcW w:w="174" w:type="pct"/>
            <w:shd w:val="clear" w:color="auto" w:fill="FFFFFF"/>
            <w:tcMar>
              <w:top w:w="0" w:type="dxa"/>
              <w:left w:w="0" w:type="dxa"/>
              <w:bottom w:w="0" w:type="dxa"/>
              <w:right w:w="0" w:type="dxa"/>
            </w:tcMar>
            <w:vAlign w:val="center"/>
          </w:tcPr>
          <w:p w14:paraId="77A009EF">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9</w:t>
            </w:r>
          </w:p>
        </w:tc>
        <w:tc>
          <w:tcPr>
            <w:tcW w:w="149" w:type="pct"/>
            <w:vMerge w:val="continue"/>
            <w:shd w:val="clear" w:color="auto" w:fill="FFFFFF"/>
            <w:tcMar>
              <w:top w:w="0" w:type="dxa"/>
              <w:left w:w="0" w:type="dxa"/>
              <w:bottom w:w="0" w:type="dxa"/>
              <w:right w:w="0" w:type="dxa"/>
            </w:tcMar>
            <w:vAlign w:val="center"/>
          </w:tcPr>
          <w:p w14:paraId="77A1BB7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2652944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11C83EE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532F52F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01C269D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1186007E">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60092848">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7</w:t>
            </w:r>
          </w:p>
        </w:tc>
        <w:tc>
          <w:tcPr>
            <w:tcW w:w="174" w:type="pct"/>
            <w:shd w:val="clear" w:color="auto" w:fill="FFFFFF"/>
            <w:tcMar>
              <w:top w:w="0" w:type="dxa"/>
              <w:left w:w="0" w:type="dxa"/>
              <w:bottom w:w="0" w:type="dxa"/>
              <w:right w:w="0" w:type="dxa"/>
            </w:tcMar>
            <w:vAlign w:val="center"/>
          </w:tcPr>
          <w:p w14:paraId="6262B5AE">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9</w:t>
            </w:r>
          </w:p>
        </w:tc>
        <w:tc>
          <w:tcPr>
            <w:tcW w:w="174" w:type="pct"/>
            <w:shd w:val="clear" w:color="auto" w:fill="FFFFFF"/>
            <w:tcMar>
              <w:top w:w="0" w:type="dxa"/>
              <w:left w:w="0" w:type="dxa"/>
              <w:bottom w:w="0" w:type="dxa"/>
              <w:right w:w="0" w:type="dxa"/>
            </w:tcMar>
            <w:vAlign w:val="center"/>
          </w:tcPr>
          <w:p w14:paraId="3FF70C5A">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9</w:t>
            </w:r>
          </w:p>
        </w:tc>
        <w:tc>
          <w:tcPr>
            <w:tcW w:w="264" w:type="pct"/>
            <w:shd w:val="clear" w:color="auto" w:fill="FFFFFF"/>
            <w:tcMar>
              <w:top w:w="0" w:type="dxa"/>
              <w:left w:w="0" w:type="dxa"/>
              <w:bottom w:w="0" w:type="dxa"/>
              <w:right w:w="0" w:type="dxa"/>
            </w:tcMar>
            <w:vAlign w:val="center"/>
          </w:tcPr>
          <w:p w14:paraId="41590D7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783F52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047500D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39</w:t>
            </w:r>
          </w:p>
        </w:tc>
        <w:tc>
          <w:tcPr>
            <w:tcW w:w="182" w:type="pct"/>
            <w:vMerge w:val="continue"/>
            <w:shd w:val="clear" w:color="auto" w:fill="FFFFFF"/>
            <w:tcMar>
              <w:top w:w="0" w:type="dxa"/>
              <w:left w:w="0" w:type="dxa"/>
              <w:bottom w:w="0" w:type="dxa"/>
              <w:right w:w="0" w:type="dxa"/>
            </w:tcMar>
            <w:vAlign w:val="center"/>
          </w:tcPr>
          <w:p w14:paraId="21C01B0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234594A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75EA36A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559BC6C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85</w:t>
            </w:r>
          </w:p>
        </w:tc>
        <w:tc>
          <w:tcPr>
            <w:tcW w:w="185" w:type="pct"/>
            <w:vMerge w:val="continue"/>
            <w:shd w:val="clear" w:color="auto" w:fill="FFFFFF"/>
            <w:tcMar>
              <w:top w:w="0" w:type="dxa"/>
              <w:left w:w="0" w:type="dxa"/>
              <w:bottom w:w="0" w:type="dxa"/>
              <w:right w:w="0" w:type="dxa"/>
            </w:tcMar>
            <w:vAlign w:val="center"/>
          </w:tcPr>
          <w:p w14:paraId="790BC0C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1B9B0ED6">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25</w:t>
            </w:r>
          </w:p>
        </w:tc>
        <w:tc>
          <w:tcPr>
            <w:tcW w:w="206" w:type="pct"/>
            <w:shd w:val="clear" w:color="auto" w:fill="FFFFFF"/>
            <w:tcMar>
              <w:top w:w="0" w:type="dxa"/>
              <w:left w:w="0" w:type="dxa"/>
              <w:bottom w:w="0" w:type="dxa"/>
              <w:right w:w="0" w:type="dxa"/>
            </w:tcMar>
            <w:vAlign w:val="center"/>
          </w:tcPr>
          <w:p w14:paraId="62EE01E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c>
          <w:tcPr>
            <w:tcW w:w="211" w:type="pct"/>
            <w:shd w:val="clear" w:color="auto" w:fill="FFFFFF"/>
            <w:tcMar>
              <w:top w:w="0" w:type="dxa"/>
              <w:left w:w="0" w:type="dxa"/>
              <w:bottom w:w="0" w:type="dxa"/>
              <w:right w:w="0" w:type="dxa"/>
            </w:tcMar>
            <w:vAlign w:val="center"/>
          </w:tcPr>
          <w:p w14:paraId="68510536">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eastAsia" w:cs="Times New Roman"/>
                <w:color w:val="000000" w:themeColor="text1"/>
                <w:sz w:val="21"/>
                <w:szCs w:val="21"/>
                <w:lang w:val="en-US" w:eastAsia="zh-CN"/>
                <w14:textFill>
                  <w14:solidFill>
                    <w14:schemeClr w14:val="tx1"/>
                  </w14:solidFill>
                </w14:textFill>
              </w:rPr>
              <w:t>5</w:t>
            </w:r>
          </w:p>
        </w:tc>
        <w:tc>
          <w:tcPr>
            <w:tcW w:w="169" w:type="pct"/>
            <w:shd w:val="clear" w:color="auto" w:fill="FFFFFF"/>
            <w:tcMar>
              <w:top w:w="0" w:type="dxa"/>
              <w:left w:w="0" w:type="dxa"/>
              <w:bottom w:w="0" w:type="dxa"/>
              <w:right w:w="0" w:type="dxa"/>
            </w:tcMar>
            <w:vAlign w:val="center"/>
          </w:tcPr>
          <w:p w14:paraId="77C08943">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95</w:t>
            </w:r>
          </w:p>
        </w:tc>
        <w:tc>
          <w:tcPr>
            <w:tcW w:w="169" w:type="pct"/>
            <w:shd w:val="clear" w:color="auto" w:fill="FFFFFF"/>
            <w:tcMar>
              <w:top w:w="0" w:type="dxa"/>
              <w:left w:w="0" w:type="dxa"/>
              <w:bottom w:w="0" w:type="dxa"/>
              <w:right w:w="0" w:type="dxa"/>
            </w:tcMar>
            <w:vAlign w:val="center"/>
          </w:tcPr>
          <w:p w14:paraId="53F02EC2">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65</w:t>
            </w:r>
          </w:p>
        </w:tc>
        <w:tc>
          <w:tcPr>
            <w:tcW w:w="169" w:type="pct"/>
            <w:shd w:val="clear" w:color="auto" w:fill="FFFFFF"/>
            <w:tcMar>
              <w:top w:w="0" w:type="dxa"/>
              <w:left w:w="0" w:type="dxa"/>
              <w:bottom w:w="0" w:type="dxa"/>
              <w:right w:w="0" w:type="dxa"/>
            </w:tcMar>
            <w:vAlign w:val="center"/>
          </w:tcPr>
          <w:p w14:paraId="0919291C">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25</w:t>
            </w:r>
          </w:p>
        </w:tc>
        <w:tc>
          <w:tcPr>
            <w:tcW w:w="180" w:type="pct"/>
            <w:shd w:val="clear" w:color="auto" w:fill="FFFFFF"/>
            <w:tcMar>
              <w:top w:w="0" w:type="dxa"/>
              <w:left w:w="0" w:type="dxa"/>
              <w:bottom w:w="0" w:type="dxa"/>
              <w:right w:w="0" w:type="dxa"/>
            </w:tcMar>
            <w:vAlign w:val="center"/>
          </w:tcPr>
          <w:p w14:paraId="7EEC8C38">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169" w:type="pct"/>
            <w:shd w:val="clear" w:color="auto" w:fill="FFFFFF"/>
            <w:tcMar>
              <w:top w:w="0" w:type="dxa"/>
              <w:left w:w="0" w:type="dxa"/>
              <w:bottom w:w="0" w:type="dxa"/>
              <w:right w:w="0" w:type="dxa"/>
            </w:tcMar>
            <w:vAlign w:val="center"/>
          </w:tcPr>
          <w:p w14:paraId="021C980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66</w:t>
            </w:r>
          </w:p>
        </w:tc>
        <w:tc>
          <w:tcPr>
            <w:tcW w:w="169" w:type="pct"/>
            <w:shd w:val="clear" w:color="auto" w:fill="FFFFFF"/>
            <w:tcMar>
              <w:top w:w="0" w:type="dxa"/>
              <w:left w:w="0" w:type="dxa"/>
              <w:bottom w:w="0" w:type="dxa"/>
              <w:right w:w="0" w:type="dxa"/>
            </w:tcMar>
            <w:vAlign w:val="center"/>
          </w:tcPr>
          <w:p w14:paraId="661C5646">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7</w:t>
            </w:r>
          </w:p>
        </w:tc>
        <w:tc>
          <w:tcPr>
            <w:tcW w:w="169" w:type="pct"/>
            <w:shd w:val="clear" w:color="auto" w:fill="FFFFFF"/>
            <w:tcMar>
              <w:top w:w="0" w:type="dxa"/>
              <w:left w:w="0" w:type="dxa"/>
              <w:bottom w:w="0" w:type="dxa"/>
              <w:right w:w="0" w:type="dxa"/>
            </w:tcMar>
            <w:vAlign w:val="center"/>
          </w:tcPr>
          <w:p w14:paraId="1957B4EC">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9</w:t>
            </w:r>
          </w:p>
        </w:tc>
        <w:tc>
          <w:tcPr>
            <w:tcW w:w="174" w:type="pct"/>
            <w:shd w:val="clear" w:color="auto" w:fill="FFFFFF"/>
            <w:tcMar>
              <w:top w:w="0" w:type="dxa"/>
              <w:left w:w="0" w:type="dxa"/>
              <w:bottom w:w="0" w:type="dxa"/>
              <w:right w:w="0" w:type="dxa"/>
            </w:tcMar>
            <w:vAlign w:val="center"/>
          </w:tcPr>
          <w:p w14:paraId="4EBCBF69">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9</w:t>
            </w:r>
          </w:p>
        </w:tc>
        <w:tc>
          <w:tcPr>
            <w:tcW w:w="149" w:type="pct"/>
            <w:vMerge w:val="continue"/>
            <w:shd w:val="clear" w:color="auto" w:fill="FFFFFF"/>
            <w:tcMar>
              <w:top w:w="0" w:type="dxa"/>
              <w:left w:w="0" w:type="dxa"/>
              <w:bottom w:w="0" w:type="dxa"/>
              <w:right w:w="0" w:type="dxa"/>
            </w:tcMar>
            <w:vAlign w:val="center"/>
          </w:tcPr>
          <w:p w14:paraId="7170FF9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71B6236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662FBD1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1E2AE94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221404B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678CCD0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6</w:t>
            </w:r>
          </w:p>
        </w:tc>
        <w:tc>
          <w:tcPr>
            <w:tcW w:w="493" w:type="dxa"/>
            <w:shd w:val="clear" w:color="auto" w:fill="FFFFFF"/>
            <w:tcMar>
              <w:top w:w="0" w:type="dxa"/>
              <w:left w:w="0" w:type="dxa"/>
              <w:bottom w:w="0" w:type="dxa"/>
              <w:right w:w="0" w:type="dxa"/>
            </w:tcMar>
            <w:vAlign w:val="center"/>
          </w:tcPr>
          <w:p w14:paraId="1AF2544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7</w:t>
            </w:r>
          </w:p>
        </w:tc>
        <w:tc>
          <w:tcPr>
            <w:tcW w:w="493" w:type="dxa"/>
            <w:shd w:val="clear" w:color="auto" w:fill="FFFFFF"/>
            <w:tcMar>
              <w:top w:w="0" w:type="dxa"/>
              <w:left w:w="0" w:type="dxa"/>
              <w:bottom w:w="0" w:type="dxa"/>
              <w:right w:w="0" w:type="dxa"/>
            </w:tcMar>
            <w:vAlign w:val="center"/>
          </w:tcPr>
          <w:p w14:paraId="6A2E5B9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9</w:t>
            </w:r>
          </w:p>
        </w:tc>
        <w:tc>
          <w:tcPr>
            <w:tcW w:w="493" w:type="dxa"/>
            <w:shd w:val="clear" w:color="auto" w:fill="FFFFFF"/>
            <w:tcMar>
              <w:top w:w="0" w:type="dxa"/>
              <w:left w:w="0" w:type="dxa"/>
              <w:bottom w:w="0" w:type="dxa"/>
              <w:right w:w="0" w:type="dxa"/>
            </w:tcMar>
            <w:vAlign w:val="center"/>
          </w:tcPr>
          <w:p w14:paraId="35D8CCC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9</w:t>
            </w:r>
          </w:p>
        </w:tc>
        <w:tc>
          <w:tcPr>
            <w:tcW w:w="264" w:type="pct"/>
            <w:shd w:val="clear" w:color="auto" w:fill="FFFFFF"/>
            <w:tcMar>
              <w:top w:w="0" w:type="dxa"/>
              <w:left w:w="0" w:type="dxa"/>
              <w:bottom w:w="0" w:type="dxa"/>
              <w:right w:w="0" w:type="dxa"/>
            </w:tcMar>
            <w:vAlign w:val="center"/>
          </w:tcPr>
          <w:p w14:paraId="499E31B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3B799C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059FCB8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40</w:t>
            </w:r>
          </w:p>
        </w:tc>
        <w:tc>
          <w:tcPr>
            <w:tcW w:w="182" w:type="pct"/>
            <w:vMerge w:val="continue"/>
            <w:shd w:val="clear" w:color="auto" w:fill="FFFFFF"/>
            <w:tcMar>
              <w:top w:w="0" w:type="dxa"/>
              <w:left w:w="0" w:type="dxa"/>
              <w:bottom w:w="0" w:type="dxa"/>
              <w:right w:w="0" w:type="dxa"/>
            </w:tcMar>
            <w:vAlign w:val="center"/>
          </w:tcPr>
          <w:p w14:paraId="19043FC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2636FB7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restart"/>
            <w:shd w:val="clear" w:color="auto" w:fill="FFFFFF"/>
            <w:tcMar>
              <w:top w:w="0" w:type="dxa"/>
              <w:left w:w="0" w:type="dxa"/>
              <w:bottom w:w="0" w:type="dxa"/>
              <w:right w:w="0" w:type="dxa"/>
            </w:tcMar>
            <w:vAlign w:val="center"/>
          </w:tcPr>
          <w:p w14:paraId="4EC553F9">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1000型</w:t>
            </w:r>
          </w:p>
        </w:tc>
        <w:tc>
          <w:tcPr>
            <w:tcW w:w="218" w:type="pct"/>
            <w:shd w:val="clear" w:color="auto" w:fill="FFFFFF"/>
            <w:tcMar>
              <w:top w:w="0" w:type="dxa"/>
              <w:left w:w="0" w:type="dxa"/>
              <w:bottom w:w="0" w:type="dxa"/>
              <w:right w:w="0" w:type="dxa"/>
            </w:tcMar>
            <w:vAlign w:val="center"/>
          </w:tcPr>
          <w:p w14:paraId="0DA7C6A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85</w:t>
            </w:r>
          </w:p>
        </w:tc>
        <w:tc>
          <w:tcPr>
            <w:tcW w:w="185" w:type="pct"/>
            <w:vMerge w:val="continue"/>
            <w:shd w:val="clear" w:color="auto" w:fill="FFFFFF"/>
            <w:tcMar>
              <w:top w:w="0" w:type="dxa"/>
              <w:left w:w="0" w:type="dxa"/>
              <w:bottom w:w="0" w:type="dxa"/>
              <w:right w:w="0" w:type="dxa"/>
            </w:tcMar>
            <w:vAlign w:val="center"/>
          </w:tcPr>
          <w:p w14:paraId="3F986C8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282D2072">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30</w:t>
            </w:r>
          </w:p>
        </w:tc>
        <w:tc>
          <w:tcPr>
            <w:tcW w:w="206" w:type="pct"/>
            <w:shd w:val="clear" w:color="auto" w:fill="FFFFFF"/>
            <w:tcMar>
              <w:top w:w="0" w:type="dxa"/>
              <w:left w:w="0" w:type="dxa"/>
              <w:bottom w:w="0" w:type="dxa"/>
              <w:right w:w="0" w:type="dxa"/>
            </w:tcMar>
            <w:vAlign w:val="center"/>
          </w:tcPr>
          <w:p w14:paraId="656AB8B6">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p>
        </w:tc>
        <w:tc>
          <w:tcPr>
            <w:tcW w:w="211" w:type="pct"/>
            <w:shd w:val="clear" w:color="auto" w:fill="FFFFFF"/>
            <w:tcMar>
              <w:top w:w="0" w:type="dxa"/>
              <w:left w:w="0" w:type="dxa"/>
              <w:bottom w:w="0" w:type="dxa"/>
              <w:right w:w="0" w:type="dxa"/>
            </w:tcMar>
            <w:vAlign w:val="center"/>
          </w:tcPr>
          <w:p w14:paraId="7BB165B2">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w:t>
            </w:r>
          </w:p>
        </w:tc>
        <w:tc>
          <w:tcPr>
            <w:tcW w:w="169" w:type="pct"/>
            <w:shd w:val="clear" w:color="auto" w:fill="FFFFFF"/>
            <w:tcMar>
              <w:top w:w="0" w:type="dxa"/>
              <w:left w:w="0" w:type="dxa"/>
              <w:bottom w:w="0" w:type="dxa"/>
              <w:right w:w="0" w:type="dxa"/>
            </w:tcMar>
            <w:vAlign w:val="center"/>
          </w:tcPr>
          <w:p w14:paraId="3E5511BC">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90</w:t>
            </w:r>
          </w:p>
        </w:tc>
        <w:tc>
          <w:tcPr>
            <w:tcW w:w="169" w:type="pct"/>
            <w:shd w:val="clear" w:color="auto" w:fill="FFFFFF"/>
            <w:tcMar>
              <w:top w:w="0" w:type="dxa"/>
              <w:left w:w="0" w:type="dxa"/>
              <w:bottom w:w="0" w:type="dxa"/>
              <w:right w:w="0" w:type="dxa"/>
            </w:tcMar>
            <w:vAlign w:val="center"/>
          </w:tcPr>
          <w:p w14:paraId="3EF70D45">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53</w:t>
            </w:r>
          </w:p>
        </w:tc>
        <w:tc>
          <w:tcPr>
            <w:tcW w:w="169" w:type="pct"/>
            <w:shd w:val="clear" w:color="auto" w:fill="FFFFFF"/>
            <w:tcMar>
              <w:top w:w="0" w:type="dxa"/>
              <w:left w:w="0" w:type="dxa"/>
              <w:bottom w:w="0" w:type="dxa"/>
              <w:right w:w="0" w:type="dxa"/>
            </w:tcMar>
            <w:vAlign w:val="center"/>
          </w:tcPr>
          <w:p w14:paraId="546BAA03">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30</w:t>
            </w:r>
          </w:p>
        </w:tc>
        <w:tc>
          <w:tcPr>
            <w:tcW w:w="180" w:type="pct"/>
            <w:shd w:val="clear" w:color="auto" w:fill="FFFFFF"/>
            <w:tcMar>
              <w:top w:w="0" w:type="dxa"/>
              <w:left w:w="0" w:type="dxa"/>
              <w:bottom w:w="0" w:type="dxa"/>
              <w:right w:w="0" w:type="dxa"/>
            </w:tcMar>
            <w:vAlign w:val="center"/>
          </w:tcPr>
          <w:p w14:paraId="6D11459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57</w:t>
            </w:r>
          </w:p>
        </w:tc>
        <w:tc>
          <w:tcPr>
            <w:tcW w:w="169" w:type="pct"/>
            <w:shd w:val="clear" w:color="auto" w:fill="FFFFFF"/>
            <w:tcMar>
              <w:top w:w="0" w:type="dxa"/>
              <w:left w:w="0" w:type="dxa"/>
              <w:bottom w:w="0" w:type="dxa"/>
              <w:right w:w="0" w:type="dxa"/>
            </w:tcMar>
            <w:vAlign w:val="center"/>
          </w:tcPr>
          <w:p w14:paraId="1381F65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66</w:t>
            </w:r>
          </w:p>
        </w:tc>
        <w:tc>
          <w:tcPr>
            <w:tcW w:w="169" w:type="pct"/>
            <w:shd w:val="clear" w:color="auto" w:fill="FFFFFF"/>
            <w:tcMar>
              <w:top w:w="0" w:type="dxa"/>
              <w:left w:w="0" w:type="dxa"/>
              <w:bottom w:w="0" w:type="dxa"/>
              <w:right w:w="0" w:type="dxa"/>
            </w:tcMar>
            <w:vAlign w:val="center"/>
          </w:tcPr>
          <w:p w14:paraId="4B08D179">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8</w:t>
            </w:r>
          </w:p>
        </w:tc>
        <w:tc>
          <w:tcPr>
            <w:tcW w:w="169" w:type="pct"/>
            <w:shd w:val="clear" w:color="auto" w:fill="FFFFFF"/>
            <w:tcMar>
              <w:top w:w="0" w:type="dxa"/>
              <w:left w:w="0" w:type="dxa"/>
              <w:bottom w:w="0" w:type="dxa"/>
              <w:right w:w="0" w:type="dxa"/>
            </w:tcMar>
            <w:vAlign w:val="center"/>
          </w:tcPr>
          <w:p w14:paraId="3442F7E9">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9</w:t>
            </w:r>
          </w:p>
        </w:tc>
        <w:tc>
          <w:tcPr>
            <w:tcW w:w="174" w:type="pct"/>
            <w:shd w:val="clear" w:color="auto" w:fill="FFFFFF"/>
            <w:tcMar>
              <w:top w:w="0" w:type="dxa"/>
              <w:left w:w="0" w:type="dxa"/>
              <w:bottom w:w="0" w:type="dxa"/>
              <w:right w:w="0" w:type="dxa"/>
            </w:tcMar>
            <w:vAlign w:val="center"/>
          </w:tcPr>
          <w:p w14:paraId="6113BA9B">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8</w:t>
            </w:r>
          </w:p>
        </w:tc>
        <w:tc>
          <w:tcPr>
            <w:tcW w:w="149" w:type="pct"/>
            <w:vMerge w:val="continue"/>
            <w:shd w:val="clear" w:color="auto" w:fill="FFFFFF"/>
            <w:tcMar>
              <w:top w:w="0" w:type="dxa"/>
              <w:left w:w="0" w:type="dxa"/>
              <w:bottom w:w="0" w:type="dxa"/>
              <w:right w:w="0" w:type="dxa"/>
            </w:tcMar>
            <w:vAlign w:val="center"/>
          </w:tcPr>
          <w:p w14:paraId="089E9BB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3958CEA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3EB48D5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5EDD257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377B556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2A7F4ACF">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6</w:t>
            </w:r>
          </w:p>
        </w:tc>
        <w:tc>
          <w:tcPr>
            <w:tcW w:w="174" w:type="pct"/>
            <w:shd w:val="clear" w:color="auto" w:fill="FFFFFF"/>
            <w:tcMar>
              <w:top w:w="0" w:type="dxa"/>
              <w:left w:w="0" w:type="dxa"/>
              <w:bottom w:w="0" w:type="dxa"/>
              <w:right w:w="0" w:type="dxa"/>
            </w:tcMar>
            <w:vAlign w:val="center"/>
          </w:tcPr>
          <w:p w14:paraId="2D672A14">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8</w:t>
            </w:r>
          </w:p>
        </w:tc>
        <w:tc>
          <w:tcPr>
            <w:tcW w:w="174" w:type="pct"/>
            <w:shd w:val="clear" w:color="auto" w:fill="FFFFFF"/>
            <w:tcMar>
              <w:top w:w="0" w:type="dxa"/>
              <w:left w:w="0" w:type="dxa"/>
              <w:bottom w:w="0" w:type="dxa"/>
              <w:right w:w="0" w:type="dxa"/>
            </w:tcMar>
            <w:vAlign w:val="center"/>
          </w:tcPr>
          <w:p w14:paraId="308AE672">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9</w:t>
            </w:r>
          </w:p>
        </w:tc>
        <w:tc>
          <w:tcPr>
            <w:tcW w:w="174" w:type="pct"/>
            <w:shd w:val="clear" w:color="auto" w:fill="FFFFFF"/>
            <w:tcMar>
              <w:top w:w="0" w:type="dxa"/>
              <w:left w:w="0" w:type="dxa"/>
              <w:bottom w:w="0" w:type="dxa"/>
              <w:right w:w="0" w:type="dxa"/>
            </w:tcMar>
            <w:vAlign w:val="center"/>
          </w:tcPr>
          <w:p w14:paraId="7F9114A4">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8</w:t>
            </w:r>
          </w:p>
        </w:tc>
        <w:tc>
          <w:tcPr>
            <w:tcW w:w="264" w:type="pct"/>
            <w:shd w:val="clear" w:color="auto" w:fill="FFFFFF"/>
            <w:tcMar>
              <w:top w:w="0" w:type="dxa"/>
              <w:left w:w="0" w:type="dxa"/>
              <w:bottom w:w="0" w:type="dxa"/>
              <w:right w:w="0" w:type="dxa"/>
            </w:tcMar>
            <w:vAlign w:val="center"/>
          </w:tcPr>
          <w:p w14:paraId="1EA88B8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268D44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atLeast"/>
          <w:jc w:val="center"/>
        </w:trPr>
        <w:tc>
          <w:tcPr>
            <w:tcW w:w="149" w:type="pct"/>
            <w:shd w:val="clear" w:color="auto" w:fill="FFFFFF"/>
            <w:tcMar>
              <w:top w:w="0" w:type="dxa"/>
              <w:left w:w="0" w:type="dxa"/>
              <w:bottom w:w="0" w:type="dxa"/>
              <w:right w:w="0" w:type="dxa"/>
            </w:tcMar>
            <w:vAlign w:val="center"/>
          </w:tcPr>
          <w:p w14:paraId="0AF65DC9">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41</w:t>
            </w:r>
          </w:p>
        </w:tc>
        <w:tc>
          <w:tcPr>
            <w:tcW w:w="182" w:type="pct"/>
            <w:vMerge w:val="continue"/>
            <w:shd w:val="clear" w:color="auto" w:fill="FFFFFF"/>
            <w:tcMar>
              <w:top w:w="0" w:type="dxa"/>
              <w:left w:w="0" w:type="dxa"/>
              <w:bottom w:w="0" w:type="dxa"/>
              <w:right w:w="0" w:type="dxa"/>
            </w:tcMar>
            <w:vAlign w:val="center"/>
          </w:tcPr>
          <w:p w14:paraId="12DE943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08F252E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696B4E3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652C188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85</w:t>
            </w:r>
          </w:p>
        </w:tc>
        <w:tc>
          <w:tcPr>
            <w:tcW w:w="185" w:type="pct"/>
            <w:vMerge w:val="continue"/>
            <w:shd w:val="clear" w:color="auto" w:fill="FFFFFF"/>
            <w:tcMar>
              <w:top w:w="0" w:type="dxa"/>
              <w:left w:w="0" w:type="dxa"/>
              <w:bottom w:w="0" w:type="dxa"/>
              <w:right w:w="0" w:type="dxa"/>
            </w:tcMar>
            <w:vAlign w:val="center"/>
          </w:tcPr>
          <w:p w14:paraId="4415983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7299F1E6">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10</w:t>
            </w:r>
          </w:p>
        </w:tc>
        <w:tc>
          <w:tcPr>
            <w:tcW w:w="206" w:type="pct"/>
            <w:shd w:val="clear" w:color="auto" w:fill="FFFFFF"/>
            <w:tcMar>
              <w:top w:w="0" w:type="dxa"/>
              <w:left w:w="0" w:type="dxa"/>
              <w:bottom w:w="0" w:type="dxa"/>
              <w:right w:w="0" w:type="dxa"/>
            </w:tcMar>
            <w:vAlign w:val="center"/>
          </w:tcPr>
          <w:p w14:paraId="53E3F283">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p>
        </w:tc>
        <w:tc>
          <w:tcPr>
            <w:tcW w:w="211" w:type="pct"/>
            <w:shd w:val="clear" w:color="auto" w:fill="FFFFFF"/>
            <w:tcMar>
              <w:top w:w="0" w:type="dxa"/>
              <w:left w:w="0" w:type="dxa"/>
              <w:bottom w:w="0" w:type="dxa"/>
              <w:right w:w="0" w:type="dxa"/>
            </w:tcMar>
            <w:vAlign w:val="center"/>
          </w:tcPr>
          <w:p w14:paraId="1C04951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w:t>
            </w:r>
          </w:p>
        </w:tc>
        <w:tc>
          <w:tcPr>
            <w:tcW w:w="169" w:type="pct"/>
            <w:shd w:val="clear" w:color="auto" w:fill="FFFFFF"/>
            <w:tcMar>
              <w:top w:w="0" w:type="dxa"/>
              <w:left w:w="0" w:type="dxa"/>
              <w:bottom w:w="0" w:type="dxa"/>
              <w:right w:w="0" w:type="dxa"/>
            </w:tcMar>
            <w:vAlign w:val="center"/>
          </w:tcPr>
          <w:p w14:paraId="27CF3ABE">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169" w:type="pct"/>
            <w:shd w:val="clear" w:color="auto" w:fill="FFFFFF"/>
            <w:tcMar>
              <w:top w:w="0" w:type="dxa"/>
              <w:left w:w="0" w:type="dxa"/>
              <w:bottom w:w="0" w:type="dxa"/>
              <w:right w:w="0" w:type="dxa"/>
            </w:tcMar>
            <w:vAlign w:val="center"/>
          </w:tcPr>
          <w:p w14:paraId="5E1A5C4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53</w:t>
            </w:r>
          </w:p>
        </w:tc>
        <w:tc>
          <w:tcPr>
            <w:tcW w:w="169" w:type="pct"/>
            <w:shd w:val="clear" w:color="auto" w:fill="FFFFFF"/>
            <w:tcMar>
              <w:top w:w="0" w:type="dxa"/>
              <w:left w:w="0" w:type="dxa"/>
              <w:bottom w:w="0" w:type="dxa"/>
              <w:right w:w="0" w:type="dxa"/>
            </w:tcMar>
            <w:vAlign w:val="center"/>
          </w:tcPr>
          <w:p w14:paraId="589CAE17">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w:t>
            </w:r>
          </w:p>
        </w:tc>
        <w:tc>
          <w:tcPr>
            <w:tcW w:w="180" w:type="pct"/>
            <w:shd w:val="clear" w:color="auto" w:fill="FFFFFF"/>
            <w:tcMar>
              <w:top w:w="0" w:type="dxa"/>
              <w:left w:w="0" w:type="dxa"/>
              <w:bottom w:w="0" w:type="dxa"/>
              <w:right w:w="0" w:type="dxa"/>
            </w:tcMar>
            <w:vAlign w:val="center"/>
          </w:tcPr>
          <w:p w14:paraId="5D7FF05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57</w:t>
            </w:r>
          </w:p>
        </w:tc>
        <w:tc>
          <w:tcPr>
            <w:tcW w:w="169" w:type="pct"/>
            <w:shd w:val="clear" w:color="auto" w:fill="FFFFFF"/>
            <w:tcMar>
              <w:top w:w="0" w:type="dxa"/>
              <w:left w:w="0" w:type="dxa"/>
              <w:bottom w:w="0" w:type="dxa"/>
              <w:right w:w="0" w:type="dxa"/>
            </w:tcMar>
            <w:vAlign w:val="center"/>
          </w:tcPr>
          <w:p w14:paraId="515865F4">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7</w:t>
            </w:r>
          </w:p>
        </w:tc>
        <w:tc>
          <w:tcPr>
            <w:tcW w:w="169" w:type="pct"/>
            <w:shd w:val="clear" w:color="auto" w:fill="FFFFFF"/>
            <w:tcMar>
              <w:top w:w="0" w:type="dxa"/>
              <w:left w:w="0" w:type="dxa"/>
              <w:bottom w:w="0" w:type="dxa"/>
              <w:right w:w="0" w:type="dxa"/>
            </w:tcMar>
            <w:vAlign w:val="center"/>
          </w:tcPr>
          <w:p w14:paraId="50EB82A9">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8</w:t>
            </w:r>
          </w:p>
        </w:tc>
        <w:tc>
          <w:tcPr>
            <w:tcW w:w="169" w:type="pct"/>
            <w:shd w:val="clear" w:color="auto" w:fill="FFFFFF"/>
            <w:tcMar>
              <w:top w:w="0" w:type="dxa"/>
              <w:left w:w="0" w:type="dxa"/>
              <w:bottom w:w="0" w:type="dxa"/>
              <w:right w:w="0" w:type="dxa"/>
            </w:tcMar>
            <w:vAlign w:val="center"/>
          </w:tcPr>
          <w:p w14:paraId="64E992A4">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8</w:t>
            </w:r>
          </w:p>
        </w:tc>
        <w:tc>
          <w:tcPr>
            <w:tcW w:w="174" w:type="pct"/>
            <w:shd w:val="clear" w:color="auto" w:fill="FFFFFF"/>
            <w:tcMar>
              <w:top w:w="0" w:type="dxa"/>
              <w:left w:w="0" w:type="dxa"/>
              <w:bottom w:w="0" w:type="dxa"/>
              <w:right w:w="0" w:type="dxa"/>
            </w:tcMar>
            <w:vAlign w:val="center"/>
          </w:tcPr>
          <w:p w14:paraId="635CDB17">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8</w:t>
            </w:r>
          </w:p>
        </w:tc>
        <w:tc>
          <w:tcPr>
            <w:tcW w:w="149" w:type="pct"/>
            <w:vMerge w:val="continue"/>
            <w:shd w:val="clear" w:color="auto" w:fill="FFFFFF"/>
            <w:tcMar>
              <w:top w:w="0" w:type="dxa"/>
              <w:left w:w="0" w:type="dxa"/>
              <w:bottom w:w="0" w:type="dxa"/>
              <w:right w:w="0" w:type="dxa"/>
            </w:tcMar>
            <w:vAlign w:val="center"/>
          </w:tcPr>
          <w:p w14:paraId="11E14E7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207BF19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7F394B6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38F43C6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2A0EC71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7EBDB0EA">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7</w:t>
            </w:r>
          </w:p>
        </w:tc>
        <w:tc>
          <w:tcPr>
            <w:tcW w:w="174" w:type="pct"/>
            <w:shd w:val="clear" w:color="auto" w:fill="FFFFFF"/>
            <w:tcMar>
              <w:top w:w="0" w:type="dxa"/>
              <w:left w:w="0" w:type="dxa"/>
              <w:bottom w:w="0" w:type="dxa"/>
              <w:right w:w="0" w:type="dxa"/>
            </w:tcMar>
            <w:vAlign w:val="center"/>
          </w:tcPr>
          <w:p w14:paraId="250C89F3">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8</w:t>
            </w:r>
          </w:p>
        </w:tc>
        <w:tc>
          <w:tcPr>
            <w:tcW w:w="174" w:type="pct"/>
            <w:shd w:val="clear" w:color="auto" w:fill="FFFFFF"/>
            <w:tcMar>
              <w:top w:w="0" w:type="dxa"/>
              <w:left w:w="0" w:type="dxa"/>
              <w:bottom w:w="0" w:type="dxa"/>
              <w:right w:w="0" w:type="dxa"/>
            </w:tcMar>
            <w:vAlign w:val="center"/>
          </w:tcPr>
          <w:p w14:paraId="736482CA">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8</w:t>
            </w:r>
          </w:p>
        </w:tc>
        <w:tc>
          <w:tcPr>
            <w:tcW w:w="174" w:type="pct"/>
            <w:shd w:val="clear" w:color="auto" w:fill="FFFFFF"/>
            <w:tcMar>
              <w:top w:w="0" w:type="dxa"/>
              <w:left w:w="0" w:type="dxa"/>
              <w:bottom w:w="0" w:type="dxa"/>
              <w:right w:w="0" w:type="dxa"/>
            </w:tcMar>
            <w:vAlign w:val="center"/>
          </w:tcPr>
          <w:p w14:paraId="7AEF6EE3">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8</w:t>
            </w:r>
          </w:p>
        </w:tc>
        <w:tc>
          <w:tcPr>
            <w:tcW w:w="264" w:type="pct"/>
            <w:shd w:val="clear" w:color="auto" w:fill="FFFFFF"/>
            <w:tcMar>
              <w:top w:w="0" w:type="dxa"/>
              <w:left w:w="0" w:type="dxa"/>
              <w:bottom w:w="0" w:type="dxa"/>
              <w:right w:w="0" w:type="dxa"/>
            </w:tcMar>
            <w:vAlign w:val="center"/>
          </w:tcPr>
          <w:p w14:paraId="4D30796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79E740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9" w:hRule="atLeast"/>
          <w:jc w:val="center"/>
        </w:trPr>
        <w:tc>
          <w:tcPr>
            <w:tcW w:w="149" w:type="pct"/>
            <w:shd w:val="clear" w:color="auto" w:fill="FFFFFF"/>
            <w:tcMar>
              <w:top w:w="0" w:type="dxa"/>
              <w:left w:w="0" w:type="dxa"/>
              <w:bottom w:w="0" w:type="dxa"/>
              <w:right w:w="0" w:type="dxa"/>
            </w:tcMar>
            <w:vAlign w:val="center"/>
          </w:tcPr>
          <w:p w14:paraId="3927110F">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p>
        </w:tc>
        <w:tc>
          <w:tcPr>
            <w:tcW w:w="182" w:type="pct"/>
            <w:vMerge w:val="continue"/>
            <w:shd w:val="clear" w:color="auto" w:fill="FFFFFF"/>
            <w:tcMar>
              <w:top w:w="0" w:type="dxa"/>
              <w:left w:w="0" w:type="dxa"/>
              <w:bottom w:w="0" w:type="dxa"/>
              <w:right w:w="0" w:type="dxa"/>
            </w:tcMar>
            <w:vAlign w:val="center"/>
          </w:tcPr>
          <w:p w14:paraId="0C0AB8D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4F43D56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7DBE2A3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4742783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85</w:t>
            </w:r>
          </w:p>
        </w:tc>
        <w:tc>
          <w:tcPr>
            <w:tcW w:w="185" w:type="pct"/>
            <w:vMerge w:val="continue"/>
            <w:shd w:val="clear" w:color="auto" w:fill="FFFFFF"/>
            <w:tcMar>
              <w:top w:w="0" w:type="dxa"/>
              <w:left w:w="0" w:type="dxa"/>
              <w:bottom w:w="0" w:type="dxa"/>
              <w:right w:w="0" w:type="dxa"/>
            </w:tcMar>
            <w:vAlign w:val="center"/>
          </w:tcPr>
          <w:p w14:paraId="68E3787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599FFA6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10</w:t>
            </w:r>
          </w:p>
        </w:tc>
        <w:tc>
          <w:tcPr>
            <w:tcW w:w="206" w:type="pct"/>
            <w:shd w:val="clear" w:color="auto" w:fill="FFFFFF"/>
            <w:tcMar>
              <w:top w:w="0" w:type="dxa"/>
              <w:left w:w="0" w:type="dxa"/>
              <w:bottom w:w="0" w:type="dxa"/>
              <w:right w:w="0" w:type="dxa"/>
            </w:tcMar>
            <w:vAlign w:val="center"/>
          </w:tcPr>
          <w:p w14:paraId="29B98991">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p>
        </w:tc>
        <w:tc>
          <w:tcPr>
            <w:tcW w:w="211" w:type="pct"/>
            <w:shd w:val="clear" w:color="auto" w:fill="FFFFFF"/>
            <w:tcMar>
              <w:top w:w="0" w:type="dxa"/>
              <w:left w:w="0" w:type="dxa"/>
              <w:bottom w:w="0" w:type="dxa"/>
              <w:right w:w="0" w:type="dxa"/>
            </w:tcMar>
            <w:vAlign w:val="center"/>
          </w:tcPr>
          <w:p w14:paraId="23A32A7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w:t>
            </w:r>
          </w:p>
        </w:tc>
        <w:tc>
          <w:tcPr>
            <w:tcW w:w="169" w:type="pct"/>
            <w:shd w:val="clear" w:color="auto" w:fill="FFFFFF"/>
            <w:tcMar>
              <w:top w:w="0" w:type="dxa"/>
              <w:left w:w="0" w:type="dxa"/>
              <w:bottom w:w="0" w:type="dxa"/>
              <w:right w:w="0" w:type="dxa"/>
            </w:tcMar>
            <w:vAlign w:val="center"/>
          </w:tcPr>
          <w:p w14:paraId="60ED5AEC">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169" w:type="pct"/>
            <w:shd w:val="clear" w:color="auto" w:fill="FFFFFF"/>
            <w:tcMar>
              <w:top w:w="0" w:type="dxa"/>
              <w:left w:w="0" w:type="dxa"/>
              <w:bottom w:w="0" w:type="dxa"/>
              <w:right w:w="0" w:type="dxa"/>
            </w:tcMar>
            <w:vAlign w:val="center"/>
          </w:tcPr>
          <w:p w14:paraId="18E242E7">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51</w:t>
            </w:r>
          </w:p>
        </w:tc>
        <w:tc>
          <w:tcPr>
            <w:tcW w:w="169" w:type="pct"/>
            <w:shd w:val="clear" w:color="auto" w:fill="FFFFFF"/>
            <w:tcMar>
              <w:top w:w="0" w:type="dxa"/>
              <w:left w:w="0" w:type="dxa"/>
              <w:bottom w:w="0" w:type="dxa"/>
              <w:right w:w="0" w:type="dxa"/>
            </w:tcMar>
            <w:vAlign w:val="center"/>
          </w:tcPr>
          <w:p w14:paraId="7628AC2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w:t>
            </w:r>
          </w:p>
        </w:tc>
        <w:tc>
          <w:tcPr>
            <w:tcW w:w="180" w:type="pct"/>
            <w:shd w:val="clear" w:color="auto" w:fill="FFFFFF"/>
            <w:tcMar>
              <w:top w:w="0" w:type="dxa"/>
              <w:left w:w="0" w:type="dxa"/>
              <w:bottom w:w="0" w:type="dxa"/>
              <w:right w:w="0" w:type="dxa"/>
            </w:tcMar>
            <w:vAlign w:val="center"/>
          </w:tcPr>
          <w:p w14:paraId="3AC311E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59</w:t>
            </w:r>
          </w:p>
        </w:tc>
        <w:tc>
          <w:tcPr>
            <w:tcW w:w="169" w:type="pct"/>
            <w:shd w:val="clear" w:color="auto" w:fill="FFFFFF"/>
            <w:tcMar>
              <w:top w:w="0" w:type="dxa"/>
              <w:left w:w="0" w:type="dxa"/>
              <w:bottom w:w="0" w:type="dxa"/>
              <w:right w:w="0" w:type="dxa"/>
            </w:tcMar>
            <w:vAlign w:val="center"/>
          </w:tcPr>
          <w:p w14:paraId="5104124E">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7</w:t>
            </w:r>
          </w:p>
        </w:tc>
        <w:tc>
          <w:tcPr>
            <w:tcW w:w="169" w:type="pct"/>
            <w:shd w:val="clear" w:color="auto" w:fill="FFFFFF"/>
            <w:tcMar>
              <w:top w:w="0" w:type="dxa"/>
              <w:left w:w="0" w:type="dxa"/>
              <w:bottom w:w="0" w:type="dxa"/>
              <w:right w:w="0" w:type="dxa"/>
            </w:tcMar>
            <w:vAlign w:val="center"/>
          </w:tcPr>
          <w:p w14:paraId="39C73DE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8</w:t>
            </w:r>
          </w:p>
        </w:tc>
        <w:tc>
          <w:tcPr>
            <w:tcW w:w="169" w:type="pct"/>
            <w:shd w:val="clear" w:color="auto" w:fill="FFFFFF"/>
            <w:tcMar>
              <w:top w:w="0" w:type="dxa"/>
              <w:left w:w="0" w:type="dxa"/>
              <w:bottom w:w="0" w:type="dxa"/>
              <w:right w:w="0" w:type="dxa"/>
            </w:tcMar>
            <w:vAlign w:val="center"/>
          </w:tcPr>
          <w:p w14:paraId="00889733">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8</w:t>
            </w:r>
          </w:p>
        </w:tc>
        <w:tc>
          <w:tcPr>
            <w:tcW w:w="174" w:type="pct"/>
            <w:shd w:val="clear" w:color="auto" w:fill="FFFFFF"/>
            <w:tcMar>
              <w:top w:w="0" w:type="dxa"/>
              <w:left w:w="0" w:type="dxa"/>
              <w:bottom w:w="0" w:type="dxa"/>
              <w:right w:w="0" w:type="dxa"/>
            </w:tcMar>
            <w:vAlign w:val="center"/>
          </w:tcPr>
          <w:p w14:paraId="50F73C66">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r>
              <w:rPr>
                <w:rFonts w:hint="eastAsia" w:cs="Times New Roman"/>
                <w:color w:val="000000" w:themeColor="text1"/>
                <w:sz w:val="21"/>
                <w:szCs w:val="21"/>
                <w:lang w:val="en-US" w:eastAsia="zh-CN"/>
                <w14:textFill>
                  <w14:solidFill>
                    <w14:schemeClr w14:val="tx1"/>
                  </w14:solidFill>
                </w14:textFill>
              </w:rPr>
              <w:t>8</w:t>
            </w:r>
          </w:p>
        </w:tc>
        <w:tc>
          <w:tcPr>
            <w:tcW w:w="149" w:type="pct"/>
            <w:vMerge w:val="continue"/>
            <w:shd w:val="clear" w:color="auto" w:fill="FFFFFF"/>
            <w:tcMar>
              <w:top w:w="0" w:type="dxa"/>
              <w:left w:w="0" w:type="dxa"/>
              <w:bottom w:w="0" w:type="dxa"/>
              <w:right w:w="0" w:type="dxa"/>
            </w:tcMar>
            <w:vAlign w:val="center"/>
          </w:tcPr>
          <w:p w14:paraId="14ECBB6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569D1AE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2C682F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191B993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7123ECD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394A511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7</w:t>
            </w:r>
          </w:p>
        </w:tc>
        <w:tc>
          <w:tcPr>
            <w:tcW w:w="493" w:type="dxa"/>
            <w:shd w:val="clear" w:color="auto" w:fill="FFFFFF"/>
            <w:tcMar>
              <w:top w:w="0" w:type="dxa"/>
              <w:left w:w="0" w:type="dxa"/>
              <w:bottom w:w="0" w:type="dxa"/>
              <w:right w:w="0" w:type="dxa"/>
            </w:tcMar>
            <w:vAlign w:val="center"/>
          </w:tcPr>
          <w:p w14:paraId="2774CCC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8</w:t>
            </w:r>
          </w:p>
        </w:tc>
        <w:tc>
          <w:tcPr>
            <w:tcW w:w="493" w:type="dxa"/>
            <w:shd w:val="clear" w:color="auto" w:fill="FFFFFF"/>
            <w:tcMar>
              <w:top w:w="0" w:type="dxa"/>
              <w:left w:w="0" w:type="dxa"/>
              <w:bottom w:w="0" w:type="dxa"/>
              <w:right w:w="0" w:type="dxa"/>
            </w:tcMar>
            <w:vAlign w:val="center"/>
          </w:tcPr>
          <w:p w14:paraId="7421DCF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8</w:t>
            </w:r>
          </w:p>
        </w:tc>
        <w:tc>
          <w:tcPr>
            <w:tcW w:w="493" w:type="dxa"/>
            <w:shd w:val="clear" w:color="auto" w:fill="FFFFFF"/>
            <w:tcMar>
              <w:top w:w="0" w:type="dxa"/>
              <w:left w:w="0" w:type="dxa"/>
              <w:bottom w:w="0" w:type="dxa"/>
              <w:right w:w="0" w:type="dxa"/>
            </w:tcMar>
            <w:vAlign w:val="center"/>
          </w:tcPr>
          <w:p w14:paraId="448883B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r>
              <w:rPr>
                <w:rFonts w:hint="eastAsia" w:cs="Times New Roman"/>
                <w:color w:val="000000" w:themeColor="text1"/>
                <w:sz w:val="21"/>
                <w:szCs w:val="21"/>
                <w:lang w:val="en-US" w:eastAsia="zh-CN"/>
                <w14:textFill>
                  <w14:solidFill>
                    <w14:schemeClr w14:val="tx1"/>
                  </w14:solidFill>
                </w14:textFill>
              </w:rPr>
              <w:t>8</w:t>
            </w:r>
          </w:p>
        </w:tc>
        <w:tc>
          <w:tcPr>
            <w:tcW w:w="264" w:type="pct"/>
            <w:shd w:val="clear" w:color="auto" w:fill="FFFFFF"/>
            <w:tcMar>
              <w:top w:w="0" w:type="dxa"/>
              <w:left w:w="0" w:type="dxa"/>
              <w:bottom w:w="0" w:type="dxa"/>
              <w:right w:w="0" w:type="dxa"/>
            </w:tcMar>
            <w:vAlign w:val="center"/>
          </w:tcPr>
          <w:p w14:paraId="2F97709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r>
      <w:tr w14:paraId="6CDF63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9" w:hRule="atLeast"/>
          <w:jc w:val="center"/>
        </w:trPr>
        <w:tc>
          <w:tcPr>
            <w:tcW w:w="149" w:type="pct"/>
            <w:shd w:val="clear" w:color="auto" w:fill="FFFFFF"/>
            <w:tcMar>
              <w:top w:w="0" w:type="dxa"/>
              <w:left w:w="0" w:type="dxa"/>
              <w:bottom w:w="0" w:type="dxa"/>
              <w:right w:w="0" w:type="dxa"/>
            </w:tcMar>
            <w:vAlign w:val="center"/>
          </w:tcPr>
          <w:p w14:paraId="45FC8359">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182" w:type="pct"/>
            <w:vMerge w:val="continue"/>
            <w:shd w:val="clear" w:color="auto" w:fill="FFFFFF"/>
            <w:tcMar>
              <w:top w:w="0" w:type="dxa"/>
              <w:left w:w="0" w:type="dxa"/>
              <w:bottom w:w="0" w:type="dxa"/>
              <w:right w:w="0" w:type="dxa"/>
            </w:tcMar>
            <w:vAlign w:val="center"/>
          </w:tcPr>
          <w:p w14:paraId="4D784D7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restart"/>
            <w:shd w:val="clear" w:color="auto" w:fill="FFFFFF"/>
            <w:tcMar>
              <w:top w:w="0" w:type="dxa"/>
              <w:left w:w="0" w:type="dxa"/>
              <w:bottom w:w="0" w:type="dxa"/>
              <w:right w:w="0" w:type="dxa"/>
            </w:tcMar>
            <w:vAlign w:val="center"/>
          </w:tcPr>
          <w:p w14:paraId="1820A8B7">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粉碎机</w:t>
            </w:r>
          </w:p>
        </w:tc>
        <w:tc>
          <w:tcPr>
            <w:tcW w:w="330" w:type="pct"/>
            <w:vMerge w:val="restart"/>
            <w:shd w:val="clear" w:color="auto" w:fill="FFFFFF"/>
            <w:tcMar>
              <w:top w:w="0" w:type="dxa"/>
              <w:left w:w="0" w:type="dxa"/>
              <w:bottom w:w="0" w:type="dxa"/>
              <w:right w:w="0" w:type="dxa"/>
            </w:tcMar>
            <w:vAlign w:val="center"/>
          </w:tcPr>
          <w:p w14:paraId="3742EA07">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218" w:type="pct"/>
            <w:shd w:val="clear" w:color="auto" w:fill="FFFFFF"/>
            <w:tcMar>
              <w:top w:w="0" w:type="dxa"/>
              <w:left w:w="0" w:type="dxa"/>
              <w:bottom w:w="0" w:type="dxa"/>
              <w:right w:w="0" w:type="dxa"/>
            </w:tcMar>
            <w:vAlign w:val="center"/>
          </w:tcPr>
          <w:p w14:paraId="0CAD1F8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185" w:type="pct"/>
            <w:vMerge w:val="continue"/>
            <w:shd w:val="clear" w:color="auto" w:fill="FFFFFF"/>
            <w:tcMar>
              <w:top w:w="0" w:type="dxa"/>
              <w:left w:w="0" w:type="dxa"/>
              <w:bottom w:w="0" w:type="dxa"/>
              <w:right w:w="0" w:type="dxa"/>
            </w:tcMar>
            <w:vAlign w:val="center"/>
          </w:tcPr>
          <w:p w14:paraId="5B01CC5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705C679F">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206" w:type="pct"/>
            <w:shd w:val="clear" w:color="auto" w:fill="FFFFFF"/>
            <w:tcMar>
              <w:top w:w="0" w:type="dxa"/>
              <w:left w:w="0" w:type="dxa"/>
              <w:bottom w:w="0" w:type="dxa"/>
              <w:right w:w="0" w:type="dxa"/>
            </w:tcMar>
            <w:vAlign w:val="center"/>
          </w:tcPr>
          <w:p w14:paraId="1FC3EB41">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21</w:t>
            </w:r>
          </w:p>
        </w:tc>
        <w:tc>
          <w:tcPr>
            <w:tcW w:w="211" w:type="pct"/>
            <w:shd w:val="clear" w:color="auto" w:fill="FFFFFF"/>
            <w:tcMar>
              <w:top w:w="0" w:type="dxa"/>
              <w:left w:w="0" w:type="dxa"/>
              <w:bottom w:w="0" w:type="dxa"/>
              <w:right w:w="0" w:type="dxa"/>
            </w:tcMar>
            <w:vAlign w:val="center"/>
          </w:tcPr>
          <w:p w14:paraId="046BA0FA">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w:t>
            </w:r>
          </w:p>
        </w:tc>
        <w:tc>
          <w:tcPr>
            <w:tcW w:w="169" w:type="pct"/>
            <w:shd w:val="clear" w:color="auto" w:fill="FFFFFF"/>
            <w:tcMar>
              <w:top w:w="0" w:type="dxa"/>
              <w:left w:w="0" w:type="dxa"/>
              <w:bottom w:w="0" w:type="dxa"/>
              <w:right w:w="0" w:type="dxa"/>
            </w:tcMar>
            <w:vAlign w:val="center"/>
          </w:tcPr>
          <w:p w14:paraId="7EC5AD1D">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105</w:t>
            </w:r>
          </w:p>
        </w:tc>
        <w:tc>
          <w:tcPr>
            <w:tcW w:w="169" w:type="pct"/>
            <w:shd w:val="clear" w:color="auto" w:fill="FFFFFF"/>
            <w:tcMar>
              <w:top w:w="0" w:type="dxa"/>
              <w:left w:w="0" w:type="dxa"/>
              <w:bottom w:w="0" w:type="dxa"/>
              <w:right w:w="0" w:type="dxa"/>
            </w:tcMar>
            <w:vAlign w:val="center"/>
          </w:tcPr>
          <w:p w14:paraId="13482040">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76</w:t>
            </w:r>
          </w:p>
        </w:tc>
        <w:tc>
          <w:tcPr>
            <w:tcW w:w="169" w:type="pct"/>
            <w:shd w:val="clear" w:color="auto" w:fill="FFFFFF"/>
            <w:tcMar>
              <w:top w:w="0" w:type="dxa"/>
              <w:left w:w="0" w:type="dxa"/>
              <w:bottom w:w="0" w:type="dxa"/>
              <w:right w:w="0" w:type="dxa"/>
            </w:tcMar>
            <w:vAlign w:val="center"/>
          </w:tcPr>
          <w:p w14:paraId="5E7FCC65">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180" w:type="pct"/>
            <w:shd w:val="clear" w:color="auto" w:fill="FFFFFF"/>
            <w:tcMar>
              <w:top w:w="0" w:type="dxa"/>
              <w:left w:w="0" w:type="dxa"/>
              <w:bottom w:w="0" w:type="dxa"/>
              <w:right w:w="0" w:type="dxa"/>
            </w:tcMar>
            <w:vAlign w:val="center"/>
          </w:tcPr>
          <w:p w14:paraId="03C3F63B">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34</w:t>
            </w:r>
          </w:p>
        </w:tc>
        <w:tc>
          <w:tcPr>
            <w:tcW w:w="169" w:type="pct"/>
            <w:shd w:val="clear" w:color="auto" w:fill="FFFFFF"/>
            <w:tcMar>
              <w:top w:w="0" w:type="dxa"/>
              <w:left w:w="0" w:type="dxa"/>
              <w:bottom w:w="0" w:type="dxa"/>
              <w:right w:w="0" w:type="dxa"/>
            </w:tcMar>
            <w:vAlign w:val="center"/>
          </w:tcPr>
          <w:p w14:paraId="1A1564E7">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65</w:t>
            </w:r>
          </w:p>
        </w:tc>
        <w:tc>
          <w:tcPr>
            <w:tcW w:w="169" w:type="pct"/>
            <w:shd w:val="clear" w:color="auto" w:fill="FFFFFF"/>
            <w:tcMar>
              <w:top w:w="0" w:type="dxa"/>
              <w:left w:w="0" w:type="dxa"/>
              <w:bottom w:w="0" w:type="dxa"/>
              <w:right w:w="0" w:type="dxa"/>
            </w:tcMar>
            <w:vAlign w:val="center"/>
          </w:tcPr>
          <w:p w14:paraId="1380FF9D">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67</w:t>
            </w:r>
          </w:p>
        </w:tc>
        <w:tc>
          <w:tcPr>
            <w:tcW w:w="169" w:type="pct"/>
            <w:shd w:val="clear" w:color="auto" w:fill="FFFFFF"/>
            <w:tcMar>
              <w:top w:w="0" w:type="dxa"/>
              <w:left w:w="0" w:type="dxa"/>
              <w:bottom w:w="0" w:type="dxa"/>
              <w:right w:w="0" w:type="dxa"/>
            </w:tcMar>
            <w:vAlign w:val="center"/>
          </w:tcPr>
          <w:p w14:paraId="7BA97568">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71</w:t>
            </w:r>
          </w:p>
        </w:tc>
        <w:tc>
          <w:tcPr>
            <w:tcW w:w="174" w:type="pct"/>
            <w:shd w:val="clear" w:color="auto" w:fill="FFFFFF"/>
            <w:tcMar>
              <w:top w:w="0" w:type="dxa"/>
              <w:left w:w="0" w:type="dxa"/>
              <w:bottom w:w="0" w:type="dxa"/>
              <w:right w:w="0" w:type="dxa"/>
            </w:tcMar>
            <w:vAlign w:val="center"/>
          </w:tcPr>
          <w:p w14:paraId="4C0C4EF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69</w:t>
            </w:r>
          </w:p>
        </w:tc>
        <w:tc>
          <w:tcPr>
            <w:tcW w:w="149" w:type="pct"/>
            <w:vMerge w:val="continue"/>
            <w:shd w:val="clear" w:color="auto" w:fill="FFFFFF"/>
            <w:tcMar>
              <w:top w:w="0" w:type="dxa"/>
              <w:left w:w="0" w:type="dxa"/>
              <w:bottom w:w="0" w:type="dxa"/>
              <w:right w:w="0" w:type="dxa"/>
            </w:tcMar>
            <w:vAlign w:val="center"/>
          </w:tcPr>
          <w:p w14:paraId="1D9A2AC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1CE8F7B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EE4575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21CE004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4290497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2C70D605">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174" w:type="pct"/>
            <w:shd w:val="clear" w:color="auto" w:fill="FFFFFF"/>
            <w:tcMar>
              <w:top w:w="0" w:type="dxa"/>
              <w:left w:w="0" w:type="dxa"/>
              <w:bottom w:w="0" w:type="dxa"/>
              <w:right w:w="0" w:type="dxa"/>
            </w:tcMar>
            <w:vAlign w:val="center"/>
          </w:tcPr>
          <w:p w14:paraId="7A8A09DF">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174" w:type="pct"/>
            <w:shd w:val="clear" w:color="auto" w:fill="FFFFFF"/>
            <w:tcMar>
              <w:top w:w="0" w:type="dxa"/>
              <w:left w:w="0" w:type="dxa"/>
              <w:bottom w:w="0" w:type="dxa"/>
              <w:right w:w="0" w:type="dxa"/>
            </w:tcMar>
            <w:vAlign w:val="center"/>
          </w:tcPr>
          <w:p w14:paraId="090FCC8E">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51</w:t>
            </w:r>
          </w:p>
        </w:tc>
        <w:tc>
          <w:tcPr>
            <w:tcW w:w="174" w:type="pct"/>
            <w:shd w:val="clear" w:color="auto" w:fill="FFFFFF"/>
            <w:tcMar>
              <w:top w:w="0" w:type="dxa"/>
              <w:left w:w="0" w:type="dxa"/>
              <w:bottom w:w="0" w:type="dxa"/>
              <w:right w:w="0" w:type="dxa"/>
            </w:tcMar>
            <w:vAlign w:val="center"/>
          </w:tcPr>
          <w:p w14:paraId="00981976">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49</w:t>
            </w:r>
          </w:p>
        </w:tc>
        <w:tc>
          <w:tcPr>
            <w:tcW w:w="264" w:type="pct"/>
            <w:shd w:val="clear" w:color="auto" w:fill="FFFFFF"/>
            <w:tcMar>
              <w:top w:w="0" w:type="dxa"/>
              <w:left w:w="0" w:type="dxa"/>
              <w:bottom w:w="0" w:type="dxa"/>
              <w:right w:w="0" w:type="dxa"/>
            </w:tcMar>
            <w:vAlign w:val="center"/>
          </w:tcPr>
          <w:p w14:paraId="13D49823">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r>
      <w:tr w14:paraId="3BF6B0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9" w:hRule="atLeast"/>
          <w:jc w:val="center"/>
        </w:trPr>
        <w:tc>
          <w:tcPr>
            <w:tcW w:w="149" w:type="pct"/>
            <w:shd w:val="clear" w:color="auto" w:fill="FFFFFF"/>
            <w:tcMar>
              <w:top w:w="0" w:type="dxa"/>
              <w:left w:w="0" w:type="dxa"/>
              <w:bottom w:w="0" w:type="dxa"/>
              <w:right w:w="0" w:type="dxa"/>
            </w:tcMar>
            <w:vAlign w:val="center"/>
          </w:tcPr>
          <w:p w14:paraId="576F4AC3">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44</w:t>
            </w:r>
          </w:p>
        </w:tc>
        <w:tc>
          <w:tcPr>
            <w:tcW w:w="182" w:type="pct"/>
            <w:vMerge w:val="continue"/>
            <w:shd w:val="clear" w:color="auto" w:fill="FFFFFF"/>
            <w:tcMar>
              <w:top w:w="0" w:type="dxa"/>
              <w:left w:w="0" w:type="dxa"/>
              <w:bottom w:w="0" w:type="dxa"/>
              <w:right w:w="0" w:type="dxa"/>
            </w:tcMar>
            <w:vAlign w:val="center"/>
          </w:tcPr>
          <w:p w14:paraId="7F459FA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4BD37BA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4A4B517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3A49EE0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185" w:type="pct"/>
            <w:vMerge w:val="continue"/>
            <w:shd w:val="clear" w:color="auto" w:fill="FFFFFF"/>
            <w:tcMar>
              <w:top w:w="0" w:type="dxa"/>
              <w:left w:w="0" w:type="dxa"/>
              <w:bottom w:w="0" w:type="dxa"/>
              <w:right w:w="0" w:type="dxa"/>
            </w:tcMar>
            <w:vAlign w:val="center"/>
          </w:tcPr>
          <w:p w14:paraId="75C345F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7B7F5BA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206" w:type="pct"/>
            <w:shd w:val="clear" w:color="auto" w:fill="FFFFFF"/>
            <w:tcMar>
              <w:top w:w="0" w:type="dxa"/>
              <w:left w:w="0" w:type="dxa"/>
              <w:bottom w:w="0" w:type="dxa"/>
              <w:right w:w="0" w:type="dxa"/>
            </w:tcMar>
            <w:vAlign w:val="center"/>
          </w:tcPr>
          <w:p w14:paraId="42DEA156">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18</w:t>
            </w:r>
          </w:p>
        </w:tc>
        <w:tc>
          <w:tcPr>
            <w:tcW w:w="211" w:type="pct"/>
            <w:shd w:val="clear" w:color="auto" w:fill="FFFFFF"/>
            <w:tcMar>
              <w:top w:w="0" w:type="dxa"/>
              <w:left w:w="0" w:type="dxa"/>
              <w:bottom w:w="0" w:type="dxa"/>
              <w:right w:w="0" w:type="dxa"/>
            </w:tcMar>
            <w:vAlign w:val="center"/>
          </w:tcPr>
          <w:p w14:paraId="74C94D19">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w:t>
            </w:r>
          </w:p>
        </w:tc>
        <w:tc>
          <w:tcPr>
            <w:tcW w:w="169" w:type="pct"/>
            <w:shd w:val="clear" w:color="auto" w:fill="FFFFFF"/>
            <w:tcMar>
              <w:top w:w="0" w:type="dxa"/>
              <w:left w:w="0" w:type="dxa"/>
              <w:bottom w:w="0" w:type="dxa"/>
              <w:right w:w="0" w:type="dxa"/>
            </w:tcMar>
            <w:vAlign w:val="center"/>
          </w:tcPr>
          <w:p w14:paraId="4B773ED5">
            <w:pPr>
              <w:spacing w:line="276" w:lineRule="auto"/>
              <w:jc w:val="center"/>
              <w:rPr>
                <w:rFonts w:hint="eastAsia"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105</w:t>
            </w:r>
          </w:p>
        </w:tc>
        <w:tc>
          <w:tcPr>
            <w:tcW w:w="169" w:type="pct"/>
            <w:shd w:val="clear" w:color="auto" w:fill="FFFFFF"/>
            <w:tcMar>
              <w:top w:w="0" w:type="dxa"/>
              <w:left w:w="0" w:type="dxa"/>
              <w:bottom w:w="0" w:type="dxa"/>
              <w:right w:w="0" w:type="dxa"/>
            </w:tcMar>
            <w:vAlign w:val="center"/>
          </w:tcPr>
          <w:p w14:paraId="20D3DA96">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73</w:t>
            </w:r>
          </w:p>
        </w:tc>
        <w:tc>
          <w:tcPr>
            <w:tcW w:w="169" w:type="pct"/>
            <w:shd w:val="clear" w:color="auto" w:fill="FFFFFF"/>
            <w:tcMar>
              <w:top w:w="0" w:type="dxa"/>
              <w:left w:w="0" w:type="dxa"/>
              <w:bottom w:w="0" w:type="dxa"/>
              <w:right w:w="0" w:type="dxa"/>
            </w:tcMar>
            <w:vAlign w:val="center"/>
          </w:tcPr>
          <w:p w14:paraId="01F2333A">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180" w:type="pct"/>
            <w:shd w:val="clear" w:color="auto" w:fill="FFFFFF"/>
            <w:tcMar>
              <w:top w:w="0" w:type="dxa"/>
              <w:left w:w="0" w:type="dxa"/>
              <w:bottom w:w="0" w:type="dxa"/>
              <w:right w:w="0" w:type="dxa"/>
            </w:tcMar>
            <w:vAlign w:val="center"/>
          </w:tcPr>
          <w:p w14:paraId="2D80ACFA">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37</w:t>
            </w:r>
          </w:p>
        </w:tc>
        <w:tc>
          <w:tcPr>
            <w:tcW w:w="169" w:type="pct"/>
            <w:shd w:val="clear" w:color="auto" w:fill="FFFFFF"/>
            <w:tcMar>
              <w:top w:w="0" w:type="dxa"/>
              <w:left w:w="0" w:type="dxa"/>
              <w:bottom w:w="0" w:type="dxa"/>
              <w:right w:w="0" w:type="dxa"/>
            </w:tcMar>
            <w:vAlign w:val="center"/>
          </w:tcPr>
          <w:p w14:paraId="0A61A745">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65</w:t>
            </w:r>
          </w:p>
        </w:tc>
        <w:tc>
          <w:tcPr>
            <w:tcW w:w="169" w:type="pct"/>
            <w:shd w:val="clear" w:color="auto" w:fill="FFFFFF"/>
            <w:tcMar>
              <w:top w:w="0" w:type="dxa"/>
              <w:left w:w="0" w:type="dxa"/>
              <w:bottom w:w="0" w:type="dxa"/>
              <w:right w:w="0" w:type="dxa"/>
            </w:tcMar>
            <w:vAlign w:val="center"/>
          </w:tcPr>
          <w:p w14:paraId="2CF7C2A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67</w:t>
            </w:r>
          </w:p>
        </w:tc>
        <w:tc>
          <w:tcPr>
            <w:tcW w:w="169" w:type="pct"/>
            <w:shd w:val="clear" w:color="auto" w:fill="FFFFFF"/>
            <w:tcMar>
              <w:top w:w="0" w:type="dxa"/>
              <w:left w:w="0" w:type="dxa"/>
              <w:bottom w:w="0" w:type="dxa"/>
              <w:right w:w="0" w:type="dxa"/>
            </w:tcMar>
            <w:vAlign w:val="center"/>
          </w:tcPr>
          <w:p w14:paraId="315CC832">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71</w:t>
            </w:r>
          </w:p>
        </w:tc>
        <w:tc>
          <w:tcPr>
            <w:tcW w:w="174" w:type="pct"/>
            <w:shd w:val="clear" w:color="auto" w:fill="FFFFFF"/>
            <w:tcMar>
              <w:top w:w="0" w:type="dxa"/>
              <w:left w:w="0" w:type="dxa"/>
              <w:bottom w:w="0" w:type="dxa"/>
              <w:right w:w="0" w:type="dxa"/>
            </w:tcMar>
            <w:vAlign w:val="center"/>
          </w:tcPr>
          <w:p w14:paraId="24CABF7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69</w:t>
            </w:r>
          </w:p>
        </w:tc>
        <w:tc>
          <w:tcPr>
            <w:tcW w:w="149" w:type="pct"/>
            <w:vMerge w:val="continue"/>
            <w:shd w:val="clear" w:color="auto" w:fill="FFFFFF"/>
            <w:tcMar>
              <w:top w:w="0" w:type="dxa"/>
              <w:left w:w="0" w:type="dxa"/>
              <w:bottom w:w="0" w:type="dxa"/>
              <w:right w:w="0" w:type="dxa"/>
            </w:tcMar>
            <w:vAlign w:val="center"/>
          </w:tcPr>
          <w:p w14:paraId="595E015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77FC3BE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5FAE96F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7BD0FB5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64E6CC2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7BD06C5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493" w:type="dxa"/>
            <w:shd w:val="clear" w:color="auto" w:fill="FFFFFF"/>
            <w:tcMar>
              <w:top w:w="0" w:type="dxa"/>
              <w:left w:w="0" w:type="dxa"/>
              <w:bottom w:w="0" w:type="dxa"/>
              <w:right w:w="0" w:type="dxa"/>
            </w:tcMar>
            <w:vAlign w:val="center"/>
          </w:tcPr>
          <w:p w14:paraId="3117135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493" w:type="dxa"/>
            <w:shd w:val="clear" w:color="auto" w:fill="FFFFFF"/>
            <w:tcMar>
              <w:top w:w="0" w:type="dxa"/>
              <w:left w:w="0" w:type="dxa"/>
              <w:bottom w:w="0" w:type="dxa"/>
              <w:right w:w="0" w:type="dxa"/>
            </w:tcMar>
            <w:vAlign w:val="center"/>
          </w:tcPr>
          <w:p w14:paraId="35C747B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51</w:t>
            </w:r>
          </w:p>
        </w:tc>
        <w:tc>
          <w:tcPr>
            <w:tcW w:w="493" w:type="dxa"/>
            <w:shd w:val="clear" w:color="auto" w:fill="FFFFFF"/>
            <w:tcMar>
              <w:top w:w="0" w:type="dxa"/>
              <w:left w:w="0" w:type="dxa"/>
              <w:bottom w:w="0" w:type="dxa"/>
              <w:right w:w="0" w:type="dxa"/>
            </w:tcMar>
            <w:vAlign w:val="center"/>
          </w:tcPr>
          <w:p w14:paraId="53B435B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49</w:t>
            </w:r>
          </w:p>
        </w:tc>
        <w:tc>
          <w:tcPr>
            <w:tcW w:w="264" w:type="pct"/>
            <w:shd w:val="clear" w:color="auto" w:fill="FFFFFF"/>
            <w:tcMar>
              <w:top w:w="0" w:type="dxa"/>
              <w:left w:w="0" w:type="dxa"/>
              <w:bottom w:w="0" w:type="dxa"/>
              <w:right w:w="0" w:type="dxa"/>
            </w:tcMar>
            <w:vAlign w:val="center"/>
          </w:tcPr>
          <w:p w14:paraId="2127567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r>
      <w:tr w14:paraId="0C6321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9" w:hRule="atLeast"/>
          <w:jc w:val="center"/>
        </w:trPr>
        <w:tc>
          <w:tcPr>
            <w:tcW w:w="149" w:type="pct"/>
            <w:shd w:val="clear" w:color="auto" w:fill="FFFFFF"/>
            <w:tcMar>
              <w:top w:w="0" w:type="dxa"/>
              <w:left w:w="0" w:type="dxa"/>
              <w:bottom w:w="0" w:type="dxa"/>
              <w:right w:w="0" w:type="dxa"/>
            </w:tcMar>
            <w:vAlign w:val="center"/>
          </w:tcPr>
          <w:p w14:paraId="694BFD0D">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182" w:type="pct"/>
            <w:vMerge w:val="continue"/>
            <w:shd w:val="clear" w:color="auto" w:fill="FFFFFF"/>
            <w:tcMar>
              <w:top w:w="0" w:type="dxa"/>
              <w:left w:w="0" w:type="dxa"/>
              <w:bottom w:w="0" w:type="dxa"/>
              <w:right w:w="0" w:type="dxa"/>
            </w:tcMar>
            <w:vAlign w:val="center"/>
          </w:tcPr>
          <w:p w14:paraId="54E642B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3731347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7CF7884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1DD6E74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185" w:type="pct"/>
            <w:vMerge w:val="continue"/>
            <w:shd w:val="clear" w:color="auto" w:fill="FFFFFF"/>
            <w:tcMar>
              <w:top w:w="0" w:type="dxa"/>
              <w:left w:w="0" w:type="dxa"/>
              <w:bottom w:w="0" w:type="dxa"/>
              <w:right w:w="0" w:type="dxa"/>
            </w:tcMar>
            <w:vAlign w:val="center"/>
          </w:tcPr>
          <w:p w14:paraId="54E105F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4AA1B3F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206" w:type="pct"/>
            <w:shd w:val="clear" w:color="auto" w:fill="FFFFFF"/>
            <w:tcMar>
              <w:top w:w="0" w:type="dxa"/>
              <w:left w:w="0" w:type="dxa"/>
              <w:bottom w:w="0" w:type="dxa"/>
              <w:right w:w="0" w:type="dxa"/>
            </w:tcMar>
            <w:vAlign w:val="center"/>
          </w:tcPr>
          <w:p w14:paraId="5C9130A0">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211" w:type="pct"/>
            <w:shd w:val="clear" w:color="auto" w:fill="FFFFFF"/>
            <w:tcMar>
              <w:top w:w="0" w:type="dxa"/>
              <w:left w:w="0" w:type="dxa"/>
              <w:bottom w:w="0" w:type="dxa"/>
              <w:right w:w="0" w:type="dxa"/>
            </w:tcMar>
            <w:vAlign w:val="center"/>
          </w:tcPr>
          <w:p w14:paraId="747ED121">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w:t>
            </w:r>
          </w:p>
        </w:tc>
        <w:tc>
          <w:tcPr>
            <w:tcW w:w="169" w:type="pct"/>
            <w:shd w:val="clear" w:color="auto" w:fill="FFFFFF"/>
            <w:tcMar>
              <w:top w:w="0" w:type="dxa"/>
              <w:left w:w="0" w:type="dxa"/>
              <w:bottom w:w="0" w:type="dxa"/>
              <w:right w:w="0" w:type="dxa"/>
            </w:tcMar>
            <w:vAlign w:val="center"/>
          </w:tcPr>
          <w:p w14:paraId="4B1B6783">
            <w:pPr>
              <w:spacing w:line="276" w:lineRule="auto"/>
              <w:jc w:val="center"/>
              <w:rPr>
                <w:rFonts w:hint="eastAsia"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105</w:t>
            </w:r>
          </w:p>
        </w:tc>
        <w:tc>
          <w:tcPr>
            <w:tcW w:w="169" w:type="pct"/>
            <w:shd w:val="clear" w:color="auto" w:fill="FFFFFF"/>
            <w:tcMar>
              <w:top w:w="0" w:type="dxa"/>
              <w:left w:w="0" w:type="dxa"/>
              <w:bottom w:w="0" w:type="dxa"/>
              <w:right w:w="0" w:type="dxa"/>
            </w:tcMar>
            <w:vAlign w:val="center"/>
          </w:tcPr>
          <w:p w14:paraId="2726EF07">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169" w:type="pct"/>
            <w:shd w:val="clear" w:color="auto" w:fill="FFFFFF"/>
            <w:tcMar>
              <w:top w:w="0" w:type="dxa"/>
              <w:left w:w="0" w:type="dxa"/>
              <w:bottom w:w="0" w:type="dxa"/>
              <w:right w:w="0" w:type="dxa"/>
            </w:tcMar>
            <w:vAlign w:val="center"/>
          </w:tcPr>
          <w:p w14:paraId="54F18624">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180" w:type="pct"/>
            <w:shd w:val="clear" w:color="auto" w:fill="FFFFFF"/>
            <w:tcMar>
              <w:top w:w="0" w:type="dxa"/>
              <w:left w:w="0" w:type="dxa"/>
              <w:bottom w:w="0" w:type="dxa"/>
              <w:right w:w="0" w:type="dxa"/>
            </w:tcMar>
            <w:vAlign w:val="center"/>
          </w:tcPr>
          <w:p w14:paraId="6EE53472">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40</w:t>
            </w:r>
          </w:p>
        </w:tc>
        <w:tc>
          <w:tcPr>
            <w:tcW w:w="169" w:type="pct"/>
            <w:shd w:val="clear" w:color="auto" w:fill="FFFFFF"/>
            <w:tcMar>
              <w:top w:w="0" w:type="dxa"/>
              <w:left w:w="0" w:type="dxa"/>
              <w:bottom w:w="0" w:type="dxa"/>
              <w:right w:w="0" w:type="dxa"/>
            </w:tcMar>
            <w:vAlign w:val="center"/>
          </w:tcPr>
          <w:p w14:paraId="0FCBDFA1">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65</w:t>
            </w:r>
          </w:p>
        </w:tc>
        <w:tc>
          <w:tcPr>
            <w:tcW w:w="169" w:type="pct"/>
            <w:shd w:val="clear" w:color="auto" w:fill="FFFFFF"/>
            <w:tcMar>
              <w:top w:w="0" w:type="dxa"/>
              <w:left w:w="0" w:type="dxa"/>
              <w:bottom w:w="0" w:type="dxa"/>
              <w:right w:w="0" w:type="dxa"/>
            </w:tcMar>
            <w:vAlign w:val="center"/>
          </w:tcPr>
          <w:p w14:paraId="0DF350F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67</w:t>
            </w:r>
          </w:p>
        </w:tc>
        <w:tc>
          <w:tcPr>
            <w:tcW w:w="169" w:type="pct"/>
            <w:shd w:val="clear" w:color="auto" w:fill="FFFFFF"/>
            <w:tcMar>
              <w:top w:w="0" w:type="dxa"/>
              <w:left w:w="0" w:type="dxa"/>
              <w:bottom w:w="0" w:type="dxa"/>
              <w:right w:w="0" w:type="dxa"/>
            </w:tcMar>
            <w:vAlign w:val="center"/>
          </w:tcPr>
          <w:p w14:paraId="7C5ADBF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71</w:t>
            </w:r>
          </w:p>
        </w:tc>
        <w:tc>
          <w:tcPr>
            <w:tcW w:w="174" w:type="pct"/>
            <w:shd w:val="clear" w:color="auto" w:fill="FFFFFF"/>
            <w:tcMar>
              <w:top w:w="0" w:type="dxa"/>
              <w:left w:w="0" w:type="dxa"/>
              <w:bottom w:w="0" w:type="dxa"/>
              <w:right w:w="0" w:type="dxa"/>
            </w:tcMar>
            <w:vAlign w:val="center"/>
          </w:tcPr>
          <w:p w14:paraId="7E0C6BE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69</w:t>
            </w:r>
          </w:p>
        </w:tc>
        <w:tc>
          <w:tcPr>
            <w:tcW w:w="149" w:type="pct"/>
            <w:vMerge w:val="continue"/>
            <w:shd w:val="clear" w:color="auto" w:fill="FFFFFF"/>
            <w:tcMar>
              <w:top w:w="0" w:type="dxa"/>
              <w:left w:w="0" w:type="dxa"/>
              <w:bottom w:w="0" w:type="dxa"/>
              <w:right w:w="0" w:type="dxa"/>
            </w:tcMar>
            <w:vAlign w:val="center"/>
          </w:tcPr>
          <w:p w14:paraId="7E8A3FB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310AC0E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567570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6231622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2226F5A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0D4A5C7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493" w:type="dxa"/>
            <w:shd w:val="clear" w:color="auto" w:fill="FFFFFF"/>
            <w:tcMar>
              <w:top w:w="0" w:type="dxa"/>
              <w:left w:w="0" w:type="dxa"/>
              <w:bottom w:w="0" w:type="dxa"/>
              <w:right w:w="0" w:type="dxa"/>
            </w:tcMar>
            <w:vAlign w:val="center"/>
          </w:tcPr>
          <w:p w14:paraId="2329337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493" w:type="dxa"/>
            <w:shd w:val="clear" w:color="auto" w:fill="FFFFFF"/>
            <w:tcMar>
              <w:top w:w="0" w:type="dxa"/>
              <w:left w:w="0" w:type="dxa"/>
              <w:bottom w:w="0" w:type="dxa"/>
              <w:right w:w="0" w:type="dxa"/>
            </w:tcMar>
            <w:vAlign w:val="center"/>
          </w:tcPr>
          <w:p w14:paraId="05FEC32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51</w:t>
            </w:r>
          </w:p>
        </w:tc>
        <w:tc>
          <w:tcPr>
            <w:tcW w:w="493" w:type="dxa"/>
            <w:shd w:val="clear" w:color="auto" w:fill="FFFFFF"/>
            <w:tcMar>
              <w:top w:w="0" w:type="dxa"/>
              <w:left w:w="0" w:type="dxa"/>
              <w:bottom w:w="0" w:type="dxa"/>
              <w:right w:w="0" w:type="dxa"/>
            </w:tcMar>
            <w:vAlign w:val="center"/>
          </w:tcPr>
          <w:p w14:paraId="59DE505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49</w:t>
            </w:r>
          </w:p>
        </w:tc>
        <w:tc>
          <w:tcPr>
            <w:tcW w:w="264" w:type="pct"/>
            <w:shd w:val="clear" w:color="auto" w:fill="FFFFFF"/>
            <w:tcMar>
              <w:top w:w="0" w:type="dxa"/>
              <w:left w:w="0" w:type="dxa"/>
              <w:bottom w:w="0" w:type="dxa"/>
              <w:right w:w="0" w:type="dxa"/>
            </w:tcMar>
            <w:vAlign w:val="center"/>
          </w:tcPr>
          <w:p w14:paraId="4D083AD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r>
      <w:tr w14:paraId="0C211B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9" w:hRule="atLeast"/>
          <w:jc w:val="center"/>
        </w:trPr>
        <w:tc>
          <w:tcPr>
            <w:tcW w:w="149" w:type="pct"/>
            <w:shd w:val="clear" w:color="auto" w:fill="FFFFFF"/>
            <w:tcMar>
              <w:top w:w="0" w:type="dxa"/>
              <w:left w:w="0" w:type="dxa"/>
              <w:bottom w:w="0" w:type="dxa"/>
              <w:right w:w="0" w:type="dxa"/>
            </w:tcMar>
            <w:vAlign w:val="center"/>
          </w:tcPr>
          <w:p w14:paraId="0120F5C9">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182" w:type="pct"/>
            <w:vMerge w:val="continue"/>
            <w:shd w:val="clear" w:color="auto" w:fill="FFFFFF"/>
            <w:tcMar>
              <w:top w:w="0" w:type="dxa"/>
              <w:left w:w="0" w:type="dxa"/>
              <w:bottom w:w="0" w:type="dxa"/>
              <w:right w:w="0" w:type="dxa"/>
            </w:tcMar>
            <w:vAlign w:val="center"/>
          </w:tcPr>
          <w:p w14:paraId="49F5504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03C3F38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047B584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0339735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185" w:type="pct"/>
            <w:vMerge w:val="continue"/>
            <w:shd w:val="clear" w:color="auto" w:fill="FFFFFF"/>
            <w:tcMar>
              <w:top w:w="0" w:type="dxa"/>
              <w:left w:w="0" w:type="dxa"/>
              <w:bottom w:w="0" w:type="dxa"/>
              <w:right w:w="0" w:type="dxa"/>
            </w:tcMar>
            <w:vAlign w:val="center"/>
          </w:tcPr>
          <w:p w14:paraId="7F89EAA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7DA342C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206" w:type="pct"/>
            <w:shd w:val="clear" w:color="auto" w:fill="FFFFFF"/>
            <w:tcMar>
              <w:top w:w="0" w:type="dxa"/>
              <w:left w:w="0" w:type="dxa"/>
              <w:bottom w:w="0" w:type="dxa"/>
              <w:right w:w="0" w:type="dxa"/>
            </w:tcMar>
            <w:vAlign w:val="center"/>
          </w:tcPr>
          <w:p w14:paraId="6F8D2233">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12</w:t>
            </w:r>
          </w:p>
        </w:tc>
        <w:tc>
          <w:tcPr>
            <w:tcW w:w="211" w:type="pct"/>
            <w:shd w:val="clear" w:color="auto" w:fill="FFFFFF"/>
            <w:tcMar>
              <w:top w:w="0" w:type="dxa"/>
              <w:left w:w="0" w:type="dxa"/>
              <w:bottom w:w="0" w:type="dxa"/>
              <w:right w:w="0" w:type="dxa"/>
            </w:tcMar>
            <w:vAlign w:val="center"/>
          </w:tcPr>
          <w:p w14:paraId="59664AA6">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w:t>
            </w:r>
          </w:p>
        </w:tc>
        <w:tc>
          <w:tcPr>
            <w:tcW w:w="169" w:type="pct"/>
            <w:shd w:val="clear" w:color="auto" w:fill="FFFFFF"/>
            <w:tcMar>
              <w:top w:w="0" w:type="dxa"/>
              <w:left w:w="0" w:type="dxa"/>
              <w:bottom w:w="0" w:type="dxa"/>
              <w:right w:w="0" w:type="dxa"/>
            </w:tcMar>
            <w:vAlign w:val="center"/>
          </w:tcPr>
          <w:p w14:paraId="1BF67D48">
            <w:pPr>
              <w:spacing w:line="276" w:lineRule="auto"/>
              <w:jc w:val="center"/>
              <w:rPr>
                <w:rFonts w:hint="eastAsia"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105</w:t>
            </w:r>
          </w:p>
        </w:tc>
        <w:tc>
          <w:tcPr>
            <w:tcW w:w="169" w:type="pct"/>
            <w:shd w:val="clear" w:color="auto" w:fill="FFFFFF"/>
            <w:tcMar>
              <w:top w:w="0" w:type="dxa"/>
              <w:left w:w="0" w:type="dxa"/>
              <w:bottom w:w="0" w:type="dxa"/>
              <w:right w:w="0" w:type="dxa"/>
            </w:tcMar>
            <w:vAlign w:val="center"/>
          </w:tcPr>
          <w:p w14:paraId="2B6C4D40">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67</w:t>
            </w:r>
          </w:p>
        </w:tc>
        <w:tc>
          <w:tcPr>
            <w:tcW w:w="169" w:type="pct"/>
            <w:shd w:val="clear" w:color="auto" w:fill="FFFFFF"/>
            <w:tcMar>
              <w:top w:w="0" w:type="dxa"/>
              <w:left w:w="0" w:type="dxa"/>
              <w:bottom w:w="0" w:type="dxa"/>
              <w:right w:w="0" w:type="dxa"/>
            </w:tcMar>
            <w:vAlign w:val="center"/>
          </w:tcPr>
          <w:p w14:paraId="4B0875D5">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180" w:type="pct"/>
            <w:shd w:val="clear" w:color="auto" w:fill="FFFFFF"/>
            <w:tcMar>
              <w:top w:w="0" w:type="dxa"/>
              <w:left w:w="0" w:type="dxa"/>
              <w:bottom w:w="0" w:type="dxa"/>
              <w:right w:w="0" w:type="dxa"/>
            </w:tcMar>
            <w:vAlign w:val="center"/>
          </w:tcPr>
          <w:p w14:paraId="3CBFEE98">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43</w:t>
            </w:r>
          </w:p>
        </w:tc>
        <w:tc>
          <w:tcPr>
            <w:tcW w:w="169" w:type="pct"/>
            <w:shd w:val="clear" w:color="auto" w:fill="FFFFFF"/>
            <w:tcMar>
              <w:top w:w="0" w:type="dxa"/>
              <w:left w:w="0" w:type="dxa"/>
              <w:bottom w:w="0" w:type="dxa"/>
              <w:right w:w="0" w:type="dxa"/>
            </w:tcMar>
            <w:vAlign w:val="center"/>
          </w:tcPr>
          <w:p w14:paraId="5D5FDF61">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65</w:t>
            </w:r>
          </w:p>
        </w:tc>
        <w:tc>
          <w:tcPr>
            <w:tcW w:w="169" w:type="pct"/>
            <w:shd w:val="clear" w:color="auto" w:fill="FFFFFF"/>
            <w:tcMar>
              <w:top w:w="0" w:type="dxa"/>
              <w:left w:w="0" w:type="dxa"/>
              <w:bottom w:w="0" w:type="dxa"/>
              <w:right w:w="0" w:type="dxa"/>
            </w:tcMar>
            <w:vAlign w:val="center"/>
          </w:tcPr>
          <w:p w14:paraId="1081FAD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67</w:t>
            </w:r>
          </w:p>
        </w:tc>
        <w:tc>
          <w:tcPr>
            <w:tcW w:w="169" w:type="pct"/>
            <w:shd w:val="clear" w:color="auto" w:fill="FFFFFF"/>
            <w:tcMar>
              <w:top w:w="0" w:type="dxa"/>
              <w:left w:w="0" w:type="dxa"/>
              <w:bottom w:w="0" w:type="dxa"/>
              <w:right w:w="0" w:type="dxa"/>
            </w:tcMar>
            <w:vAlign w:val="center"/>
          </w:tcPr>
          <w:p w14:paraId="426F2B7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71</w:t>
            </w:r>
          </w:p>
        </w:tc>
        <w:tc>
          <w:tcPr>
            <w:tcW w:w="174" w:type="pct"/>
            <w:shd w:val="clear" w:color="auto" w:fill="FFFFFF"/>
            <w:tcMar>
              <w:top w:w="0" w:type="dxa"/>
              <w:left w:w="0" w:type="dxa"/>
              <w:bottom w:w="0" w:type="dxa"/>
              <w:right w:w="0" w:type="dxa"/>
            </w:tcMar>
            <w:vAlign w:val="center"/>
          </w:tcPr>
          <w:p w14:paraId="3CDF0A3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69</w:t>
            </w:r>
          </w:p>
        </w:tc>
        <w:tc>
          <w:tcPr>
            <w:tcW w:w="149" w:type="pct"/>
            <w:vMerge w:val="continue"/>
            <w:shd w:val="clear" w:color="auto" w:fill="FFFFFF"/>
            <w:tcMar>
              <w:top w:w="0" w:type="dxa"/>
              <w:left w:w="0" w:type="dxa"/>
              <w:bottom w:w="0" w:type="dxa"/>
              <w:right w:w="0" w:type="dxa"/>
            </w:tcMar>
            <w:vAlign w:val="center"/>
          </w:tcPr>
          <w:p w14:paraId="3B64B33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34F22BA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5430CC1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757D92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5167CE8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1EEEADD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493" w:type="dxa"/>
            <w:shd w:val="clear" w:color="auto" w:fill="FFFFFF"/>
            <w:tcMar>
              <w:top w:w="0" w:type="dxa"/>
              <w:left w:w="0" w:type="dxa"/>
              <w:bottom w:w="0" w:type="dxa"/>
              <w:right w:w="0" w:type="dxa"/>
            </w:tcMar>
            <w:vAlign w:val="center"/>
          </w:tcPr>
          <w:p w14:paraId="4CEDF9F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493" w:type="dxa"/>
            <w:shd w:val="clear" w:color="auto" w:fill="FFFFFF"/>
            <w:tcMar>
              <w:top w:w="0" w:type="dxa"/>
              <w:left w:w="0" w:type="dxa"/>
              <w:bottom w:w="0" w:type="dxa"/>
              <w:right w:w="0" w:type="dxa"/>
            </w:tcMar>
            <w:vAlign w:val="center"/>
          </w:tcPr>
          <w:p w14:paraId="0172748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51</w:t>
            </w:r>
          </w:p>
        </w:tc>
        <w:tc>
          <w:tcPr>
            <w:tcW w:w="493" w:type="dxa"/>
            <w:shd w:val="clear" w:color="auto" w:fill="FFFFFF"/>
            <w:tcMar>
              <w:top w:w="0" w:type="dxa"/>
              <w:left w:w="0" w:type="dxa"/>
              <w:bottom w:w="0" w:type="dxa"/>
              <w:right w:w="0" w:type="dxa"/>
            </w:tcMar>
            <w:vAlign w:val="center"/>
          </w:tcPr>
          <w:p w14:paraId="53A3BD8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49</w:t>
            </w:r>
          </w:p>
        </w:tc>
        <w:tc>
          <w:tcPr>
            <w:tcW w:w="264" w:type="pct"/>
            <w:shd w:val="clear" w:color="auto" w:fill="FFFFFF"/>
            <w:tcMar>
              <w:top w:w="0" w:type="dxa"/>
              <w:left w:w="0" w:type="dxa"/>
              <w:bottom w:w="0" w:type="dxa"/>
              <w:right w:w="0" w:type="dxa"/>
            </w:tcMar>
            <w:vAlign w:val="center"/>
          </w:tcPr>
          <w:p w14:paraId="4766AE6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r>
      <w:tr w14:paraId="503EE9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9" w:hRule="atLeast"/>
          <w:jc w:val="center"/>
        </w:trPr>
        <w:tc>
          <w:tcPr>
            <w:tcW w:w="149" w:type="pct"/>
            <w:shd w:val="clear" w:color="auto" w:fill="FFFFFF"/>
            <w:tcMar>
              <w:top w:w="0" w:type="dxa"/>
              <w:left w:w="0" w:type="dxa"/>
              <w:bottom w:w="0" w:type="dxa"/>
              <w:right w:w="0" w:type="dxa"/>
            </w:tcMar>
            <w:vAlign w:val="center"/>
          </w:tcPr>
          <w:p w14:paraId="53C50B0C">
            <w:pPr>
              <w:spacing w:line="276" w:lineRule="auto"/>
              <w:jc w:val="center"/>
              <w:rPr>
                <w:rFonts w:hint="eastAsia"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182" w:type="pct"/>
            <w:vMerge w:val="continue"/>
            <w:shd w:val="clear" w:color="auto" w:fill="FFFFFF"/>
            <w:tcMar>
              <w:top w:w="0" w:type="dxa"/>
              <w:left w:w="0" w:type="dxa"/>
              <w:bottom w:w="0" w:type="dxa"/>
              <w:right w:w="0" w:type="dxa"/>
            </w:tcMar>
            <w:vAlign w:val="center"/>
          </w:tcPr>
          <w:p w14:paraId="24FB2EF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vMerge w:val="continue"/>
            <w:shd w:val="clear" w:color="auto" w:fill="FFFFFF"/>
            <w:tcMar>
              <w:top w:w="0" w:type="dxa"/>
              <w:left w:w="0" w:type="dxa"/>
              <w:bottom w:w="0" w:type="dxa"/>
              <w:right w:w="0" w:type="dxa"/>
            </w:tcMar>
            <w:vAlign w:val="center"/>
          </w:tcPr>
          <w:p w14:paraId="3811E3E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30" w:type="pct"/>
            <w:vMerge w:val="continue"/>
            <w:shd w:val="clear" w:color="auto" w:fill="FFFFFF"/>
            <w:tcMar>
              <w:top w:w="0" w:type="dxa"/>
              <w:left w:w="0" w:type="dxa"/>
              <w:bottom w:w="0" w:type="dxa"/>
              <w:right w:w="0" w:type="dxa"/>
            </w:tcMar>
            <w:vAlign w:val="center"/>
          </w:tcPr>
          <w:p w14:paraId="1590532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8" w:type="pct"/>
            <w:shd w:val="clear" w:color="auto" w:fill="FFFFFF"/>
            <w:tcMar>
              <w:top w:w="0" w:type="dxa"/>
              <w:left w:w="0" w:type="dxa"/>
              <w:bottom w:w="0" w:type="dxa"/>
              <w:right w:w="0" w:type="dxa"/>
            </w:tcMar>
            <w:vAlign w:val="center"/>
          </w:tcPr>
          <w:p w14:paraId="05EF118E">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185" w:type="pct"/>
            <w:vMerge w:val="continue"/>
            <w:shd w:val="clear" w:color="auto" w:fill="FFFFFF"/>
            <w:tcMar>
              <w:top w:w="0" w:type="dxa"/>
              <w:left w:w="0" w:type="dxa"/>
              <w:bottom w:w="0" w:type="dxa"/>
              <w:right w:w="0" w:type="dxa"/>
            </w:tcMar>
            <w:vAlign w:val="center"/>
          </w:tcPr>
          <w:p w14:paraId="22D57AC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70400288">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206" w:type="pct"/>
            <w:shd w:val="clear" w:color="auto" w:fill="FFFFFF"/>
            <w:tcMar>
              <w:top w:w="0" w:type="dxa"/>
              <w:left w:w="0" w:type="dxa"/>
              <w:bottom w:w="0" w:type="dxa"/>
              <w:right w:w="0" w:type="dxa"/>
            </w:tcMar>
            <w:vAlign w:val="center"/>
          </w:tcPr>
          <w:p w14:paraId="3D2C5BE0">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w:t>
            </w:r>
          </w:p>
        </w:tc>
        <w:tc>
          <w:tcPr>
            <w:tcW w:w="211" w:type="pct"/>
            <w:shd w:val="clear" w:color="auto" w:fill="FFFFFF"/>
            <w:tcMar>
              <w:top w:w="0" w:type="dxa"/>
              <w:left w:w="0" w:type="dxa"/>
              <w:bottom w:w="0" w:type="dxa"/>
              <w:right w:w="0" w:type="dxa"/>
            </w:tcMar>
            <w:vAlign w:val="center"/>
          </w:tcPr>
          <w:p w14:paraId="1AEAA50A">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w:t>
            </w:r>
          </w:p>
        </w:tc>
        <w:tc>
          <w:tcPr>
            <w:tcW w:w="169" w:type="pct"/>
            <w:shd w:val="clear" w:color="auto" w:fill="FFFFFF"/>
            <w:tcMar>
              <w:top w:w="0" w:type="dxa"/>
              <w:left w:w="0" w:type="dxa"/>
              <w:bottom w:w="0" w:type="dxa"/>
              <w:right w:w="0" w:type="dxa"/>
            </w:tcMar>
            <w:vAlign w:val="center"/>
          </w:tcPr>
          <w:p w14:paraId="100A86AC">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105</w:t>
            </w:r>
          </w:p>
        </w:tc>
        <w:tc>
          <w:tcPr>
            <w:tcW w:w="169" w:type="pct"/>
            <w:shd w:val="clear" w:color="auto" w:fill="FFFFFF"/>
            <w:tcMar>
              <w:top w:w="0" w:type="dxa"/>
              <w:left w:w="0" w:type="dxa"/>
              <w:bottom w:w="0" w:type="dxa"/>
              <w:right w:w="0" w:type="dxa"/>
            </w:tcMar>
            <w:vAlign w:val="center"/>
          </w:tcPr>
          <w:p w14:paraId="736D4947">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64</w:t>
            </w:r>
          </w:p>
        </w:tc>
        <w:tc>
          <w:tcPr>
            <w:tcW w:w="169" w:type="pct"/>
            <w:shd w:val="clear" w:color="auto" w:fill="FFFFFF"/>
            <w:tcMar>
              <w:top w:w="0" w:type="dxa"/>
              <w:left w:w="0" w:type="dxa"/>
              <w:bottom w:w="0" w:type="dxa"/>
              <w:right w:w="0" w:type="dxa"/>
            </w:tcMar>
            <w:vAlign w:val="center"/>
          </w:tcPr>
          <w:p w14:paraId="65468FFF">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w:t>
            </w:r>
          </w:p>
        </w:tc>
        <w:tc>
          <w:tcPr>
            <w:tcW w:w="180" w:type="pct"/>
            <w:shd w:val="clear" w:color="auto" w:fill="FFFFFF"/>
            <w:tcMar>
              <w:top w:w="0" w:type="dxa"/>
              <w:left w:w="0" w:type="dxa"/>
              <w:bottom w:w="0" w:type="dxa"/>
              <w:right w:w="0" w:type="dxa"/>
            </w:tcMar>
            <w:vAlign w:val="center"/>
          </w:tcPr>
          <w:p w14:paraId="11B84E1D">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169" w:type="pct"/>
            <w:shd w:val="clear" w:color="auto" w:fill="FFFFFF"/>
            <w:tcMar>
              <w:top w:w="0" w:type="dxa"/>
              <w:left w:w="0" w:type="dxa"/>
              <w:bottom w:w="0" w:type="dxa"/>
              <w:right w:w="0" w:type="dxa"/>
            </w:tcMar>
            <w:vAlign w:val="center"/>
          </w:tcPr>
          <w:p w14:paraId="5E5F999D">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65</w:t>
            </w:r>
          </w:p>
        </w:tc>
        <w:tc>
          <w:tcPr>
            <w:tcW w:w="169" w:type="pct"/>
            <w:shd w:val="clear" w:color="auto" w:fill="FFFFFF"/>
            <w:tcMar>
              <w:top w:w="0" w:type="dxa"/>
              <w:left w:w="0" w:type="dxa"/>
              <w:bottom w:w="0" w:type="dxa"/>
              <w:right w:w="0" w:type="dxa"/>
            </w:tcMar>
            <w:vAlign w:val="center"/>
          </w:tcPr>
          <w:p w14:paraId="0EC92540">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67</w:t>
            </w:r>
          </w:p>
        </w:tc>
        <w:tc>
          <w:tcPr>
            <w:tcW w:w="169" w:type="pct"/>
            <w:shd w:val="clear" w:color="auto" w:fill="FFFFFF"/>
            <w:tcMar>
              <w:top w:w="0" w:type="dxa"/>
              <w:left w:w="0" w:type="dxa"/>
              <w:bottom w:w="0" w:type="dxa"/>
              <w:right w:w="0" w:type="dxa"/>
            </w:tcMar>
            <w:vAlign w:val="center"/>
          </w:tcPr>
          <w:p w14:paraId="122F5120">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71</w:t>
            </w:r>
          </w:p>
        </w:tc>
        <w:tc>
          <w:tcPr>
            <w:tcW w:w="174" w:type="pct"/>
            <w:shd w:val="clear" w:color="auto" w:fill="FFFFFF"/>
            <w:tcMar>
              <w:top w:w="0" w:type="dxa"/>
              <w:left w:w="0" w:type="dxa"/>
              <w:bottom w:w="0" w:type="dxa"/>
              <w:right w:w="0" w:type="dxa"/>
            </w:tcMar>
            <w:vAlign w:val="center"/>
          </w:tcPr>
          <w:p w14:paraId="66D28B68">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69</w:t>
            </w:r>
          </w:p>
        </w:tc>
        <w:tc>
          <w:tcPr>
            <w:tcW w:w="149" w:type="pct"/>
            <w:vMerge w:val="continue"/>
            <w:shd w:val="clear" w:color="auto" w:fill="FFFFFF"/>
            <w:tcMar>
              <w:top w:w="0" w:type="dxa"/>
              <w:left w:w="0" w:type="dxa"/>
              <w:bottom w:w="0" w:type="dxa"/>
              <w:right w:w="0" w:type="dxa"/>
            </w:tcMar>
            <w:vAlign w:val="center"/>
          </w:tcPr>
          <w:p w14:paraId="2AF5C81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4F81A71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756EDAB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5E5E6E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32B12BB9">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93" w:type="dxa"/>
            <w:shd w:val="clear" w:color="auto" w:fill="FFFFFF"/>
            <w:tcMar>
              <w:top w:w="0" w:type="dxa"/>
              <w:left w:w="0" w:type="dxa"/>
              <w:bottom w:w="0" w:type="dxa"/>
              <w:right w:w="0" w:type="dxa"/>
            </w:tcMar>
            <w:vAlign w:val="center"/>
          </w:tcPr>
          <w:p w14:paraId="0FCDBBCB">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493" w:type="dxa"/>
            <w:shd w:val="clear" w:color="auto" w:fill="FFFFFF"/>
            <w:tcMar>
              <w:top w:w="0" w:type="dxa"/>
              <w:left w:w="0" w:type="dxa"/>
              <w:bottom w:w="0" w:type="dxa"/>
              <w:right w:w="0" w:type="dxa"/>
            </w:tcMar>
            <w:vAlign w:val="center"/>
          </w:tcPr>
          <w:p w14:paraId="2207E59D">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493" w:type="dxa"/>
            <w:shd w:val="clear" w:color="auto" w:fill="FFFFFF"/>
            <w:tcMar>
              <w:top w:w="0" w:type="dxa"/>
              <w:left w:w="0" w:type="dxa"/>
              <w:bottom w:w="0" w:type="dxa"/>
              <w:right w:w="0" w:type="dxa"/>
            </w:tcMar>
            <w:vAlign w:val="center"/>
          </w:tcPr>
          <w:p w14:paraId="2540FBC2">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51</w:t>
            </w:r>
          </w:p>
        </w:tc>
        <w:tc>
          <w:tcPr>
            <w:tcW w:w="493" w:type="dxa"/>
            <w:shd w:val="clear" w:color="auto" w:fill="FFFFFF"/>
            <w:tcMar>
              <w:top w:w="0" w:type="dxa"/>
              <w:left w:w="0" w:type="dxa"/>
              <w:bottom w:w="0" w:type="dxa"/>
              <w:right w:w="0" w:type="dxa"/>
            </w:tcMar>
            <w:vAlign w:val="center"/>
          </w:tcPr>
          <w:p w14:paraId="1C5A6C0C">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49</w:t>
            </w:r>
          </w:p>
        </w:tc>
        <w:tc>
          <w:tcPr>
            <w:tcW w:w="264" w:type="pct"/>
            <w:shd w:val="clear" w:color="auto" w:fill="FFFFFF"/>
            <w:tcMar>
              <w:top w:w="0" w:type="dxa"/>
              <w:left w:w="0" w:type="dxa"/>
              <w:bottom w:w="0" w:type="dxa"/>
              <w:right w:w="0" w:type="dxa"/>
            </w:tcMar>
            <w:vAlign w:val="center"/>
          </w:tcPr>
          <w:p w14:paraId="14AA5245">
            <w:pPr>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r>
      <w:tr w14:paraId="4B3D17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9" w:hRule="atLeast"/>
          <w:jc w:val="center"/>
        </w:trPr>
        <w:tc>
          <w:tcPr>
            <w:tcW w:w="149" w:type="pct"/>
            <w:shd w:val="clear" w:color="auto" w:fill="FFFFFF"/>
            <w:tcMar>
              <w:top w:w="0" w:type="dxa"/>
              <w:left w:w="0" w:type="dxa"/>
              <w:bottom w:w="0" w:type="dxa"/>
              <w:right w:w="0" w:type="dxa"/>
            </w:tcMar>
            <w:vAlign w:val="center"/>
          </w:tcPr>
          <w:p w14:paraId="5FFE0909">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w:t>
            </w:r>
          </w:p>
        </w:tc>
        <w:tc>
          <w:tcPr>
            <w:tcW w:w="182" w:type="pct"/>
            <w:vMerge w:val="continue"/>
            <w:shd w:val="clear" w:color="auto" w:fill="FFFFFF"/>
            <w:tcMar>
              <w:top w:w="0" w:type="dxa"/>
              <w:left w:w="0" w:type="dxa"/>
              <w:bottom w:w="0" w:type="dxa"/>
              <w:right w:w="0" w:type="dxa"/>
            </w:tcMar>
            <w:vAlign w:val="center"/>
          </w:tcPr>
          <w:p w14:paraId="2BD3D4F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shd w:val="clear" w:color="auto" w:fill="FFFFFF"/>
            <w:tcMar>
              <w:top w:w="0" w:type="dxa"/>
              <w:left w:w="0" w:type="dxa"/>
              <w:bottom w:w="0" w:type="dxa"/>
              <w:right w:w="0" w:type="dxa"/>
            </w:tcMar>
            <w:vAlign w:val="center"/>
          </w:tcPr>
          <w:p w14:paraId="4249570E">
            <w:pPr>
              <w:spacing w:line="276" w:lineRule="auto"/>
              <w:jc w:val="center"/>
              <w:rPr>
                <w:rFonts w:hint="eastAsia"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磨粉机</w:t>
            </w:r>
          </w:p>
        </w:tc>
        <w:tc>
          <w:tcPr>
            <w:tcW w:w="330" w:type="pct"/>
            <w:shd w:val="clear" w:color="auto" w:fill="FFFFFF"/>
            <w:tcMar>
              <w:top w:w="0" w:type="dxa"/>
              <w:left w:w="0" w:type="dxa"/>
              <w:bottom w:w="0" w:type="dxa"/>
              <w:right w:w="0" w:type="dxa"/>
            </w:tcMar>
            <w:vAlign w:val="center"/>
          </w:tcPr>
          <w:p w14:paraId="0A9D5F78">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218" w:type="pct"/>
            <w:shd w:val="clear" w:color="auto" w:fill="FFFFFF"/>
            <w:tcMar>
              <w:top w:w="0" w:type="dxa"/>
              <w:left w:w="0" w:type="dxa"/>
              <w:bottom w:w="0" w:type="dxa"/>
              <w:right w:w="0" w:type="dxa"/>
            </w:tcMar>
            <w:vAlign w:val="center"/>
          </w:tcPr>
          <w:p w14:paraId="0B416BE8">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185" w:type="pct"/>
            <w:vMerge w:val="continue"/>
            <w:shd w:val="clear" w:color="auto" w:fill="FFFFFF"/>
            <w:tcMar>
              <w:top w:w="0" w:type="dxa"/>
              <w:left w:w="0" w:type="dxa"/>
              <w:bottom w:w="0" w:type="dxa"/>
              <w:right w:w="0" w:type="dxa"/>
            </w:tcMar>
            <w:vAlign w:val="center"/>
          </w:tcPr>
          <w:p w14:paraId="16FEE26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5E5E1416">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p>
        </w:tc>
        <w:tc>
          <w:tcPr>
            <w:tcW w:w="206" w:type="pct"/>
            <w:shd w:val="clear" w:color="auto" w:fill="FFFFFF"/>
            <w:tcMar>
              <w:top w:w="0" w:type="dxa"/>
              <w:left w:w="0" w:type="dxa"/>
              <w:bottom w:w="0" w:type="dxa"/>
              <w:right w:w="0" w:type="dxa"/>
            </w:tcMar>
            <w:vAlign w:val="center"/>
          </w:tcPr>
          <w:p w14:paraId="421E397C">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30</w:t>
            </w:r>
          </w:p>
        </w:tc>
        <w:tc>
          <w:tcPr>
            <w:tcW w:w="211" w:type="pct"/>
            <w:shd w:val="clear" w:color="auto" w:fill="FFFFFF"/>
            <w:tcMar>
              <w:top w:w="0" w:type="dxa"/>
              <w:left w:w="0" w:type="dxa"/>
              <w:bottom w:w="0" w:type="dxa"/>
              <w:right w:w="0" w:type="dxa"/>
            </w:tcMar>
            <w:vAlign w:val="center"/>
          </w:tcPr>
          <w:p w14:paraId="0255C1A7">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w:t>
            </w:r>
          </w:p>
        </w:tc>
        <w:tc>
          <w:tcPr>
            <w:tcW w:w="169" w:type="pct"/>
            <w:shd w:val="clear" w:color="auto" w:fill="FFFFFF"/>
            <w:tcMar>
              <w:top w:w="0" w:type="dxa"/>
              <w:left w:w="0" w:type="dxa"/>
              <w:bottom w:w="0" w:type="dxa"/>
              <w:right w:w="0" w:type="dxa"/>
            </w:tcMar>
            <w:vAlign w:val="center"/>
          </w:tcPr>
          <w:p w14:paraId="29C383C3">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55</w:t>
            </w:r>
          </w:p>
        </w:tc>
        <w:tc>
          <w:tcPr>
            <w:tcW w:w="169" w:type="pct"/>
            <w:shd w:val="clear" w:color="auto" w:fill="FFFFFF"/>
            <w:tcMar>
              <w:top w:w="0" w:type="dxa"/>
              <w:left w:w="0" w:type="dxa"/>
              <w:bottom w:w="0" w:type="dxa"/>
              <w:right w:w="0" w:type="dxa"/>
            </w:tcMar>
            <w:vAlign w:val="center"/>
          </w:tcPr>
          <w:p w14:paraId="74C4B609">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169" w:type="pct"/>
            <w:shd w:val="clear" w:color="auto" w:fill="FFFFFF"/>
            <w:tcMar>
              <w:top w:w="0" w:type="dxa"/>
              <w:left w:w="0" w:type="dxa"/>
              <w:bottom w:w="0" w:type="dxa"/>
              <w:right w:w="0" w:type="dxa"/>
            </w:tcMar>
            <w:vAlign w:val="center"/>
          </w:tcPr>
          <w:p w14:paraId="1DC2F302">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65</w:t>
            </w:r>
          </w:p>
        </w:tc>
        <w:tc>
          <w:tcPr>
            <w:tcW w:w="180" w:type="pct"/>
            <w:shd w:val="clear" w:color="auto" w:fill="FFFFFF"/>
            <w:tcMar>
              <w:top w:w="0" w:type="dxa"/>
              <w:left w:w="0" w:type="dxa"/>
              <w:bottom w:w="0" w:type="dxa"/>
              <w:right w:w="0" w:type="dxa"/>
            </w:tcMar>
            <w:vAlign w:val="center"/>
          </w:tcPr>
          <w:p w14:paraId="55DD6E18">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25</w:t>
            </w:r>
          </w:p>
        </w:tc>
        <w:tc>
          <w:tcPr>
            <w:tcW w:w="169" w:type="pct"/>
            <w:shd w:val="clear" w:color="auto" w:fill="FFFFFF"/>
            <w:tcMar>
              <w:top w:w="0" w:type="dxa"/>
              <w:left w:w="0" w:type="dxa"/>
              <w:bottom w:w="0" w:type="dxa"/>
              <w:right w:w="0" w:type="dxa"/>
            </w:tcMar>
            <w:vAlign w:val="center"/>
          </w:tcPr>
          <w:p w14:paraId="34D7FC1E">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67</w:t>
            </w:r>
          </w:p>
        </w:tc>
        <w:tc>
          <w:tcPr>
            <w:tcW w:w="169" w:type="pct"/>
            <w:shd w:val="clear" w:color="auto" w:fill="FFFFFF"/>
            <w:tcMar>
              <w:top w:w="0" w:type="dxa"/>
              <w:left w:w="0" w:type="dxa"/>
              <w:bottom w:w="0" w:type="dxa"/>
              <w:right w:w="0" w:type="dxa"/>
            </w:tcMar>
            <w:vAlign w:val="center"/>
          </w:tcPr>
          <w:p w14:paraId="73194CD4">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66</w:t>
            </w:r>
          </w:p>
        </w:tc>
        <w:tc>
          <w:tcPr>
            <w:tcW w:w="169" w:type="pct"/>
            <w:shd w:val="clear" w:color="auto" w:fill="FFFFFF"/>
            <w:tcMar>
              <w:top w:w="0" w:type="dxa"/>
              <w:left w:w="0" w:type="dxa"/>
              <w:bottom w:w="0" w:type="dxa"/>
              <w:right w:w="0" w:type="dxa"/>
            </w:tcMar>
            <w:vAlign w:val="center"/>
          </w:tcPr>
          <w:p w14:paraId="64B906CC">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67</w:t>
            </w:r>
          </w:p>
        </w:tc>
        <w:tc>
          <w:tcPr>
            <w:tcW w:w="174" w:type="pct"/>
            <w:shd w:val="clear" w:color="auto" w:fill="FFFFFF"/>
            <w:tcMar>
              <w:top w:w="0" w:type="dxa"/>
              <w:left w:w="0" w:type="dxa"/>
              <w:bottom w:w="0" w:type="dxa"/>
              <w:right w:w="0" w:type="dxa"/>
            </w:tcMar>
            <w:vAlign w:val="center"/>
          </w:tcPr>
          <w:p w14:paraId="0CCCCD06">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68</w:t>
            </w:r>
          </w:p>
        </w:tc>
        <w:tc>
          <w:tcPr>
            <w:tcW w:w="149" w:type="pct"/>
            <w:vMerge w:val="continue"/>
            <w:shd w:val="clear" w:color="auto" w:fill="FFFFFF"/>
            <w:tcMar>
              <w:top w:w="0" w:type="dxa"/>
              <w:left w:w="0" w:type="dxa"/>
              <w:bottom w:w="0" w:type="dxa"/>
              <w:right w:w="0" w:type="dxa"/>
            </w:tcMar>
            <w:vAlign w:val="center"/>
          </w:tcPr>
          <w:p w14:paraId="22DCABB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15A9212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150F194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7E7CCC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1BC4E69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10C89FF9">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174" w:type="pct"/>
            <w:shd w:val="clear" w:color="auto" w:fill="FFFFFF"/>
            <w:tcMar>
              <w:top w:w="0" w:type="dxa"/>
              <w:left w:w="0" w:type="dxa"/>
              <w:bottom w:w="0" w:type="dxa"/>
              <w:right w:w="0" w:type="dxa"/>
            </w:tcMar>
            <w:vAlign w:val="center"/>
          </w:tcPr>
          <w:p w14:paraId="5CAAD0E7">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w:t>
            </w:r>
          </w:p>
        </w:tc>
        <w:tc>
          <w:tcPr>
            <w:tcW w:w="174" w:type="pct"/>
            <w:shd w:val="clear" w:color="auto" w:fill="FFFFFF"/>
            <w:tcMar>
              <w:top w:w="0" w:type="dxa"/>
              <w:left w:w="0" w:type="dxa"/>
              <w:bottom w:w="0" w:type="dxa"/>
              <w:right w:w="0" w:type="dxa"/>
            </w:tcMar>
            <w:vAlign w:val="center"/>
          </w:tcPr>
          <w:p w14:paraId="6DD02550">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174" w:type="pct"/>
            <w:shd w:val="clear" w:color="auto" w:fill="FFFFFF"/>
            <w:tcMar>
              <w:top w:w="0" w:type="dxa"/>
              <w:left w:w="0" w:type="dxa"/>
              <w:bottom w:w="0" w:type="dxa"/>
              <w:right w:w="0" w:type="dxa"/>
            </w:tcMar>
            <w:vAlign w:val="center"/>
          </w:tcPr>
          <w:p w14:paraId="54D284DB">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48</w:t>
            </w:r>
          </w:p>
        </w:tc>
        <w:tc>
          <w:tcPr>
            <w:tcW w:w="264" w:type="pct"/>
            <w:shd w:val="clear" w:color="auto" w:fill="FFFFFF"/>
            <w:tcMar>
              <w:top w:w="0" w:type="dxa"/>
              <w:left w:w="0" w:type="dxa"/>
              <w:bottom w:w="0" w:type="dxa"/>
              <w:right w:w="0" w:type="dxa"/>
            </w:tcMar>
            <w:vAlign w:val="center"/>
          </w:tcPr>
          <w:p w14:paraId="2FF1EEF6">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r>
      <w:tr w14:paraId="603B83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9" w:hRule="atLeast"/>
          <w:jc w:val="center"/>
        </w:trPr>
        <w:tc>
          <w:tcPr>
            <w:tcW w:w="149" w:type="pct"/>
            <w:shd w:val="clear" w:color="auto" w:fill="FFFFFF"/>
            <w:tcMar>
              <w:top w:w="0" w:type="dxa"/>
              <w:left w:w="0" w:type="dxa"/>
              <w:bottom w:w="0" w:type="dxa"/>
              <w:right w:w="0" w:type="dxa"/>
            </w:tcMar>
            <w:vAlign w:val="center"/>
          </w:tcPr>
          <w:p w14:paraId="222C057A">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49</w:t>
            </w:r>
          </w:p>
        </w:tc>
        <w:tc>
          <w:tcPr>
            <w:tcW w:w="182" w:type="pct"/>
            <w:vMerge w:val="continue"/>
            <w:shd w:val="clear" w:color="auto" w:fill="FFFFFF"/>
            <w:tcMar>
              <w:top w:w="0" w:type="dxa"/>
              <w:left w:w="0" w:type="dxa"/>
              <w:bottom w:w="0" w:type="dxa"/>
              <w:right w:w="0" w:type="dxa"/>
            </w:tcMar>
            <w:vAlign w:val="center"/>
          </w:tcPr>
          <w:p w14:paraId="3EF21C3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8" w:type="pct"/>
            <w:shd w:val="clear" w:color="auto" w:fill="FFFFFF"/>
            <w:tcMar>
              <w:top w:w="0" w:type="dxa"/>
              <w:left w:w="0" w:type="dxa"/>
              <w:bottom w:w="0" w:type="dxa"/>
              <w:right w:w="0" w:type="dxa"/>
            </w:tcMar>
            <w:vAlign w:val="center"/>
          </w:tcPr>
          <w:p w14:paraId="7C96A492">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破碎机</w:t>
            </w:r>
          </w:p>
        </w:tc>
        <w:tc>
          <w:tcPr>
            <w:tcW w:w="330" w:type="pct"/>
            <w:shd w:val="clear" w:color="auto" w:fill="FFFFFF"/>
            <w:tcMar>
              <w:top w:w="0" w:type="dxa"/>
              <w:left w:w="0" w:type="dxa"/>
              <w:bottom w:w="0" w:type="dxa"/>
              <w:right w:w="0" w:type="dxa"/>
            </w:tcMar>
            <w:vAlign w:val="center"/>
          </w:tcPr>
          <w:p w14:paraId="0BE60419">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218" w:type="pct"/>
            <w:shd w:val="clear" w:color="auto" w:fill="FFFFFF"/>
            <w:tcMar>
              <w:top w:w="0" w:type="dxa"/>
              <w:left w:w="0" w:type="dxa"/>
              <w:bottom w:w="0" w:type="dxa"/>
              <w:right w:w="0" w:type="dxa"/>
            </w:tcMar>
            <w:vAlign w:val="center"/>
          </w:tcPr>
          <w:p w14:paraId="3AA6C7C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185" w:type="pct"/>
            <w:vMerge w:val="continue"/>
            <w:shd w:val="clear" w:color="auto" w:fill="FFFFFF"/>
            <w:tcMar>
              <w:top w:w="0" w:type="dxa"/>
              <w:left w:w="0" w:type="dxa"/>
              <w:bottom w:w="0" w:type="dxa"/>
              <w:right w:w="0" w:type="dxa"/>
            </w:tcMar>
            <w:vAlign w:val="center"/>
          </w:tcPr>
          <w:p w14:paraId="7ED15B7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06" w:type="pct"/>
            <w:shd w:val="clear" w:color="auto" w:fill="FFFFFF"/>
            <w:tcMar>
              <w:top w:w="0" w:type="dxa"/>
              <w:left w:w="0" w:type="dxa"/>
              <w:bottom w:w="0" w:type="dxa"/>
              <w:right w:w="0" w:type="dxa"/>
            </w:tcMar>
            <w:vAlign w:val="center"/>
          </w:tcPr>
          <w:p w14:paraId="16574351">
            <w:pPr>
              <w:spacing w:line="276" w:lineRule="auto"/>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-40</w:t>
            </w:r>
          </w:p>
        </w:tc>
        <w:tc>
          <w:tcPr>
            <w:tcW w:w="206" w:type="pct"/>
            <w:shd w:val="clear" w:color="auto" w:fill="FFFFFF"/>
            <w:tcMar>
              <w:top w:w="0" w:type="dxa"/>
              <w:left w:w="0" w:type="dxa"/>
              <w:bottom w:w="0" w:type="dxa"/>
              <w:right w:w="0" w:type="dxa"/>
            </w:tcMar>
            <w:vAlign w:val="center"/>
          </w:tcPr>
          <w:p w14:paraId="54F3DB8C">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30</w:t>
            </w:r>
          </w:p>
        </w:tc>
        <w:tc>
          <w:tcPr>
            <w:tcW w:w="211" w:type="pct"/>
            <w:shd w:val="clear" w:color="auto" w:fill="FFFFFF"/>
            <w:tcMar>
              <w:top w:w="0" w:type="dxa"/>
              <w:left w:w="0" w:type="dxa"/>
              <w:bottom w:w="0" w:type="dxa"/>
              <w:right w:w="0" w:type="dxa"/>
            </w:tcMar>
            <w:vAlign w:val="center"/>
          </w:tcPr>
          <w:p w14:paraId="1D106EDD">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w:t>
            </w:r>
          </w:p>
        </w:tc>
        <w:tc>
          <w:tcPr>
            <w:tcW w:w="169" w:type="pct"/>
            <w:shd w:val="clear" w:color="auto" w:fill="FFFFFF"/>
            <w:tcMar>
              <w:top w:w="0" w:type="dxa"/>
              <w:left w:w="0" w:type="dxa"/>
              <w:bottom w:w="0" w:type="dxa"/>
              <w:right w:w="0" w:type="dxa"/>
            </w:tcMar>
            <w:vAlign w:val="center"/>
          </w:tcPr>
          <w:p w14:paraId="2561470C">
            <w:pPr>
              <w:spacing w:line="276" w:lineRule="auto"/>
              <w:jc w:val="center"/>
              <w:rPr>
                <w:rFonts w:hint="eastAsia"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100</w:t>
            </w:r>
          </w:p>
        </w:tc>
        <w:tc>
          <w:tcPr>
            <w:tcW w:w="169" w:type="pct"/>
            <w:shd w:val="clear" w:color="auto" w:fill="FFFFFF"/>
            <w:tcMar>
              <w:top w:w="0" w:type="dxa"/>
              <w:left w:w="0" w:type="dxa"/>
              <w:bottom w:w="0" w:type="dxa"/>
              <w:right w:w="0" w:type="dxa"/>
            </w:tcMar>
            <w:vAlign w:val="center"/>
          </w:tcPr>
          <w:p w14:paraId="258C3AF4">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169" w:type="pct"/>
            <w:shd w:val="clear" w:color="auto" w:fill="FFFFFF"/>
            <w:tcMar>
              <w:top w:w="0" w:type="dxa"/>
              <w:left w:w="0" w:type="dxa"/>
              <w:bottom w:w="0" w:type="dxa"/>
              <w:right w:w="0" w:type="dxa"/>
            </w:tcMar>
            <w:vAlign w:val="center"/>
          </w:tcPr>
          <w:p w14:paraId="08B90E0B">
            <w:pPr>
              <w:spacing w:line="276" w:lineRule="auto"/>
              <w:jc w:val="center"/>
              <w:rPr>
                <w:rFonts w:hint="default"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w:t>
            </w:r>
          </w:p>
        </w:tc>
        <w:tc>
          <w:tcPr>
            <w:tcW w:w="180" w:type="pct"/>
            <w:shd w:val="clear" w:color="auto" w:fill="FFFFFF"/>
            <w:tcMar>
              <w:top w:w="0" w:type="dxa"/>
              <w:left w:w="0" w:type="dxa"/>
              <w:bottom w:w="0" w:type="dxa"/>
              <w:right w:w="0" w:type="dxa"/>
            </w:tcMar>
            <w:vAlign w:val="center"/>
          </w:tcPr>
          <w:p w14:paraId="4B500BD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25</w:t>
            </w:r>
          </w:p>
        </w:tc>
        <w:tc>
          <w:tcPr>
            <w:tcW w:w="169" w:type="pct"/>
            <w:shd w:val="clear" w:color="auto" w:fill="FFFFFF"/>
            <w:tcMar>
              <w:top w:w="0" w:type="dxa"/>
              <w:left w:w="0" w:type="dxa"/>
              <w:bottom w:w="0" w:type="dxa"/>
              <w:right w:w="0" w:type="dxa"/>
            </w:tcMar>
            <w:vAlign w:val="center"/>
          </w:tcPr>
          <w:p w14:paraId="346207C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65</w:t>
            </w:r>
          </w:p>
        </w:tc>
        <w:tc>
          <w:tcPr>
            <w:tcW w:w="169" w:type="pct"/>
            <w:shd w:val="clear" w:color="auto" w:fill="FFFFFF"/>
            <w:tcMar>
              <w:top w:w="0" w:type="dxa"/>
              <w:left w:w="0" w:type="dxa"/>
              <w:bottom w:w="0" w:type="dxa"/>
              <w:right w:w="0" w:type="dxa"/>
            </w:tcMar>
            <w:vAlign w:val="center"/>
          </w:tcPr>
          <w:p w14:paraId="556705F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67</w:t>
            </w:r>
          </w:p>
        </w:tc>
        <w:tc>
          <w:tcPr>
            <w:tcW w:w="169" w:type="pct"/>
            <w:shd w:val="clear" w:color="auto" w:fill="FFFFFF"/>
            <w:tcMar>
              <w:top w:w="0" w:type="dxa"/>
              <w:left w:w="0" w:type="dxa"/>
              <w:bottom w:w="0" w:type="dxa"/>
              <w:right w:w="0" w:type="dxa"/>
            </w:tcMar>
            <w:vAlign w:val="center"/>
          </w:tcPr>
          <w:p w14:paraId="0A45D18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174" w:type="pct"/>
            <w:shd w:val="clear" w:color="auto" w:fill="FFFFFF"/>
            <w:tcMar>
              <w:top w:w="0" w:type="dxa"/>
              <w:left w:w="0" w:type="dxa"/>
              <w:bottom w:w="0" w:type="dxa"/>
              <w:right w:w="0" w:type="dxa"/>
            </w:tcMar>
            <w:vAlign w:val="center"/>
          </w:tcPr>
          <w:p w14:paraId="56C7D0C2">
            <w:pPr>
              <w:spacing w:line="276" w:lineRule="auto"/>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149" w:type="pct"/>
            <w:vMerge w:val="continue"/>
            <w:shd w:val="clear" w:color="auto" w:fill="FFFFFF"/>
            <w:tcMar>
              <w:top w:w="0" w:type="dxa"/>
              <w:left w:w="0" w:type="dxa"/>
              <w:bottom w:w="0" w:type="dxa"/>
              <w:right w:w="0" w:type="dxa"/>
            </w:tcMar>
            <w:vAlign w:val="center"/>
          </w:tcPr>
          <w:p w14:paraId="4DEE670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8" w:type="dxa"/>
            <w:shd w:val="clear" w:color="auto" w:fill="FFFFFF"/>
            <w:tcMar>
              <w:top w:w="0" w:type="dxa"/>
              <w:left w:w="0" w:type="dxa"/>
              <w:bottom w:w="0" w:type="dxa"/>
              <w:right w:w="0" w:type="dxa"/>
            </w:tcMar>
            <w:vAlign w:val="center"/>
          </w:tcPr>
          <w:p w14:paraId="32E08FF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6A8E65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59" w:type="dxa"/>
            <w:shd w:val="clear" w:color="auto" w:fill="FFFFFF"/>
            <w:tcMar>
              <w:top w:w="0" w:type="dxa"/>
              <w:left w:w="0" w:type="dxa"/>
              <w:bottom w:w="0" w:type="dxa"/>
              <w:right w:w="0" w:type="dxa"/>
            </w:tcMar>
            <w:vAlign w:val="center"/>
          </w:tcPr>
          <w:p w14:paraId="48AB610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485" w:type="dxa"/>
            <w:shd w:val="clear" w:color="auto" w:fill="FFFFFF"/>
            <w:tcMar>
              <w:top w:w="0" w:type="dxa"/>
              <w:left w:w="0" w:type="dxa"/>
              <w:bottom w:w="0" w:type="dxa"/>
              <w:right w:w="0" w:type="dxa"/>
            </w:tcMar>
            <w:vAlign w:val="center"/>
          </w:tcPr>
          <w:p w14:paraId="6B42805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0</w:t>
            </w:r>
          </w:p>
        </w:tc>
        <w:tc>
          <w:tcPr>
            <w:tcW w:w="174" w:type="pct"/>
            <w:shd w:val="clear" w:color="auto" w:fill="FFFFFF"/>
            <w:tcMar>
              <w:top w:w="0" w:type="dxa"/>
              <w:left w:w="0" w:type="dxa"/>
              <w:bottom w:w="0" w:type="dxa"/>
              <w:right w:w="0" w:type="dxa"/>
            </w:tcMar>
            <w:vAlign w:val="center"/>
          </w:tcPr>
          <w:p w14:paraId="7F2C29DC">
            <w:pPr>
              <w:spacing w:line="276" w:lineRule="auto"/>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w:t>
            </w:r>
          </w:p>
        </w:tc>
        <w:tc>
          <w:tcPr>
            <w:tcW w:w="174" w:type="pct"/>
            <w:shd w:val="clear" w:color="auto" w:fill="FFFFFF"/>
            <w:tcMar>
              <w:top w:w="0" w:type="dxa"/>
              <w:left w:w="0" w:type="dxa"/>
              <w:bottom w:w="0" w:type="dxa"/>
              <w:right w:w="0" w:type="dxa"/>
            </w:tcMar>
            <w:vAlign w:val="center"/>
          </w:tcPr>
          <w:p w14:paraId="682C7F4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w:t>
            </w:r>
          </w:p>
        </w:tc>
        <w:tc>
          <w:tcPr>
            <w:tcW w:w="174" w:type="pct"/>
            <w:shd w:val="clear" w:color="auto" w:fill="FFFFFF"/>
            <w:tcMar>
              <w:top w:w="0" w:type="dxa"/>
              <w:left w:w="0" w:type="dxa"/>
              <w:bottom w:w="0" w:type="dxa"/>
              <w:right w:w="0" w:type="dxa"/>
            </w:tcMar>
            <w:vAlign w:val="center"/>
          </w:tcPr>
          <w:p w14:paraId="1118A23E">
            <w:pPr>
              <w:spacing w:line="276" w:lineRule="auto"/>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w:t>
            </w:r>
          </w:p>
        </w:tc>
        <w:tc>
          <w:tcPr>
            <w:tcW w:w="174" w:type="pct"/>
            <w:shd w:val="clear" w:color="auto" w:fill="FFFFFF"/>
            <w:tcMar>
              <w:top w:w="0" w:type="dxa"/>
              <w:left w:w="0" w:type="dxa"/>
              <w:bottom w:w="0" w:type="dxa"/>
              <w:right w:w="0" w:type="dxa"/>
            </w:tcMar>
            <w:vAlign w:val="center"/>
          </w:tcPr>
          <w:p w14:paraId="54301CC2">
            <w:pPr>
              <w:spacing w:line="276" w:lineRule="auto"/>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w:t>
            </w:r>
          </w:p>
        </w:tc>
        <w:tc>
          <w:tcPr>
            <w:tcW w:w="264" w:type="pct"/>
            <w:shd w:val="clear" w:color="auto" w:fill="FFFFFF"/>
            <w:tcMar>
              <w:top w:w="0" w:type="dxa"/>
              <w:left w:w="0" w:type="dxa"/>
              <w:bottom w:w="0" w:type="dxa"/>
              <w:right w:w="0" w:type="dxa"/>
            </w:tcMar>
            <w:vAlign w:val="center"/>
          </w:tcPr>
          <w:p w14:paraId="253AC65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w:t>
            </w:r>
          </w:p>
        </w:tc>
      </w:tr>
    </w:tbl>
    <w:p w14:paraId="0D63782B">
      <w:pPr>
        <w:spacing w:line="360" w:lineRule="auto"/>
        <w:ind w:firstLine="472" w:firstLineChars="200"/>
        <w:jc w:val="both"/>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表中坐标以厂界中心（经度</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116.58732176</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纬度</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32.67061092）为坐标原点，正东向为X轴正方向，正北向为Y轴正方向。</w:t>
      </w:r>
    </w:p>
    <w:p w14:paraId="319995A6">
      <w:pPr>
        <w:spacing w:line="360" w:lineRule="auto"/>
        <w:rPr>
          <w:rFonts w:hint="default" w:ascii="Times New Roman" w:hAnsi="Times New Roman" w:eastAsia="黑体" w:cs="Times New Roman"/>
          <w:b/>
          <w:color w:val="000000" w:themeColor="text1"/>
          <w14:textFill>
            <w14:solidFill>
              <w14:schemeClr w14:val="tx1"/>
            </w14:solidFill>
          </w14:textFill>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AndChars" w:linePitch="312" w:charSpace="0"/>
        </w:sectPr>
      </w:pPr>
    </w:p>
    <w:p w14:paraId="6AD5331B">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60" w:name="_Toc173837661"/>
      <w:r>
        <w:rPr>
          <w:rFonts w:hint="default" w:ascii="Times New Roman" w:hAnsi="Times New Roman" w:eastAsia="黑体" w:cs="Times New Roman"/>
          <w:b w:val="0"/>
          <w:color w:val="000000" w:themeColor="text1"/>
          <w14:textFill>
            <w14:solidFill>
              <w14:schemeClr w14:val="tx1"/>
            </w14:solidFill>
          </w14:textFill>
        </w:rPr>
        <w:t>3.</w:t>
      </w:r>
      <w:r>
        <w:rPr>
          <w:rFonts w:hint="default" w:ascii="Times New Roman" w:hAnsi="Times New Roman" w:eastAsia="黑体" w:cs="Times New Roman"/>
          <w:b w:val="0"/>
          <w:color w:val="000000" w:themeColor="text1"/>
          <w:lang w:val="en-US" w:eastAsia="zh-CN"/>
          <w14:textFill>
            <w14:solidFill>
              <w14:schemeClr w14:val="tx1"/>
            </w14:solidFill>
          </w14:textFill>
        </w:rPr>
        <w:t>4</w:t>
      </w:r>
      <w:r>
        <w:rPr>
          <w:rFonts w:hint="default" w:ascii="Times New Roman" w:hAnsi="Times New Roman" w:eastAsia="黑体" w:cs="Times New Roman"/>
          <w:b w:val="0"/>
          <w:color w:val="000000" w:themeColor="text1"/>
          <w14:textFill>
            <w14:solidFill>
              <w14:schemeClr w14:val="tx1"/>
            </w14:solidFill>
          </w14:textFill>
        </w:rPr>
        <w:t>清洁生产</w:t>
      </w:r>
      <w:bookmarkEnd w:id="60"/>
    </w:p>
    <w:p w14:paraId="007B372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清洁生产是我国工业可持续发展的重要战略，也是实现我国污染控制重点由末端控制向生产全过程控制转变的重要措施。强调预防污染物的产生，即从源头和生产过程防止污染物产生。</w:t>
      </w:r>
    </w:p>
    <w:p w14:paraId="3F5F08C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清洁生产的目的是不断采取改进设计、使用清洁的能源和原料、采用先进的工艺技术与设备、改善管理、综合利用等措施，从源头削减污染，提高资源利用效率，减少或者避免生产、服务和产品使用过程中污染物的产生和排放,以减轻或者消除对人类健康和环境的危害。</w:t>
      </w:r>
    </w:p>
    <w:p w14:paraId="4DC674E4">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本评价将主要从资源综合利用、技术工艺先进性等方面分析项目的清洁生产水平。</w:t>
      </w:r>
    </w:p>
    <w:p w14:paraId="3CC20219">
      <w:pPr>
        <w:pStyle w:val="3159"/>
        <w:rPr>
          <w:rFonts w:hint="default" w:ascii="Times New Roman" w:hAnsi="Times New Roman" w:eastAsia="黑体" w:cs="Times New Roman"/>
          <w:b w:val="0"/>
          <w:color w:val="000000" w:themeColor="text1"/>
          <w14:textFill>
            <w14:solidFill>
              <w14:schemeClr w14:val="tx1"/>
            </w14:solidFill>
          </w14:textFill>
        </w:rPr>
      </w:pPr>
      <w:bookmarkStart w:id="61" w:name="_Toc173837662"/>
      <w:r>
        <w:rPr>
          <w:rFonts w:hint="default" w:ascii="Times New Roman" w:hAnsi="Times New Roman" w:eastAsia="黑体" w:cs="Times New Roman"/>
          <w:b w:val="0"/>
          <w:color w:val="000000" w:themeColor="text1"/>
          <w14:textFill>
            <w14:solidFill>
              <w14:schemeClr w14:val="tx1"/>
            </w14:solidFill>
          </w14:textFill>
        </w:rPr>
        <w:t>3.</w:t>
      </w:r>
      <w:r>
        <w:rPr>
          <w:rFonts w:hint="eastAsia" w:eastAsia="黑体" w:cs="Times New Roman"/>
          <w:b w:val="0"/>
          <w:color w:val="000000" w:themeColor="text1"/>
          <w:lang w:val="en-US" w:eastAsia="zh-CN"/>
          <w14:textFill>
            <w14:solidFill>
              <w14:schemeClr w14:val="tx1"/>
            </w14:solidFill>
          </w14:textFill>
        </w:rPr>
        <w:t>4</w:t>
      </w:r>
      <w:r>
        <w:rPr>
          <w:rFonts w:hint="default" w:ascii="Times New Roman" w:hAnsi="Times New Roman" w:eastAsia="黑体" w:cs="Times New Roman"/>
          <w:b w:val="0"/>
          <w:color w:val="000000" w:themeColor="text1"/>
          <w14:textFill>
            <w14:solidFill>
              <w14:schemeClr w14:val="tx1"/>
            </w14:solidFill>
          </w14:textFill>
        </w:rPr>
        <w:t>.1生产工艺与装备</w:t>
      </w:r>
      <w:bookmarkEnd w:id="61"/>
    </w:p>
    <w:p w14:paraId="520CC41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w:t>
      </w:r>
      <w:r>
        <w:rPr>
          <w:rFonts w:hint="default" w:ascii="Times New Roman" w:hAnsi="Times New Roman" w:cs="Times New Roman"/>
          <w:color w:val="000000" w:themeColor="text1"/>
          <w:lang w:eastAsia="zh-CN"/>
          <w14:textFill>
            <w14:solidFill>
              <w14:schemeClr w14:val="tx1"/>
            </w14:solidFill>
          </w14:textFill>
        </w:rPr>
        <w:t>主要</w:t>
      </w:r>
      <w:r>
        <w:rPr>
          <w:rFonts w:hint="default" w:ascii="Times New Roman" w:hAnsi="Times New Roman" w:cs="Times New Roman"/>
          <w:color w:val="000000" w:themeColor="text1"/>
          <w14:textFill>
            <w14:solidFill>
              <w14:schemeClr w14:val="tx1"/>
            </w14:solidFill>
          </w14:textFill>
        </w:rPr>
        <w:t>产品为</w:t>
      </w:r>
      <w:r>
        <w:rPr>
          <w:rFonts w:hint="default" w:ascii="Times New Roman" w:hAnsi="Times New Roman" w:cs="Times New Roman"/>
          <w:color w:val="000000" w:themeColor="text1"/>
          <w:lang w:eastAsia="zh-CN"/>
          <w14:textFill>
            <w14:solidFill>
              <w14:schemeClr w14:val="tx1"/>
            </w14:solidFill>
          </w14:textFill>
        </w:rPr>
        <w:t>瓶片和改性塑料粒子</w:t>
      </w:r>
      <w:r>
        <w:rPr>
          <w:rFonts w:hint="default" w:ascii="Times New Roman" w:hAnsi="Times New Roman" w:cs="Times New Roman"/>
          <w:color w:val="000000" w:themeColor="text1"/>
          <w14:textFill>
            <w14:solidFill>
              <w14:schemeClr w14:val="tx1"/>
            </w14:solidFill>
          </w14:textFill>
        </w:rPr>
        <w:t>。涉及到的生产工艺为</w:t>
      </w:r>
      <w:r>
        <w:rPr>
          <w:rFonts w:hint="default" w:ascii="Times New Roman" w:hAnsi="Times New Roman" w:cs="Times New Roman"/>
          <w:color w:val="000000" w:themeColor="text1"/>
          <w:lang w:eastAsia="zh-CN"/>
          <w14:textFill>
            <w14:solidFill>
              <w14:schemeClr w14:val="tx1"/>
            </w14:solidFill>
          </w14:textFill>
        </w:rPr>
        <w:t>破碎、清洗、熔融挤出等</w:t>
      </w:r>
      <w:r>
        <w:rPr>
          <w:rFonts w:hint="default" w:ascii="Times New Roman" w:hAnsi="Times New Roman" w:cs="Times New Roman"/>
          <w:color w:val="000000" w:themeColor="text1"/>
          <w14:textFill>
            <w14:solidFill>
              <w14:schemeClr w14:val="tx1"/>
            </w14:solidFill>
          </w14:textFill>
        </w:rPr>
        <w:t>，对危险废物进行减量化、资源化和无害化处置，实现循环使用，资源再生，最大化的减少二次污染。</w:t>
      </w:r>
    </w:p>
    <w:p w14:paraId="2A29E62D">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该工艺先进性主要表现在：</w:t>
      </w:r>
    </w:p>
    <w:p w14:paraId="3881B7A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①通过控制温度等工艺条件和参数优化，收率稳定且易于操作。</w:t>
      </w:r>
    </w:p>
    <w:p w14:paraId="684E410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②整个生产过程通过全过程控制，减少人工操作中间环节，减少人为失误，使故障率降低。</w:t>
      </w:r>
    </w:p>
    <w:p w14:paraId="1EA2BCE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③整个生产过程资源利用率高，不仅提高了危废无害化处理效率，且提高了回收产品的附加值。</w:t>
      </w:r>
    </w:p>
    <w:p w14:paraId="137E09B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④该工艺能耗低，节能效益好。炉渣金属含量低，提高了资源综合利用水平；采用切实有效的污染防治措施，清洁生产水平较高。</w:t>
      </w:r>
    </w:p>
    <w:p w14:paraId="25499B4D">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由此可见，项目将采用较为先进的生产工艺，所选用的设备符合相应的设备标准和要求。</w:t>
      </w:r>
    </w:p>
    <w:p w14:paraId="649B2E33">
      <w:pPr>
        <w:pStyle w:val="3159"/>
        <w:rPr>
          <w:rFonts w:hint="default" w:ascii="Times New Roman" w:hAnsi="Times New Roman" w:eastAsia="黑体" w:cs="Times New Roman"/>
          <w:b w:val="0"/>
          <w:color w:val="000000" w:themeColor="text1"/>
          <w14:textFill>
            <w14:solidFill>
              <w14:schemeClr w14:val="tx1"/>
            </w14:solidFill>
          </w14:textFill>
        </w:rPr>
      </w:pPr>
      <w:bookmarkStart w:id="62" w:name="_Toc173837663"/>
      <w:r>
        <w:rPr>
          <w:rFonts w:hint="default" w:ascii="Times New Roman" w:hAnsi="Times New Roman" w:eastAsia="黑体" w:cs="Times New Roman"/>
          <w:b w:val="0"/>
          <w:color w:val="000000" w:themeColor="text1"/>
          <w14:textFill>
            <w14:solidFill>
              <w14:schemeClr w14:val="tx1"/>
            </w14:solidFill>
          </w14:textFill>
        </w:rPr>
        <w:t>3.</w:t>
      </w:r>
      <w:r>
        <w:rPr>
          <w:rFonts w:hint="eastAsia" w:eastAsia="黑体" w:cs="Times New Roman"/>
          <w:b w:val="0"/>
          <w:color w:val="000000" w:themeColor="text1"/>
          <w:lang w:val="en-US" w:eastAsia="zh-CN"/>
          <w14:textFill>
            <w14:solidFill>
              <w14:schemeClr w14:val="tx1"/>
            </w14:solidFill>
          </w14:textFill>
        </w:rPr>
        <w:t>4</w:t>
      </w:r>
      <w:r>
        <w:rPr>
          <w:rFonts w:hint="default" w:ascii="Times New Roman" w:hAnsi="Times New Roman" w:eastAsia="黑体" w:cs="Times New Roman"/>
          <w:b w:val="0"/>
          <w:color w:val="000000" w:themeColor="text1"/>
          <w14:textFill>
            <w14:solidFill>
              <w14:schemeClr w14:val="tx1"/>
            </w14:solidFill>
          </w14:textFill>
        </w:rPr>
        <w:t>.2原料及产品分析</w:t>
      </w:r>
      <w:bookmarkEnd w:id="62"/>
    </w:p>
    <w:p w14:paraId="77D7AEB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项目原料来源主要通过本地区及长三角地区的原料采购网络，同时与废弃</w:t>
      </w:r>
      <w:r>
        <w:rPr>
          <w:rFonts w:hint="default" w:ascii="Times New Roman" w:hAnsi="Times New Roman" w:cs="Times New Roman"/>
          <w:color w:val="000000" w:themeColor="text1"/>
          <w:lang w:eastAsia="zh-CN"/>
          <w14:textFill>
            <w14:solidFill>
              <w14:schemeClr w14:val="tx1"/>
            </w14:solidFill>
          </w14:textFill>
        </w:rPr>
        <w:t>塑料</w:t>
      </w:r>
      <w:r>
        <w:rPr>
          <w:rFonts w:hint="default" w:ascii="Times New Roman" w:hAnsi="Times New Roman" w:cs="Times New Roman"/>
          <w:color w:val="000000" w:themeColor="text1"/>
          <w14:textFill>
            <w14:solidFill>
              <w14:schemeClr w14:val="tx1"/>
            </w14:solidFill>
          </w14:textFill>
        </w:rPr>
        <w:t>定点回收机构、有影响的</w:t>
      </w:r>
      <w:r>
        <w:rPr>
          <w:rFonts w:hint="default" w:ascii="Times New Roman" w:hAnsi="Times New Roman" w:cs="Times New Roman"/>
          <w:color w:val="000000" w:themeColor="text1"/>
          <w:lang w:eastAsia="zh-CN"/>
          <w14:textFill>
            <w14:solidFill>
              <w14:schemeClr w14:val="tx1"/>
            </w14:solidFill>
          </w14:textFill>
        </w:rPr>
        <w:t>废塑料</w:t>
      </w:r>
      <w:r>
        <w:rPr>
          <w:rFonts w:hint="default" w:ascii="Times New Roman" w:hAnsi="Times New Roman" w:cs="Times New Roman"/>
          <w:color w:val="000000" w:themeColor="text1"/>
          <w14:textFill>
            <w14:solidFill>
              <w14:schemeClr w14:val="tx1"/>
            </w14:solidFill>
          </w14:textFill>
        </w:rPr>
        <w:t>回收企业等原料产生者进行合作。原料本身并非清洁的原料，但项目采用先进的生产工艺将上述废物变为较清洁的</w:t>
      </w:r>
      <w:r>
        <w:rPr>
          <w:rFonts w:hint="default" w:ascii="Times New Roman" w:hAnsi="Times New Roman" w:cs="Times New Roman"/>
          <w:color w:val="000000" w:themeColor="text1"/>
          <w:lang w:eastAsia="zh-CN"/>
          <w14:textFill>
            <w14:solidFill>
              <w14:schemeClr w14:val="tx1"/>
            </w14:solidFill>
          </w14:textFill>
        </w:rPr>
        <w:t>瓶片、改性粒子</w:t>
      </w:r>
      <w:r>
        <w:rPr>
          <w:rFonts w:hint="default" w:ascii="Times New Roman" w:hAnsi="Times New Roman" w:cs="Times New Roman"/>
          <w:color w:val="000000" w:themeColor="text1"/>
          <w14:textFill>
            <w14:solidFill>
              <w14:schemeClr w14:val="tx1"/>
            </w14:solidFill>
          </w14:textFill>
        </w:rPr>
        <w:t>等产品，实现了废物的资源化。</w:t>
      </w:r>
    </w:p>
    <w:p w14:paraId="0CC38A08">
      <w:pPr>
        <w:pStyle w:val="3159"/>
        <w:rPr>
          <w:rFonts w:hint="default" w:ascii="Times New Roman" w:hAnsi="Times New Roman" w:eastAsia="黑体" w:cs="Times New Roman"/>
          <w:b w:val="0"/>
          <w:color w:val="000000" w:themeColor="text1"/>
          <w14:textFill>
            <w14:solidFill>
              <w14:schemeClr w14:val="tx1"/>
            </w14:solidFill>
          </w14:textFill>
        </w:rPr>
      </w:pPr>
      <w:bookmarkStart w:id="63" w:name="_Toc173837664"/>
      <w:r>
        <w:rPr>
          <w:rFonts w:hint="default" w:ascii="Times New Roman" w:hAnsi="Times New Roman" w:eastAsia="黑体" w:cs="Times New Roman"/>
          <w:b w:val="0"/>
          <w:color w:val="000000" w:themeColor="text1"/>
          <w14:textFill>
            <w14:solidFill>
              <w14:schemeClr w14:val="tx1"/>
            </w14:solidFill>
          </w14:textFill>
        </w:rPr>
        <w:t>3.</w:t>
      </w:r>
      <w:r>
        <w:rPr>
          <w:rFonts w:hint="eastAsia" w:eastAsia="黑体" w:cs="Times New Roman"/>
          <w:b w:val="0"/>
          <w:color w:val="000000" w:themeColor="text1"/>
          <w:lang w:val="en-US" w:eastAsia="zh-CN"/>
          <w14:textFill>
            <w14:solidFill>
              <w14:schemeClr w14:val="tx1"/>
            </w14:solidFill>
          </w14:textFill>
        </w:rPr>
        <w:t>4</w:t>
      </w:r>
      <w:r>
        <w:rPr>
          <w:rFonts w:hint="default" w:ascii="Times New Roman" w:hAnsi="Times New Roman" w:eastAsia="黑体" w:cs="Times New Roman"/>
          <w:b w:val="0"/>
          <w:color w:val="000000" w:themeColor="text1"/>
          <w14:textFill>
            <w14:solidFill>
              <w14:schemeClr w14:val="tx1"/>
            </w14:solidFill>
          </w14:textFill>
        </w:rPr>
        <w:t>.3资源与能源利用</w:t>
      </w:r>
      <w:bookmarkEnd w:id="63"/>
    </w:p>
    <w:p w14:paraId="5C27F79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项目本身为废物资源化项目，项目的实施可以消纳来自安徽省及周边地区的线路板拆解后得到的废线路板和电容器，实现废物的减量化、无害化和资源化。</w:t>
      </w:r>
    </w:p>
    <w:p w14:paraId="1119EE9F">
      <w:pPr>
        <w:pStyle w:val="3159"/>
        <w:rPr>
          <w:rFonts w:hint="default" w:ascii="Times New Roman" w:hAnsi="Times New Roman" w:eastAsia="黑体" w:cs="Times New Roman"/>
          <w:b w:val="0"/>
          <w:color w:val="000000" w:themeColor="text1"/>
          <w14:textFill>
            <w14:solidFill>
              <w14:schemeClr w14:val="tx1"/>
            </w14:solidFill>
          </w14:textFill>
        </w:rPr>
      </w:pPr>
      <w:bookmarkStart w:id="64" w:name="_Toc173837665"/>
      <w:r>
        <w:rPr>
          <w:rFonts w:hint="default" w:ascii="Times New Roman" w:hAnsi="Times New Roman" w:eastAsia="黑体" w:cs="Times New Roman"/>
          <w:b w:val="0"/>
          <w:color w:val="000000" w:themeColor="text1"/>
          <w14:textFill>
            <w14:solidFill>
              <w14:schemeClr w14:val="tx1"/>
            </w14:solidFill>
          </w14:textFill>
        </w:rPr>
        <w:t>3.</w:t>
      </w:r>
      <w:r>
        <w:rPr>
          <w:rFonts w:hint="eastAsia" w:eastAsia="黑体" w:cs="Times New Roman"/>
          <w:b w:val="0"/>
          <w:color w:val="000000" w:themeColor="text1"/>
          <w:lang w:val="en-US" w:eastAsia="zh-CN"/>
          <w14:textFill>
            <w14:solidFill>
              <w14:schemeClr w14:val="tx1"/>
            </w14:solidFill>
          </w14:textFill>
        </w:rPr>
        <w:t>4</w:t>
      </w:r>
      <w:r>
        <w:rPr>
          <w:rFonts w:hint="default" w:ascii="Times New Roman" w:hAnsi="Times New Roman" w:eastAsia="黑体" w:cs="Times New Roman"/>
          <w:b w:val="0"/>
          <w:color w:val="000000" w:themeColor="text1"/>
          <w14:textFill>
            <w14:solidFill>
              <w14:schemeClr w14:val="tx1"/>
            </w14:solidFill>
          </w14:textFill>
        </w:rPr>
        <w:t>.4污染物排放</w:t>
      </w:r>
      <w:bookmarkEnd w:id="64"/>
    </w:p>
    <w:p w14:paraId="225C50A4">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项目在生产过程中，会产生一定的废气、废水、噪声和固体废物，主要采取了以下防治措施：</w:t>
      </w:r>
    </w:p>
    <w:p w14:paraId="1265288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废气：本项目大气污染物主要为</w:t>
      </w:r>
      <w:r>
        <w:rPr>
          <w:rFonts w:hint="default" w:ascii="Times New Roman" w:hAnsi="Times New Roman" w:cs="Times New Roman"/>
          <w:color w:val="000000" w:themeColor="text1"/>
          <w:lang w:val="en-US" w:eastAsia="zh-CN"/>
          <w14:textFill>
            <w14:solidFill>
              <w14:schemeClr w14:val="tx1"/>
            </w14:solidFill>
          </w14:textFill>
        </w:rPr>
        <w:t>拆包</w:t>
      </w:r>
      <w:r>
        <w:rPr>
          <w:rFonts w:hint="default" w:ascii="Times New Roman" w:hAnsi="Times New Roman" w:cs="Times New Roman"/>
          <w:color w:val="000000" w:themeColor="text1"/>
          <w14:textFill>
            <w14:solidFill>
              <w14:schemeClr w14:val="tx1"/>
            </w14:solidFill>
          </w14:textFill>
        </w:rPr>
        <w:t>工序、</w:t>
      </w:r>
      <w:r>
        <w:rPr>
          <w:rFonts w:hint="default" w:ascii="Times New Roman" w:hAnsi="Times New Roman" w:cs="Times New Roman"/>
          <w:color w:val="000000" w:themeColor="text1"/>
          <w:lang w:val="en-US" w:eastAsia="zh-CN"/>
          <w14:textFill>
            <w14:solidFill>
              <w14:schemeClr w14:val="tx1"/>
            </w14:solidFill>
          </w14:textFill>
        </w:rPr>
        <w:t>破碎</w:t>
      </w:r>
      <w:r>
        <w:rPr>
          <w:rFonts w:hint="default" w:ascii="Times New Roman" w:hAnsi="Times New Roman" w:cs="Times New Roman"/>
          <w:color w:val="000000" w:themeColor="text1"/>
          <w14:textFill>
            <w14:solidFill>
              <w14:schemeClr w14:val="tx1"/>
            </w14:solidFill>
          </w14:textFill>
        </w:rPr>
        <w:t>工序、</w:t>
      </w:r>
      <w:r>
        <w:rPr>
          <w:rFonts w:hint="default" w:ascii="Times New Roman" w:hAnsi="Times New Roman" w:cs="Times New Roman"/>
          <w:color w:val="000000" w:themeColor="text1"/>
          <w:lang w:val="en-US" w:eastAsia="zh-CN"/>
          <w14:textFill>
            <w14:solidFill>
              <w14:schemeClr w14:val="tx1"/>
            </w14:solidFill>
          </w14:textFill>
        </w:rPr>
        <w:t>熔融挤出</w:t>
      </w:r>
      <w:r>
        <w:rPr>
          <w:rFonts w:hint="default" w:ascii="Times New Roman" w:hAnsi="Times New Roman" w:cs="Times New Roman"/>
          <w:color w:val="000000" w:themeColor="text1"/>
          <w14:textFill>
            <w14:solidFill>
              <w14:schemeClr w14:val="tx1"/>
            </w14:solidFill>
          </w14:textFill>
        </w:rPr>
        <w:t>工序</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污水站</w:t>
      </w:r>
      <w:r>
        <w:rPr>
          <w:rFonts w:hint="default" w:ascii="Times New Roman" w:hAnsi="Times New Roman" w:cs="Times New Roman"/>
          <w:color w:val="000000" w:themeColor="text1"/>
          <w14:textFill>
            <w14:solidFill>
              <w14:schemeClr w14:val="tx1"/>
            </w14:solidFill>
          </w14:textFill>
        </w:rPr>
        <w:t>产生的颗粒物、非甲烷总烃、</w:t>
      </w:r>
      <w:r>
        <w:rPr>
          <w:rFonts w:hint="default" w:ascii="Times New Roman" w:hAnsi="Times New Roman" w:cs="Times New Roman"/>
          <w:color w:val="000000" w:themeColor="text1"/>
          <w:lang w:val="en-US" w:eastAsia="zh-CN"/>
          <w14:textFill>
            <w14:solidFill>
              <w14:schemeClr w14:val="tx1"/>
            </w14:solidFill>
          </w14:textFill>
        </w:rPr>
        <w:t>氨</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硫化氢</w:t>
      </w:r>
      <w:r>
        <w:rPr>
          <w:rFonts w:hint="default" w:ascii="Times New Roman" w:hAnsi="Times New Roman" w:cs="Times New Roman"/>
          <w:color w:val="000000" w:themeColor="text1"/>
          <w14:textFill>
            <w14:solidFill>
              <w14:schemeClr w14:val="tx1"/>
            </w14:solidFill>
          </w14:textFill>
        </w:rPr>
        <w:t>等污染物。建设项目拟采取的废气治理措施主要为：</w:t>
      </w:r>
    </w:p>
    <w:p w14:paraId="76E9D33D">
      <w:pPr>
        <w:pStyle w:val="251"/>
        <w:ind w:firstLine="482"/>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lang w:val="en-US" w:eastAsia="zh-CN"/>
          <w14:textFill>
            <w14:solidFill>
              <w14:schemeClr w14:val="tx1"/>
            </w14:solidFill>
          </w14:textFill>
        </w:rPr>
        <w:t>拆包</w:t>
      </w:r>
      <w:r>
        <w:rPr>
          <w:rFonts w:hint="default" w:ascii="Times New Roman" w:hAnsi="Times New Roman" w:cs="Times New Roman"/>
          <w:b/>
          <w:color w:val="000000" w:themeColor="text1"/>
          <w14:textFill>
            <w14:solidFill>
              <w14:schemeClr w14:val="tx1"/>
            </w14:solidFill>
          </w14:textFill>
        </w:rPr>
        <w:t>废气：</w:t>
      </w:r>
      <w:r>
        <w:rPr>
          <w:rFonts w:hint="default" w:ascii="Times New Roman" w:hAnsi="Times New Roman" w:cs="Times New Roman"/>
          <w:color w:val="000000" w:themeColor="text1"/>
          <w:lang w:val="en-US" w:eastAsia="zh-CN"/>
          <w14:textFill>
            <w14:solidFill>
              <w14:schemeClr w14:val="tx1"/>
            </w14:solidFill>
          </w14:textFill>
        </w:rPr>
        <w:t>拆包</w:t>
      </w:r>
      <w:r>
        <w:rPr>
          <w:rFonts w:hint="default" w:ascii="Times New Roman" w:hAnsi="Times New Roman" w:cs="Times New Roman"/>
          <w:color w:val="000000" w:themeColor="text1"/>
          <w14:textFill>
            <w14:solidFill>
              <w14:schemeClr w14:val="tx1"/>
            </w14:solidFill>
          </w14:textFill>
        </w:rPr>
        <w:t>废气经集气罩收集后进入“布袋除尘器（TA001）”处理后由1</w:t>
      </w:r>
      <w:r>
        <w:rPr>
          <w:rFonts w:hint="default"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m高排气筒（DA001）排放；</w:t>
      </w:r>
    </w:p>
    <w:p w14:paraId="4A46BD5F">
      <w:pPr>
        <w:pStyle w:val="251"/>
        <w:ind w:firstLine="482"/>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lang w:val="en-US" w:eastAsia="zh-CN"/>
          <w14:textFill>
            <w14:solidFill>
              <w14:schemeClr w14:val="tx1"/>
            </w14:solidFill>
          </w14:textFill>
        </w:rPr>
        <w:t>破碎</w:t>
      </w:r>
      <w:r>
        <w:rPr>
          <w:rFonts w:hint="default" w:ascii="Times New Roman" w:hAnsi="Times New Roman" w:cs="Times New Roman"/>
          <w:b/>
          <w:color w:val="000000" w:themeColor="text1"/>
          <w14:textFill>
            <w14:solidFill>
              <w14:schemeClr w14:val="tx1"/>
            </w14:solidFill>
          </w14:textFill>
        </w:rPr>
        <w:t>废气：</w:t>
      </w:r>
      <w:r>
        <w:rPr>
          <w:rFonts w:hint="default" w:ascii="Times New Roman" w:hAnsi="Times New Roman" w:cs="Times New Roman"/>
          <w:b w:val="0"/>
          <w:bCs/>
          <w:color w:val="000000" w:themeColor="text1"/>
          <w:lang w:val="en-US" w:eastAsia="zh-CN"/>
          <w14:textFill>
            <w14:solidFill>
              <w14:schemeClr w14:val="tx1"/>
            </w14:solidFill>
          </w14:textFill>
        </w:rPr>
        <w:t>破碎</w:t>
      </w:r>
      <w:r>
        <w:rPr>
          <w:rFonts w:hint="default" w:ascii="Times New Roman" w:hAnsi="Times New Roman" w:cs="Times New Roman"/>
          <w:color w:val="000000" w:themeColor="text1"/>
          <w14:textFill>
            <w14:solidFill>
              <w14:schemeClr w14:val="tx1"/>
            </w14:solidFill>
          </w14:textFill>
        </w:rPr>
        <w:t>废气经</w:t>
      </w:r>
      <w:r>
        <w:rPr>
          <w:rFonts w:hint="default" w:ascii="Times New Roman" w:hAnsi="Times New Roman" w:cs="Times New Roman"/>
          <w:color w:val="000000" w:themeColor="text1"/>
          <w:lang w:val="en-US" w:eastAsia="zh-CN"/>
          <w14:textFill>
            <w14:solidFill>
              <w14:schemeClr w14:val="tx1"/>
            </w14:solidFill>
          </w14:textFill>
        </w:rPr>
        <w:t>封闭设备+集气管道</w:t>
      </w:r>
      <w:r>
        <w:rPr>
          <w:rFonts w:hint="default" w:ascii="Times New Roman" w:hAnsi="Times New Roman" w:cs="Times New Roman"/>
          <w:color w:val="000000" w:themeColor="text1"/>
          <w14:textFill>
            <w14:solidFill>
              <w14:schemeClr w14:val="tx1"/>
            </w14:solidFill>
          </w14:textFill>
        </w:rPr>
        <w:t>收集后</w:t>
      </w:r>
      <w:r>
        <w:rPr>
          <w:rFonts w:hint="default" w:ascii="Times New Roman" w:hAnsi="Times New Roman" w:cs="Times New Roman"/>
          <w:color w:val="000000" w:themeColor="text1"/>
          <w:lang w:val="en-US" w:eastAsia="zh-CN"/>
          <w14:textFill>
            <w14:solidFill>
              <w14:schemeClr w14:val="tx1"/>
            </w14:solidFill>
          </w14:textFill>
        </w:rPr>
        <w:t>进入</w:t>
      </w:r>
      <w:r>
        <w:rPr>
          <w:rFonts w:hint="default" w:ascii="Times New Roman" w:hAnsi="Times New Roman" w:cs="Times New Roman"/>
          <w:color w:val="000000" w:themeColor="text1"/>
          <w14:textFill>
            <w14:solidFill>
              <w14:schemeClr w14:val="tx1"/>
            </w14:solidFill>
          </w14:textFill>
        </w:rPr>
        <w:t>“布袋除尘器（TA00</w:t>
      </w: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）”处理后通过</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5m高排气筒（DA002）排放；</w:t>
      </w:r>
    </w:p>
    <w:p w14:paraId="09B50424">
      <w:pPr>
        <w:pStyle w:val="251"/>
        <w:ind w:firstLine="482"/>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lang w:val="en-US" w:eastAsia="zh-CN"/>
          <w14:textFill>
            <w14:solidFill>
              <w14:schemeClr w14:val="tx1"/>
            </w14:solidFill>
          </w14:textFill>
        </w:rPr>
        <w:t>熔融挤出</w:t>
      </w:r>
      <w:r>
        <w:rPr>
          <w:rFonts w:hint="default" w:ascii="Times New Roman" w:hAnsi="Times New Roman" w:cs="Times New Roman"/>
          <w:b/>
          <w:color w:val="000000" w:themeColor="text1"/>
          <w14:textFill>
            <w14:solidFill>
              <w14:schemeClr w14:val="tx1"/>
            </w14:solidFill>
          </w14:textFill>
        </w:rPr>
        <w:t>废气：</w:t>
      </w:r>
      <w:r>
        <w:rPr>
          <w:rFonts w:hint="default" w:ascii="Times New Roman" w:hAnsi="Times New Roman" w:cs="Times New Roman"/>
          <w:color w:val="000000" w:themeColor="text1"/>
          <w:lang w:val="en-US" w:eastAsia="zh-CN"/>
          <w14:textFill>
            <w14:solidFill>
              <w14:schemeClr w14:val="tx1"/>
            </w14:solidFill>
          </w14:textFill>
        </w:rPr>
        <w:t>熔融挤出</w:t>
      </w:r>
      <w:r>
        <w:rPr>
          <w:rFonts w:hint="default" w:ascii="Times New Roman" w:hAnsi="Times New Roman" w:cs="Times New Roman"/>
          <w:color w:val="000000" w:themeColor="text1"/>
          <w14:textFill>
            <w14:solidFill>
              <w14:schemeClr w14:val="tx1"/>
            </w14:solidFill>
          </w14:textFill>
        </w:rPr>
        <w:t>废气经</w:t>
      </w:r>
      <w:r>
        <w:rPr>
          <w:rFonts w:hint="default" w:ascii="Times New Roman" w:hAnsi="Times New Roman" w:cs="Times New Roman"/>
          <w:color w:val="000000" w:themeColor="text1"/>
          <w:lang w:val="en-US" w:eastAsia="zh-CN"/>
          <w14:textFill>
            <w14:solidFill>
              <w14:schemeClr w14:val="tx1"/>
            </w14:solidFill>
          </w14:textFill>
        </w:rPr>
        <w:t>区域封闭+集气罩</w:t>
      </w:r>
      <w:r>
        <w:rPr>
          <w:rFonts w:hint="default" w:ascii="Times New Roman" w:hAnsi="Times New Roman" w:cs="Times New Roman"/>
          <w:color w:val="000000" w:themeColor="text1"/>
          <w14:textFill>
            <w14:solidFill>
              <w14:schemeClr w14:val="tx1"/>
            </w14:solidFill>
          </w14:textFill>
        </w:rPr>
        <w:t>收集后</w:t>
      </w:r>
      <w:r>
        <w:rPr>
          <w:rFonts w:hint="default" w:ascii="Times New Roman" w:hAnsi="Times New Roman" w:cs="Times New Roman"/>
          <w:color w:val="000000" w:themeColor="text1"/>
          <w:lang w:val="en-US" w:eastAsia="zh-CN"/>
          <w14:textFill>
            <w14:solidFill>
              <w14:schemeClr w14:val="tx1"/>
            </w14:solidFill>
          </w14:textFill>
        </w:rPr>
        <w:t>进入</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油烟净化器</w:t>
      </w:r>
      <w:r>
        <w:rPr>
          <w:rFonts w:hint="default" w:ascii="Times New Roman" w:hAnsi="Times New Roman" w:cs="Times New Roman"/>
          <w:color w:val="000000" w:themeColor="text1"/>
          <w14:textFill>
            <w14:solidFill>
              <w14:schemeClr w14:val="tx1"/>
            </w14:solidFill>
          </w14:textFill>
        </w:rPr>
        <w:t>+两级活性炭吸附装置（TA003）”处理后通过</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5m高排气筒（DA003）排放；</w:t>
      </w:r>
    </w:p>
    <w:p w14:paraId="0D1F2FA7">
      <w:pPr>
        <w:pStyle w:val="251"/>
        <w:ind w:firstLine="482"/>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b/>
          <w:color w:val="000000" w:themeColor="text1"/>
          <w:lang w:val="en-US" w:eastAsia="zh-CN"/>
          <w14:textFill>
            <w14:solidFill>
              <w14:schemeClr w14:val="tx1"/>
            </w14:solidFill>
          </w14:textFill>
        </w:rPr>
        <w:t>污水站</w:t>
      </w:r>
      <w:r>
        <w:rPr>
          <w:rFonts w:hint="default" w:ascii="Times New Roman" w:hAnsi="Times New Roman" w:cs="Times New Roman"/>
          <w:b/>
          <w:color w:val="000000" w:themeColor="text1"/>
          <w14:textFill>
            <w14:solidFill>
              <w14:schemeClr w14:val="tx1"/>
            </w14:solidFill>
          </w14:textFill>
        </w:rPr>
        <w:t>废气：</w:t>
      </w:r>
      <w:r>
        <w:rPr>
          <w:rFonts w:hint="default" w:ascii="Times New Roman" w:hAnsi="Times New Roman" w:cs="Times New Roman"/>
          <w:color w:val="000000" w:themeColor="text1"/>
          <w:lang w:val="en-US" w:eastAsia="zh-CN"/>
          <w14:textFill>
            <w14:solidFill>
              <w14:schemeClr w14:val="tx1"/>
            </w14:solidFill>
          </w14:textFill>
        </w:rPr>
        <w:t>污水站废气经封闭</w:t>
      </w:r>
      <w:r>
        <w:rPr>
          <w:rFonts w:hint="default" w:ascii="Times New Roman" w:hAnsi="Times New Roman" w:cs="Times New Roman"/>
          <w:color w:val="000000" w:themeColor="text1"/>
          <w14:textFill>
            <w14:solidFill>
              <w14:schemeClr w14:val="tx1"/>
            </w14:solidFill>
          </w14:textFill>
        </w:rPr>
        <w:t>负压收集</w:t>
      </w:r>
      <w:r>
        <w:rPr>
          <w:rFonts w:hint="default" w:ascii="Times New Roman" w:hAnsi="Times New Roman" w:cs="Times New Roman"/>
          <w:color w:val="000000" w:themeColor="text1"/>
          <w:lang w:val="en-US" w:eastAsia="zh-CN"/>
          <w14:textFill>
            <w14:solidFill>
              <w14:schemeClr w14:val="tx1"/>
            </w14:solidFill>
          </w14:textFill>
        </w:rPr>
        <w:t>后进入</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sz w:val="24"/>
          <w:lang w:eastAsia="zh-CN"/>
          <w14:textFill>
            <w14:solidFill>
              <w14:schemeClr w14:val="tx1"/>
            </w14:solidFill>
          </w14:textFill>
        </w:rPr>
        <w:t>两级活性炭吸附装置</w:t>
      </w:r>
      <w:r>
        <w:rPr>
          <w:rFonts w:hint="default" w:ascii="Times New Roman" w:hAnsi="Times New Roman" w:cs="Times New Roman"/>
          <w:color w:val="000000" w:themeColor="text1"/>
          <w:sz w:val="24"/>
          <w14:textFill>
            <w14:solidFill>
              <w14:schemeClr w14:val="tx1"/>
            </w14:solidFill>
          </w14:textFill>
        </w:rPr>
        <w:t>除臭</w:t>
      </w:r>
      <w:r>
        <w:rPr>
          <w:rFonts w:hint="default" w:ascii="Times New Roman" w:hAnsi="Times New Roman" w:cs="Times New Roman"/>
          <w:color w:val="000000" w:themeColor="text1"/>
          <w14:textFill>
            <w14:solidFill>
              <w14:schemeClr w14:val="tx1"/>
            </w14:solidFill>
          </w14:textFill>
        </w:rPr>
        <w:t>（TA004）”处理后通过</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5m高排气筒（DA004）排放</w:t>
      </w:r>
      <w:r>
        <w:rPr>
          <w:rFonts w:hint="default" w:ascii="Times New Roman" w:hAnsi="Times New Roman" w:cs="Times New Roman"/>
          <w:color w:val="000000" w:themeColor="text1"/>
          <w:lang w:eastAsia="zh-CN"/>
          <w14:textFill>
            <w14:solidFill>
              <w14:schemeClr w14:val="tx1"/>
            </w14:solidFill>
          </w14:textFill>
        </w:rPr>
        <w:t>。</w:t>
      </w:r>
    </w:p>
    <w:p w14:paraId="32ADCAC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2、废水：本项目采取雨污分流；生活污水经化粪池处理后排入市政污水管网送至污水处理厂进行处理；冷却水循环使用</w:t>
      </w:r>
      <w:r>
        <w:rPr>
          <w:rFonts w:hint="eastAsia" w:ascii="Times New Roman" w:hAnsi="Times New Roman" w:cs="Times New Roman"/>
          <w:color w:val="000000" w:themeColor="text1"/>
          <w:lang w:eastAsia="zh-CN"/>
          <w14:textFill>
            <w14:solidFill>
              <w14:schemeClr w14:val="tx1"/>
            </w14:solidFill>
          </w14:textFill>
        </w:rPr>
        <w:t>，</w:t>
      </w:r>
      <w:r>
        <w:rPr>
          <w:rFonts w:hint="eastAsia" w:cs="Times New Roman"/>
          <w:color w:val="000000" w:themeColor="text1"/>
          <w:spacing w:val="-4"/>
          <w:sz w:val="24"/>
          <w:szCs w:val="24"/>
          <w:lang w:eastAsia="zh-CN"/>
          <w14:textFill>
            <w14:solidFill>
              <w14:schemeClr w14:val="tx1"/>
            </w14:solidFill>
          </w14:textFill>
        </w:rPr>
        <w:t>定期外排水</w:t>
      </w:r>
      <w:r>
        <w:rPr>
          <w:rFonts w:hint="eastAsia" w:cs="Times New Roman"/>
          <w:color w:val="000000" w:themeColor="text1"/>
          <w:spacing w:val="0"/>
          <w:sz w:val="24"/>
          <w:szCs w:val="24"/>
          <w:lang w:val="en-US" w:eastAsia="zh-CN"/>
          <w14:textFill>
            <w14:solidFill>
              <w14:schemeClr w14:val="tx1"/>
            </w14:solidFill>
          </w14:textFill>
        </w:rPr>
        <w:t>用于物料清洗</w:t>
      </w:r>
      <w:r>
        <w:rPr>
          <w:rFonts w:hint="default" w:ascii="Times New Roman" w:hAnsi="Times New Roman" w:cs="Times New Roman"/>
          <w:color w:val="000000" w:themeColor="text1"/>
          <w14:textFill>
            <w14:solidFill>
              <w14:schemeClr w14:val="tx1"/>
            </w14:solidFill>
          </w14:textFill>
        </w:rPr>
        <w:t>，瓶片清洗废水经厂区自建污水处理站处理后90%循环使用，10%排入市政污水管网送至污水处理厂进行处理。</w:t>
      </w:r>
    </w:p>
    <w:p w14:paraId="04224045">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3、噪声：本项目高噪声设备较少，噪声源主要为设备噪声、风机及各类水泵等，建设单位选用低噪声设备、设置减振垫、安装消声装置等措施。</w:t>
      </w:r>
    </w:p>
    <w:p w14:paraId="6F9B986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4、固体废物：本项目产生的一般工业固体废物主要有</w:t>
      </w:r>
      <w:r>
        <w:rPr>
          <w:rFonts w:hint="default" w:ascii="Times New Roman" w:hAnsi="Times New Roman" w:cs="Times New Roman"/>
          <w:color w:val="000000" w:themeColor="text1"/>
          <w:lang w:val="en-US" w:eastAsia="zh-CN"/>
          <w14:textFill>
            <w14:solidFill>
              <w14:schemeClr w14:val="tx1"/>
            </w14:solidFill>
          </w14:textFill>
        </w:rPr>
        <w:t>分选杂质</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废标签纸、废瓶盖、废包装材料、污水站污泥、布袋收集粉尘及废布袋等</w:t>
      </w:r>
      <w:r>
        <w:rPr>
          <w:rFonts w:hint="default" w:ascii="Times New Roman" w:hAnsi="Times New Roman" w:cs="Times New Roman"/>
          <w:color w:val="000000" w:themeColor="text1"/>
          <w14:textFill>
            <w14:solidFill>
              <w14:schemeClr w14:val="tx1"/>
            </w14:solidFill>
          </w14:textFill>
        </w:rPr>
        <w:t>，暂存于一般工业固体废物暂存库中，</w:t>
      </w:r>
      <w:r>
        <w:rPr>
          <w:rFonts w:hint="default" w:ascii="Times New Roman" w:hAnsi="Times New Roman" w:cs="Times New Roman"/>
          <w:color w:val="000000" w:themeColor="text1"/>
          <w:lang w:val="en-US" w:eastAsia="zh-CN"/>
          <w14:textFill>
            <w14:solidFill>
              <w14:schemeClr w14:val="tx1"/>
            </w14:solidFill>
          </w14:textFill>
        </w:rPr>
        <w:t>其中废标签纸和废瓶盖回用于生产破碎后作为产品外售，其他</w:t>
      </w:r>
      <w:r>
        <w:rPr>
          <w:rFonts w:hint="default" w:ascii="Times New Roman" w:hAnsi="Times New Roman" w:cs="Times New Roman"/>
          <w:color w:val="000000" w:themeColor="text1"/>
          <w14:textFill>
            <w14:solidFill>
              <w14:schemeClr w14:val="tx1"/>
            </w14:solidFill>
          </w14:textFill>
        </w:rPr>
        <w:t>外售综合利用；项目产生的危险废物主要为废活性炭、</w:t>
      </w:r>
      <w:r>
        <w:rPr>
          <w:rFonts w:hint="default" w:ascii="Times New Roman" w:hAnsi="Times New Roman" w:cs="Times New Roman"/>
          <w:color w:val="000000" w:themeColor="text1"/>
          <w:lang w:val="en-US" w:eastAsia="zh-CN"/>
          <w14:textFill>
            <w14:solidFill>
              <w14:schemeClr w14:val="tx1"/>
            </w14:solidFill>
          </w14:textFill>
        </w:rPr>
        <w:t>废油桶</w:t>
      </w:r>
      <w:r>
        <w:rPr>
          <w:rFonts w:hint="default" w:ascii="Times New Roman" w:hAnsi="Times New Roman" w:cs="Times New Roman"/>
          <w:color w:val="000000" w:themeColor="text1"/>
          <w14:textFill>
            <w14:solidFill>
              <w14:schemeClr w14:val="tx1"/>
            </w14:solidFill>
          </w14:textFill>
        </w:rPr>
        <w:t>、废机油</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含油抹布及手套</w:t>
      </w:r>
      <w:r>
        <w:rPr>
          <w:rFonts w:hint="default" w:ascii="Times New Roman" w:hAnsi="Times New Roman" w:cs="Times New Roman"/>
          <w:color w:val="000000" w:themeColor="text1"/>
          <w14:textFill>
            <w14:solidFill>
              <w14:schemeClr w14:val="tx1"/>
            </w14:solidFill>
          </w14:textFill>
        </w:rPr>
        <w:t>等，暂存于危险废物暂存仓库中，定期交由有资质单位处置。生活垃圾交环卫部门清运。</w:t>
      </w:r>
    </w:p>
    <w:p w14:paraId="6A76CF17">
      <w:pPr>
        <w:pStyle w:val="3159"/>
        <w:rPr>
          <w:rFonts w:hint="default" w:ascii="Times New Roman" w:hAnsi="Times New Roman" w:eastAsia="黑体" w:cs="Times New Roman"/>
          <w:b w:val="0"/>
          <w:color w:val="000000" w:themeColor="text1"/>
          <w14:textFill>
            <w14:solidFill>
              <w14:schemeClr w14:val="tx1"/>
            </w14:solidFill>
          </w14:textFill>
        </w:rPr>
      </w:pPr>
      <w:bookmarkStart w:id="65" w:name="_Toc173837666"/>
      <w:r>
        <w:rPr>
          <w:rFonts w:hint="default" w:ascii="Times New Roman" w:hAnsi="Times New Roman" w:eastAsia="黑体" w:cs="Times New Roman"/>
          <w:b w:val="0"/>
          <w:color w:val="000000" w:themeColor="text1"/>
          <w14:textFill>
            <w14:solidFill>
              <w14:schemeClr w14:val="tx1"/>
            </w14:solidFill>
          </w14:textFill>
        </w:rPr>
        <w:t>3.</w:t>
      </w:r>
      <w:r>
        <w:rPr>
          <w:rFonts w:hint="eastAsia" w:eastAsia="黑体" w:cs="Times New Roman"/>
          <w:b w:val="0"/>
          <w:color w:val="000000" w:themeColor="text1"/>
          <w:lang w:val="en-US" w:eastAsia="zh-CN"/>
          <w14:textFill>
            <w14:solidFill>
              <w14:schemeClr w14:val="tx1"/>
            </w14:solidFill>
          </w14:textFill>
        </w:rPr>
        <w:t>4</w:t>
      </w:r>
      <w:r>
        <w:rPr>
          <w:rFonts w:hint="default" w:ascii="Times New Roman" w:hAnsi="Times New Roman" w:eastAsia="黑体" w:cs="Times New Roman"/>
          <w:b w:val="0"/>
          <w:color w:val="000000" w:themeColor="text1"/>
          <w14:textFill>
            <w14:solidFill>
              <w14:schemeClr w14:val="tx1"/>
            </w14:solidFill>
          </w14:textFill>
        </w:rPr>
        <w:t>.5环境管理</w:t>
      </w:r>
      <w:bookmarkEnd w:id="65"/>
    </w:p>
    <w:p w14:paraId="4C3EB9D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（1）项目的生产符合国家和地方相关法律法规，经处理后的各污染物排放均能满足国家和地方的标准要求，同时亦能满足其总量控制的要求。</w:t>
      </w:r>
    </w:p>
    <w:p w14:paraId="1F24A27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（2）建设项目产生的废物能妥善处理处置，不外排。</w:t>
      </w:r>
    </w:p>
    <w:p w14:paraId="2B1949B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（3）企业应制定原材料之间制度和原材料消耗定额，对能耗、水耗及产品合格率有考核记录，各种物品堆存区域、危废储存区及环保设备或设施等有明显标识。</w:t>
      </w:r>
    </w:p>
    <w:p w14:paraId="03308FD9">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（4）项目投产后，应对项目相关方（如危险废物的供应方、危险废物运输方及相关服务方）的行为提出相应的环境要求。</w:t>
      </w:r>
    </w:p>
    <w:p w14:paraId="6C370EB9">
      <w:pPr>
        <w:pStyle w:val="3159"/>
        <w:rPr>
          <w:rFonts w:hint="default" w:ascii="Times New Roman" w:hAnsi="Times New Roman" w:eastAsia="黑体" w:cs="Times New Roman"/>
          <w:b w:val="0"/>
          <w:color w:val="000000" w:themeColor="text1"/>
          <w14:textFill>
            <w14:solidFill>
              <w14:schemeClr w14:val="tx1"/>
            </w14:solidFill>
          </w14:textFill>
        </w:rPr>
      </w:pPr>
      <w:bookmarkStart w:id="66" w:name="_Toc173837667"/>
      <w:r>
        <w:rPr>
          <w:rFonts w:hint="default" w:ascii="Times New Roman" w:hAnsi="Times New Roman" w:eastAsia="黑体" w:cs="Times New Roman"/>
          <w:b w:val="0"/>
          <w:color w:val="000000" w:themeColor="text1"/>
          <w14:textFill>
            <w14:solidFill>
              <w14:schemeClr w14:val="tx1"/>
            </w14:solidFill>
          </w14:textFill>
        </w:rPr>
        <w:t>3.</w:t>
      </w:r>
      <w:r>
        <w:rPr>
          <w:rFonts w:hint="eastAsia" w:eastAsia="黑体" w:cs="Times New Roman"/>
          <w:b w:val="0"/>
          <w:color w:val="000000" w:themeColor="text1"/>
          <w:lang w:val="en-US" w:eastAsia="zh-CN"/>
          <w14:textFill>
            <w14:solidFill>
              <w14:schemeClr w14:val="tx1"/>
            </w14:solidFill>
          </w14:textFill>
        </w:rPr>
        <w:t>4</w:t>
      </w:r>
      <w:r>
        <w:rPr>
          <w:rFonts w:hint="default" w:ascii="Times New Roman" w:hAnsi="Times New Roman" w:eastAsia="黑体" w:cs="Times New Roman"/>
          <w:b w:val="0"/>
          <w:color w:val="000000" w:themeColor="text1"/>
          <w14:textFill>
            <w14:solidFill>
              <w14:schemeClr w14:val="tx1"/>
            </w14:solidFill>
          </w14:textFill>
        </w:rPr>
        <w:t>.6清洁生产管理体系建设</w:t>
      </w:r>
      <w:bookmarkEnd w:id="66"/>
    </w:p>
    <w:p w14:paraId="17EDDFC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内部管理是企业提高生产效率和获得效益的根本。清洁生产实践证明：强化企业内部管理，量化各项管理指标可减少污染物产生量的30%左右。而且企业管理方面的改进方案，基本上都是易实施的无/低费方案，企业通过实施这些方案，可获得一定的经济与环境效益，为进一步实施其他的中/高费方案积累资金，从而提高企业实施清洁生产方案的积极性与主动性。本项目拟采用的企业管理清洁生产措施有：</w:t>
      </w:r>
    </w:p>
    <w:p w14:paraId="4047E6B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1、建立明确的清洁生产职责机构，制定有关清洁生产的长期规划和规章制度，使清洁生产的运行和管理制度化、规范化。</w:t>
      </w:r>
    </w:p>
    <w:p w14:paraId="29C1F6F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2、定期进行员工技术培训，提高员工素质，规范各项操作。</w:t>
      </w:r>
    </w:p>
    <w:p w14:paraId="0FD35A6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3、严格控制工艺的操作条件，规范操作规程，加强岗位责任制，完善考核机制。</w:t>
      </w:r>
    </w:p>
    <w:p w14:paraId="3E9E8325">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4、有效地指挥调度生产，合理安排生产计划。</w:t>
      </w:r>
    </w:p>
    <w:p w14:paraId="23B6440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5、加强原辅料进厂质量与贮存管理，减少杂损和腐蚀。</w:t>
      </w:r>
    </w:p>
    <w:p w14:paraId="47A2D6E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6、建立建全设备维护、保养制度，杜绝跑、冒、滴、漏现象。</w:t>
      </w:r>
    </w:p>
    <w:p w14:paraId="0696FA6E">
      <w:pPr>
        <w:pStyle w:val="3159"/>
        <w:rPr>
          <w:rFonts w:hint="default" w:ascii="Times New Roman" w:hAnsi="Times New Roman" w:eastAsia="黑体" w:cs="Times New Roman"/>
          <w:b w:val="0"/>
          <w:color w:val="000000" w:themeColor="text1"/>
          <w14:textFill>
            <w14:solidFill>
              <w14:schemeClr w14:val="tx1"/>
            </w14:solidFill>
          </w14:textFill>
        </w:rPr>
      </w:pPr>
      <w:bookmarkStart w:id="67" w:name="_Toc173837668"/>
      <w:r>
        <w:rPr>
          <w:rFonts w:hint="default" w:ascii="Times New Roman" w:hAnsi="Times New Roman" w:eastAsia="黑体" w:cs="Times New Roman"/>
          <w:b w:val="0"/>
          <w:color w:val="000000" w:themeColor="text1"/>
          <w14:textFill>
            <w14:solidFill>
              <w14:schemeClr w14:val="tx1"/>
            </w14:solidFill>
          </w14:textFill>
        </w:rPr>
        <w:t>3.</w:t>
      </w:r>
      <w:r>
        <w:rPr>
          <w:rFonts w:hint="eastAsia" w:eastAsia="黑体" w:cs="Times New Roman"/>
          <w:b w:val="0"/>
          <w:color w:val="000000" w:themeColor="text1"/>
          <w:lang w:val="en-US" w:eastAsia="zh-CN"/>
          <w14:textFill>
            <w14:solidFill>
              <w14:schemeClr w14:val="tx1"/>
            </w14:solidFill>
          </w14:textFill>
        </w:rPr>
        <w:t>4</w:t>
      </w:r>
      <w:r>
        <w:rPr>
          <w:rFonts w:hint="default" w:ascii="Times New Roman" w:hAnsi="Times New Roman" w:eastAsia="黑体" w:cs="Times New Roman"/>
          <w:b w:val="0"/>
          <w:color w:val="000000" w:themeColor="text1"/>
          <w14:textFill>
            <w14:solidFill>
              <w14:schemeClr w14:val="tx1"/>
            </w14:solidFill>
          </w14:textFill>
        </w:rPr>
        <w:t>.7清洁生产结论</w:t>
      </w:r>
      <w:bookmarkEnd w:id="67"/>
    </w:p>
    <w:p w14:paraId="15719EB5">
      <w:pPr>
        <w:pStyle w:val="251"/>
        <w:ind w:firstLine="480"/>
        <w:rPr>
          <w:rFonts w:hint="default" w:ascii="Times New Roman" w:hAnsi="Times New Roman" w:cs="Times New Roman"/>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000000" w:themeColor="text1"/>
          <w14:textFill>
            <w14:solidFill>
              <w14:schemeClr w14:val="tx1"/>
            </w14:solidFill>
          </w14:textFill>
        </w:rPr>
        <w:t>综上所述，本项目符合国家和地方产业政策。产品生产工艺采用国内外较先进的生产工艺；采用较先进的生产设备；达到国内清洁生产先进水平，生产设计中体现了减量、再利用、循环原则，符合循环经济的要求。</w:t>
      </w:r>
    </w:p>
    <w:p w14:paraId="3341DD19">
      <w:pPr>
        <w:pStyle w:val="2855"/>
        <w:rPr>
          <w:rFonts w:hint="default" w:ascii="Times New Roman" w:hAnsi="Times New Roman" w:eastAsia="黑体" w:cs="Times New Roman"/>
          <w:b w:val="0"/>
          <w:color w:val="000000" w:themeColor="text1"/>
          <w14:textFill>
            <w14:solidFill>
              <w14:schemeClr w14:val="tx1"/>
            </w14:solidFill>
          </w14:textFill>
        </w:rPr>
      </w:pPr>
      <w:bookmarkStart w:id="68" w:name="_Toc173837669"/>
      <w:r>
        <w:rPr>
          <w:rFonts w:hint="default" w:ascii="Times New Roman" w:hAnsi="Times New Roman" w:eastAsia="黑体" w:cs="Times New Roman"/>
          <w:b w:val="0"/>
          <w:color w:val="000000" w:themeColor="text1"/>
          <w14:textFill>
            <w14:solidFill>
              <w14:schemeClr w14:val="tx1"/>
            </w14:solidFill>
          </w14:textFill>
        </w:rPr>
        <w:t>4环境现状调查与评价</w:t>
      </w:r>
      <w:bookmarkEnd w:id="68"/>
    </w:p>
    <w:p w14:paraId="7F77D8B6">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69" w:name="_Toc173837670"/>
      <w:r>
        <w:rPr>
          <w:rFonts w:hint="default" w:ascii="Times New Roman" w:hAnsi="Times New Roman" w:eastAsia="黑体" w:cs="Times New Roman"/>
          <w:b w:val="0"/>
          <w:color w:val="000000" w:themeColor="text1"/>
          <w14:textFill>
            <w14:solidFill>
              <w14:schemeClr w14:val="tx1"/>
            </w14:solidFill>
          </w14:textFill>
        </w:rPr>
        <w:t>4.1自然环境概况</w:t>
      </w:r>
      <w:bookmarkEnd w:id="69"/>
    </w:p>
    <w:p w14:paraId="371A3B74">
      <w:pPr>
        <w:pStyle w:val="3159"/>
        <w:rPr>
          <w:rFonts w:hint="default" w:ascii="Times New Roman" w:hAnsi="Times New Roman" w:eastAsia="黑体" w:cs="Times New Roman"/>
          <w:b w:val="0"/>
          <w:color w:val="000000" w:themeColor="text1"/>
          <w14:textFill>
            <w14:solidFill>
              <w14:schemeClr w14:val="tx1"/>
            </w14:solidFill>
          </w14:textFill>
        </w:rPr>
      </w:pPr>
      <w:bookmarkStart w:id="70" w:name="_Toc173837671"/>
      <w:r>
        <w:rPr>
          <w:rFonts w:hint="default" w:ascii="Times New Roman" w:hAnsi="Times New Roman" w:eastAsia="黑体" w:cs="Times New Roman"/>
          <w:b w:val="0"/>
          <w:color w:val="000000" w:themeColor="text1"/>
          <w14:textFill>
            <w14:solidFill>
              <w14:schemeClr w14:val="tx1"/>
            </w14:solidFill>
          </w14:textFill>
        </w:rPr>
        <w:t>4.1.1地理位置</w:t>
      </w:r>
      <w:bookmarkEnd w:id="70"/>
    </w:p>
    <w:p w14:paraId="1EC0A29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淮南市毛集社会发展综合实验区地处淮北平原，位于淮河与西淝河交汇处，濒临淮河北岸，距凤台县县城14公里。东临古城寿州，南接焦岗湖，西与颍上县接壤。隔河东望，便是“风声鹤唳，草木皆兵”的八公山古战场。南为淮河，西与颍上县江店镇毗邻。北濒西淝河，102省道穿境而过，北部阜淮铁路擦境而过。区境内除生产优质大米、小麦、黄豆外，还有煤炭、河沙、焦岗湖的天然优质水产品。辖区内资源丰富、雨水充沛，实为淮北平原的鱼米之乡。毛集水陆交通便利，淮河通江达海，四季通航。合淮阜高速公路和102省道贯穿全境，铁路经淮南和京九线枢纽城市阜阳市与京九、京沪线相连接。</w:t>
      </w:r>
      <w:r>
        <w:rPr>
          <w:rFonts w:hint="default" w:ascii="Times New Roman" w:hAnsi="Times New Roman"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14:textFill>
            <w14:solidFill>
              <w14:schemeClr w14:val="tx1"/>
            </w14:solidFill>
          </w14:textFill>
        </w:rPr>
        <w:t>位于毛集实验区境内，合淮阜高速公路毛集出口处和102省道两侧（毛集镇区和夏集镇区之间）。</w:t>
      </w:r>
    </w:p>
    <w:p w14:paraId="0AAA256C">
      <w:pPr>
        <w:pStyle w:val="3159"/>
        <w:rPr>
          <w:rFonts w:hint="default" w:ascii="Times New Roman" w:hAnsi="Times New Roman" w:eastAsia="黑体" w:cs="Times New Roman"/>
          <w:b w:val="0"/>
          <w:color w:val="000000" w:themeColor="text1"/>
          <w14:textFill>
            <w14:solidFill>
              <w14:schemeClr w14:val="tx1"/>
            </w14:solidFill>
          </w14:textFill>
        </w:rPr>
      </w:pPr>
      <w:bookmarkStart w:id="71" w:name="_Toc173837672"/>
      <w:r>
        <w:rPr>
          <w:rFonts w:hint="default" w:ascii="Times New Roman" w:hAnsi="Times New Roman" w:eastAsia="黑体" w:cs="Times New Roman"/>
          <w:b w:val="0"/>
          <w:color w:val="000000" w:themeColor="text1"/>
          <w14:textFill>
            <w14:solidFill>
              <w14:schemeClr w14:val="tx1"/>
            </w14:solidFill>
          </w14:textFill>
        </w:rPr>
        <w:t>4.1.2地形、地貌</w:t>
      </w:r>
      <w:bookmarkEnd w:id="71"/>
    </w:p>
    <w:p w14:paraId="0F26E18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毛集实验区地处淮北平原，地形平坦，海拔高度</w:t>
      </w:r>
      <w:r>
        <w:rPr>
          <w:rFonts w:hint="default" w:ascii="Times New Roman" w:hAnsi="Times New Roman" w:eastAsia="TimesNewRomanPSMT" w:cs="Times New Roman"/>
          <w:color w:val="000000" w:themeColor="text1"/>
          <w14:textFill>
            <w14:solidFill>
              <w14:schemeClr w14:val="tx1"/>
            </w14:solidFill>
          </w14:textFill>
        </w:rPr>
        <w:t>23.0</w:t>
      </w:r>
      <w:r>
        <w:rPr>
          <w:rFonts w:hint="default" w:ascii="Times New Roman" w:hAnsi="Times New Roman" w:cs="Times New Roman"/>
          <w:color w:val="000000" w:themeColor="text1"/>
          <w14:textFill>
            <w14:solidFill>
              <w14:schemeClr w14:val="tx1"/>
            </w14:solidFill>
          </w14:textFill>
        </w:rPr>
        <w:t>米，由于河流变迁，交互沉积，以及历次黄淮河的侵蚀，加之人为活动的影响，形成大平小不平的地貌特征，沿焦岗湖、董峰湖，由于历次汛期涨水而沉积泥沙，形成了高洼不等的“河漫滩涂”（即低洼湾地）西淝河与淮河接口处，因汛期受淮水洪峰顶托倒灌向西南泛滥，并反复冲刷使河口扩展增宽淤浅，形成董峰湖河口湾地。因淮河泛滥土地化积物的包围阻隔，形成了典型的焦岗湖“牛轭潮”洼地。淮河干、支流交汇处较多，是河流与湖泊的间隔场所。又因地势西北高于东南，边缘向中央倾斜。故沿淝岗地，两岗之间呈微凹状，形成碟形洼地，无常年积水现象。淮河干流沿岸，有面积较大的低河漫滩，遇汛时被水淹没，汛退后仍可作耕、区境内的董峰湖，由于河流不同时期交互沉积，以及下切和再沉积的作用，地形有微度起伏。离河床近的为沙远的为淤。河漫滩沿河槽呈不对称分布，东窄西宽，高差</w:t>
      </w:r>
      <w:r>
        <w:rPr>
          <w:rFonts w:hint="default" w:ascii="Times New Roman" w:hAnsi="Times New Roman" w:eastAsia="TimesNewRomanPSMT"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至</w:t>
      </w:r>
      <w:r>
        <w:rPr>
          <w:rFonts w:hint="default" w:ascii="Times New Roman" w:hAnsi="Times New Roman" w:eastAsia="TimesNewRomanPSMT" w:cs="Times New Roman"/>
          <w:color w:val="000000" w:themeColor="text1"/>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米，称河谷平原。西淝河沿岸，由于古河流沉积物和近代黄泛沉积物的堆积，形成了自然的河涧平原，区境内的毛家湖、魏洲湾、吴楼湾、莎草湾等，面积约</w:t>
      </w:r>
      <w:r>
        <w:rPr>
          <w:rFonts w:hint="default" w:ascii="Times New Roman" w:hAnsi="Times New Roman" w:eastAsia="TimesNewRomanPSMT" w:cs="Times New Roman"/>
          <w:color w:val="000000" w:themeColor="text1"/>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万亩，海拔</w:t>
      </w:r>
      <w:r>
        <w:rPr>
          <w:rFonts w:hint="default" w:ascii="Times New Roman" w:hAnsi="Times New Roman" w:eastAsia="TimesNewRomanPSMT" w:cs="Times New Roman"/>
          <w:color w:val="000000" w:themeColor="text1"/>
          <w14:textFill>
            <w14:solidFill>
              <w14:schemeClr w14:val="tx1"/>
            </w14:solidFill>
          </w14:textFill>
        </w:rPr>
        <w:t>20</w:t>
      </w:r>
      <w:r>
        <w:rPr>
          <w:rFonts w:hint="default" w:ascii="Times New Roman" w:hAnsi="Times New Roman" w:cs="Times New Roman"/>
          <w:color w:val="000000" w:themeColor="text1"/>
          <w14:textFill>
            <w14:solidFill>
              <w14:schemeClr w14:val="tx1"/>
            </w14:solidFill>
          </w14:textFill>
        </w:rPr>
        <w:t>至</w:t>
      </w:r>
      <w:r>
        <w:rPr>
          <w:rFonts w:hint="default" w:ascii="Times New Roman" w:hAnsi="Times New Roman" w:eastAsia="TimesNewRomanPSMT" w:cs="Times New Roman"/>
          <w:color w:val="000000" w:themeColor="text1"/>
          <w14:textFill>
            <w14:solidFill>
              <w14:schemeClr w14:val="tx1"/>
            </w14:solidFill>
          </w14:textFill>
        </w:rPr>
        <w:t>22.9</w:t>
      </w:r>
      <w:r>
        <w:rPr>
          <w:rFonts w:hint="default" w:ascii="Times New Roman" w:hAnsi="Times New Roman" w:cs="Times New Roman"/>
          <w:color w:val="000000" w:themeColor="text1"/>
          <w14:textFill>
            <w14:solidFill>
              <w14:schemeClr w14:val="tx1"/>
            </w14:solidFill>
          </w14:textFill>
        </w:rPr>
        <w:t>米之间。遇汛水面辽阔，汛后露出地面，属河间洼地及堤内外洼地类型，其共同特点是洼地中心部位，无常年积水现象，但季节性积水明显，地下水位较高，一般在</w:t>
      </w:r>
      <w:r>
        <w:rPr>
          <w:rFonts w:hint="default" w:ascii="Times New Roman" w:hAnsi="Times New Roman" w:eastAsia="TimesNewRomanPSMT"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米左右，故内涝严重。钻孔显示岩性：</w:t>
      </w:r>
      <w:r>
        <w:rPr>
          <w:rFonts w:hint="default" w:ascii="Times New Roman" w:hAnsi="Times New Roman" w:eastAsia="TimesNewRomanPSMT" w:cs="Times New Roman"/>
          <w:color w:val="000000" w:themeColor="text1"/>
          <w14:textFill>
            <w14:solidFill>
              <w14:schemeClr w14:val="tx1"/>
            </w14:solidFill>
          </w14:textFill>
        </w:rPr>
        <w:t>0-150</w:t>
      </w:r>
      <w:r>
        <w:rPr>
          <w:rFonts w:hint="default" w:ascii="Times New Roman" w:hAnsi="Times New Roman" w:cs="Times New Roman"/>
          <w:color w:val="000000" w:themeColor="text1"/>
          <w14:textFill>
            <w14:solidFill>
              <w14:schemeClr w14:val="tx1"/>
            </w14:solidFill>
          </w14:textFill>
        </w:rPr>
        <w:t>米为第四纪（</w:t>
      </w:r>
      <w:r>
        <w:rPr>
          <w:rFonts w:hint="default" w:ascii="Times New Roman" w:hAnsi="Times New Roman" w:eastAsia="TimesNewRomanPSMT" w:cs="Times New Roman"/>
          <w:color w:val="000000" w:themeColor="text1"/>
          <w14:textFill>
            <w14:solidFill>
              <w14:schemeClr w14:val="tx1"/>
            </w14:solidFill>
          </w14:textFill>
        </w:rPr>
        <w:t>Q1~2-Q42</w:t>
      </w:r>
      <w:r>
        <w:rPr>
          <w:rFonts w:hint="default" w:ascii="Times New Roman" w:hAnsi="Times New Roman" w:cs="Times New Roman"/>
          <w:color w:val="000000" w:themeColor="text1"/>
          <w14:textFill>
            <w14:solidFill>
              <w14:schemeClr w14:val="tx1"/>
            </w14:solidFill>
          </w14:textFill>
        </w:rPr>
        <w:t>）地层，下卧远古代地层（</w:t>
      </w:r>
      <w:r>
        <w:rPr>
          <w:rFonts w:hint="default" w:ascii="Times New Roman" w:hAnsi="Times New Roman" w:eastAsia="TimesNewRomanPSMT" w:cs="Times New Roman"/>
          <w:color w:val="000000" w:themeColor="text1"/>
          <w14:textFill>
            <w14:solidFill>
              <w14:schemeClr w14:val="tx1"/>
            </w14:solidFill>
          </w14:textFill>
        </w:rPr>
        <w:t>P1</w:t>
      </w:r>
      <w:r>
        <w:rPr>
          <w:rFonts w:hint="default" w:ascii="Times New Roman" w:hAnsi="Times New Roman" w:cs="Times New Roman"/>
          <w:color w:val="000000" w:themeColor="text1"/>
          <w14:textFill>
            <w14:solidFill>
              <w14:schemeClr w14:val="tx1"/>
            </w14:solidFill>
          </w14:textFill>
        </w:rPr>
        <w:t>）及震旦纪（</w:t>
      </w:r>
      <w:r>
        <w:rPr>
          <w:rFonts w:hint="default" w:ascii="Times New Roman" w:hAnsi="Times New Roman" w:eastAsia="TimesNewRomanPSMT" w:cs="Times New Roman"/>
          <w:color w:val="000000" w:themeColor="text1"/>
          <w14:textFill>
            <w14:solidFill>
              <w14:schemeClr w14:val="tx1"/>
            </w14:solidFill>
          </w14:textFill>
        </w:rPr>
        <w:t>Z</w:t>
      </w:r>
      <w:r>
        <w:rPr>
          <w:rFonts w:hint="default" w:ascii="Times New Roman" w:hAnsi="Times New Roman" w:cs="Times New Roman"/>
          <w:color w:val="000000" w:themeColor="text1"/>
          <w14:textFill>
            <w14:solidFill>
              <w14:schemeClr w14:val="tx1"/>
            </w14:solidFill>
          </w14:textFill>
        </w:rPr>
        <w:t>）、寒武纪（</w:t>
      </w:r>
      <w:r>
        <w:rPr>
          <w:rFonts w:hint="default" w:ascii="Times New Roman" w:hAnsi="Times New Roman" w:eastAsia="TimesNewRomanPSMT" w:cs="Times New Roman"/>
          <w:color w:val="000000" w:themeColor="text1"/>
          <w14:textFill>
            <w14:solidFill>
              <w14:schemeClr w14:val="tx1"/>
            </w14:solidFill>
          </w14:textFill>
        </w:rPr>
        <w:t>C</w:t>
      </w:r>
      <w:r>
        <w:rPr>
          <w:rFonts w:hint="default" w:ascii="Times New Roman" w:hAnsi="Times New Roman" w:cs="Times New Roman"/>
          <w:color w:val="000000" w:themeColor="text1"/>
          <w14:textFill>
            <w14:solidFill>
              <w14:schemeClr w14:val="tx1"/>
            </w14:solidFill>
          </w14:textFill>
        </w:rPr>
        <w:t>）及奥陶纪（</w:t>
      </w:r>
      <w:r>
        <w:rPr>
          <w:rFonts w:hint="default" w:ascii="Times New Roman" w:hAnsi="Times New Roman" w:eastAsia="TimesNewRomanPSMT" w:cs="Times New Roman"/>
          <w:color w:val="000000" w:themeColor="text1"/>
          <w14:textFill>
            <w14:solidFill>
              <w14:schemeClr w14:val="tx1"/>
            </w14:solidFill>
          </w14:textFill>
        </w:rPr>
        <w:t>Q2</w:t>
      </w:r>
      <w:r>
        <w:rPr>
          <w:rFonts w:hint="default" w:ascii="Times New Roman" w:hAnsi="Times New Roman" w:cs="Times New Roman"/>
          <w:color w:val="000000" w:themeColor="text1"/>
          <w14:textFill>
            <w14:solidFill>
              <w14:schemeClr w14:val="tx1"/>
            </w14:solidFill>
          </w14:textFill>
        </w:rPr>
        <w:t>）地层，岩性为白云岩及石灰岩，可见背斜一冀。</w:t>
      </w:r>
    </w:p>
    <w:p w14:paraId="071A919F">
      <w:pPr>
        <w:pStyle w:val="3159"/>
        <w:rPr>
          <w:rFonts w:hint="default" w:ascii="Times New Roman" w:hAnsi="Times New Roman" w:eastAsia="黑体" w:cs="Times New Roman"/>
          <w:b w:val="0"/>
          <w:color w:val="000000" w:themeColor="text1"/>
          <w14:textFill>
            <w14:solidFill>
              <w14:schemeClr w14:val="tx1"/>
            </w14:solidFill>
          </w14:textFill>
        </w:rPr>
      </w:pPr>
      <w:bookmarkStart w:id="72" w:name="_Toc173837673"/>
      <w:r>
        <w:rPr>
          <w:rFonts w:hint="default" w:ascii="Times New Roman" w:hAnsi="Times New Roman" w:eastAsia="黑体" w:cs="Times New Roman"/>
          <w:b w:val="0"/>
          <w:color w:val="000000" w:themeColor="text1"/>
          <w14:textFill>
            <w14:solidFill>
              <w14:schemeClr w14:val="tx1"/>
            </w14:solidFill>
          </w14:textFill>
        </w:rPr>
        <w:t>4.1.3气候、气象</w:t>
      </w:r>
      <w:bookmarkEnd w:id="72"/>
    </w:p>
    <w:p w14:paraId="3494FD5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区境靠近我国东南沿海，季风明显，气候温和，</w:t>
      </w:r>
      <w:r>
        <w:rPr>
          <w:rFonts w:hint="default" w:ascii="Times New Roman" w:hAnsi="Times New Roman" w:cs="Times New Roman"/>
          <w:color w:val="000000" w:themeColor="text1"/>
          <w:highlight w:val="yellow"/>
          <w14:textFill>
            <w14:solidFill>
              <w14:schemeClr w14:val="tx1"/>
            </w14:solidFill>
          </w14:textFill>
        </w:rPr>
        <w:t>湿润</w:t>
      </w:r>
      <w:r>
        <w:rPr>
          <w:rFonts w:hint="default" w:ascii="Times New Roman" w:hAnsi="Times New Roman" w:cs="Times New Roman"/>
          <w:color w:val="000000" w:themeColor="text1"/>
          <w14:textFill>
            <w14:solidFill>
              <w14:schemeClr w14:val="tx1"/>
            </w14:solidFill>
          </w14:textFill>
        </w:rPr>
        <w:t>多雨，日照充足，降水充沛。总的气候特征是：光照、温度、降水资源丰富，无霜期长，对发展一年两熟作物有余，发展三熟作物温度不够。由于气候的变异性，又常带来旱、涝、连阴雨、霜冻等灾害。年平均日照时数达</w:t>
      </w:r>
      <w:r>
        <w:rPr>
          <w:rFonts w:hint="default" w:ascii="Times New Roman" w:hAnsi="Times New Roman" w:eastAsia="TimesNewRomanPSMT" w:cs="Times New Roman"/>
          <w:color w:val="000000" w:themeColor="text1"/>
          <w14:textFill>
            <w14:solidFill>
              <w14:schemeClr w14:val="tx1"/>
            </w14:solidFill>
          </w14:textFill>
        </w:rPr>
        <w:t>2323.1</w:t>
      </w:r>
      <w:r>
        <w:rPr>
          <w:rFonts w:hint="default" w:ascii="Times New Roman" w:hAnsi="Times New Roman" w:cs="Times New Roman"/>
          <w:color w:val="000000" w:themeColor="text1"/>
          <w14:textFill>
            <w14:solidFill>
              <w14:schemeClr w14:val="tx1"/>
            </w14:solidFill>
          </w14:textFill>
        </w:rPr>
        <w:t>小时，年平均日照率为</w:t>
      </w:r>
      <w:r>
        <w:rPr>
          <w:rFonts w:hint="default" w:ascii="Times New Roman" w:hAnsi="Times New Roman" w:eastAsia="TimesNewRomanPSMT" w:cs="Times New Roman"/>
          <w:color w:val="000000" w:themeColor="text1"/>
          <w14:textFill>
            <w14:solidFill>
              <w14:schemeClr w14:val="tx1"/>
            </w14:solidFill>
          </w14:textFill>
        </w:rPr>
        <w:t>52%</w:t>
      </w:r>
      <w:r>
        <w:rPr>
          <w:rFonts w:hint="default" w:ascii="Times New Roman" w:hAnsi="Times New Roman" w:cs="Times New Roman"/>
          <w:color w:val="000000" w:themeColor="text1"/>
          <w14:textFill>
            <w14:solidFill>
              <w14:schemeClr w14:val="tx1"/>
            </w14:solidFill>
          </w14:textFill>
        </w:rPr>
        <w:t>，可以满足农作物对日照的需求。全年太阳辐射量为</w:t>
      </w:r>
      <w:r>
        <w:rPr>
          <w:rFonts w:hint="default" w:ascii="Times New Roman" w:hAnsi="Times New Roman" w:eastAsia="TimesNewRomanPSMT" w:cs="Times New Roman"/>
          <w:color w:val="000000" w:themeColor="text1"/>
          <w14:textFill>
            <w14:solidFill>
              <w14:schemeClr w14:val="tx1"/>
            </w14:solidFill>
          </w14:textFill>
        </w:rPr>
        <w:t>123.8</w:t>
      </w:r>
      <w:r>
        <w:rPr>
          <w:rFonts w:hint="default" w:ascii="Times New Roman" w:hAnsi="Times New Roman" w:cs="Times New Roman"/>
          <w:color w:val="000000" w:themeColor="text1"/>
          <w14:textFill>
            <w14:solidFill>
              <w14:schemeClr w14:val="tx1"/>
            </w14:solidFill>
          </w14:textFill>
        </w:rPr>
        <w:t>千卡</w:t>
      </w:r>
      <w:r>
        <w:rPr>
          <w:rFonts w:hint="default" w:ascii="Times New Roman" w:hAnsi="Times New Roman" w:eastAsia="TimesNewRomanPSMT" w:cs="Times New Roman"/>
          <w:color w:val="000000" w:themeColor="text1"/>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平方厘米。年平均气温为</w:t>
      </w:r>
      <w:r>
        <w:rPr>
          <w:rFonts w:hint="default" w:ascii="Times New Roman" w:hAnsi="Times New Roman" w:eastAsia="TimesNewRomanPSMT" w:cs="Times New Roman"/>
          <w:color w:val="000000" w:themeColor="text1"/>
          <w14:textFill>
            <w14:solidFill>
              <w14:schemeClr w14:val="tx1"/>
            </w14:solidFill>
          </w14:textFill>
        </w:rPr>
        <w:t>15.1</w:t>
      </w:r>
      <w:r>
        <w:rPr>
          <w:rFonts w:hint="default" w:ascii="Times New Roman" w:hAnsi="Times New Roman" w:cs="Times New Roman"/>
          <w:color w:val="000000" w:themeColor="text1"/>
          <w14:textFill>
            <w14:solidFill>
              <w14:schemeClr w14:val="tx1"/>
            </w14:solidFill>
          </w14:textFill>
        </w:rPr>
        <w:t>℃以下，</w:t>
      </w:r>
      <w:r>
        <w:rPr>
          <w:rFonts w:hint="default" w:ascii="Times New Roman" w:hAnsi="Times New Roman" w:eastAsia="TimesNewRomanPSMT"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月份最冷，月平均气温为</w:t>
      </w:r>
      <w:r>
        <w:rPr>
          <w:rFonts w:hint="default" w:ascii="Times New Roman" w:hAnsi="Times New Roman" w:eastAsia="TimesNewRomanPSMT" w:cs="Times New Roman"/>
          <w:color w:val="000000" w:themeColor="text1"/>
          <w14:textFill>
            <w14:solidFill>
              <w14:schemeClr w14:val="tx1"/>
            </w14:solidFill>
          </w14:textFill>
        </w:rPr>
        <w:t>1.1</w:t>
      </w:r>
      <w:r>
        <w:rPr>
          <w:rFonts w:hint="default" w:ascii="Times New Roman" w:hAnsi="Times New Roman" w:cs="Times New Roman"/>
          <w:color w:val="000000" w:themeColor="text1"/>
          <w14:textFill>
            <w14:solidFill>
              <w14:schemeClr w14:val="tx1"/>
            </w14:solidFill>
          </w14:textFill>
        </w:rPr>
        <w:t>℃，七月份最热，月平均温度为</w:t>
      </w:r>
      <w:r>
        <w:rPr>
          <w:rFonts w:hint="default" w:ascii="Times New Roman" w:hAnsi="Times New Roman" w:eastAsia="TimesNewRomanPSMT" w:cs="Times New Roman"/>
          <w:color w:val="000000" w:themeColor="text1"/>
          <w14:textFill>
            <w14:solidFill>
              <w14:schemeClr w14:val="tx1"/>
            </w14:solidFill>
          </w14:textFill>
        </w:rPr>
        <w:t>28</w:t>
      </w:r>
      <w:r>
        <w:rPr>
          <w:rFonts w:hint="default" w:ascii="Times New Roman" w:hAnsi="Times New Roman" w:cs="Times New Roman"/>
          <w:color w:val="000000" w:themeColor="text1"/>
          <w14:textFill>
            <w14:solidFill>
              <w14:schemeClr w14:val="tx1"/>
            </w14:solidFill>
          </w14:textFill>
        </w:rPr>
        <w:t>℃，温度年平均较差为</w:t>
      </w:r>
      <w:r>
        <w:rPr>
          <w:rFonts w:hint="default" w:ascii="Times New Roman" w:hAnsi="Times New Roman" w:eastAsia="TimesNewRomanPSMT" w:cs="Times New Roman"/>
          <w:color w:val="000000" w:themeColor="text1"/>
          <w14:textFill>
            <w14:solidFill>
              <w14:schemeClr w14:val="tx1"/>
            </w14:solidFill>
          </w14:textFill>
        </w:rPr>
        <w:t>26.9</w:t>
      </w:r>
      <w:r>
        <w:rPr>
          <w:rFonts w:hint="default" w:ascii="Times New Roman" w:hAnsi="Times New Roman" w:cs="Times New Roman"/>
          <w:color w:val="000000" w:themeColor="text1"/>
          <w14:textFill>
            <w14:solidFill>
              <w14:schemeClr w14:val="tx1"/>
            </w14:solidFill>
          </w14:textFill>
        </w:rPr>
        <w:t>℃。降水的一般特征：多年平均降水量为</w:t>
      </w:r>
      <w:r>
        <w:rPr>
          <w:rFonts w:hint="default" w:ascii="Times New Roman" w:hAnsi="Times New Roman" w:eastAsia="TimesNewRomanPSMT" w:cs="Times New Roman"/>
          <w:color w:val="000000" w:themeColor="text1"/>
          <w:highlight w:val="yellow"/>
          <w14:textFill>
            <w14:solidFill>
              <w14:schemeClr w14:val="tx1"/>
            </w14:solidFill>
          </w14:textFill>
        </w:rPr>
        <w:t>905.2</w:t>
      </w:r>
      <w:r>
        <w:rPr>
          <w:rFonts w:hint="default" w:ascii="Times New Roman" w:hAnsi="Times New Roman" w:cs="Times New Roman"/>
          <w:color w:val="000000" w:themeColor="text1"/>
          <w14:textFill>
            <w14:solidFill>
              <w14:schemeClr w14:val="tx1"/>
            </w14:solidFill>
          </w14:textFill>
        </w:rPr>
        <w:t>毫米。降水量的分配：夏季最多，春季次之，秋季较少，冬季最少。毛集区偏于县境西南部，实际降水量大于全县平均数，故年平均降水量应在</w:t>
      </w:r>
      <w:r>
        <w:rPr>
          <w:rFonts w:hint="default" w:ascii="Times New Roman" w:hAnsi="Times New Roman" w:eastAsia="TimesNewRomanPSMT" w:cs="Times New Roman"/>
          <w:color w:val="000000" w:themeColor="text1"/>
          <w14:textFill>
            <w14:solidFill>
              <w14:schemeClr w14:val="tx1"/>
            </w14:solidFill>
          </w14:textFill>
        </w:rPr>
        <w:t>905.2-950</w:t>
      </w:r>
      <w:r>
        <w:rPr>
          <w:rFonts w:hint="default" w:ascii="Times New Roman" w:hAnsi="Times New Roman" w:cs="Times New Roman"/>
          <w:color w:val="000000" w:themeColor="text1"/>
          <w14:textFill>
            <w14:solidFill>
              <w14:schemeClr w14:val="tx1"/>
            </w14:solidFill>
          </w14:textFill>
        </w:rPr>
        <w:t>毫米之间。</w:t>
      </w:r>
    </w:p>
    <w:p w14:paraId="19F059C8">
      <w:pPr>
        <w:pStyle w:val="251"/>
        <w:ind w:firstLine="480"/>
        <w:rPr>
          <w:rFonts w:hint="default" w:ascii="Times New Roman" w:hAnsi="Times New Roman" w:cs="Times New Roman"/>
          <w:b/>
          <w:bCs/>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季风气候明显。冬季多为东北风，春季多偏东风，夏季多为西南风，自</w:t>
      </w:r>
      <w:r>
        <w:rPr>
          <w:rFonts w:hint="default" w:ascii="Times New Roman" w:hAnsi="Times New Roman" w:eastAsia="TimesNewRomanPSMT" w:cs="Times New Roman"/>
          <w:color w:val="000000" w:themeColor="text1"/>
          <w14:textFill>
            <w14:solidFill>
              <w14:schemeClr w14:val="tx1"/>
            </w14:solidFill>
          </w14:textFill>
        </w:rPr>
        <w:t>9</w:t>
      </w:r>
      <w:r>
        <w:rPr>
          <w:rFonts w:hint="default" w:ascii="Times New Roman" w:hAnsi="Times New Roman" w:cs="Times New Roman"/>
          <w:color w:val="000000" w:themeColor="text1"/>
          <w14:textFill>
            <w14:solidFill>
              <w14:schemeClr w14:val="tx1"/>
            </w14:solidFill>
          </w14:textFill>
        </w:rPr>
        <w:t>月份起，多偏北风，全年最多风向为偏东风，风速一般为</w:t>
      </w:r>
      <w:r>
        <w:rPr>
          <w:rFonts w:hint="default" w:ascii="Times New Roman" w:hAnsi="Times New Roman" w:eastAsia="TimesNewRomanPSMT" w:cs="Times New Roman"/>
          <w:color w:val="000000" w:themeColor="text1"/>
          <w14:textFill>
            <w14:solidFill>
              <w14:schemeClr w14:val="tx1"/>
            </w14:solidFill>
          </w14:textFill>
        </w:rPr>
        <w:t>2-3</w:t>
      </w:r>
      <w:r>
        <w:rPr>
          <w:rFonts w:hint="default" w:ascii="Times New Roman" w:hAnsi="Times New Roman" w:cs="Times New Roman"/>
          <w:color w:val="000000" w:themeColor="text1"/>
          <w14:textFill>
            <w14:solidFill>
              <w14:schemeClr w14:val="tx1"/>
            </w14:solidFill>
          </w14:textFill>
        </w:rPr>
        <w:t>级，平均风速为</w:t>
      </w:r>
      <w:r>
        <w:rPr>
          <w:rFonts w:hint="default" w:ascii="Times New Roman" w:hAnsi="Times New Roman" w:eastAsia="TimesNewRomanPSMT" w:cs="Times New Roman"/>
          <w:color w:val="000000" w:themeColor="text1"/>
          <w14:textFill>
            <w14:solidFill>
              <w14:schemeClr w14:val="tx1"/>
            </w14:solidFill>
          </w14:textFill>
        </w:rPr>
        <w:t>3.4</w:t>
      </w:r>
      <w:r>
        <w:rPr>
          <w:rFonts w:hint="default" w:ascii="Times New Roman" w:hAnsi="Times New Roman" w:cs="Times New Roman"/>
          <w:color w:val="000000" w:themeColor="text1"/>
          <w14:textFill>
            <w14:solidFill>
              <w14:schemeClr w14:val="tx1"/>
            </w14:solidFill>
          </w14:textFill>
        </w:rPr>
        <w:t>米</w:t>
      </w:r>
      <w:r>
        <w:rPr>
          <w:rFonts w:hint="default" w:ascii="Times New Roman" w:hAnsi="Times New Roman" w:eastAsia="TimesNewRomanPSMT" w:cs="Times New Roman"/>
          <w:color w:val="000000" w:themeColor="text1"/>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秒。毛集实验区的霜期一般为</w:t>
      </w:r>
      <w:r>
        <w:rPr>
          <w:rFonts w:hint="default" w:ascii="Times New Roman" w:hAnsi="Times New Roman" w:eastAsia="TimesNewRomanPSMT" w:cs="Times New Roman"/>
          <w:color w:val="000000" w:themeColor="text1"/>
          <w14:textFill>
            <w14:solidFill>
              <w14:schemeClr w14:val="tx1"/>
            </w14:solidFill>
          </w14:textFill>
        </w:rPr>
        <w:t>145-165</w:t>
      </w:r>
      <w:r>
        <w:rPr>
          <w:rFonts w:hint="default" w:ascii="Times New Roman" w:hAnsi="Times New Roman" w:cs="Times New Roman"/>
          <w:color w:val="000000" w:themeColor="text1"/>
          <w14:textFill>
            <w14:solidFill>
              <w14:schemeClr w14:val="tx1"/>
            </w14:solidFill>
          </w14:textFill>
        </w:rPr>
        <w:t>天，无霜期多数在</w:t>
      </w:r>
      <w:r>
        <w:rPr>
          <w:rFonts w:hint="default" w:ascii="Times New Roman" w:hAnsi="Times New Roman" w:eastAsia="TimesNewRomanPSMT" w:cs="Times New Roman"/>
          <w:color w:val="000000" w:themeColor="text1"/>
          <w14:textFill>
            <w14:solidFill>
              <w14:schemeClr w14:val="tx1"/>
            </w14:solidFill>
          </w14:textFill>
        </w:rPr>
        <w:t>200-215</w:t>
      </w:r>
      <w:r>
        <w:rPr>
          <w:rFonts w:hint="default" w:ascii="Times New Roman" w:hAnsi="Times New Roman" w:cs="Times New Roman"/>
          <w:color w:val="000000" w:themeColor="text1"/>
          <w14:textFill>
            <w14:solidFill>
              <w14:schemeClr w14:val="tx1"/>
            </w14:solidFill>
          </w14:textFill>
        </w:rPr>
        <w:t>天之间。平均初霜期在</w:t>
      </w:r>
      <w:r>
        <w:rPr>
          <w:rFonts w:hint="default" w:ascii="Times New Roman" w:hAnsi="Times New Roman" w:eastAsia="TimesNewRomanPSMT" w:cs="Times New Roman"/>
          <w:color w:val="000000" w:themeColor="text1"/>
          <w14:textFill>
            <w14:solidFill>
              <w14:schemeClr w14:val="tx1"/>
            </w14:solidFill>
          </w14:textFill>
        </w:rPr>
        <w:t>10</w:t>
      </w:r>
      <w:r>
        <w:rPr>
          <w:rFonts w:hint="default" w:ascii="Times New Roman" w:hAnsi="Times New Roman" w:cs="Times New Roman"/>
          <w:color w:val="000000" w:themeColor="text1"/>
          <w14:textFill>
            <w14:solidFill>
              <w14:schemeClr w14:val="tx1"/>
            </w14:solidFill>
          </w14:textFill>
        </w:rPr>
        <w:t>月下旬至</w:t>
      </w:r>
      <w:r>
        <w:rPr>
          <w:rFonts w:hint="default" w:ascii="Times New Roman" w:hAnsi="Times New Roman" w:eastAsia="TimesNewRomanPSMT" w:cs="Times New Roman"/>
          <w:color w:val="000000" w:themeColor="text1"/>
          <w14:textFill>
            <w14:solidFill>
              <w14:schemeClr w14:val="tx1"/>
            </w14:solidFill>
          </w14:textFill>
        </w:rPr>
        <w:t>11</w:t>
      </w:r>
      <w:r>
        <w:rPr>
          <w:rFonts w:hint="default" w:ascii="Times New Roman" w:hAnsi="Times New Roman" w:cs="Times New Roman"/>
          <w:color w:val="000000" w:themeColor="text1"/>
          <w14:textFill>
            <w14:solidFill>
              <w14:schemeClr w14:val="tx1"/>
            </w14:solidFill>
          </w14:textFill>
        </w:rPr>
        <w:t>月上旬，平均终霜日期在</w:t>
      </w:r>
      <w:r>
        <w:rPr>
          <w:rFonts w:hint="default" w:ascii="Times New Roman" w:hAnsi="Times New Roman" w:eastAsia="TimesNewRomanPSMT" w:cs="Times New Roman"/>
          <w:color w:val="000000" w:themeColor="text1"/>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月上旬，全年霜日为</w:t>
      </w:r>
      <w:r>
        <w:rPr>
          <w:rFonts w:hint="default" w:ascii="Times New Roman" w:hAnsi="Times New Roman" w:eastAsia="TimesNewRomanPSMT" w:cs="Times New Roman"/>
          <w:color w:val="000000" w:themeColor="text1"/>
          <w14:textFill>
            <w14:solidFill>
              <w14:schemeClr w14:val="tx1"/>
            </w14:solidFill>
          </w14:textFill>
        </w:rPr>
        <w:t>50-90</w:t>
      </w:r>
      <w:r>
        <w:rPr>
          <w:rFonts w:hint="default" w:ascii="Times New Roman" w:hAnsi="Times New Roman" w:cs="Times New Roman"/>
          <w:color w:val="000000" w:themeColor="text1"/>
          <w14:textFill>
            <w14:solidFill>
              <w14:schemeClr w14:val="tx1"/>
            </w14:solidFill>
          </w14:textFill>
        </w:rPr>
        <w:t>天。最早初霜始于</w:t>
      </w:r>
      <w:r>
        <w:rPr>
          <w:rFonts w:hint="default" w:ascii="Times New Roman" w:hAnsi="Times New Roman" w:eastAsia="TimesNewRomanPSMT" w:cs="Times New Roman"/>
          <w:color w:val="000000" w:themeColor="text1"/>
          <w14:textFill>
            <w14:solidFill>
              <w14:schemeClr w14:val="tx1"/>
            </w14:solidFill>
          </w14:textFill>
        </w:rPr>
        <w:t>10</w:t>
      </w:r>
      <w:r>
        <w:rPr>
          <w:rFonts w:hint="default" w:ascii="Times New Roman" w:hAnsi="Times New Roman" w:cs="Times New Roman"/>
          <w:color w:val="000000" w:themeColor="text1"/>
          <w14:textFill>
            <w14:solidFill>
              <w14:schemeClr w14:val="tx1"/>
            </w14:solidFill>
          </w14:textFill>
        </w:rPr>
        <w:t>月上旬，最迟晚霜终于</w:t>
      </w:r>
      <w:r>
        <w:rPr>
          <w:rFonts w:hint="default" w:ascii="Times New Roman" w:hAnsi="Times New Roman" w:eastAsia="TimesNewRomanPSMT" w:cs="Times New Roman"/>
          <w:color w:val="000000" w:themeColor="text1"/>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月下旬。最长连续霜日为</w:t>
      </w:r>
      <w:r>
        <w:rPr>
          <w:rFonts w:hint="default" w:ascii="Times New Roman" w:hAnsi="Times New Roman" w:eastAsia="TimesNewRomanPSMT" w:cs="Times New Roman"/>
          <w:color w:val="000000" w:themeColor="text1"/>
          <w14:textFill>
            <w14:solidFill>
              <w14:schemeClr w14:val="tx1"/>
            </w14:solidFill>
          </w14:textFill>
        </w:rPr>
        <w:t>20-35</w:t>
      </w:r>
      <w:r>
        <w:rPr>
          <w:rFonts w:hint="default" w:ascii="Times New Roman" w:hAnsi="Times New Roman" w:cs="Times New Roman"/>
          <w:color w:val="000000" w:themeColor="text1"/>
          <w14:textFill>
            <w14:solidFill>
              <w14:schemeClr w14:val="tx1"/>
            </w14:solidFill>
          </w14:textFill>
        </w:rPr>
        <w:t>天。</w:t>
      </w:r>
    </w:p>
    <w:p w14:paraId="53B3AD85">
      <w:pPr>
        <w:pStyle w:val="3159"/>
        <w:rPr>
          <w:rFonts w:hint="default" w:ascii="Times New Roman" w:hAnsi="Times New Roman" w:eastAsia="黑体" w:cs="Times New Roman"/>
          <w:b w:val="0"/>
          <w:color w:val="000000" w:themeColor="text1"/>
          <w14:textFill>
            <w14:solidFill>
              <w14:schemeClr w14:val="tx1"/>
            </w14:solidFill>
          </w14:textFill>
        </w:rPr>
      </w:pPr>
      <w:bookmarkStart w:id="73" w:name="_Toc173837674"/>
      <w:r>
        <w:rPr>
          <w:rFonts w:hint="default" w:ascii="Times New Roman" w:hAnsi="Times New Roman" w:eastAsia="黑体" w:cs="Times New Roman"/>
          <w:b w:val="0"/>
          <w:color w:val="000000" w:themeColor="text1"/>
          <w14:textFill>
            <w14:solidFill>
              <w14:schemeClr w14:val="tx1"/>
            </w14:solidFill>
          </w14:textFill>
        </w:rPr>
        <w:t>4.1.4水文特征</w:t>
      </w:r>
      <w:bookmarkEnd w:id="73"/>
    </w:p>
    <w:p w14:paraId="3EE8E20E">
      <w:pPr>
        <w:spacing w:line="360" w:lineRule="auto"/>
        <w:ind w:firstLine="482"/>
        <w:rPr>
          <w:rFonts w:hint="default" w:ascii="Times New Roman" w:hAnsi="Times New Roman" w:eastAsia="宋体" w:cs="Times New Roman"/>
          <w:color w:val="000000" w:themeColor="text1"/>
          <w:spacing w:val="0"/>
          <w:sz w:val="24"/>
          <w:szCs w:val="24"/>
          <w:lang w:val="en-US" w:eastAsia="zh-CN"/>
          <w14:textFill>
            <w14:solidFill>
              <w14:schemeClr w14:val="tx1"/>
            </w14:solidFill>
          </w14:textFill>
        </w:rPr>
      </w:pPr>
      <w:r>
        <w:rPr>
          <w:rFonts w:hint="eastAsia" w:cs="Times New Roman"/>
          <w:color w:val="000000" w:themeColor="text1"/>
          <w:spacing w:val="0"/>
          <w:sz w:val="24"/>
          <w:szCs w:val="24"/>
          <w:lang w:eastAsia="zh-CN"/>
          <w14:textFill>
            <w14:solidFill>
              <w14:schemeClr w14:val="tx1"/>
            </w14:solidFill>
          </w14:textFill>
        </w:rPr>
        <w:t>本项目雨水排入周边沟渠，最终流入西淝河；生产废水经过厂区污水站处理后</w:t>
      </w:r>
      <w:r>
        <w:rPr>
          <w:rFonts w:hint="eastAsia" w:cs="Times New Roman"/>
          <w:color w:val="000000" w:themeColor="text1"/>
          <w:spacing w:val="0"/>
          <w:sz w:val="24"/>
          <w:szCs w:val="24"/>
          <w:lang w:val="en-US" w:eastAsia="zh-CN"/>
          <w14:textFill>
            <w14:solidFill>
              <w14:schemeClr w14:val="tx1"/>
            </w14:solidFill>
          </w14:textFill>
        </w:rPr>
        <w:t>90%回用，10%与预处理后的生活污水一起通过市政污水管网进入毛集实验区污水处理厂深度处理后排入西淝河。</w:t>
      </w:r>
      <w:r>
        <w:rPr>
          <w:rFonts w:hint="default" w:ascii="Times New Roman" w:hAnsi="Times New Roman" w:cs="Times New Roman"/>
          <w:color w:val="000000" w:themeColor="text1"/>
          <w:spacing w:val="0"/>
          <w:sz w:val="24"/>
          <w:szCs w:val="24"/>
          <w14:textFill>
            <w14:solidFill>
              <w14:schemeClr w14:val="tx1"/>
            </w14:solidFill>
          </w14:textFill>
        </w:rPr>
        <w:t>根据《淮南市202</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5</w:t>
      </w:r>
      <w:r>
        <w:rPr>
          <w:rFonts w:hint="default" w:ascii="Times New Roman" w:hAnsi="Times New Roman" w:cs="Times New Roman"/>
          <w:color w:val="000000" w:themeColor="text1"/>
          <w:spacing w:val="0"/>
          <w:sz w:val="24"/>
          <w:szCs w:val="24"/>
          <w14:textFill>
            <w14:solidFill>
              <w14:schemeClr w14:val="tx1"/>
            </w14:solidFill>
          </w14:textFill>
        </w:rPr>
        <w:t>年</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11</w:t>
      </w:r>
      <w:r>
        <w:rPr>
          <w:rFonts w:hint="default" w:ascii="Times New Roman" w:hAnsi="Times New Roman" w:cs="Times New Roman"/>
          <w:color w:val="000000" w:themeColor="text1"/>
          <w:spacing w:val="0"/>
          <w:sz w:val="24"/>
          <w:szCs w:val="24"/>
          <w14:textFill>
            <w14:solidFill>
              <w14:schemeClr w14:val="tx1"/>
            </w14:solidFill>
          </w14:textFill>
        </w:rPr>
        <w:t>月环境质量月报》，西淝河各监测断面均满足《地表水环境质量标准》（GB3838-2002）中的III类标准。</w:t>
      </w:r>
    </w:p>
    <w:p w14:paraId="7AF93085">
      <w:pPr>
        <w:spacing w:line="360" w:lineRule="auto"/>
        <w:ind w:firstLine="482"/>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毛集区的水资源十分丰富，东临淮河，北依西淝南望焦岗湖，境内主要水系有淮河、西淝河、焦岗湖等。全区水域面积32797.9亩，占总面积的12.30%。其中河流6162.6亩，占水域面积的18.79%。</w:t>
      </w:r>
    </w:p>
    <w:p w14:paraId="3DBAAC45">
      <w:pPr>
        <w:spacing w:line="360" w:lineRule="auto"/>
        <w:ind w:firstLine="482"/>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1、淮河</w:t>
      </w:r>
    </w:p>
    <w:p w14:paraId="2E51CA17">
      <w:pPr>
        <w:spacing w:line="360" w:lineRule="auto"/>
        <w:ind w:firstLine="482"/>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淮河流域地处中国东部，介于长江和黄河两流域之间，位于东经112°～121°，北纬31°～36°，流域面积274657km</w:t>
      </w:r>
      <w:r>
        <w:rPr>
          <w:rFonts w:hint="default" w:ascii="Times New Roman" w:hAnsi="Times New Roman" w:cs="Times New Roman"/>
          <w:color w:val="000000" w:themeColor="text1"/>
          <w:spacing w:val="0"/>
          <w:sz w:val="24"/>
          <w:szCs w:val="24"/>
          <w:vertAlign w:val="superscript"/>
          <w14:textFill>
            <w14:solidFill>
              <w14:schemeClr w14:val="tx1"/>
            </w14:solidFill>
          </w14:textFill>
        </w:rPr>
        <w:t>2</w:t>
      </w:r>
      <w:r>
        <w:rPr>
          <w:rFonts w:hint="default" w:ascii="Times New Roman" w:hAnsi="Times New Roman" w:cs="Times New Roman"/>
          <w:color w:val="000000" w:themeColor="text1"/>
          <w:spacing w:val="0"/>
          <w:sz w:val="24"/>
          <w:szCs w:val="24"/>
          <w14:textFill>
            <w14:solidFill>
              <w14:schemeClr w14:val="tx1"/>
            </w14:solidFill>
          </w14:textFill>
        </w:rPr>
        <w:t>。流域西起伏牛山，东临黄海，南以大别山、江淮丘陵、通扬运河及如泰运河南堤与长江分界，北以黄河南堤和沂蒙山与黄河流域毗邻。淮河过沫河口（颍河入淮口）东北流13km，到陆家沟进入区境（陆家沟为颍上县、毛集区分界线）。此处河面宽为320m，两岸滩地高程21.4m，淮河流经区境16.6km。</w:t>
      </w:r>
    </w:p>
    <w:p w14:paraId="4B4115B0">
      <w:pPr>
        <w:spacing w:line="360" w:lineRule="auto"/>
        <w:ind w:firstLine="482"/>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2、西淝河</w:t>
      </w:r>
    </w:p>
    <w:p w14:paraId="669CADDC">
      <w:pPr>
        <w:spacing w:line="360" w:lineRule="auto"/>
        <w:ind w:firstLine="482"/>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西淝河为毛集区与刘集乡之间的界河，河宽180m，深3m，沿区界一段河长9100m。西淝河流入区境所经皆高地，实为高地一大排水河。西淝河入区境从阜淮铁路大桥50m始，主河在右，左为花家湖，至蒋嘴孜长约8.5km、宽1km，终年积水。自铁路桥东南行1km，右汇新八丈沟水，转东行0.9km，左有洲滩，高程26.6m。再行1.3km，右有新集二矿。转东南1.3km，左有顺河条形洲滩，高程27.1m。再行2.5km转东南1.5km，右汇入丁家沟泄水闸—徐咀闸，闸东为毛家湖。毛集西淝河段止。</w:t>
      </w:r>
    </w:p>
    <w:p w14:paraId="2D8DE5B6">
      <w:pPr>
        <w:spacing w:line="360" w:lineRule="auto"/>
        <w:ind w:firstLine="482"/>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3、焦岗湖</w:t>
      </w:r>
    </w:p>
    <w:p w14:paraId="4935145C">
      <w:pPr>
        <w:spacing w:line="360" w:lineRule="auto"/>
        <w:ind w:firstLine="482"/>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焦岗湖历史上为淮河、西淝河汇流的淮河滩地，经多年洪水泥沙淤积，河岸高仰，与北岗之间形成湖洼坡塘。《水经注》载：“淮水又北，左合椒水，水上承淮水东北流，经蛇城南，又历其城东，亦谓之清水，东北流注于淮，谓清水口者是此水也。”可见古时淮水从鲁口子西南二里处向东分流入陆家沟，转催粮沟，东北流入湖，又东北流出燕湖口（即清水口在元庆闸南二里）。焦岗湖滨淮一面，有燕湖口、大沟口、柴家洼、魏家洼、鲁家沟等水口，淮水盛涨，倒注入湖，水面向周围扩展。焦岗湖水域，南为淮河，东为董峰湖，北为西淝河，西为颍河，水由西向东南流，以焦岗湖为汇水区，水系脉络相通。为开发湖域农田，历来有疏河、挖沟、筑堤之举。焦岗湖域水系，西有老墩沟，原西通颍河，东接焦岗湖中心沟。颍左堤建成后，老墩沟水由西南向东北流，左汇花水涧、浊沟水，入中心沟，再东行，经焦岗湖中心沟，由元庆闸入淮。中心沟是焦岗湖排水干沟，上接颍上老墩口、浊沟口，东至元庆闸，长16km，蚌埠闸未建前，非汛期可排完焦岗湖底水。</w:t>
      </w:r>
    </w:p>
    <w:p w14:paraId="49E6D70C">
      <w:pPr>
        <w:spacing w:line="360" w:lineRule="auto"/>
        <w:ind w:firstLine="482"/>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4、董峰湖</w:t>
      </w:r>
    </w:p>
    <w:p w14:paraId="620FB63F">
      <w:pPr>
        <w:spacing w:line="360" w:lineRule="auto"/>
        <w:ind w:firstLine="482"/>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董峰湖西部有董奉岗，湖因此得名，岗以晋人董奉隐居于此行医种杏林而得名，自清末至民国年间董奉讹为董峰。1958年湖内建农场开始定名为董峰湖农场。湖位于本区最东部，淮河从元庆闸流向东北，逐渐左弯转向西北至硖石，在湖东呈一大椭圆形湾，禹王山雄踞于北，西南经湖田洼与牛家洼、与焦岗湖相连，西北通毛家湖及西淝河，南北长7500m，东西宽7600m，面积33km2，焦岗湖常从湖田洼与牛家洼，经董奉湖向淮河排水。光绪十四年（公元1888年）于湖田洼北部筑永安堤，两湖始被隔绝。民国六年（公元1917年）董奉湖沿淮筑便硖河堤，又筑张家岗（毛集东三里）至禹王山西麓的禹山堤，湖内洼处虽常年尚有积水，而高处大部土地皆可耕种。在1938年至1946年黄泛期间，湖内各处淤高二至三米不等，1958年后湖内积水可从硖山口的董峰湖排涝站排出。</w:t>
      </w:r>
    </w:p>
    <w:p w14:paraId="79C4EBD8">
      <w:pPr>
        <w:spacing w:line="360" w:lineRule="auto"/>
        <w:ind w:firstLine="482"/>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5、毛家湖</w:t>
      </w:r>
    </w:p>
    <w:p w14:paraId="2F34E9E0">
      <w:pPr>
        <w:spacing w:line="360" w:lineRule="auto"/>
        <w:ind w:firstLine="482"/>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毛家湖在毛集的东北方，原与东边的董奉湖相连，现被淮北堤的禹山段隔绝，南界淝右堤，西隔丁家沟，西北段是本地岗地，北临西淝河，南北长2200m，东西宽2500m，面积约7.2km</w:t>
      </w:r>
      <w:r>
        <w:rPr>
          <w:rFonts w:hint="default" w:ascii="Times New Roman" w:hAnsi="Times New Roman" w:cs="Times New Roman"/>
          <w:color w:val="000000" w:themeColor="text1"/>
          <w:spacing w:val="0"/>
          <w:sz w:val="24"/>
          <w:szCs w:val="24"/>
          <w:vertAlign w:val="superscript"/>
          <w14:textFill>
            <w14:solidFill>
              <w14:schemeClr w14:val="tx1"/>
            </w14:solidFill>
          </w14:textFill>
        </w:rPr>
        <w:t>2</w:t>
      </w:r>
      <w:r>
        <w:rPr>
          <w:rFonts w:hint="default" w:ascii="Times New Roman" w:hAnsi="Times New Roman" w:cs="Times New Roman"/>
          <w:color w:val="000000" w:themeColor="text1"/>
          <w:spacing w:val="0"/>
          <w:sz w:val="24"/>
          <w:szCs w:val="24"/>
          <w14:textFill>
            <w14:solidFill>
              <w14:schemeClr w14:val="tx1"/>
            </w14:solidFill>
          </w14:textFill>
        </w:rPr>
        <w:t>，湖内大部分洼地海拔高17m。建国前沿西淝河无堤防，任河水涨漫淹没土地，建国后沿西淝河南岸筑堤以防外水，内水可从闸或用电动抽水机排除，湖内土地全部成为可耕地，大部分土地属董峰湖农场，东北部属城郊区，南部属本区。</w:t>
      </w:r>
    </w:p>
    <w:p w14:paraId="265A7AEB">
      <w:pPr>
        <w:pStyle w:val="3159"/>
        <w:rPr>
          <w:rFonts w:hint="default" w:ascii="Times New Roman" w:hAnsi="Times New Roman" w:eastAsia="黑体" w:cs="Times New Roman"/>
          <w:b w:val="0"/>
          <w:color w:val="000000" w:themeColor="text1"/>
          <w14:textFill>
            <w14:solidFill>
              <w14:schemeClr w14:val="tx1"/>
            </w14:solidFill>
          </w14:textFill>
        </w:rPr>
      </w:pPr>
      <w:bookmarkStart w:id="74" w:name="_Toc173837675"/>
      <w:r>
        <w:rPr>
          <w:rFonts w:hint="default" w:ascii="Times New Roman" w:hAnsi="Times New Roman" w:eastAsia="黑体" w:cs="Times New Roman"/>
          <w:b w:val="0"/>
          <w:color w:val="000000" w:themeColor="text1"/>
          <w14:textFill>
            <w14:solidFill>
              <w14:schemeClr w14:val="tx1"/>
            </w14:solidFill>
          </w14:textFill>
        </w:rPr>
        <w:t>4.1.5生态环境</w:t>
      </w:r>
      <w:bookmarkEnd w:id="74"/>
    </w:p>
    <w:p w14:paraId="3A18B63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eastAsia="TimesNewRomanPSMT"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）水产资源</w:t>
      </w:r>
    </w:p>
    <w:p w14:paraId="28650D4F">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TimesNewRomanPSMT" w:cs="Times New Roman"/>
          <w:color w:val="000000" w:themeColor="text1"/>
          <w14:textFill>
            <w14:solidFill>
              <w14:schemeClr w14:val="tx1"/>
            </w14:solidFill>
          </w14:textFill>
        </w:rPr>
        <w:t>1982</w:t>
      </w:r>
      <w:r>
        <w:rPr>
          <w:rFonts w:hint="default" w:ascii="Times New Roman" w:hAnsi="Times New Roman" w:cs="Times New Roman"/>
          <w:color w:val="000000" w:themeColor="text1"/>
          <w14:textFill>
            <w14:solidFill>
              <w14:schemeClr w14:val="tx1"/>
            </w14:solidFill>
          </w14:textFill>
        </w:rPr>
        <w:t>年，安徽省农业厅水产局组织开展淮河流域水产资源调查，查清毛集区境内鱼类资源共</w:t>
      </w:r>
      <w:r>
        <w:rPr>
          <w:rFonts w:hint="default" w:ascii="Times New Roman" w:hAnsi="Times New Roman" w:eastAsia="TimesNewRomanPSMT" w:cs="Times New Roman"/>
          <w:color w:val="000000" w:themeColor="text1"/>
          <w14:textFill>
            <w14:solidFill>
              <w14:schemeClr w14:val="tx1"/>
            </w14:solidFill>
          </w14:textFill>
        </w:rPr>
        <w:t>14</w:t>
      </w:r>
      <w:r>
        <w:rPr>
          <w:rFonts w:hint="default" w:ascii="Times New Roman" w:hAnsi="Times New Roman" w:cs="Times New Roman"/>
          <w:color w:val="000000" w:themeColor="text1"/>
          <w14:textFill>
            <w14:solidFill>
              <w14:schemeClr w14:val="tx1"/>
            </w14:solidFill>
          </w14:textFill>
        </w:rPr>
        <w:t>科、</w:t>
      </w:r>
      <w:r>
        <w:rPr>
          <w:rFonts w:hint="default" w:ascii="Times New Roman" w:hAnsi="Times New Roman" w:eastAsia="TimesNewRomanPSMT" w:cs="Times New Roman"/>
          <w:color w:val="000000" w:themeColor="text1"/>
          <w14:textFill>
            <w14:solidFill>
              <w14:schemeClr w14:val="tx1"/>
            </w14:solidFill>
          </w14:textFill>
        </w:rPr>
        <w:t>38</w:t>
      </w:r>
      <w:r>
        <w:rPr>
          <w:rFonts w:hint="default" w:ascii="Times New Roman" w:hAnsi="Times New Roman" w:cs="Times New Roman"/>
          <w:color w:val="000000" w:themeColor="text1"/>
          <w14:textFill>
            <w14:solidFill>
              <w14:schemeClr w14:val="tx1"/>
            </w14:solidFill>
          </w14:textFill>
        </w:rPr>
        <w:t>属、</w:t>
      </w:r>
      <w:r>
        <w:rPr>
          <w:rFonts w:hint="default" w:ascii="Times New Roman" w:hAnsi="Times New Roman" w:eastAsia="TimesNewRomanPSMT" w:cs="Times New Roman"/>
          <w:color w:val="000000" w:themeColor="text1"/>
          <w14:textFill>
            <w14:solidFill>
              <w14:schemeClr w14:val="tx1"/>
            </w14:solidFill>
          </w14:textFill>
        </w:rPr>
        <w:t>47</w:t>
      </w:r>
      <w:r>
        <w:rPr>
          <w:rFonts w:hint="default" w:ascii="Times New Roman" w:hAnsi="Times New Roman" w:cs="Times New Roman"/>
          <w:color w:val="000000" w:themeColor="text1"/>
          <w14:textFill>
            <w14:solidFill>
              <w14:schemeClr w14:val="tx1"/>
            </w14:solidFill>
          </w14:textFill>
        </w:rPr>
        <w:t>种。其中经济鱼类</w:t>
      </w:r>
      <w:r>
        <w:rPr>
          <w:rFonts w:hint="default" w:ascii="Times New Roman" w:hAnsi="Times New Roman" w:eastAsia="TimesNewRomanPSMT" w:cs="Times New Roman"/>
          <w:color w:val="000000" w:themeColor="text1"/>
          <w14:textFill>
            <w14:solidFill>
              <w14:schemeClr w14:val="tx1"/>
            </w14:solidFill>
          </w14:textFill>
        </w:rPr>
        <w:t>28</w:t>
      </w:r>
      <w:r>
        <w:rPr>
          <w:rFonts w:hint="default" w:ascii="Times New Roman" w:hAnsi="Times New Roman" w:cs="Times New Roman"/>
          <w:color w:val="000000" w:themeColor="text1"/>
          <w14:textFill>
            <w14:solidFill>
              <w14:schemeClr w14:val="tx1"/>
            </w14:solidFill>
          </w14:textFill>
        </w:rPr>
        <w:t>种，占</w:t>
      </w:r>
      <w:r>
        <w:rPr>
          <w:rFonts w:hint="default" w:ascii="Times New Roman" w:hAnsi="Times New Roman" w:eastAsia="TimesNewRomanPSMT" w:cs="Times New Roman"/>
          <w:color w:val="000000" w:themeColor="text1"/>
          <w14:textFill>
            <w14:solidFill>
              <w14:schemeClr w14:val="tx1"/>
            </w14:solidFill>
          </w14:textFill>
        </w:rPr>
        <w:t>58%</w:t>
      </w:r>
      <w:r>
        <w:rPr>
          <w:rFonts w:hint="default" w:ascii="Times New Roman" w:hAnsi="Times New Roman" w:cs="Times New Roman"/>
          <w:color w:val="000000" w:themeColor="text1"/>
          <w14:textFill>
            <w14:solidFill>
              <w14:schemeClr w14:val="tx1"/>
            </w14:solidFill>
          </w14:textFill>
        </w:rPr>
        <w:t>，以鲤科为多，共</w:t>
      </w:r>
      <w:r>
        <w:rPr>
          <w:rFonts w:hint="default" w:ascii="Times New Roman" w:hAnsi="Times New Roman" w:eastAsia="TimesNewRomanPSMT" w:cs="Times New Roman"/>
          <w:color w:val="000000" w:themeColor="text1"/>
          <w14:textFill>
            <w14:solidFill>
              <w14:schemeClr w14:val="tx1"/>
            </w14:solidFill>
          </w14:textFill>
        </w:rPr>
        <w:t>16</w:t>
      </w:r>
      <w:r>
        <w:rPr>
          <w:rFonts w:hint="default" w:ascii="Times New Roman" w:hAnsi="Times New Roman" w:cs="Times New Roman"/>
          <w:color w:val="000000" w:themeColor="text1"/>
          <w14:textFill>
            <w14:solidFill>
              <w14:schemeClr w14:val="tx1"/>
            </w14:solidFill>
          </w14:textFill>
        </w:rPr>
        <w:t>种，鲫科</w:t>
      </w:r>
      <w:r>
        <w:rPr>
          <w:rFonts w:hint="default" w:ascii="Times New Roman" w:hAnsi="Times New Roman" w:eastAsia="TimesNewRomanPSMT" w:cs="Times New Roman"/>
          <w:color w:val="000000" w:themeColor="text1"/>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种，鳅科</w:t>
      </w:r>
      <w:r>
        <w:rPr>
          <w:rFonts w:hint="default" w:ascii="Times New Roman" w:hAnsi="Times New Roman" w:eastAsia="TimesNewRomanPSMT" w:cs="Times New Roman"/>
          <w:color w:val="000000" w:themeColor="text1"/>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种，鲶科、鲱科、鳗科各</w:t>
      </w:r>
      <w:r>
        <w:rPr>
          <w:rFonts w:hint="default" w:ascii="Times New Roman" w:hAnsi="Times New Roman" w:eastAsia="TimesNewRomanPSMT" w:cs="Times New Roman"/>
          <w:color w:val="000000" w:themeColor="text1"/>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种。鱼类中青、草、鲢、鳙号称为</w:t>
      </w:r>
      <w:r>
        <w:rPr>
          <w:rFonts w:hint="default" w:ascii="Times New Roman" w:hAnsi="Times New Roman" w:eastAsia="TimesNewRomanPSMT" w:cs="Times New Roman"/>
          <w:color w:val="000000" w:themeColor="text1"/>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四大家鱼</w:t>
      </w:r>
      <w:r>
        <w:rPr>
          <w:rFonts w:hint="default" w:ascii="Times New Roman" w:hAnsi="Times New Roman" w:eastAsia="TimesNewRomanPSMT" w:cs="Times New Roman"/>
          <w:color w:val="000000" w:themeColor="text1"/>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。甲壳类有青虾、白虾、螃蟹；贝类有三角蚌、褶纹蚌、背角无齿蚌、湖螺、田螺。两栖类有虎纹蛙、金钱蛙、蟾蜍；爬行类有鳖、龟、刺猬。水生植物有</w:t>
      </w:r>
      <w:r>
        <w:rPr>
          <w:rFonts w:hint="default" w:ascii="Times New Roman" w:hAnsi="Times New Roman" w:eastAsia="TimesNewRomanPSMT" w:cs="Times New Roman"/>
          <w:color w:val="000000" w:themeColor="text1"/>
          <w14:textFill>
            <w14:solidFill>
              <w14:schemeClr w14:val="tx1"/>
            </w14:solidFill>
          </w14:textFill>
        </w:rPr>
        <w:t>7</w:t>
      </w:r>
      <w:r>
        <w:rPr>
          <w:rFonts w:hint="default" w:ascii="Times New Roman" w:hAnsi="Times New Roman" w:cs="Times New Roman"/>
          <w:color w:val="000000" w:themeColor="text1"/>
          <w14:textFill>
            <w14:solidFill>
              <w14:schemeClr w14:val="tx1"/>
            </w14:solidFill>
          </w14:textFill>
        </w:rPr>
        <w:t>种</w:t>
      </w:r>
      <w:r>
        <w:rPr>
          <w:rFonts w:hint="default" w:ascii="Times New Roman" w:hAnsi="Times New Roman" w:eastAsia="TimesNewRomanPSMT" w:cs="Times New Roman"/>
          <w:color w:val="000000" w:themeColor="text1"/>
          <w14:textFill>
            <w14:solidFill>
              <w14:schemeClr w14:val="tx1"/>
            </w14:solidFill>
          </w14:textFill>
        </w:rPr>
        <w:t>32</w:t>
      </w:r>
      <w:r>
        <w:rPr>
          <w:rFonts w:hint="default" w:ascii="Times New Roman" w:hAnsi="Times New Roman" w:cs="Times New Roman"/>
          <w:color w:val="000000" w:themeColor="text1"/>
          <w14:textFill>
            <w14:solidFill>
              <w14:schemeClr w14:val="tx1"/>
            </w14:solidFill>
          </w14:textFill>
        </w:rPr>
        <w:t>属，百余种。其中有经济价值的近</w:t>
      </w:r>
      <w:r>
        <w:rPr>
          <w:rFonts w:hint="default" w:ascii="Times New Roman" w:hAnsi="Times New Roman" w:eastAsia="TimesNewRomanPSMT" w:cs="Times New Roman"/>
          <w:color w:val="000000" w:themeColor="text1"/>
          <w14:textFill>
            <w14:solidFill>
              <w14:schemeClr w14:val="tx1"/>
            </w14:solidFill>
          </w14:textFill>
        </w:rPr>
        <w:t>30</w:t>
      </w:r>
      <w:r>
        <w:rPr>
          <w:rFonts w:hint="default" w:ascii="Times New Roman" w:hAnsi="Times New Roman" w:cs="Times New Roman"/>
          <w:color w:val="000000" w:themeColor="text1"/>
          <w14:textFill>
            <w14:solidFill>
              <w14:schemeClr w14:val="tx1"/>
            </w14:solidFill>
          </w14:textFill>
        </w:rPr>
        <w:t>种，主要有芡实、菱、藕、菱白等，可供鱼类饲料的浮游生物有萍、藻等。各种资源靠天然增殖。年际间因气候、水源、水质的变化，只有数量的增减，无种类更新。</w:t>
      </w:r>
    </w:p>
    <w:p w14:paraId="5A1C936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eastAsia="TimesNewRomanPSMT" w:cs="Times New Roman"/>
          <w:color w:val="000000" w:themeColor="text1"/>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）生物资源</w:t>
      </w:r>
    </w:p>
    <w:p w14:paraId="7D3C53C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毛集区气候温和，湿润多雨，光照充足，土地平整，水域辽阔，陆生、水生动植物种类繁多，自然资源较为丰富。植物资源：半夏、车前子、蒲公英、地骨皮、牵牛子、蒺藜、大小蓟、王不留行、苋菜、荠菜、苦菜等药材。兽类动物资源：兔、狐、黄鼠狼、田鼠、刺猬、蝙蝠等。飞禽资源：鹰、麻雀、乌鸦、喜鹊、斑鸠、云雀、大雁、燕、啄木鸟等。水生动物资源：鱼、鳖、虾、蟹、蚌、螺、青蛙、蟾蜍、水貂、水蛭等。水生植物资源：菱角、藕、芡实、荸荠、毛猴、浮萍、水浮莲、杂叶草、芦苇、荻柴等。</w:t>
      </w:r>
    </w:p>
    <w:p w14:paraId="3F1AB1C1">
      <w:pPr>
        <w:pStyle w:val="3159"/>
        <w:rPr>
          <w:rFonts w:hint="default" w:ascii="Times New Roman" w:hAnsi="Times New Roman" w:eastAsia="黑体" w:cs="Times New Roman"/>
          <w:b w:val="0"/>
          <w:color w:val="000000" w:themeColor="text1"/>
          <w14:textFill>
            <w14:solidFill>
              <w14:schemeClr w14:val="tx1"/>
            </w14:solidFill>
          </w14:textFill>
        </w:rPr>
      </w:pPr>
      <w:bookmarkStart w:id="75" w:name="_Toc173837676"/>
      <w:r>
        <w:rPr>
          <w:rFonts w:hint="default" w:ascii="Times New Roman" w:hAnsi="Times New Roman" w:eastAsia="黑体" w:cs="Times New Roman"/>
          <w:b w:val="0"/>
          <w:color w:val="000000" w:themeColor="text1"/>
          <w14:textFill>
            <w14:solidFill>
              <w14:schemeClr w14:val="tx1"/>
            </w14:solidFill>
          </w14:textFill>
        </w:rPr>
        <w:t>4.1.6焦岗湖国家湿地公园</w:t>
      </w:r>
      <w:bookmarkEnd w:id="75"/>
    </w:p>
    <w:p w14:paraId="58E06E9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焦岗湖国家湿地公园位于安徽省淮南市毛集实验区境内，位于凤台县城西南17公里处，距毛集镇3.4公里，公园水系经由元新闸入淮，与淮河仅一堤之隔。地理坐标为：东经116°31′—116°40′，北纬32°30′—32°32′之间。焦岗湖国家湿地公园规划总面积49000亩。焦岗湖整个湖区为椭圆形浅水湖泊，东西长约15km，南北宽近5km，全湖周长35km，控制水位18.2m，面积5400公顷。焦岗湖国家湿地公园规划范围为焦岗湖位于毛集实验区境内的水面、堤岸及部分土地。岗湖水体中营养盐类主要是磷酸盐、硝酸盐等，枯水期水体浑浊，透明度变小（最小透明度20cm，最大透明度50cm），大部分水域水深较浅，水温垂直变化不大，无温跃层。湖内平均风速3.0m/s，最大风速20m/s，一般情况下浪高小于0.1m，最大浪高在0.5m左右。湖水中溶氧量一般不低于8.0mg/L。</w:t>
      </w:r>
    </w:p>
    <w:p w14:paraId="2EF27964">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焦岗湖生物多样性较为丰富，种类繁多，水生生态系统结构完整。已采集鱼类标本38种，隶属12科32属，已知各类水生维管束植物有19种，其中挺水植物7种，浮叶植物2种，漂浮植物1种，沉水植物9种。优势种类为芡实、菱、莲藕和茨藻等，其次是轮叶黑藻和苦草。焦岗湖水生植物群落主要有芡实群落+莲、菰群落、莲群落、芦苇+菰群落；浮游植物共5门25属；浮游动物共45种，其中原生动物12属16种，轮虫9属15种，枝角类5属6种，桡足类8属8种。公园内有野生动物21目50科104种。鸟类占野生动物的大多数，有13目34科77种，其中有许多珍稀鸟类，如国家一类保护动物白鹤、白忱鹤、白鹳、黑鹳、大鸨，国家二类保护动物灰鹤、鸳鸯和白尾鹞等。</w:t>
      </w:r>
    </w:p>
    <w:p w14:paraId="27E4D24D">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76" w:name="_Toc173837677"/>
      <w:r>
        <w:rPr>
          <w:rFonts w:hint="default" w:ascii="Times New Roman" w:hAnsi="Times New Roman" w:eastAsia="黑体" w:cs="Times New Roman"/>
          <w:b w:val="0"/>
          <w:color w:val="000000" w:themeColor="text1"/>
          <w14:textFill>
            <w14:solidFill>
              <w14:schemeClr w14:val="tx1"/>
            </w14:solidFill>
          </w14:textFill>
        </w:rPr>
        <w:t>4.2环境空气质量现状监测与评价</w:t>
      </w:r>
      <w:bookmarkEnd w:id="76"/>
    </w:p>
    <w:p w14:paraId="6E0527D9">
      <w:pPr>
        <w:pStyle w:val="3159"/>
        <w:rPr>
          <w:rFonts w:hint="default" w:ascii="Times New Roman" w:hAnsi="Times New Roman" w:eastAsia="黑体" w:cs="Times New Roman"/>
          <w:b w:val="0"/>
          <w:color w:val="000000" w:themeColor="text1"/>
          <w14:textFill>
            <w14:solidFill>
              <w14:schemeClr w14:val="tx1"/>
            </w14:solidFill>
          </w14:textFill>
        </w:rPr>
      </w:pPr>
      <w:bookmarkStart w:id="77" w:name="_Toc173837678"/>
      <w:r>
        <w:rPr>
          <w:rFonts w:hint="default" w:ascii="Times New Roman" w:hAnsi="Times New Roman" w:eastAsia="黑体" w:cs="Times New Roman"/>
          <w:b w:val="0"/>
          <w:color w:val="000000" w:themeColor="text1"/>
          <w14:textFill>
            <w14:solidFill>
              <w14:schemeClr w14:val="tx1"/>
            </w14:solidFill>
          </w14:textFill>
        </w:rPr>
        <w:t>4.2.1基本污染物环境质量现状</w:t>
      </w:r>
      <w:bookmarkEnd w:id="77"/>
    </w:p>
    <w:p w14:paraId="29B78DFD">
      <w:pPr>
        <w:pStyle w:val="251"/>
        <w:ind w:firstLine="480"/>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本项目评价基准年取</w:t>
      </w:r>
      <w:r>
        <w:rPr>
          <w:rFonts w:hint="eastAsia" w:ascii="Times New Roman" w:hAnsi="Times New Roman" w:cs="Times New Roman"/>
          <w:color w:val="000000" w:themeColor="text1"/>
          <w:lang w:val="en-US" w:eastAsia="zh-CN"/>
          <w14:textFill>
            <w14:solidFill>
              <w14:schemeClr w14:val="tx1"/>
            </w14:solidFill>
          </w14:textFill>
        </w:rPr>
        <w:t>2023年，</w:t>
      </w:r>
      <w:r>
        <w:rPr>
          <w:rFonts w:hint="default" w:ascii="Times New Roman" w:hAnsi="Times New Roman" w:cs="Times New Roman"/>
          <w:color w:val="000000" w:themeColor="text1"/>
          <w14:textFill>
            <w14:solidFill>
              <w14:schemeClr w14:val="tx1"/>
            </w14:solidFill>
          </w14:textFill>
        </w:rPr>
        <w:t>根据《环境影响评价技术导则大气环境》（HJ2.2-2018）要求，拟建项目所在区域环境空气达标情况评价指标为SO</w:t>
      </w:r>
      <w:r>
        <w:rPr>
          <w:rFonts w:hint="default" w:ascii="Times New Roman" w:hAnsi="Times New Roman" w:cs="Times New Roman"/>
          <w:color w:val="000000" w:themeColor="text1"/>
          <w:vertAlign w:val="subscript"/>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、NO</w:t>
      </w:r>
      <w:r>
        <w:rPr>
          <w:rFonts w:hint="default" w:ascii="Times New Roman" w:hAnsi="Times New Roman" w:cs="Times New Roman"/>
          <w:color w:val="000000" w:themeColor="text1"/>
          <w:vertAlign w:val="subscript"/>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、PM</w:t>
      </w:r>
      <w:r>
        <w:rPr>
          <w:rFonts w:hint="default" w:ascii="Times New Roman" w:hAnsi="Times New Roman" w:cs="Times New Roman"/>
          <w:color w:val="000000" w:themeColor="text1"/>
          <w:vertAlign w:val="subscript"/>
          <w14:textFill>
            <w14:solidFill>
              <w14:schemeClr w14:val="tx1"/>
            </w14:solidFill>
          </w14:textFill>
        </w:rPr>
        <w:t>10</w:t>
      </w:r>
      <w:r>
        <w:rPr>
          <w:rFonts w:hint="default" w:ascii="Times New Roman" w:hAnsi="Times New Roman" w:cs="Times New Roman"/>
          <w:color w:val="000000" w:themeColor="text1"/>
          <w14:textFill>
            <w14:solidFill>
              <w14:schemeClr w14:val="tx1"/>
            </w14:solidFill>
          </w14:textFill>
        </w:rPr>
        <w:t>、PM</w:t>
      </w:r>
      <w:r>
        <w:rPr>
          <w:rFonts w:hint="default" w:ascii="Times New Roman" w:hAnsi="Times New Roman" w:cs="Times New Roman"/>
          <w:color w:val="000000" w:themeColor="text1"/>
          <w:vertAlign w:val="subscript"/>
          <w14:textFill>
            <w14:solidFill>
              <w14:schemeClr w14:val="tx1"/>
            </w14:solidFill>
          </w14:textFill>
        </w:rPr>
        <w:t>2.5</w:t>
      </w:r>
      <w:r>
        <w:rPr>
          <w:rFonts w:hint="default" w:ascii="Times New Roman" w:hAnsi="Times New Roman" w:cs="Times New Roman"/>
          <w:color w:val="000000" w:themeColor="text1"/>
          <w14:textFill>
            <w14:solidFill>
              <w14:schemeClr w14:val="tx1"/>
            </w14:solidFill>
          </w14:textFill>
        </w:rPr>
        <w:t>、CO和O</w:t>
      </w:r>
      <w:r>
        <w:rPr>
          <w:rFonts w:hint="default" w:ascii="Times New Roman" w:hAnsi="Times New Roman" w:cs="Times New Roman"/>
          <w:color w:val="000000" w:themeColor="text1"/>
          <w:vertAlign w:val="sub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六项基本污染物全部达标即为城市环境空气质量达标。基本污染物环境质量现状数据优先采用国家或地方生态环境主管部门发布的评价基准年环境质量公告或环境质量报告中的数据或结论；评价范围内没有环境空气质量监测网数据或公开发布的环境空气质量现状数据的，可选择符合HJ664规定，并且与评价范围地理位置邻近，地形、气候条件相近的环境空气质量城市点或区域点监测数据。</w:t>
      </w:r>
    </w:p>
    <w:p w14:paraId="16B6758F">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根据《202</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年</w:t>
      </w:r>
      <w:r>
        <w:rPr>
          <w:rFonts w:hint="eastAsia" w:ascii="Times New Roman" w:hAnsi="Times New Roman" w:cs="Times New Roman"/>
          <w:color w:val="000000" w:themeColor="text1"/>
          <w14:textFill>
            <w14:solidFill>
              <w14:schemeClr w14:val="tx1"/>
            </w14:solidFill>
          </w14:textFill>
        </w:rPr>
        <w:t>淮南市生态环境质量状况公报</w:t>
      </w:r>
      <w:r>
        <w:rPr>
          <w:rFonts w:hint="default" w:ascii="Times New Roman" w:hAnsi="Times New Roman" w:cs="Times New Roman"/>
          <w:color w:val="000000" w:themeColor="text1"/>
          <w14:textFill>
            <w14:solidFill>
              <w14:schemeClr w14:val="tx1"/>
            </w14:solidFill>
          </w14:textFill>
        </w:rPr>
        <w:t>》，项目所在区域空气质量现状评价见下表：</w:t>
      </w:r>
    </w:p>
    <w:p w14:paraId="308AD312">
      <w:pPr>
        <w:spacing w:line="360" w:lineRule="auto"/>
        <w:jc w:val="center"/>
        <w:rPr>
          <w:rFonts w:eastAsia="黑体"/>
          <w:color w:val="000000" w:themeColor="text1"/>
          <w:sz w:val="24"/>
          <w:szCs w:val="24"/>
          <w14:textFill>
            <w14:solidFill>
              <w14:schemeClr w14:val="tx1"/>
            </w14:solidFill>
          </w14:textFill>
        </w:rPr>
      </w:pPr>
      <w:r>
        <w:rPr>
          <w:rFonts w:hAnsi="黑体" w:eastAsia="黑体"/>
          <w:color w:val="000000" w:themeColor="text1"/>
          <w:sz w:val="24"/>
          <w:szCs w:val="21"/>
          <w14:textFill>
            <w14:solidFill>
              <w14:schemeClr w14:val="tx1"/>
            </w14:solidFill>
          </w14:textFill>
        </w:rPr>
        <w:t>表</w:t>
      </w:r>
      <w:r>
        <w:rPr>
          <w:rFonts w:hint="eastAsia" w:eastAsia="黑体"/>
          <w:color w:val="000000" w:themeColor="text1"/>
          <w:sz w:val="24"/>
          <w:szCs w:val="21"/>
          <w14:textFill>
            <w14:solidFill>
              <w14:schemeClr w14:val="tx1"/>
            </w14:solidFill>
          </w14:textFill>
        </w:rPr>
        <w:t>4.2-1</w:t>
      </w:r>
      <w:r>
        <w:rPr>
          <w:rFonts w:hAnsi="黑体" w:eastAsia="黑体"/>
          <w:color w:val="000000" w:themeColor="text1"/>
          <w:sz w:val="24"/>
          <w:szCs w:val="21"/>
          <w14:textFill>
            <w14:solidFill>
              <w14:schemeClr w14:val="tx1"/>
            </w14:solidFill>
          </w14:textFill>
        </w:rPr>
        <w:t>区域空气质量现状评价表</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4"/>
        <w:gridCol w:w="1841"/>
        <w:gridCol w:w="1421"/>
        <w:gridCol w:w="1421"/>
        <w:gridCol w:w="1421"/>
        <w:gridCol w:w="1421"/>
      </w:tblGrid>
      <w:tr w14:paraId="13AFDA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9" w:type="pct"/>
            <w:noWrap w:val="0"/>
            <w:vAlign w:val="center"/>
          </w:tcPr>
          <w:p w14:paraId="4F4EAB49">
            <w:pPr>
              <w:spacing w:line="276"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污染物</w:t>
            </w:r>
          </w:p>
        </w:tc>
        <w:tc>
          <w:tcPr>
            <w:tcW w:w="1079" w:type="pct"/>
            <w:noWrap w:val="0"/>
            <w:vAlign w:val="center"/>
          </w:tcPr>
          <w:p w14:paraId="5297C781">
            <w:pPr>
              <w:spacing w:line="276"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年评价指标</w:t>
            </w:r>
          </w:p>
        </w:tc>
        <w:tc>
          <w:tcPr>
            <w:tcW w:w="833" w:type="pct"/>
            <w:noWrap w:val="0"/>
            <w:vAlign w:val="center"/>
          </w:tcPr>
          <w:p w14:paraId="39F33F59">
            <w:pPr>
              <w:widowControl/>
              <w:adjustRightInd w:val="0"/>
              <w:spacing w:line="276"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现状浓度（μg/m</w:t>
            </w:r>
            <w:r>
              <w:rPr>
                <w:b/>
                <w:bCs/>
                <w:color w:val="000000" w:themeColor="text1"/>
                <w:sz w:val="21"/>
                <w:szCs w:val="21"/>
                <w:vertAlign w:val="superscript"/>
                <w14:textFill>
                  <w14:solidFill>
                    <w14:schemeClr w14:val="tx1"/>
                  </w14:solidFill>
                </w14:textFill>
              </w:rPr>
              <w:t>3</w:t>
            </w:r>
            <w:r>
              <w:rPr>
                <w:b/>
                <w:bCs/>
                <w:color w:val="000000" w:themeColor="text1"/>
                <w:sz w:val="21"/>
                <w:szCs w:val="21"/>
                <w14:textFill>
                  <w14:solidFill>
                    <w14:schemeClr w14:val="tx1"/>
                  </w14:solidFill>
                </w14:textFill>
              </w:rPr>
              <w:t>）</w:t>
            </w:r>
          </w:p>
        </w:tc>
        <w:tc>
          <w:tcPr>
            <w:tcW w:w="833" w:type="pct"/>
            <w:noWrap w:val="0"/>
            <w:vAlign w:val="center"/>
          </w:tcPr>
          <w:p w14:paraId="517C0C17">
            <w:pPr>
              <w:widowControl/>
              <w:adjustRightInd w:val="0"/>
              <w:spacing w:line="276"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标准值（μg/m</w:t>
            </w:r>
            <w:r>
              <w:rPr>
                <w:b/>
                <w:bCs/>
                <w:color w:val="000000" w:themeColor="text1"/>
                <w:sz w:val="21"/>
                <w:szCs w:val="21"/>
                <w:vertAlign w:val="superscript"/>
                <w14:textFill>
                  <w14:solidFill>
                    <w14:schemeClr w14:val="tx1"/>
                  </w14:solidFill>
                </w14:textFill>
              </w:rPr>
              <w:t>3</w:t>
            </w:r>
            <w:r>
              <w:rPr>
                <w:b/>
                <w:bCs/>
                <w:color w:val="000000" w:themeColor="text1"/>
                <w:sz w:val="21"/>
                <w:szCs w:val="21"/>
                <w14:textFill>
                  <w14:solidFill>
                    <w14:schemeClr w14:val="tx1"/>
                  </w14:solidFill>
                </w14:textFill>
              </w:rPr>
              <w:t>）</w:t>
            </w:r>
          </w:p>
        </w:tc>
        <w:tc>
          <w:tcPr>
            <w:tcW w:w="833" w:type="pct"/>
            <w:noWrap w:val="0"/>
            <w:vAlign w:val="center"/>
          </w:tcPr>
          <w:p w14:paraId="560F97A5">
            <w:pPr>
              <w:widowControl/>
              <w:adjustRightInd w:val="0"/>
              <w:spacing w:line="276"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占标率（%）</w:t>
            </w:r>
          </w:p>
        </w:tc>
        <w:tc>
          <w:tcPr>
            <w:tcW w:w="833" w:type="pct"/>
            <w:noWrap w:val="0"/>
            <w:vAlign w:val="center"/>
          </w:tcPr>
          <w:p w14:paraId="5A608283">
            <w:pPr>
              <w:widowControl/>
              <w:adjustRightInd w:val="0"/>
              <w:spacing w:line="276"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达标情况</w:t>
            </w:r>
          </w:p>
        </w:tc>
      </w:tr>
      <w:tr w14:paraId="73A68D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9" w:type="pct"/>
            <w:noWrap w:val="0"/>
            <w:vAlign w:val="center"/>
          </w:tcPr>
          <w:p w14:paraId="7674B1A8">
            <w:pPr>
              <w:widowControl/>
              <w:adjustRightInd w:val="0"/>
              <w:spacing w:line="276"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SO</w:t>
            </w:r>
            <w:r>
              <w:rPr>
                <w:bCs/>
                <w:color w:val="000000" w:themeColor="text1"/>
                <w:sz w:val="21"/>
                <w:szCs w:val="21"/>
                <w:vertAlign w:val="subscript"/>
                <w14:textFill>
                  <w14:solidFill>
                    <w14:schemeClr w14:val="tx1"/>
                  </w14:solidFill>
                </w14:textFill>
              </w:rPr>
              <w:t>2</w:t>
            </w:r>
          </w:p>
        </w:tc>
        <w:tc>
          <w:tcPr>
            <w:tcW w:w="1079" w:type="pct"/>
            <w:noWrap w:val="0"/>
            <w:vAlign w:val="center"/>
          </w:tcPr>
          <w:p w14:paraId="2C0DFF9C">
            <w:pPr>
              <w:widowControl/>
              <w:adjustRightInd w:val="0"/>
              <w:spacing w:line="276"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年平均质量浓度</w:t>
            </w:r>
          </w:p>
        </w:tc>
        <w:tc>
          <w:tcPr>
            <w:tcW w:w="833" w:type="pct"/>
            <w:noWrap w:val="0"/>
            <w:vAlign w:val="center"/>
          </w:tcPr>
          <w:p w14:paraId="250C21FE">
            <w:pPr>
              <w:widowControl/>
              <w:adjustRightInd w:val="0"/>
              <w:spacing w:line="276" w:lineRule="auto"/>
              <w:jc w:val="center"/>
              <w:rPr>
                <w:rFonts w:hint="eastAsia" w:eastAsia="宋体"/>
                <w:bCs/>
                <w:color w:val="000000" w:themeColor="text1"/>
                <w:sz w:val="21"/>
                <w:szCs w:val="21"/>
                <w:lang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8</w:t>
            </w:r>
          </w:p>
        </w:tc>
        <w:tc>
          <w:tcPr>
            <w:tcW w:w="833" w:type="pct"/>
            <w:noWrap w:val="0"/>
            <w:vAlign w:val="center"/>
          </w:tcPr>
          <w:p w14:paraId="6CC966BC">
            <w:pPr>
              <w:widowControl/>
              <w:adjustRightInd w:val="0"/>
              <w:spacing w:line="276"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60</w:t>
            </w:r>
          </w:p>
        </w:tc>
        <w:tc>
          <w:tcPr>
            <w:tcW w:w="833" w:type="pct"/>
            <w:noWrap w:val="0"/>
            <w:vAlign w:val="center"/>
          </w:tcPr>
          <w:p w14:paraId="7B468108">
            <w:pPr>
              <w:widowControl/>
              <w:adjustRightInd w:val="0"/>
              <w:spacing w:line="276" w:lineRule="auto"/>
              <w:jc w:val="center"/>
              <w:rPr>
                <w:rFonts w:hint="default" w:eastAsia="宋体"/>
                <w:bCs/>
                <w:color w:val="000000" w:themeColor="text1"/>
                <w:sz w:val="21"/>
                <w:szCs w:val="21"/>
                <w:lang w:val="en-US" w:eastAsia="zh-CN"/>
                <w14:textFill>
                  <w14:solidFill>
                    <w14:schemeClr w14:val="tx1"/>
                  </w14:solidFill>
                </w14:textFill>
              </w:rPr>
            </w:pPr>
            <w:r>
              <w:rPr>
                <w:rFonts w:hint="eastAsia"/>
                <w:bCs/>
                <w:color w:val="000000" w:themeColor="text1"/>
                <w:sz w:val="21"/>
                <w:szCs w:val="21"/>
                <w14:textFill>
                  <w14:solidFill>
                    <w14:schemeClr w14:val="tx1"/>
                  </w14:solidFill>
                </w14:textFill>
              </w:rPr>
              <w:t>1</w:t>
            </w:r>
            <w:r>
              <w:rPr>
                <w:rFonts w:hint="eastAsia"/>
                <w:bCs/>
                <w:color w:val="000000" w:themeColor="text1"/>
                <w:sz w:val="21"/>
                <w:szCs w:val="21"/>
                <w:lang w:val="en-US" w:eastAsia="zh-CN"/>
                <w14:textFill>
                  <w14:solidFill>
                    <w14:schemeClr w14:val="tx1"/>
                  </w14:solidFill>
                </w14:textFill>
              </w:rPr>
              <w:t>3</w:t>
            </w:r>
            <w:r>
              <w:rPr>
                <w:rFonts w:hint="eastAsia"/>
                <w:bCs/>
                <w:color w:val="000000" w:themeColor="text1"/>
                <w:sz w:val="21"/>
                <w:szCs w:val="21"/>
                <w14:textFill>
                  <w14:solidFill>
                    <w14:schemeClr w14:val="tx1"/>
                  </w14:solidFill>
                </w14:textFill>
              </w:rPr>
              <w:t>.</w:t>
            </w:r>
            <w:r>
              <w:rPr>
                <w:rFonts w:hint="eastAsia"/>
                <w:bCs/>
                <w:color w:val="000000" w:themeColor="text1"/>
                <w:sz w:val="21"/>
                <w:szCs w:val="21"/>
                <w:lang w:val="en-US" w:eastAsia="zh-CN"/>
                <w14:textFill>
                  <w14:solidFill>
                    <w14:schemeClr w14:val="tx1"/>
                  </w14:solidFill>
                </w14:textFill>
              </w:rPr>
              <w:t>33</w:t>
            </w:r>
          </w:p>
        </w:tc>
        <w:tc>
          <w:tcPr>
            <w:tcW w:w="833" w:type="pct"/>
            <w:noWrap w:val="0"/>
            <w:vAlign w:val="center"/>
          </w:tcPr>
          <w:p w14:paraId="12E5243A">
            <w:pPr>
              <w:widowControl/>
              <w:adjustRightInd w:val="0"/>
              <w:spacing w:line="276" w:lineRule="auto"/>
              <w:jc w:val="center"/>
              <w:rPr>
                <w:bCs/>
                <w:color w:val="000000" w:themeColor="text1"/>
                <w:sz w:val="21"/>
                <w:szCs w:val="21"/>
                <w14:textFill>
                  <w14:solidFill>
                    <w14:schemeClr w14:val="tx1"/>
                  </w14:solidFill>
                </w14:textFill>
              </w:rPr>
            </w:pPr>
            <w:r>
              <w:rPr>
                <w:rFonts w:hAnsi="宋体"/>
                <w:bCs/>
                <w:color w:val="000000" w:themeColor="text1"/>
                <w:sz w:val="21"/>
                <w:szCs w:val="21"/>
                <w14:textFill>
                  <w14:solidFill>
                    <w14:schemeClr w14:val="tx1"/>
                  </w14:solidFill>
                </w14:textFill>
              </w:rPr>
              <w:t>达标</w:t>
            </w:r>
          </w:p>
        </w:tc>
      </w:tr>
      <w:tr w14:paraId="5217B1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9" w:type="pct"/>
            <w:noWrap w:val="0"/>
            <w:vAlign w:val="center"/>
          </w:tcPr>
          <w:p w14:paraId="211B1286">
            <w:pPr>
              <w:widowControl/>
              <w:adjustRightInd w:val="0"/>
              <w:spacing w:line="276"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NO</w:t>
            </w:r>
            <w:r>
              <w:rPr>
                <w:bCs/>
                <w:color w:val="000000" w:themeColor="text1"/>
                <w:sz w:val="21"/>
                <w:szCs w:val="21"/>
                <w:vertAlign w:val="subscript"/>
                <w14:textFill>
                  <w14:solidFill>
                    <w14:schemeClr w14:val="tx1"/>
                  </w14:solidFill>
                </w14:textFill>
              </w:rPr>
              <w:t>2</w:t>
            </w:r>
          </w:p>
        </w:tc>
        <w:tc>
          <w:tcPr>
            <w:tcW w:w="1079" w:type="pct"/>
            <w:noWrap w:val="0"/>
            <w:vAlign w:val="center"/>
          </w:tcPr>
          <w:p w14:paraId="0B48ADD8">
            <w:pPr>
              <w:widowControl/>
              <w:adjustRightInd w:val="0"/>
              <w:spacing w:line="276"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年平均质量浓度</w:t>
            </w:r>
          </w:p>
        </w:tc>
        <w:tc>
          <w:tcPr>
            <w:tcW w:w="833" w:type="pct"/>
            <w:noWrap w:val="0"/>
            <w:vAlign w:val="center"/>
          </w:tcPr>
          <w:p w14:paraId="36C3CF54">
            <w:pPr>
              <w:widowControl/>
              <w:adjustRightInd w:val="0"/>
              <w:spacing w:line="276" w:lineRule="auto"/>
              <w:jc w:val="center"/>
              <w:rPr>
                <w:rFonts w:hint="default" w:eastAsia="宋体"/>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21</w:t>
            </w:r>
          </w:p>
        </w:tc>
        <w:tc>
          <w:tcPr>
            <w:tcW w:w="833" w:type="pct"/>
            <w:noWrap w:val="0"/>
            <w:vAlign w:val="center"/>
          </w:tcPr>
          <w:p w14:paraId="0B937E8C">
            <w:pPr>
              <w:widowControl/>
              <w:adjustRightInd w:val="0"/>
              <w:spacing w:line="276"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40</w:t>
            </w:r>
          </w:p>
        </w:tc>
        <w:tc>
          <w:tcPr>
            <w:tcW w:w="833" w:type="pct"/>
            <w:noWrap w:val="0"/>
            <w:vAlign w:val="center"/>
          </w:tcPr>
          <w:p w14:paraId="76AF7DA2">
            <w:pPr>
              <w:widowControl/>
              <w:adjustRightInd w:val="0"/>
              <w:spacing w:line="276" w:lineRule="auto"/>
              <w:jc w:val="center"/>
              <w:rPr>
                <w:bCs/>
                <w:color w:val="000000" w:themeColor="text1"/>
                <w:sz w:val="21"/>
                <w:szCs w:val="21"/>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52</w:t>
            </w:r>
            <w:r>
              <w:rPr>
                <w:rFonts w:hint="eastAsia"/>
                <w:bCs/>
                <w:color w:val="000000" w:themeColor="text1"/>
                <w:sz w:val="21"/>
                <w:szCs w:val="21"/>
                <w14:textFill>
                  <w14:solidFill>
                    <w14:schemeClr w14:val="tx1"/>
                  </w14:solidFill>
                </w14:textFill>
              </w:rPr>
              <w:t>.5</w:t>
            </w:r>
          </w:p>
        </w:tc>
        <w:tc>
          <w:tcPr>
            <w:tcW w:w="833" w:type="pct"/>
            <w:noWrap w:val="0"/>
            <w:vAlign w:val="center"/>
          </w:tcPr>
          <w:p w14:paraId="18F40FD3">
            <w:pPr>
              <w:widowControl/>
              <w:adjustRightInd w:val="0"/>
              <w:spacing w:line="276" w:lineRule="auto"/>
              <w:jc w:val="center"/>
              <w:rPr>
                <w:bCs/>
                <w:color w:val="000000" w:themeColor="text1"/>
                <w:sz w:val="21"/>
                <w:szCs w:val="21"/>
                <w14:textFill>
                  <w14:solidFill>
                    <w14:schemeClr w14:val="tx1"/>
                  </w14:solidFill>
                </w14:textFill>
              </w:rPr>
            </w:pPr>
            <w:r>
              <w:rPr>
                <w:rFonts w:hAnsi="宋体"/>
                <w:bCs/>
                <w:color w:val="000000" w:themeColor="text1"/>
                <w:sz w:val="21"/>
                <w:szCs w:val="21"/>
                <w14:textFill>
                  <w14:solidFill>
                    <w14:schemeClr w14:val="tx1"/>
                  </w14:solidFill>
                </w14:textFill>
              </w:rPr>
              <w:t>达标</w:t>
            </w:r>
          </w:p>
        </w:tc>
      </w:tr>
      <w:tr w14:paraId="062F82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9" w:type="pct"/>
            <w:noWrap w:val="0"/>
            <w:vAlign w:val="center"/>
          </w:tcPr>
          <w:p w14:paraId="187467AD">
            <w:pPr>
              <w:widowControl/>
              <w:adjustRightInd w:val="0"/>
              <w:spacing w:line="276"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PM</w:t>
            </w:r>
            <w:r>
              <w:rPr>
                <w:bCs/>
                <w:color w:val="000000" w:themeColor="text1"/>
                <w:sz w:val="21"/>
                <w:szCs w:val="21"/>
                <w:vertAlign w:val="subscript"/>
                <w14:textFill>
                  <w14:solidFill>
                    <w14:schemeClr w14:val="tx1"/>
                  </w14:solidFill>
                </w14:textFill>
              </w:rPr>
              <w:t>10</w:t>
            </w:r>
          </w:p>
        </w:tc>
        <w:tc>
          <w:tcPr>
            <w:tcW w:w="1079" w:type="pct"/>
            <w:noWrap w:val="0"/>
            <w:vAlign w:val="center"/>
          </w:tcPr>
          <w:p w14:paraId="24BF56B9">
            <w:pPr>
              <w:widowControl/>
              <w:adjustRightInd w:val="0"/>
              <w:spacing w:line="276"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年平均质量浓度</w:t>
            </w:r>
          </w:p>
        </w:tc>
        <w:tc>
          <w:tcPr>
            <w:tcW w:w="833" w:type="pct"/>
            <w:noWrap w:val="0"/>
            <w:vAlign w:val="center"/>
          </w:tcPr>
          <w:p w14:paraId="72D1CE23">
            <w:pPr>
              <w:widowControl/>
              <w:adjustRightInd w:val="0"/>
              <w:spacing w:line="276" w:lineRule="auto"/>
              <w:jc w:val="center"/>
              <w:rPr>
                <w:rFonts w:hint="default" w:eastAsia="宋体"/>
                <w:bCs/>
                <w:color w:val="000000" w:themeColor="text1"/>
                <w:sz w:val="21"/>
                <w:szCs w:val="21"/>
                <w:lang w:val="en-US" w:eastAsia="zh-CN"/>
                <w14:textFill>
                  <w14:solidFill>
                    <w14:schemeClr w14:val="tx1"/>
                  </w14:solidFill>
                </w14:textFill>
              </w:rPr>
            </w:pPr>
            <w:r>
              <w:rPr>
                <w:rFonts w:hint="eastAsia"/>
                <w:bCs/>
                <w:color w:val="000000" w:themeColor="text1"/>
                <w:sz w:val="21"/>
                <w:szCs w:val="21"/>
                <w14:textFill>
                  <w14:solidFill>
                    <w14:schemeClr w14:val="tx1"/>
                  </w14:solidFill>
                </w14:textFill>
              </w:rPr>
              <w:t>65</w:t>
            </w:r>
            <w:r>
              <w:rPr>
                <w:rFonts w:hint="eastAsia"/>
                <w:bCs/>
                <w:color w:val="000000" w:themeColor="text1"/>
                <w:sz w:val="21"/>
                <w:szCs w:val="21"/>
                <w:lang w:val="en-US" w:eastAsia="zh-CN"/>
                <w14:textFill>
                  <w14:solidFill>
                    <w14:schemeClr w14:val="tx1"/>
                  </w14:solidFill>
                </w14:textFill>
              </w:rPr>
              <w:t>.9</w:t>
            </w:r>
          </w:p>
        </w:tc>
        <w:tc>
          <w:tcPr>
            <w:tcW w:w="833" w:type="pct"/>
            <w:noWrap w:val="0"/>
            <w:vAlign w:val="center"/>
          </w:tcPr>
          <w:p w14:paraId="2B66A8F6">
            <w:pPr>
              <w:widowControl/>
              <w:adjustRightInd w:val="0"/>
              <w:spacing w:line="276"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70</w:t>
            </w:r>
          </w:p>
        </w:tc>
        <w:tc>
          <w:tcPr>
            <w:tcW w:w="833" w:type="pct"/>
            <w:noWrap w:val="0"/>
            <w:vAlign w:val="center"/>
          </w:tcPr>
          <w:p w14:paraId="0D89302C">
            <w:pPr>
              <w:widowControl/>
              <w:adjustRightInd w:val="0"/>
              <w:spacing w:line="276" w:lineRule="auto"/>
              <w:jc w:val="center"/>
              <w:rPr>
                <w:rFonts w:hint="default" w:eastAsia="宋体"/>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94.14</w:t>
            </w:r>
          </w:p>
        </w:tc>
        <w:tc>
          <w:tcPr>
            <w:tcW w:w="833" w:type="pct"/>
            <w:noWrap w:val="0"/>
            <w:vAlign w:val="center"/>
          </w:tcPr>
          <w:p w14:paraId="1B4A1C6F">
            <w:pPr>
              <w:widowControl/>
              <w:adjustRightInd w:val="0"/>
              <w:spacing w:line="276" w:lineRule="auto"/>
              <w:jc w:val="center"/>
              <w:rPr>
                <w:bCs/>
                <w:color w:val="000000" w:themeColor="text1"/>
                <w:sz w:val="21"/>
                <w:szCs w:val="21"/>
                <w14:textFill>
                  <w14:solidFill>
                    <w14:schemeClr w14:val="tx1"/>
                  </w14:solidFill>
                </w14:textFill>
              </w:rPr>
            </w:pPr>
            <w:r>
              <w:rPr>
                <w:rFonts w:hint="eastAsia" w:hAnsi="宋体"/>
                <w:bCs/>
                <w:color w:val="000000" w:themeColor="text1"/>
                <w:sz w:val="21"/>
                <w:szCs w:val="21"/>
                <w14:textFill>
                  <w14:solidFill>
                    <w14:schemeClr w14:val="tx1"/>
                  </w14:solidFill>
                </w14:textFill>
              </w:rPr>
              <w:t>达标</w:t>
            </w:r>
          </w:p>
        </w:tc>
      </w:tr>
      <w:tr w14:paraId="72E32D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9" w:type="pct"/>
            <w:noWrap w:val="0"/>
            <w:vAlign w:val="center"/>
          </w:tcPr>
          <w:p w14:paraId="3B616CA0">
            <w:pPr>
              <w:widowControl/>
              <w:adjustRightInd w:val="0"/>
              <w:spacing w:line="276"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PM</w:t>
            </w:r>
            <w:r>
              <w:rPr>
                <w:bCs/>
                <w:color w:val="000000" w:themeColor="text1"/>
                <w:sz w:val="21"/>
                <w:szCs w:val="21"/>
                <w:vertAlign w:val="subscript"/>
                <w14:textFill>
                  <w14:solidFill>
                    <w14:schemeClr w14:val="tx1"/>
                  </w14:solidFill>
                </w14:textFill>
              </w:rPr>
              <w:t>2.5</w:t>
            </w:r>
          </w:p>
        </w:tc>
        <w:tc>
          <w:tcPr>
            <w:tcW w:w="1079" w:type="pct"/>
            <w:noWrap w:val="0"/>
            <w:vAlign w:val="center"/>
          </w:tcPr>
          <w:p w14:paraId="3CDA07E2">
            <w:pPr>
              <w:widowControl/>
              <w:adjustRightInd w:val="0"/>
              <w:spacing w:line="276"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年平均质量浓度</w:t>
            </w:r>
          </w:p>
        </w:tc>
        <w:tc>
          <w:tcPr>
            <w:tcW w:w="833" w:type="pct"/>
            <w:noWrap w:val="0"/>
            <w:vAlign w:val="center"/>
          </w:tcPr>
          <w:p w14:paraId="17559621">
            <w:pPr>
              <w:widowControl/>
              <w:adjustRightInd w:val="0"/>
              <w:spacing w:line="276" w:lineRule="auto"/>
              <w:jc w:val="center"/>
              <w:rPr>
                <w:rFonts w:hint="default" w:eastAsia="宋体"/>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38.7</w:t>
            </w:r>
          </w:p>
        </w:tc>
        <w:tc>
          <w:tcPr>
            <w:tcW w:w="833" w:type="pct"/>
            <w:noWrap w:val="0"/>
            <w:vAlign w:val="center"/>
          </w:tcPr>
          <w:p w14:paraId="1E1D77D6">
            <w:pPr>
              <w:widowControl/>
              <w:adjustRightInd w:val="0"/>
              <w:spacing w:line="276"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35</w:t>
            </w:r>
          </w:p>
        </w:tc>
        <w:tc>
          <w:tcPr>
            <w:tcW w:w="833" w:type="pct"/>
            <w:noWrap w:val="0"/>
            <w:vAlign w:val="center"/>
          </w:tcPr>
          <w:p w14:paraId="4F285F60">
            <w:pPr>
              <w:widowControl/>
              <w:adjustRightInd w:val="0"/>
              <w:spacing w:line="276" w:lineRule="auto"/>
              <w:jc w:val="center"/>
              <w:rPr>
                <w:rFonts w:hint="default" w:eastAsia="宋体"/>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110.57</w:t>
            </w:r>
          </w:p>
        </w:tc>
        <w:tc>
          <w:tcPr>
            <w:tcW w:w="833" w:type="pct"/>
            <w:noWrap w:val="0"/>
            <w:vAlign w:val="center"/>
          </w:tcPr>
          <w:p w14:paraId="2DDB941B">
            <w:pPr>
              <w:widowControl/>
              <w:adjustRightInd w:val="0"/>
              <w:spacing w:line="276" w:lineRule="auto"/>
              <w:jc w:val="center"/>
              <w:rPr>
                <w:bCs/>
                <w:color w:val="000000" w:themeColor="text1"/>
                <w:sz w:val="21"/>
                <w:szCs w:val="21"/>
                <w14:textFill>
                  <w14:solidFill>
                    <w14:schemeClr w14:val="tx1"/>
                  </w14:solidFill>
                </w14:textFill>
              </w:rPr>
            </w:pPr>
            <w:r>
              <w:rPr>
                <w:rFonts w:hint="eastAsia" w:hAnsi="宋体"/>
                <w:bCs/>
                <w:color w:val="000000" w:themeColor="text1"/>
                <w:sz w:val="21"/>
                <w:szCs w:val="21"/>
                <w14:textFill>
                  <w14:solidFill>
                    <w14:schemeClr w14:val="tx1"/>
                  </w14:solidFill>
                </w14:textFill>
              </w:rPr>
              <w:t>超标</w:t>
            </w:r>
          </w:p>
        </w:tc>
      </w:tr>
      <w:tr w14:paraId="72976D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9" w:type="pct"/>
            <w:noWrap w:val="0"/>
            <w:vAlign w:val="center"/>
          </w:tcPr>
          <w:p w14:paraId="77660635">
            <w:pPr>
              <w:widowControl/>
              <w:adjustRightInd w:val="0"/>
              <w:spacing w:line="276"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CO</w:t>
            </w:r>
          </w:p>
        </w:tc>
        <w:tc>
          <w:tcPr>
            <w:tcW w:w="1079" w:type="pct"/>
            <w:noWrap w:val="0"/>
            <w:vAlign w:val="center"/>
          </w:tcPr>
          <w:p w14:paraId="303B68F8">
            <w:pPr>
              <w:widowControl/>
              <w:adjustRightInd w:val="0"/>
              <w:spacing w:line="276"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第95百分位数日平均质量浓度</w:t>
            </w:r>
          </w:p>
        </w:tc>
        <w:tc>
          <w:tcPr>
            <w:tcW w:w="833" w:type="pct"/>
            <w:noWrap w:val="0"/>
            <w:vAlign w:val="center"/>
          </w:tcPr>
          <w:p w14:paraId="763FD77C">
            <w:pPr>
              <w:widowControl/>
              <w:adjustRightInd w:val="0"/>
              <w:spacing w:line="276" w:lineRule="auto"/>
              <w:jc w:val="center"/>
              <w:rPr>
                <w:bCs/>
                <w:color w:val="000000" w:themeColor="text1"/>
                <w:sz w:val="21"/>
                <w:szCs w:val="21"/>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7</w:t>
            </w:r>
            <w:r>
              <w:rPr>
                <w:rFonts w:hint="eastAsia"/>
                <w:bCs/>
                <w:color w:val="000000" w:themeColor="text1"/>
                <w:sz w:val="21"/>
                <w:szCs w:val="21"/>
                <w14:textFill>
                  <w14:solidFill>
                    <w14:schemeClr w14:val="tx1"/>
                  </w14:solidFill>
                </w14:textFill>
              </w:rPr>
              <w:t>00</w:t>
            </w:r>
          </w:p>
        </w:tc>
        <w:tc>
          <w:tcPr>
            <w:tcW w:w="833" w:type="pct"/>
            <w:noWrap w:val="0"/>
            <w:vAlign w:val="center"/>
          </w:tcPr>
          <w:p w14:paraId="483901F7">
            <w:pPr>
              <w:widowControl/>
              <w:adjustRightInd w:val="0"/>
              <w:spacing w:line="276" w:lineRule="auto"/>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1000</w:t>
            </w:r>
          </w:p>
        </w:tc>
        <w:tc>
          <w:tcPr>
            <w:tcW w:w="833" w:type="pct"/>
            <w:noWrap w:val="0"/>
            <w:vAlign w:val="center"/>
          </w:tcPr>
          <w:p w14:paraId="7F82C250">
            <w:pPr>
              <w:widowControl/>
              <w:adjustRightInd w:val="0"/>
              <w:spacing w:line="276" w:lineRule="auto"/>
              <w:jc w:val="center"/>
              <w:rPr>
                <w:rFonts w:hint="default"/>
                <w:bCs/>
                <w:color w:val="000000" w:themeColor="text1"/>
                <w:sz w:val="21"/>
                <w:szCs w:val="21"/>
                <w:lang w:val="en-US"/>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70</w:t>
            </w:r>
          </w:p>
        </w:tc>
        <w:tc>
          <w:tcPr>
            <w:tcW w:w="833" w:type="pct"/>
            <w:noWrap w:val="0"/>
            <w:vAlign w:val="center"/>
          </w:tcPr>
          <w:p w14:paraId="1B533E98">
            <w:pPr>
              <w:widowControl/>
              <w:adjustRightInd w:val="0"/>
              <w:spacing w:line="276" w:lineRule="auto"/>
              <w:jc w:val="center"/>
              <w:rPr>
                <w:bCs/>
                <w:color w:val="000000" w:themeColor="text1"/>
                <w:sz w:val="21"/>
                <w:szCs w:val="21"/>
                <w14:textFill>
                  <w14:solidFill>
                    <w14:schemeClr w14:val="tx1"/>
                  </w14:solidFill>
                </w14:textFill>
              </w:rPr>
            </w:pPr>
            <w:r>
              <w:rPr>
                <w:rFonts w:hAnsi="宋体"/>
                <w:bCs/>
                <w:color w:val="000000" w:themeColor="text1"/>
                <w:sz w:val="21"/>
                <w:szCs w:val="21"/>
                <w14:textFill>
                  <w14:solidFill>
                    <w14:schemeClr w14:val="tx1"/>
                  </w14:solidFill>
                </w14:textFill>
              </w:rPr>
              <w:t>达标</w:t>
            </w:r>
          </w:p>
        </w:tc>
      </w:tr>
      <w:tr w14:paraId="6FAAE2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589" w:type="pct"/>
            <w:noWrap w:val="0"/>
            <w:vAlign w:val="center"/>
          </w:tcPr>
          <w:p w14:paraId="00948997">
            <w:pPr>
              <w:widowControl/>
              <w:adjustRightInd w:val="0"/>
              <w:spacing w:line="276"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O</w:t>
            </w:r>
            <w:r>
              <w:rPr>
                <w:bCs/>
                <w:color w:val="000000" w:themeColor="text1"/>
                <w:sz w:val="21"/>
                <w:szCs w:val="21"/>
                <w:vertAlign w:val="subscript"/>
                <w14:textFill>
                  <w14:solidFill>
                    <w14:schemeClr w14:val="tx1"/>
                  </w14:solidFill>
                </w14:textFill>
              </w:rPr>
              <w:t>3</w:t>
            </w:r>
          </w:p>
        </w:tc>
        <w:tc>
          <w:tcPr>
            <w:tcW w:w="1079" w:type="pct"/>
            <w:noWrap w:val="0"/>
            <w:vAlign w:val="center"/>
          </w:tcPr>
          <w:p w14:paraId="3CE6B32E">
            <w:pPr>
              <w:widowControl/>
              <w:adjustRightInd w:val="0"/>
              <w:spacing w:line="276"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第90百分位数日平均质量浓度</w:t>
            </w:r>
          </w:p>
        </w:tc>
        <w:tc>
          <w:tcPr>
            <w:tcW w:w="833" w:type="pct"/>
            <w:noWrap w:val="0"/>
            <w:vAlign w:val="center"/>
          </w:tcPr>
          <w:p w14:paraId="63F3102C">
            <w:pPr>
              <w:widowControl/>
              <w:adjustRightInd w:val="0"/>
              <w:spacing w:line="276" w:lineRule="auto"/>
              <w:jc w:val="center"/>
              <w:rPr>
                <w:rFonts w:hint="default" w:eastAsia="宋体"/>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157</w:t>
            </w:r>
          </w:p>
        </w:tc>
        <w:tc>
          <w:tcPr>
            <w:tcW w:w="833" w:type="pct"/>
            <w:noWrap w:val="0"/>
            <w:vAlign w:val="center"/>
          </w:tcPr>
          <w:p w14:paraId="7E78B67E">
            <w:pPr>
              <w:widowControl/>
              <w:adjustRightInd w:val="0"/>
              <w:spacing w:line="276" w:lineRule="auto"/>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200</w:t>
            </w:r>
          </w:p>
        </w:tc>
        <w:tc>
          <w:tcPr>
            <w:tcW w:w="833" w:type="pct"/>
            <w:noWrap w:val="0"/>
            <w:vAlign w:val="center"/>
          </w:tcPr>
          <w:p w14:paraId="5F75C72D">
            <w:pPr>
              <w:widowControl/>
              <w:adjustRightInd w:val="0"/>
              <w:spacing w:line="276" w:lineRule="auto"/>
              <w:jc w:val="center"/>
              <w:rPr>
                <w:rFonts w:hint="default" w:eastAsia="宋体"/>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78.5</w:t>
            </w:r>
          </w:p>
        </w:tc>
        <w:tc>
          <w:tcPr>
            <w:tcW w:w="833" w:type="pct"/>
            <w:noWrap w:val="0"/>
            <w:vAlign w:val="center"/>
          </w:tcPr>
          <w:p w14:paraId="5F88CCA8">
            <w:pPr>
              <w:widowControl/>
              <w:adjustRightInd w:val="0"/>
              <w:spacing w:line="276" w:lineRule="auto"/>
              <w:jc w:val="center"/>
              <w:rPr>
                <w:bCs/>
                <w:color w:val="000000" w:themeColor="text1"/>
                <w:sz w:val="21"/>
                <w:szCs w:val="21"/>
                <w14:textFill>
                  <w14:solidFill>
                    <w14:schemeClr w14:val="tx1"/>
                  </w14:solidFill>
                </w14:textFill>
              </w:rPr>
            </w:pPr>
            <w:r>
              <w:rPr>
                <w:rFonts w:hAnsi="宋体"/>
                <w:bCs/>
                <w:color w:val="000000" w:themeColor="text1"/>
                <w:sz w:val="21"/>
                <w:szCs w:val="21"/>
                <w14:textFill>
                  <w14:solidFill>
                    <w14:schemeClr w14:val="tx1"/>
                  </w14:solidFill>
                </w14:textFill>
              </w:rPr>
              <w:t>达标</w:t>
            </w:r>
          </w:p>
        </w:tc>
      </w:tr>
    </w:tbl>
    <w:p w14:paraId="34190D96">
      <w:pPr>
        <w:pStyle w:val="251"/>
        <w:ind w:firstLine="480"/>
        <w:rPr>
          <w:rFonts w:hint="default" w:ascii="Times New Roman" w:hAnsi="Times New Roman" w:cs="Times New Roman"/>
          <w:color w:val="000000" w:themeColor="text1"/>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根据质量公报监测结果统计，并结合《环境空气质量标准》（GB3095-2012）及2018年修改单中二级标准可知，项目所在区PM</w:t>
      </w:r>
      <w:r>
        <w:rPr>
          <w:rFonts w:hint="default" w:ascii="Times New Roman" w:hAnsi="Times New Roman" w:cs="Times New Roman"/>
          <w:color w:val="000000" w:themeColor="text1"/>
          <w:vertAlign w:val="subscript"/>
          <w14:textFill>
            <w14:solidFill>
              <w14:schemeClr w14:val="tx1"/>
            </w14:solidFill>
          </w14:textFill>
        </w:rPr>
        <w:t>2.5</w:t>
      </w:r>
      <w:r>
        <w:rPr>
          <w:rFonts w:hint="default" w:ascii="Times New Roman" w:hAnsi="Times New Roman" w:cs="Times New Roman"/>
          <w:color w:val="000000" w:themeColor="text1"/>
          <w14:textFill>
            <w14:solidFill>
              <w14:schemeClr w14:val="tx1"/>
            </w14:solidFill>
          </w14:textFill>
        </w:rPr>
        <w:t>平均质量浓度超标倍数为0.1</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，其他基本污染物均达标。因此，项目所在区域判定为不达标区。</w:t>
      </w:r>
    </w:p>
    <w:p w14:paraId="2BFB7570">
      <w:pPr>
        <w:pStyle w:val="251"/>
        <w:ind w:firstLine="480"/>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4"/>
          <w14:textFill>
            <w14:solidFill>
              <w14:schemeClr w14:val="tx1"/>
            </w14:solidFill>
          </w14:textFill>
        </w:rPr>
        <w:t>根据</w:t>
      </w:r>
      <w:r>
        <w:rPr>
          <w:rFonts w:hint="default" w:ascii="Times New Roman" w:hAnsi="Times New Roman" w:cs="Times New Roman"/>
          <w:color w:val="000000" w:themeColor="text1"/>
          <w:szCs w:val="24"/>
          <w:highlight w:val="yellow"/>
          <w14:textFill>
            <w14:solidFill>
              <w14:schemeClr w14:val="tx1"/>
            </w14:solidFill>
          </w14:textFill>
        </w:rPr>
        <w:t>《</w:t>
      </w:r>
      <w:r>
        <w:rPr>
          <w:rFonts w:hint="default" w:ascii="Times New Roman" w:hAnsi="Times New Roman" w:cs="Times New Roman"/>
          <w:color w:val="000000" w:themeColor="text1"/>
          <w:szCs w:val="24"/>
          <w:highlight w:val="yellow"/>
          <w:lang w:eastAsia="zh-CN"/>
          <w14:textFill>
            <w14:solidFill>
              <w14:schemeClr w14:val="tx1"/>
            </w14:solidFill>
          </w14:textFill>
        </w:rPr>
        <w:t>2024年淮南市生态环境质量状况公报</w:t>
      </w:r>
      <w:r>
        <w:rPr>
          <w:rFonts w:hint="default" w:ascii="Times New Roman" w:hAnsi="Times New Roman" w:cs="Times New Roman"/>
          <w:color w:val="000000" w:themeColor="text1"/>
          <w:szCs w:val="24"/>
          <w:highlight w:val="yellow"/>
          <w14:textFill>
            <w14:solidFill>
              <w14:schemeClr w14:val="tx1"/>
            </w14:solidFill>
          </w14:textFill>
        </w:rPr>
        <w:t>》</w:t>
      </w:r>
      <w:r>
        <w:rPr>
          <w:rFonts w:hint="default" w:ascii="Times New Roman" w:hAnsi="Times New Roman" w:cs="Times New Roman"/>
          <w:color w:val="000000" w:themeColor="text1"/>
          <w:szCs w:val="21"/>
          <w14:textFill>
            <w14:solidFill>
              <w14:schemeClr w14:val="tx1"/>
            </w14:solidFill>
          </w14:textFill>
        </w:rPr>
        <w:t>，</w:t>
      </w:r>
      <w:r>
        <w:rPr>
          <w:rFonts w:hint="default" w:ascii="Times New Roman" w:hAnsi="Times New Roman" w:cs="Times New Roman"/>
          <w:color w:val="000000" w:themeColor="text1"/>
          <w:szCs w:val="24"/>
          <w14:textFill>
            <w14:solidFill>
              <w14:schemeClr w14:val="tx1"/>
            </w14:solidFill>
          </w14:textFill>
        </w:rPr>
        <w:t>项目所在区域空气质量现状评价见下表</w:t>
      </w:r>
      <w:r>
        <w:rPr>
          <w:rFonts w:hint="default" w:ascii="Times New Roman" w:hAnsi="Times New Roman" w:cs="Times New Roman"/>
          <w:color w:val="000000" w:themeColor="text1"/>
          <w:szCs w:val="21"/>
          <w14:textFill>
            <w14:solidFill>
              <w14:schemeClr w14:val="tx1"/>
            </w14:solidFill>
          </w14:textFill>
        </w:rPr>
        <w:t>：</w:t>
      </w:r>
    </w:p>
    <w:p w14:paraId="0940B6B4">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1"/>
          <w14:textFill>
            <w14:solidFill>
              <w14:schemeClr w14:val="tx1"/>
            </w14:solidFill>
          </w14:textFill>
        </w:rPr>
        <w:t>表4.2-</w:t>
      </w:r>
      <w:r>
        <w:rPr>
          <w:rFonts w:hint="eastAsia" w:eastAsia="黑体" w:cs="Times New Roman"/>
          <w:color w:val="000000" w:themeColor="text1"/>
          <w:sz w:val="24"/>
          <w:szCs w:val="21"/>
          <w:lang w:val="en-US" w:eastAsia="zh-CN"/>
          <w14:textFill>
            <w14:solidFill>
              <w14:schemeClr w14:val="tx1"/>
            </w14:solidFill>
          </w14:textFill>
        </w:rPr>
        <w:t>2</w:t>
      </w:r>
      <w:r>
        <w:rPr>
          <w:rFonts w:hint="default" w:ascii="Times New Roman" w:hAnsi="Times New Roman" w:eastAsia="黑体" w:cs="Times New Roman"/>
          <w:color w:val="000000" w:themeColor="text1"/>
          <w:sz w:val="24"/>
          <w:szCs w:val="21"/>
          <w14:textFill>
            <w14:solidFill>
              <w14:schemeClr w14:val="tx1"/>
            </w14:solidFill>
          </w14:textFill>
        </w:rPr>
        <w:t>区域空气质量现状评价表</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4"/>
        <w:gridCol w:w="1841"/>
        <w:gridCol w:w="1421"/>
        <w:gridCol w:w="1421"/>
        <w:gridCol w:w="1421"/>
        <w:gridCol w:w="1421"/>
      </w:tblGrid>
      <w:tr w14:paraId="62B879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9" w:type="pct"/>
            <w:vAlign w:val="center"/>
          </w:tcPr>
          <w:p w14:paraId="5B4400B9">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污染物</w:t>
            </w:r>
          </w:p>
        </w:tc>
        <w:tc>
          <w:tcPr>
            <w:tcW w:w="1079" w:type="pct"/>
            <w:vAlign w:val="center"/>
          </w:tcPr>
          <w:p w14:paraId="0F529B4B">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年评价指标</w:t>
            </w:r>
          </w:p>
        </w:tc>
        <w:tc>
          <w:tcPr>
            <w:tcW w:w="833" w:type="pct"/>
            <w:vAlign w:val="center"/>
          </w:tcPr>
          <w:p w14:paraId="4961ADD9">
            <w:pPr>
              <w:widowControl/>
              <w:adjustRightInd w:val="0"/>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现状浓度（μg/m</w:t>
            </w:r>
            <w:r>
              <w:rPr>
                <w:rFonts w:hint="default" w:ascii="Times New Roman" w:hAnsi="Times New Roman" w:cs="Times New Roman"/>
                <w:b/>
                <w:bCs/>
                <w:color w:val="000000" w:themeColor="text1"/>
                <w:sz w:val="21"/>
                <w:szCs w:val="21"/>
                <w:vertAlign w:val="superscript"/>
                <w14:textFill>
                  <w14:solidFill>
                    <w14:schemeClr w14:val="tx1"/>
                  </w14:solidFill>
                </w14:textFill>
              </w:rPr>
              <w:t>3</w:t>
            </w:r>
            <w:r>
              <w:rPr>
                <w:rFonts w:hint="default" w:ascii="Times New Roman" w:hAnsi="Times New Roman" w:cs="Times New Roman"/>
                <w:b/>
                <w:bCs/>
                <w:color w:val="000000" w:themeColor="text1"/>
                <w:sz w:val="21"/>
                <w:szCs w:val="21"/>
                <w14:textFill>
                  <w14:solidFill>
                    <w14:schemeClr w14:val="tx1"/>
                  </w14:solidFill>
                </w14:textFill>
              </w:rPr>
              <w:t>）</w:t>
            </w:r>
          </w:p>
        </w:tc>
        <w:tc>
          <w:tcPr>
            <w:tcW w:w="833" w:type="pct"/>
            <w:vAlign w:val="center"/>
          </w:tcPr>
          <w:p w14:paraId="3F7A9617">
            <w:pPr>
              <w:widowControl/>
              <w:adjustRightInd w:val="0"/>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标准值（μg/m</w:t>
            </w:r>
            <w:r>
              <w:rPr>
                <w:rFonts w:hint="default" w:ascii="Times New Roman" w:hAnsi="Times New Roman" w:cs="Times New Roman"/>
                <w:b/>
                <w:bCs/>
                <w:color w:val="000000" w:themeColor="text1"/>
                <w:sz w:val="21"/>
                <w:szCs w:val="21"/>
                <w:vertAlign w:val="superscript"/>
                <w14:textFill>
                  <w14:solidFill>
                    <w14:schemeClr w14:val="tx1"/>
                  </w14:solidFill>
                </w14:textFill>
              </w:rPr>
              <w:t>3</w:t>
            </w:r>
            <w:r>
              <w:rPr>
                <w:rFonts w:hint="default" w:ascii="Times New Roman" w:hAnsi="Times New Roman" w:cs="Times New Roman"/>
                <w:b/>
                <w:bCs/>
                <w:color w:val="000000" w:themeColor="text1"/>
                <w:sz w:val="21"/>
                <w:szCs w:val="21"/>
                <w14:textFill>
                  <w14:solidFill>
                    <w14:schemeClr w14:val="tx1"/>
                  </w14:solidFill>
                </w14:textFill>
              </w:rPr>
              <w:t>）</w:t>
            </w:r>
          </w:p>
        </w:tc>
        <w:tc>
          <w:tcPr>
            <w:tcW w:w="833" w:type="pct"/>
            <w:vAlign w:val="center"/>
          </w:tcPr>
          <w:p w14:paraId="0DA221AE">
            <w:pPr>
              <w:widowControl/>
              <w:adjustRightInd w:val="0"/>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占标率（%）</w:t>
            </w:r>
          </w:p>
        </w:tc>
        <w:tc>
          <w:tcPr>
            <w:tcW w:w="833" w:type="pct"/>
            <w:vAlign w:val="center"/>
          </w:tcPr>
          <w:p w14:paraId="2E1A8FC0">
            <w:pPr>
              <w:widowControl/>
              <w:adjustRightInd w:val="0"/>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达标情况</w:t>
            </w:r>
          </w:p>
        </w:tc>
      </w:tr>
      <w:tr w14:paraId="1EE24B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9" w:type="pct"/>
            <w:vAlign w:val="center"/>
          </w:tcPr>
          <w:p w14:paraId="3A18C22F">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SO</w:t>
            </w:r>
            <w:r>
              <w:rPr>
                <w:rFonts w:hint="default" w:ascii="Times New Roman" w:hAnsi="Times New Roman" w:cs="Times New Roman"/>
                <w:bCs/>
                <w:color w:val="000000" w:themeColor="text1"/>
                <w:sz w:val="21"/>
                <w:szCs w:val="21"/>
                <w:vertAlign w:val="subscript"/>
                <w14:textFill>
                  <w14:solidFill>
                    <w14:schemeClr w14:val="tx1"/>
                  </w14:solidFill>
                </w14:textFill>
              </w:rPr>
              <w:t>2</w:t>
            </w:r>
          </w:p>
        </w:tc>
        <w:tc>
          <w:tcPr>
            <w:tcW w:w="1079" w:type="pct"/>
            <w:vAlign w:val="center"/>
          </w:tcPr>
          <w:p w14:paraId="3996A59E">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年平均质量浓度</w:t>
            </w:r>
          </w:p>
        </w:tc>
        <w:tc>
          <w:tcPr>
            <w:tcW w:w="833" w:type="pct"/>
            <w:vAlign w:val="center"/>
          </w:tcPr>
          <w:p w14:paraId="5D4D6667">
            <w:pPr>
              <w:widowControl/>
              <w:adjustRightInd w:val="0"/>
              <w:spacing w:line="276"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7</w:t>
            </w:r>
          </w:p>
        </w:tc>
        <w:tc>
          <w:tcPr>
            <w:tcW w:w="833" w:type="pct"/>
            <w:vAlign w:val="center"/>
          </w:tcPr>
          <w:p w14:paraId="50368C6C">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60</w:t>
            </w:r>
          </w:p>
        </w:tc>
        <w:tc>
          <w:tcPr>
            <w:tcW w:w="833" w:type="pct"/>
            <w:vAlign w:val="center"/>
          </w:tcPr>
          <w:p w14:paraId="2BB05DBC">
            <w:pPr>
              <w:widowControl/>
              <w:adjustRightInd w:val="0"/>
              <w:spacing w:line="276"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11.7</w:t>
            </w:r>
          </w:p>
        </w:tc>
        <w:tc>
          <w:tcPr>
            <w:tcW w:w="833" w:type="pct"/>
            <w:vAlign w:val="center"/>
          </w:tcPr>
          <w:p w14:paraId="0A074DC8">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达标</w:t>
            </w:r>
          </w:p>
        </w:tc>
      </w:tr>
      <w:tr w14:paraId="534D2B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9" w:type="pct"/>
            <w:vAlign w:val="center"/>
          </w:tcPr>
          <w:p w14:paraId="51C8E210">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NO</w:t>
            </w:r>
            <w:r>
              <w:rPr>
                <w:rFonts w:hint="default" w:ascii="Times New Roman" w:hAnsi="Times New Roman" w:cs="Times New Roman"/>
                <w:bCs/>
                <w:color w:val="000000" w:themeColor="text1"/>
                <w:sz w:val="21"/>
                <w:szCs w:val="21"/>
                <w:vertAlign w:val="subscript"/>
                <w14:textFill>
                  <w14:solidFill>
                    <w14:schemeClr w14:val="tx1"/>
                  </w14:solidFill>
                </w14:textFill>
              </w:rPr>
              <w:t>2</w:t>
            </w:r>
          </w:p>
        </w:tc>
        <w:tc>
          <w:tcPr>
            <w:tcW w:w="1079" w:type="pct"/>
            <w:vAlign w:val="center"/>
          </w:tcPr>
          <w:p w14:paraId="7F6D6B85">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年平均质量浓度</w:t>
            </w:r>
          </w:p>
        </w:tc>
        <w:tc>
          <w:tcPr>
            <w:tcW w:w="833" w:type="pct"/>
            <w:vAlign w:val="center"/>
          </w:tcPr>
          <w:p w14:paraId="6C6622D1">
            <w:pPr>
              <w:widowControl/>
              <w:adjustRightInd w:val="0"/>
              <w:spacing w:line="276"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19</w:t>
            </w:r>
          </w:p>
        </w:tc>
        <w:tc>
          <w:tcPr>
            <w:tcW w:w="833" w:type="pct"/>
            <w:vAlign w:val="center"/>
          </w:tcPr>
          <w:p w14:paraId="00732E4F">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40</w:t>
            </w:r>
          </w:p>
        </w:tc>
        <w:tc>
          <w:tcPr>
            <w:tcW w:w="833" w:type="pct"/>
            <w:vAlign w:val="center"/>
          </w:tcPr>
          <w:p w14:paraId="017A59A6">
            <w:pPr>
              <w:widowControl/>
              <w:adjustRightInd w:val="0"/>
              <w:spacing w:line="276"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47.5</w:t>
            </w:r>
          </w:p>
        </w:tc>
        <w:tc>
          <w:tcPr>
            <w:tcW w:w="833" w:type="pct"/>
            <w:vAlign w:val="center"/>
          </w:tcPr>
          <w:p w14:paraId="112CA36D">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达标</w:t>
            </w:r>
          </w:p>
        </w:tc>
      </w:tr>
      <w:tr w14:paraId="2E71E8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9" w:type="pct"/>
            <w:vAlign w:val="center"/>
          </w:tcPr>
          <w:p w14:paraId="40C4482E">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PM</w:t>
            </w:r>
            <w:r>
              <w:rPr>
                <w:rFonts w:hint="default" w:ascii="Times New Roman" w:hAnsi="Times New Roman" w:cs="Times New Roman"/>
                <w:bCs/>
                <w:color w:val="000000" w:themeColor="text1"/>
                <w:sz w:val="21"/>
                <w:szCs w:val="21"/>
                <w:vertAlign w:val="subscript"/>
                <w14:textFill>
                  <w14:solidFill>
                    <w14:schemeClr w14:val="tx1"/>
                  </w14:solidFill>
                </w14:textFill>
              </w:rPr>
              <w:t>10</w:t>
            </w:r>
          </w:p>
        </w:tc>
        <w:tc>
          <w:tcPr>
            <w:tcW w:w="1079" w:type="pct"/>
            <w:vAlign w:val="center"/>
          </w:tcPr>
          <w:p w14:paraId="37845731">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年平均质量浓度</w:t>
            </w:r>
          </w:p>
        </w:tc>
        <w:tc>
          <w:tcPr>
            <w:tcW w:w="833" w:type="pct"/>
            <w:vAlign w:val="center"/>
          </w:tcPr>
          <w:p w14:paraId="76AF7935">
            <w:pPr>
              <w:widowControl/>
              <w:adjustRightInd w:val="0"/>
              <w:spacing w:line="276"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65</w:t>
            </w:r>
          </w:p>
        </w:tc>
        <w:tc>
          <w:tcPr>
            <w:tcW w:w="833" w:type="pct"/>
            <w:vAlign w:val="center"/>
          </w:tcPr>
          <w:p w14:paraId="67313FB6">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70</w:t>
            </w:r>
          </w:p>
        </w:tc>
        <w:tc>
          <w:tcPr>
            <w:tcW w:w="833" w:type="pct"/>
            <w:vAlign w:val="center"/>
          </w:tcPr>
          <w:p w14:paraId="67655F25">
            <w:pPr>
              <w:widowControl/>
              <w:adjustRightInd w:val="0"/>
              <w:spacing w:line="276"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92.9</w:t>
            </w:r>
          </w:p>
        </w:tc>
        <w:tc>
          <w:tcPr>
            <w:tcW w:w="833" w:type="pct"/>
            <w:vAlign w:val="center"/>
          </w:tcPr>
          <w:p w14:paraId="4F4FB5B0">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达标</w:t>
            </w:r>
          </w:p>
        </w:tc>
      </w:tr>
      <w:tr w14:paraId="1E94F8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9" w:type="pct"/>
            <w:vAlign w:val="center"/>
          </w:tcPr>
          <w:p w14:paraId="16911FB2">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highlight w:val="yellow"/>
                <w14:textFill>
                  <w14:solidFill>
                    <w14:schemeClr w14:val="tx1"/>
                  </w14:solidFill>
                </w14:textFill>
              </w:rPr>
              <w:t>PM</w:t>
            </w:r>
            <w:r>
              <w:rPr>
                <w:rFonts w:hint="default" w:ascii="Times New Roman" w:hAnsi="Times New Roman" w:cs="Times New Roman"/>
                <w:bCs/>
                <w:color w:val="000000" w:themeColor="text1"/>
                <w:sz w:val="21"/>
                <w:szCs w:val="21"/>
                <w:highlight w:val="yellow"/>
                <w:vertAlign w:val="subscript"/>
                <w14:textFill>
                  <w14:solidFill>
                    <w14:schemeClr w14:val="tx1"/>
                  </w14:solidFill>
                </w14:textFill>
              </w:rPr>
              <w:t>2.5</w:t>
            </w:r>
          </w:p>
        </w:tc>
        <w:tc>
          <w:tcPr>
            <w:tcW w:w="1079" w:type="pct"/>
            <w:vAlign w:val="center"/>
          </w:tcPr>
          <w:p w14:paraId="49B83CE1">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年平均质量浓度</w:t>
            </w:r>
          </w:p>
        </w:tc>
        <w:tc>
          <w:tcPr>
            <w:tcW w:w="833" w:type="pct"/>
            <w:vAlign w:val="center"/>
          </w:tcPr>
          <w:p w14:paraId="7B18C8D5">
            <w:pPr>
              <w:widowControl/>
              <w:adjustRightInd w:val="0"/>
              <w:spacing w:line="276"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40</w:t>
            </w:r>
          </w:p>
        </w:tc>
        <w:tc>
          <w:tcPr>
            <w:tcW w:w="833" w:type="pct"/>
            <w:vAlign w:val="center"/>
          </w:tcPr>
          <w:p w14:paraId="788975A1">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35</w:t>
            </w:r>
          </w:p>
        </w:tc>
        <w:tc>
          <w:tcPr>
            <w:tcW w:w="833" w:type="pct"/>
            <w:vAlign w:val="center"/>
          </w:tcPr>
          <w:p w14:paraId="1ED9EDA0">
            <w:pPr>
              <w:widowControl/>
              <w:adjustRightInd w:val="0"/>
              <w:spacing w:line="276"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11</w:t>
            </w:r>
            <w:r>
              <w:rPr>
                <w:rFonts w:hint="default" w:ascii="Times New Roman" w:hAnsi="Times New Roman" w:cs="Times New Roman"/>
                <w:bCs/>
                <w:color w:val="000000" w:themeColor="text1"/>
                <w:sz w:val="21"/>
                <w:szCs w:val="21"/>
                <w:lang w:val="en-US" w:eastAsia="zh-CN"/>
                <w14:textFill>
                  <w14:solidFill>
                    <w14:schemeClr w14:val="tx1"/>
                  </w14:solidFill>
                </w14:textFill>
              </w:rPr>
              <w:t>4</w:t>
            </w:r>
          </w:p>
        </w:tc>
        <w:tc>
          <w:tcPr>
            <w:tcW w:w="833" w:type="pct"/>
            <w:vAlign w:val="center"/>
          </w:tcPr>
          <w:p w14:paraId="3BD2F348">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超标</w:t>
            </w:r>
          </w:p>
        </w:tc>
      </w:tr>
      <w:tr w14:paraId="40352B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9" w:type="pct"/>
            <w:vAlign w:val="center"/>
          </w:tcPr>
          <w:p w14:paraId="15581FB1">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CO</w:t>
            </w:r>
          </w:p>
        </w:tc>
        <w:tc>
          <w:tcPr>
            <w:tcW w:w="1079" w:type="pct"/>
            <w:vAlign w:val="center"/>
          </w:tcPr>
          <w:p w14:paraId="371608C7">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第95百分位数日平均质量浓度</w:t>
            </w:r>
          </w:p>
        </w:tc>
        <w:tc>
          <w:tcPr>
            <w:tcW w:w="833" w:type="pct"/>
            <w:vAlign w:val="center"/>
          </w:tcPr>
          <w:p w14:paraId="0E57FC71">
            <w:pPr>
              <w:widowControl/>
              <w:adjustRightInd w:val="0"/>
              <w:spacing w:line="276"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800</w:t>
            </w:r>
          </w:p>
        </w:tc>
        <w:tc>
          <w:tcPr>
            <w:tcW w:w="833" w:type="pct"/>
            <w:vAlign w:val="center"/>
          </w:tcPr>
          <w:p w14:paraId="255451E6">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10000</w:t>
            </w:r>
          </w:p>
        </w:tc>
        <w:tc>
          <w:tcPr>
            <w:tcW w:w="833" w:type="pct"/>
            <w:vAlign w:val="center"/>
          </w:tcPr>
          <w:p w14:paraId="64673C8B">
            <w:pPr>
              <w:widowControl/>
              <w:adjustRightInd w:val="0"/>
              <w:spacing w:line="276"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8</w:t>
            </w:r>
          </w:p>
        </w:tc>
        <w:tc>
          <w:tcPr>
            <w:tcW w:w="833" w:type="pct"/>
            <w:vAlign w:val="center"/>
          </w:tcPr>
          <w:p w14:paraId="0865ADC7">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达标</w:t>
            </w:r>
          </w:p>
        </w:tc>
      </w:tr>
      <w:tr w14:paraId="6EB2EB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589" w:type="pct"/>
            <w:vAlign w:val="center"/>
          </w:tcPr>
          <w:p w14:paraId="1E1899CE">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O</w:t>
            </w:r>
            <w:r>
              <w:rPr>
                <w:rFonts w:hint="default" w:ascii="Times New Roman" w:hAnsi="Times New Roman" w:cs="Times New Roman"/>
                <w:bCs/>
                <w:color w:val="000000" w:themeColor="text1"/>
                <w:sz w:val="21"/>
                <w:szCs w:val="21"/>
                <w:vertAlign w:val="subscript"/>
                <w14:textFill>
                  <w14:solidFill>
                    <w14:schemeClr w14:val="tx1"/>
                  </w14:solidFill>
                </w14:textFill>
              </w:rPr>
              <w:t>3</w:t>
            </w:r>
          </w:p>
        </w:tc>
        <w:tc>
          <w:tcPr>
            <w:tcW w:w="1079" w:type="pct"/>
            <w:vAlign w:val="center"/>
          </w:tcPr>
          <w:p w14:paraId="0EE10FED">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第90百分位数日平均质量浓度</w:t>
            </w:r>
          </w:p>
        </w:tc>
        <w:tc>
          <w:tcPr>
            <w:tcW w:w="833" w:type="pct"/>
            <w:vAlign w:val="center"/>
          </w:tcPr>
          <w:p w14:paraId="3C2914DC">
            <w:pPr>
              <w:widowControl/>
              <w:adjustRightInd w:val="0"/>
              <w:spacing w:line="276"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w:t>
            </w:r>
            <w:r>
              <w:rPr>
                <w:rFonts w:hint="default" w:ascii="Times New Roman" w:hAnsi="Times New Roman" w:cs="Times New Roman"/>
                <w:bCs/>
                <w:color w:val="000000" w:themeColor="text1"/>
                <w:sz w:val="21"/>
                <w:szCs w:val="21"/>
                <w:lang w:val="en-US" w:eastAsia="zh-CN"/>
                <w14:textFill>
                  <w14:solidFill>
                    <w14:schemeClr w14:val="tx1"/>
                  </w14:solidFill>
                </w14:textFill>
              </w:rPr>
              <w:t>60</w:t>
            </w:r>
          </w:p>
        </w:tc>
        <w:tc>
          <w:tcPr>
            <w:tcW w:w="833" w:type="pct"/>
            <w:vAlign w:val="center"/>
          </w:tcPr>
          <w:p w14:paraId="4E7D626A">
            <w:pPr>
              <w:widowControl/>
              <w:adjustRightInd w:val="0"/>
              <w:spacing w:line="276"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160</w:t>
            </w:r>
          </w:p>
        </w:tc>
        <w:tc>
          <w:tcPr>
            <w:tcW w:w="833" w:type="pct"/>
            <w:vAlign w:val="center"/>
          </w:tcPr>
          <w:p w14:paraId="293D3F13">
            <w:pPr>
              <w:widowControl/>
              <w:adjustRightInd w:val="0"/>
              <w:spacing w:line="276"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100</w:t>
            </w:r>
          </w:p>
        </w:tc>
        <w:tc>
          <w:tcPr>
            <w:tcW w:w="833" w:type="pct"/>
            <w:vAlign w:val="center"/>
          </w:tcPr>
          <w:p w14:paraId="05BCCB7D">
            <w:pPr>
              <w:widowControl/>
              <w:adjustRightInd w:val="0"/>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达标</w:t>
            </w:r>
          </w:p>
        </w:tc>
      </w:tr>
    </w:tbl>
    <w:p w14:paraId="591918E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根据质量公报监测结果统计，并结合《环境空气质量标准》（GB3095-2012）及2018年修改单中二级标准可知，项目所在区</w:t>
      </w:r>
      <w:r>
        <w:rPr>
          <w:rFonts w:hint="default" w:ascii="Times New Roman" w:hAnsi="Times New Roman" w:cs="Times New Roman"/>
          <w:bCs/>
          <w:color w:val="000000" w:themeColor="text1"/>
          <w14:textFill>
            <w14:solidFill>
              <w14:schemeClr w14:val="tx1"/>
            </w14:solidFill>
          </w14:textFill>
        </w:rPr>
        <w:t>PM</w:t>
      </w:r>
      <w:r>
        <w:rPr>
          <w:rFonts w:hint="default" w:ascii="Times New Roman" w:hAnsi="Times New Roman" w:cs="Times New Roman"/>
          <w:bCs/>
          <w:color w:val="000000" w:themeColor="text1"/>
          <w:vertAlign w:val="subscript"/>
          <w14:textFill>
            <w14:solidFill>
              <w14:schemeClr w14:val="tx1"/>
            </w14:solidFill>
          </w14:textFill>
        </w:rPr>
        <w:t>2.5</w:t>
      </w:r>
      <w:r>
        <w:rPr>
          <w:rFonts w:hint="default" w:ascii="Times New Roman" w:hAnsi="Times New Roman" w:cs="Times New Roman"/>
          <w:color w:val="000000" w:themeColor="text1"/>
          <w14:textFill>
            <w14:solidFill>
              <w14:schemeClr w14:val="tx1"/>
            </w14:solidFill>
          </w14:textFill>
        </w:rPr>
        <w:t>平均质量浓度超标倍数为0.1</w:t>
      </w:r>
      <w:r>
        <w:rPr>
          <w:rFonts w:hint="default"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，其他基本污染物均达标。因此，项目所在区域判定为不达标区。</w:t>
      </w:r>
    </w:p>
    <w:p w14:paraId="46290DFD">
      <w:pPr>
        <w:pStyle w:val="3159"/>
        <w:rPr>
          <w:rFonts w:hint="default" w:ascii="Times New Roman" w:hAnsi="Times New Roman" w:eastAsia="黑体" w:cs="Times New Roman"/>
          <w:b w:val="0"/>
          <w:color w:val="000000" w:themeColor="text1"/>
          <w14:textFill>
            <w14:solidFill>
              <w14:schemeClr w14:val="tx1"/>
            </w14:solidFill>
          </w14:textFill>
        </w:rPr>
      </w:pPr>
      <w:bookmarkStart w:id="78" w:name="_Toc173837679"/>
      <w:r>
        <w:rPr>
          <w:rFonts w:hint="default" w:ascii="Times New Roman" w:hAnsi="Times New Roman" w:eastAsia="黑体" w:cs="Times New Roman"/>
          <w:b w:val="0"/>
          <w:color w:val="000000" w:themeColor="text1"/>
          <w14:textFill>
            <w14:solidFill>
              <w14:schemeClr w14:val="tx1"/>
            </w14:solidFill>
          </w14:textFill>
        </w:rPr>
        <w:t>4.2.2其他污染物环境质量现状</w:t>
      </w:r>
      <w:bookmarkEnd w:id="78"/>
    </w:p>
    <w:p w14:paraId="2F3E71A2">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为说明项目所在区域的环境质量状况</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本环评委托</w:t>
      </w:r>
      <w:r>
        <w:rPr>
          <w:rFonts w:hint="default" w:ascii="Times New Roman" w:hAnsi="Times New Roman" w:cs="Times New Roman"/>
          <w:color w:val="000000" w:themeColor="text1"/>
          <w:lang w:eastAsia="zh-CN"/>
          <w14:textFill>
            <w14:solidFill>
              <w14:schemeClr w14:val="tx1"/>
            </w14:solidFill>
          </w14:textFill>
        </w:rPr>
        <w:t>安徽鑫程检测科技有限公司</w:t>
      </w:r>
      <w:r>
        <w:rPr>
          <w:rFonts w:hint="default" w:ascii="Times New Roman" w:hAnsi="Times New Roman" w:cs="Times New Roman"/>
          <w:color w:val="000000" w:themeColor="text1"/>
          <w14:textFill>
            <w14:solidFill>
              <w14:schemeClr w14:val="tx1"/>
            </w14:solidFill>
          </w14:textFill>
        </w:rPr>
        <w:t>对项目所在地</w:t>
      </w:r>
      <w:r>
        <w:rPr>
          <w:rFonts w:hint="default" w:ascii="Times New Roman" w:hAnsi="Times New Roman" w:cs="Times New Roman"/>
          <w:color w:val="000000" w:themeColor="text1"/>
          <w:lang w:eastAsia="zh-CN"/>
          <w14:textFill>
            <w14:solidFill>
              <w14:schemeClr w14:val="tx1"/>
            </w14:solidFill>
          </w14:textFill>
        </w:rPr>
        <w:t>及敏感点</w:t>
      </w:r>
      <w:r>
        <w:rPr>
          <w:rFonts w:hint="default" w:ascii="Times New Roman" w:hAnsi="Times New Roman" w:cs="Times New Roman"/>
          <w:color w:val="000000" w:themeColor="text1"/>
          <w14:textFill>
            <w14:solidFill>
              <w14:schemeClr w14:val="tx1"/>
            </w14:solidFill>
          </w14:textFill>
        </w:rPr>
        <w:t>刘团郢环境空气</w:t>
      </w:r>
      <w:r>
        <w:rPr>
          <w:rFonts w:hint="default" w:ascii="Times New Roman" w:hAnsi="Times New Roman" w:cs="Times New Roman"/>
          <w:color w:val="000000" w:themeColor="text1"/>
          <w:lang w:val="en-US" w:eastAsia="zh-CN"/>
          <w14:textFill>
            <w14:solidFill>
              <w14:schemeClr w14:val="tx1"/>
            </w14:solidFill>
          </w14:textFill>
        </w:rPr>
        <w:t>H</w:t>
      </w:r>
      <w:r>
        <w:rPr>
          <w:rFonts w:hint="default" w:ascii="Times New Roman" w:hAnsi="Times New Roman" w:cs="Times New Roman"/>
          <w:color w:val="000000" w:themeColor="text1"/>
          <w:vertAlign w:val="subscript"/>
          <w:lang w:val="en-US" w:eastAsia="zh-CN"/>
          <w14:textFill>
            <w14:solidFill>
              <w14:schemeClr w14:val="tx1"/>
            </w14:solidFill>
          </w14:textFill>
        </w:rPr>
        <w:t>2</w:t>
      </w:r>
      <w:r>
        <w:rPr>
          <w:rFonts w:hint="default" w:ascii="Times New Roman" w:hAnsi="Times New Roman" w:cs="Times New Roman"/>
          <w:color w:val="000000" w:themeColor="text1"/>
          <w:lang w:val="en-US" w:eastAsia="zh-CN"/>
          <w14:textFill>
            <w14:solidFill>
              <w14:schemeClr w14:val="tx1"/>
            </w14:solidFill>
          </w14:textFill>
        </w:rPr>
        <w:t>S</w:t>
      </w:r>
      <w:r>
        <w:rPr>
          <w:rFonts w:hint="default" w:ascii="Times New Roman" w:hAnsi="Times New Roman" w:cs="Times New Roman"/>
          <w:color w:val="000000" w:themeColor="text1"/>
          <w14:textFill>
            <w14:solidFill>
              <w14:schemeClr w14:val="tx1"/>
            </w14:solidFill>
          </w14:textFill>
        </w:rPr>
        <w:t>进行了现状监测，报告编号</w:t>
      </w:r>
      <w:r>
        <w:rPr>
          <w:rFonts w:hint="default" w:ascii="Times New Roman" w:hAnsi="Times New Roman" w:cs="Times New Roman"/>
          <w:color w:val="000000" w:themeColor="text1"/>
          <w:lang w:val="en-US" w:eastAsia="zh-CN"/>
          <w14:textFill>
            <w14:solidFill>
              <w14:schemeClr w14:val="tx1"/>
            </w14:solidFill>
          </w14:textFill>
        </w:rPr>
        <w:t>2025112400901H</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本项目</w:t>
      </w:r>
      <w:r>
        <w:rPr>
          <w:rFonts w:hint="default" w:ascii="Times New Roman" w:hAnsi="Times New Roman" w:cs="Times New Roman"/>
          <w:color w:val="000000" w:themeColor="text1"/>
          <w14:textFill>
            <w14:solidFill>
              <w14:schemeClr w14:val="tx1"/>
            </w14:solidFill>
          </w14:textFill>
        </w:rPr>
        <w:t>环境空气</w:t>
      </w:r>
      <w:r>
        <w:rPr>
          <w:rFonts w:hint="default" w:ascii="Times New Roman" w:hAnsi="Times New Roman" w:cs="Times New Roman"/>
          <w:color w:val="000000" w:themeColor="text1"/>
          <w:lang w:val="en-US" w:eastAsia="zh-CN"/>
          <w14:textFill>
            <w14:solidFill>
              <w14:schemeClr w14:val="tx1"/>
            </w14:solidFill>
          </w14:textFill>
        </w:rPr>
        <w:t>NH</w:t>
      </w:r>
      <w:r>
        <w:rPr>
          <w:rFonts w:hint="default" w:ascii="Times New Roman" w:hAnsi="Times New Roman" w:cs="Times New Roman"/>
          <w:color w:val="000000" w:themeColor="text1"/>
          <w:vertAlign w:val="subscript"/>
          <w:lang w:val="en-US" w:eastAsia="zh-CN"/>
          <w14:textFill>
            <w14:solidFill>
              <w14:schemeClr w14:val="tx1"/>
            </w14:solidFill>
          </w14:textFill>
        </w:rPr>
        <w:t>3</w:t>
      </w:r>
      <w:r>
        <w:rPr>
          <w:rFonts w:hint="default"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TSP、非甲烷总烃质量现状引用《安徽金荣铜业有限公司废旧电容、线路板再生资源综合利用项目环境影响报告书》报告中环境质量现状监测数据，监测时间为2024年5月8日～2024年5月14日</w:t>
      </w:r>
      <w:r>
        <w:rPr>
          <w:rFonts w:hint="default" w:ascii="Times New Roman" w:hAnsi="Times New Roman" w:cs="Times New Roman"/>
          <w:color w:val="000000" w:themeColor="text1"/>
          <w:lang w:eastAsia="zh-CN"/>
          <w14:textFill>
            <w14:solidFill>
              <w14:schemeClr w14:val="tx1"/>
            </w14:solidFill>
          </w14:textFill>
        </w:rPr>
        <w:t>，该项目位于本项目</w:t>
      </w:r>
      <w:r>
        <w:rPr>
          <w:rFonts w:hint="default" w:ascii="Times New Roman" w:hAnsi="Times New Roman" w:cs="Times New Roman"/>
          <w:color w:val="000000" w:themeColor="text1"/>
          <w:highlight w:val="yellow"/>
          <w:lang w:eastAsia="zh-CN"/>
          <w14:textFill>
            <w14:solidFill>
              <w14:schemeClr w14:val="tx1"/>
            </w14:solidFill>
          </w14:textFill>
        </w:rPr>
        <w:t>南侧</w:t>
      </w:r>
      <w:r>
        <w:rPr>
          <w:rFonts w:hint="default" w:ascii="Times New Roman" w:hAnsi="Times New Roman" w:cs="Times New Roman"/>
          <w:color w:val="000000" w:themeColor="text1"/>
          <w:highlight w:val="yellow"/>
          <w:lang w:val="en-US" w:eastAsia="zh-CN"/>
          <w14:textFill>
            <w14:solidFill>
              <w14:schemeClr w14:val="tx1"/>
            </w14:solidFill>
          </w14:textFill>
        </w:rPr>
        <w:t>50</w:t>
      </w:r>
      <w:r>
        <w:rPr>
          <w:rFonts w:hint="default" w:ascii="Times New Roman" w:hAnsi="Times New Roman" w:cs="Times New Roman"/>
          <w:color w:val="000000" w:themeColor="text1"/>
          <w:lang w:val="en-US" w:eastAsia="zh-CN"/>
          <w14:textFill>
            <w14:solidFill>
              <w14:schemeClr w14:val="tx1"/>
            </w14:solidFill>
          </w14:textFill>
        </w:rPr>
        <w:t>m，</w:t>
      </w:r>
      <w:r>
        <w:rPr>
          <w:rFonts w:hint="default" w:ascii="Times New Roman" w:hAnsi="Times New Roman" w:cs="Times New Roman"/>
          <w:color w:val="000000" w:themeColor="text1"/>
          <w14:textFill>
            <w14:solidFill>
              <w14:schemeClr w14:val="tx1"/>
            </w14:solidFill>
          </w14:textFill>
        </w:rPr>
        <w:t>监测至今区域内未发生较大变化，因此环境空气质量监测数据有效</w:t>
      </w:r>
      <w:r>
        <w:rPr>
          <w:rFonts w:hint="default" w:ascii="Times New Roman" w:hAnsi="Times New Roman" w:cs="Times New Roman"/>
          <w:color w:val="000000" w:themeColor="text1"/>
          <w:lang w:eastAsia="zh-CN"/>
          <w14:textFill>
            <w14:solidFill>
              <w14:schemeClr w14:val="tx1"/>
            </w14:solidFill>
          </w14:textFill>
        </w:rPr>
        <w:t>。</w:t>
      </w:r>
    </w:p>
    <w:p w14:paraId="7903BB4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1、监测布点</w:t>
      </w:r>
    </w:p>
    <w:p w14:paraId="1C6F0D4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按照《环境影响评价技术导则大气环境》（HJ2.2-2018）要求，本项目在厂址及主导风向下风向5km范围内布设了2个监测点位（厂区内、主导风向下风向）。</w:t>
      </w:r>
    </w:p>
    <w:p w14:paraId="768AAB4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2、监测项目</w:t>
      </w:r>
    </w:p>
    <w:p w14:paraId="2170FE37">
      <w:pPr>
        <w:pStyle w:val="251"/>
        <w:ind w:firstLine="480"/>
        <w:rPr>
          <w:rFonts w:hint="eastAsia"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本次评价对项目所在地及项目主导风向下风向的</w:t>
      </w:r>
      <w:r>
        <w:rPr>
          <w:rFonts w:hint="default" w:ascii="Times New Roman" w:hAnsi="Times New Roman" w:cs="Times New Roman"/>
          <w:color w:val="000000" w:themeColor="text1"/>
          <w:lang w:val="en-US" w:eastAsia="zh-CN"/>
          <w14:textFill>
            <w14:solidFill>
              <w14:schemeClr w14:val="tx1"/>
            </w14:solidFill>
          </w14:textFill>
        </w:rPr>
        <w:t>H</w:t>
      </w:r>
      <w:r>
        <w:rPr>
          <w:rFonts w:hint="default" w:ascii="Times New Roman" w:hAnsi="Times New Roman" w:cs="Times New Roman"/>
          <w:color w:val="000000" w:themeColor="text1"/>
          <w:vertAlign w:val="subscript"/>
          <w:lang w:val="en-US" w:eastAsia="zh-CN"/>
          <w14:textFill>
            <w14:solidFill>
              <w14:schemeClr w14:val="tx1"/>
            </w14:solidFill>
          </w14:textFill>
        </w:rPr>
        <w:t>2</w:t>
      </w:r>
      <w:r>
        <w:rPr>
          <w:rFonts w:hint="default" w:ascii="Times New Roman" w:hAnsi="Times New Roman" w:cs="Times New Roman"/>
          <w:color w:val="000000" w:themeColor="text1"/>
          <w:lang w:val="en-US" w:eastAsia="zh-CN"/>
          <w14:textFill>
            <w14:solidFill>
              <w14:schemeClr w14:val="tx1"/>
            </w14:solidFill>
          </w14:textFill>
        </w:rPr>
        <w:t>S</w:t>
      </w:r>
      <w:r>
        <w:rPr>
          <w:rFonts w:hint="default" w:ascii="Times New Roman" w:hAnsi="Times New Roman" w:cs="Times New Roman"/>
          <w:color w:val="000000" w:themeColor="text1"/>
          <w14:textFill>
            <w14:solidFill>
              <w14:schemeClr w14:val="tx1"/>
            </w14:solidFill>
          </w14:textFill>
        </w:rPr>
        <w:t>进行现状监测</w:t>
      </w:r>
      <w:r>
        <w:rPr>
          <w:rFonts w:hint="eastAsia" w:ascii="Times New Roman" w:hAnsi="Times New Roman" w:cs="Times New Roman"/>
          <w:color w:val="000000" w:themeColor="text1"/>
          <w:lang w:eastAsia="zh-CN"/>
          <w14:textFill>
            <w14:solidFill>
              <w14:schemeClr w14:val="tx1"/>
            </w14:solidFill>
          </w14:textFill>
        </w:rPr>
        <w:t>。</w:t>
      </w:r>
    </w:p>
    <w:p w14:paraId="7541500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3、监测时间和频次</w:t>
      </w:r>
    </w:p>
    <w:p w14:paraId="17069E0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监测7天，监测因子采样根据相应规范进行。同时记录风速、风向、气温、气压和天气状况。</w:t>
      </w:r>
    </w:p>
    <w:p w14:paraId="1B3FF1C2">
      <w:pPr>
        <w:pStyle w:val="40"/>
        <w:spacing w:after="0" w:line="360" w:lineRule="auto"/>
        <w:ind w:left="0" w:leftChars="0"/>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表4.2-</w:t>
      </w:r>
      <w:r>
        <w:rPr>
          <w:rFonts w:hint="eastAsia" w:eastAsia="黑体" w:cs="Times New Roman"/>
          <w:bCs/>
          <w:color w:val="000000" w:themeColor="text1"/>
          <w:sz w:val="24"/>
          <w:lang w:val="en-US" w:eastAsia="zh-CN"/>
          <w14:textFill>
            <w14:solidFill>
              <w14:schemeClr w14:val="tx1"/>
            </w14:solidFill>
          </w14:textFill>
        </w:rPr>
        <w:t>3</w:t>
      </w:r>
      <w:r>
        <w:rPr>
          <w:rFonts w:hint="default" w:ascii="Times New Roman" w:hAnsi="Times New Roman" w:eastAsia="黑体" w:cs="Times New Roman"/>
          <w:bCs/>
          <w:color w:val="000000" w:themeColor="text1"/>
          <w:sz w:val="24"/>
          <w14:textFill>
            <w14:solidFill>
              <w14:schemeClr w14:val="tx1"/>
            </w14:solidFill>
          </w14:textFill>
        </w:rPr>
        <w:t>其他污染物补充监测点位基本信息表</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90"/>
        <w:gridCol w:w="1870"/>
        <w:gridCol w:w="2266"/>
        <w:gridCol w:w="3603"/>
      </w:tblGrid>
      <w:tr w14:paraId="714ED8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63" w:type="pct"/>
            <w:tcBorders>
              <w:top w:val="single" w:color="auto" w:sz="12" w:space="0"/>
              <w:left w:val="nil"/>
              <w:bottom w:val="single" w:color="auto" w:sz="6" w:space="0"/>
              <w:right w:val="single" w:color="auto" w:sz="6" w:space="0"/>
            </w:tcBorders>
            <w:vAlign w:val="center"/>
          </w:tcPr>
          <w:p w14:paraId="70FA9371">
            <w:pPr>
              <w:autoSpaceDN w:val="0"/>
              <w:spacing w:line="276" w:lineRule="auto"/>
              <w:jc w:val="center"/>
              <w:rPr>
                <w:rFonts w:hint="default" w:ascii="Times New Roman" w:hAnsi="Times New Roman" w:cs="Times New Roman"/>
                <w:b/>
                <w:caps/>
                <w:color w:val="000000" w:themeColor="text1"/>
                <w:sz w:val="21"/>
                <w:szCs w:val="21"/>
                <w14:textFill>
                  <w14:solidFill>
                    <w14:schemeClr w14:val="tx1"/>
                  </w14:solidFill>
                </w14:textFill>
              </w:rPr>
            </w:pPr>
            <w:r>
              <w:rPr>
                <w:rFonts w:hint="default" w:ascii="Times New Roman" w:hAnsi="Times New Roman" w:cs="Times New Roman"/>
                <w:b/>
                <w:caps/>
                <w:color w:val="000000" w:themeColor="text1"/>
                <w:sz w:val="21"/>
                <w:szCs w:val="21"/>
                <w14:textFill>
                  <w14:solidFill>
                    <w14:schemeClr w14:val="tx1"/>
                  </w14:solidFill>
                </w14:textFill>
              </w:rPr>
              <w:t>序号</w:t>
            </w:r>
          </w:p>
        </w:tc>
        <w:tc>
          <w:tcPr>
            <w:tcW w:w="1096" w:type="pct"/>
            <w:tcBorders>
              <w:top w:val="single" w:color="auto" w:sz="12" w:space="0"/>
              <w:left w:val="single" w:color="auto" w:sz="6" w:space="0"/>
              <w:bottom w:val="single" w:color="auto" w:sz="6" w:space="0"/>
              <w:right w:val="single" w:color="auto" w:sz="6" w:space="0"/>
            </w:tcBorders>
            <w:vAlign w:val="center"/>
          </w:tcPr>
          <w:p w14:paraId="08C408DB">
            <w:pPr>
              <w:autoSpaceDN w:val="0"/>
              <w:spacing w:line="276" w:lineRule="auto"/>
              <w:jc w:val="center"/>
              <w:rPr>
                <w:rFonts w:hint="default" w:ascii="Times New Roman" w:hAnsi="Times New Roman" w:cs="Times New Roman"/>
                <w:b/>
                <w:caps/>
                <w:color w:val="000000" w:themeColor="text1"/>
                <w:sz w:val="21"/>
                <w:szCs w:val="21"/>
                <w14:textFill>
                  <w14:solidFill>
                    <w14:schemeClr w14:val="tx1"/>
                  </w14:solidFill>
                </w14:textFill>
              </w:rPr>
            </w:pPr>
            <w:r>
              <w:rPr>
                <w:rFonts w:hint="default" w:ascii="Times New Roman" w:hAnsi="Times New Roman" w:cs="Times New Roman"/>
                <w:b/>
                <w:caps/>
                <w:color w:val="000000" w:themeColor="text1"/>
                <w:sz w:val="21"/>
                <w:szCs w:val="21"/>
                <w14:textFill>
                  <w14:solidFill>
                    <w14:schemeClr w14:val="tx1"/>
                  </w14:solidFill>
                </w14:textFill>
              </w:rPr>
              <w:t>监测点位</w:t>
            </w:r>
          </w:p>
        </w:tc>
        <w:tc>
          <w:tcPr>
            <w:tcW w:w="1328" w:type="pct"/>
            <w:tcBorders>
              <w:top w:val="single" w:color="auto" w:sz="12" w:space="0"/>
              <w:left w:val="single" w:color="auto" w:sz="6" w:space="0"/>
              <w:bottom w:val="single" w:color="auto" w:sz="6" w:space="0"/>
              <w:right w:val="single" w:color="auto" w:sz="6" w:space="0"/>
            </w:tcBorders>
            <w:vAlign w:val="center"/>
          </w:tcPr>
          <w:p w14:paraId="2F024683">
            <w:pPr>
              <w:autoSpaceDN w:val="0"/>
              <w:spacing w:line="276" w:lineRule="auto"/>
              <w:jc w:val="center"/>
              <w:rPr>
                <w:rFonts w:hint="default" w:ascii="Times New Roman" w:hAnsi="Times New Roman" w:cs="Times New Roman"/>
                <w:b/>
                <w:caps/>
                <w:color w:val="000000" w:themeColor="text1"/>
                <w:sz w:val="21"/>
                <w:szCs w:val="21"/>
                <w14:textFill>
                  <w14:solidFill>
                    <w14:schemeClr w14:val="tx1"/>
                  </w14:solidFill>
                </w14:textFill>
              </w:rPr>
            </w:pPr>
            <w:r>
              <w:rPr>
                <w:rFonts w:hint="default" w:ascii="Times New Roman" w:hAnsi="Times New Roman" w:cs="Times New Roman"/>
                <w:b/>
                <w:caps/>
                <w:color w:val="000000" w:themeColor="text1"/>
                <w:sz w:val="21"/>
                <w:szCs w:val="21"/>
                <w14:textFill>
                  <w14:solidFill>
                    <w14:schemeClr w14:val="tx1"/>
                  </w14:solidFill>
                </w14:textFill>
              </w:rPr>
              <w:t>监测项目</w:t>
            </w:r>
          </w:p>
        </w:tc>
        <w:tc>
          <w:tcPr>
            <w:tcW w:w="2112" w:type="pct"/>
            <w:tcBorders>
              <w:top w:val="single" w:color="auto" w:sz="12" w:space="0"/>
              <w:left w:val="single" w:color="auto" w:sz="6" w:space="0"/>
              <w:bottom w:val="single" w:color="auto" w:sz="6" w:space="0"/>
              <w:right w:val="nil"/>
            </w:tcBorders>
            <w:vAlign w:val="center"/>
          </w:tcPr>
          <w:p w14:paraId="53FC1F86">
            <w:pPr>
              <w:autoSpaceDN w:val="0"/>
              <w:spacing w:line="276" w:lineRule="auto"/>
              <w:jc w:val="center"/>
              <w:rPr>
                <w:rFonts w:hint="default" w:ascii="Times New Roman" w:hAnsi="Times New Roman" w:cs="Times New Roman"/>
                <w:b/>
                <w:caps/>
                <w:color w:val="000000" w:themeColor="text1"/>
                <w:sz w:val="21"/>
                <w:szCs w:val="21"/>
                <w14:textFill>
                  <w14:solidFill>
                    <w14:schemeClr w14:val="tx1"/>
                  </w14:solidFill>
                </w14:textFill>
              </w:rPr>
            </w:pPr>
            <w:r>
              <w:rPr>
                <w:rFonts w:hint="default" w:ascii="Times New Roman" w:hAnsi="Times New Roman" w:cs="Times New Roman"/>
                <w:b/>
                <w:caps/>
                <w:color w:val="000000" w:themeColor="text1"/>
                <w:sz w:val="21"/>
                <w:szCs w:val="21"/>
                <w14:textFill>
                  <w14:solidFill>
                    <w14:schemeClr w14:val="tx1"/>
                  </w14:solidFill>
                </w14:textFill>
              </w:rPr>
              <w:t>监测频次</w:t>
            </w:r>
          </w:p>
        </w:tc>
      </w:tr>
      <w:tr w14:paraId="4431B35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63" w:type="pct"/>
            <w:tcBorders>
              <w:top w:val="single" w:color="auto" w:sz="6" w:space="0"/>
              <w:left w:val="nil"/>
              <w:right w:val="single" w:color="auto" w:sz="6" w:space="0"/>
            </w:tcBorders>
            <w:vAlign w:val="center"/>
          </w:tcPr>
          <w:p w14:paraId="3DFD033B">
            <w:pPr>
              <w:autoSpaceDE w:val="0"/>
              <w:autoSpaceDN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G</w:t>
            </w:r>
            <w:r>
              <w:rPr>
                <w:rFonts w:hint="default" w:ascii="Times New Roman" w:hAnsi="Times New Roman" w:cs="Times New Roman"/>
                <w:color w:val="000000" w:themeColor="text1"/>
                <w:sz w:val="21"/>
                <w:szCs w:val="21"/>
                <w:vertAlign w:val="subscript"/>
                <w14:textFill>
                  <w14:solidFill>
                    <w14:schemeClr w14:val="tx1"/>
                  </w14:solidFill>
                </w14:textFill>
              </w:rPr>
              <w:t>1</w:t>
            </w:r>
          </w:p>
        </w:tc>
        <w:tc>
          <w:tcPr>
            <w:tcW w:w="1096" w:type="pct"/>
            <w:tcBorders>
              <w:top w:val="single" w:color="auto" w:sz="6" w:space="0"/>
              <w:left w:val="single" w:color="auto" w:sz="6" w:space="0"/>
              <w:right w:val="single" w:color="auto" w:sz="6" w:space="0"/>
            </w:tcBorders>
            <w:vAlign w:val="center"/>
          </w:tcPr>
          <w:p w14:paraId="61DAD73E">
            <w:pPr>
              <w:autoSpaceDE w:val="0"/>
              <w:autoSpaceDN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项目区域内</w:t>
            </w:r>
          </w:p>
        </w:tc>
        <w:tc>
          <w:tcPr>
            <w:tcW w:w="1328" w:type="pct"/>
            <w:tcBorders>
              <w:top w:val="single" w:color="auto" w:sz="6" w:space="0"/>
              <w:left w:val="single" w:color="auto" w:sz="6" w:space="0"/>
              <w:right w:val="single" w:color="auto" w:sz="6" w:space="0"/>
            </w:tcBorders>
            <w:vAlign w:val="center"/>
          </w:tcPr>
          <w:p w14:paraId="02D1A2F4">
            <w:pPr>
              <w:autoSpaceDE w:val="0"/>
              <w:autoSpaceDN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highlight w:val="yellow"/>
                <w14:textFill>
                  <w14:solidFill>
                    <w14:schemeClr w14:val="tx1"/>
                  </w14:solidFill>
                </w14:textFill>
              </w:rPr>
              <w:t>H</w:t>
            </w:r>
            <w:r>
              <w:rPr>
                <w:rFonts w:hint="default" w:ascii="Times New Roman" w:hAnsi="Times New Roman" w:cs="Times New Roman"/>
                <w:color w:val="000000" w:themeColor="text1"/>
                <w:sz w:val="21"/>
                <w:szCs w:val="21"/>
                <w:highlight w:val="yellow"/>
                <w:vertAlign w:val="subscript"/>
                <w14:textFill>
                  <w14:solidFill>
                    <w14:schemeClr w14:val="tx1"/>
                  </w14:solidFill>
                </w14:textFill>
              </w:rPr>
              <w:t>2</w:t>
            </w:r>
            <w:r>
              <w:rPr>
                <w:rFonts w:hint="default" w:ascii="Times New Roman" w:hAnsi="Times New Roman" w:cs="Times New Roman"/>
                <w:color w:val="000000" w:themeColor="text1"/>
                <w:sz w:val="21"/>
                <w:szCs w:val="21"/>
                <w:highlight w:val="yellow"/>
                <w14:textFill>
                  <w14:solidFill>
                    <w14:schemeClr w14:val="tx1"/>
                  </w14:solidFill>
                </w14:textFill>
              </w:rPr>
              <w:t>S</w:t>
            </w:r>
          </w:p>
        </w:tc>
        <w:tc>
          <w:tcPr>
            <w:tcW w:w="2112" w:type="pct"/>
            <w:tcBorders>
              <w:top w:val="single" w:color="auto" w:sz="6" w:space="0"/>
              <w:left w:val="single" w:color="auto" w:sz="6" w:space="0"/>
              <w:right w:val="nil"/>
            </w:tcBorders>
            <w:vAlign w:val="center"/>
          </w:tcPr>
          <w:p w14:paraId="3E5780D2">
            <w:pPr>
              <w:autoSpaceDE w:val="0"/>
              <w:autoSpaceDN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1小时平均：连续监测7天，4次/天，每小时至少有45分钟时间</w:t>
            </w:r>
          </w:p>
        </w:tc>
      </w:tr>
      <w:tr w14:paraId="0E31FF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463" w:type="pct"/>
            <w:tcBorders>
              <w:left w:val="nil"/>
              <w:right w:val="single" w:color="auto" w:sz="6" w:space="0"/>
            </w:tcBorders>
            <w:vAlign w:val="center"/>
          </w:tcPr>
          <w:p w14:paraId="6607AF96">
            <w:pPr>
              <w:autoSpaceDE w:val="0"/>
              <w:autoSpaceDN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G</w:t>
            </w:r>
            <w:r>
              <w:rPr>
                <w:rFonts w:hint="default" w:ascii="Times New Roman" w:hAnsi="Times New Roman" w:cs="Times New Roman"/>
                <w:color w:val="000000" w:themeColor="text1"/>
                <w:sz w:val="21"/>
                <w:szCs w:val="21"/>
                <w:vertAlign w:val="subscript"/>
                <w14:textFill>
                  <w14:solidFill>
                    <w14:schemeClr w14:val="tx1"/>
                  </w14:solidFill>
                </w14:textFill>
              </w:rPr>
              <w:t>2</w:t>
            </w:r>
          </w:p>
        </w:tc>
        <w:tc>
          <w:tcPr>
            <w:tcW w:w="1096" w:type="pct"/>
            <w:tcBorders>
              <w:left w:val="single" w:color="auto" w:sz="6" w:space="0"/>
              <w:right w:val="single" w:color="auto" w:sz="6" w:space="0"/>
            </w:tcBorders>
            <w:vAlign w:val="center"/>
          </w:tcPr>
          <w:p w14:paraId="14A18D9F">
            <w:pPr>
              <w:autoSpaceDE w:val="0"/>
              <w:autoSpaceDN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刘团郢</w:t>
            </w:r>
          </w:p>
        </w:tc>
        <w:tc>
          <w:tcPr>
            <w:tcW w:w="1328" w:type="pct"/>
            <w:tcBorders>
              <w:left w:val="single" w:color="auto" w:sz="6" w:space="0"/>
              <w:right w:val="single" w:color="auto" w:sz="6" w:space="0"/>
            </w:tcBorders>
            <w:vAlign w:val="center"/>
          </w:tcPr>
          <w:p w14:paraId="030E7A47">
            <w:pPr>
              <w:autoSpaceDE w:val="0"/>
              <w:autoSpaceDN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highlight w:val="yellow"/>
                <w14:textFill>
                  <w14:solidFill>
                    <w14:schemeClr w14:val="tx1"/>
                  </w14:solidFill>
                </w14:textFill>
              </w:rPr>
              <w:t>H</w:t>
            </w:r>
            <w:r>
              <w:rPr>
                <w:rFonts w:hint="default" w:ascii="Times New Roman" w:hAnsi="Times New Roman" w:cs="Times New Roman"/>
                <w:color w:val="000000" w:themeColor="text1"/>
                <w:sz w:val="21"/>
                <w:szCs w:val="21"/>
                <w:highlight w:val="yellow"/>
                <w:vertAlign w:val="subscript"/>
                <w14:textFill>
                  <w14:solidFill>
                    <w14:schemeClr w14:val="tx1"/>
                  </w14:solidFill>
                </w14:textFill>
              </w:rPr>
              <w:t>2</w:t>
            </w:r>
            <w:r>
              <w:rPr>
                <w:rFonts w:hint="default" w:ascii="Times New Roman" w:hAnsi="Times New Roman" w:cs="Times New Roman"/>
                <w:color w:val="000000" w:themeColor="text1"/>
                <w:sz w:val="21"/>
                <w:szCs w:val="21"/>
                <w:highlight w:val="yellow"/>
                <w14:textFill>
                  <w14:solidFill>
                    <w14:schemeClr w14:val="tx1"/>
                  </w14:solidFill>
                </w14:textFill>
              </w:rPr>
              <w:t>S</w:t>
            </w:r>
          </w:p>
        </w:tc>
        <w:tc>
          <w:tcPr>
            <w:tcW w:w="2112" w:type="pct"/>
            <w:tcBorders>
              <w:left w:val="single" w:color="auto" w:sz="6" w:space="0"/>
              <w:right w:val="nil"/>
            </w:tcBorders>
            <w:vAlign w:val="center"/>
          </w:tcPr>
          <w:p w14:paraId="2A65A61E">
            <w:pPr>
              <w:autoSpaceDE w:val="0"/>
              <w:autoSpaceDN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1小时平均：连续监测7天，4次/天，每小时至少有45分钟时间</w:t>
            </w:r>
          </w:p>
        </w:tc>
      </w:tr>
    </w:tbl>
    <w:p w14:paraId="49FEC4E8">
      <w:pPr>
        <w:pStyle w:val="40"/>
        <w:spacing w:after="0" w:line="360" w:lineRule="auto"/>
        <w:ind w:left="0" w:leftChars="0"/>
        <w:jc w:val="center"/>
        <w:rPr>
          <w:rFonts w:hint="default" w:ascii="Times New Roman" w:hAnsi="Times New Roman" w:eastAsia="黑体" w:cs="Times New Roman"/>
          <w:bCs/>
          <w:color w:val="000000" w:themeColor="text1"/>
          <w:sz w:val="24"/>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835392" behindDoc="0" locked="0" layoutInCell="1" allowOverlap="1">
                <wp:simplePos x="0" y="0"/>
                <wp:positionH relativeFrom="column">
                  <wp:posOffset>2623820</wp:posOffset>
                </wp:positionH>
                <wp:positionV relativeFrom="paragraph">
                  <wp:posOffset>1140460</wp:posOffset>
                </wp:positionV>
                <wp:extent cx="385445" cy="209550"/>
                <wp:effectExtent l="0" t="0" r="14605" b="0"/>
                <wp:wrapNone/>
                <wp:docPr id="54" name="文本框 54"/>
                <wp:cNvGraphicFramePr/>
                <a:graphic xmlns:a="http://schemas.openxmlformats.org/drawingml/2006/main">
                  <a:graphicData uri="http://schemas.microsoft.com/office/word/2010/wordprocessingShape">
                    <wps:wsp>
                      <wps:cNvSpPr txBox="1"/>
                      <wps:spPr>
                        <a:xfrm>
                          <a:off x="5387340" y="4820920"/>
                          <a:ext cx="385445"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12ABEE">
                            <w:pPr>
                              <w:rPr>
                                <w:rFonts w:hint="eastAsia" w:eastAsia="宋体"/>
                                <w:color w:val="FFFF00"/>
                                <w:lang w:eastAsia="zh-CN"/>
                              </w:rPr>
                            </w:pPr>
                            <w:r>
                              <w:rPr>
                                <w:rFonts w:hint="eastAsia"/>
                                <w:color w:val="FFFF00"/>
                                <w:lang w:eastAsia="zh-CN"/>
                              </w:rPr>
                              <w:t>项目地</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06.6pt;margin-top:89.8pt;height:16.5pt;width:30.35pt;z-index:251835392;mso-width-relative:page;mso-height-relative:page;" filled="f" stroked="f" coordsize="21600,21600" o:gfxdata="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SeJ1M2gAAAAsBAAAPAAAAAAAAAAEAIAAAACIAAABk&#10;cnMvZG93bnJldi54bWxQSwECFAAUAAAACACHTuJA1TxHKT0CAABjBAAADgAAAAAAAAABACAAAAAp&#10;AQAAZHJzL2Uyb0RvYy54bWxQSwUGAAAAAAYABgBZAQAA2AUAAAAA&#10;">
                <v:fill on="f" focussize="0,0"/>
                <v:stroke on="f" weight="0.5pt"/>
                <v:imagedata o:title=""/>
                <o:lock v:ext="edit" aspectratio="f"/>
                <v:textbox inset="0mm,0mm,0mm,0mm">
                  <w:txbxContent>
                    <w:p w14:paraId="1312ABEE">
                      <w:pPr>
                        <w:rPr>
                          <w:rFonts w:hint="eastAsia" w:eastAsia="宋体"/>
                          <w:color w:val="FFFF00"/>
                          <w:lang w:eastAsia="zh-CN"/>
                        </w:rPr>
                      </w:pPr>
                      <w:r>
                        <w:rPr>
                          <w:rFonts w:hint="eastAsia"/>
                          <w:color w:val="FFFF00"/>
                          <w:lang w:eastAsia="zh-CN"/>
                        </w:rPr>
                        <w:t>项目地</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834368" behindDoc="0" locked="0" layoutInCell="1" allowOverlap="1">
                <wp:simplePos x="0" y="0"/>
                <wp:positionH relativeFrom="column">
                  <wp:posOffset>2615565</wp:posOffset>
                </wp:positionH>
                <wp:positionV relativeFrom="paragraph">
                  <wp:posOffset>1175385</wp:posOffset>
                </wp:positionV>
                <wp:extent cx="377825" cy="158750"/>
                <wp:effectExtent l="21590" t="53975" r="38735" b="53975"/>
                <wp:wrapNone/>
                <wp:docPr id="53" name="矩形 53"/>
                <wp:cNvGraphicFramePr/>
                <a:graphic xmlns:a="http://schemas.openxmlformats.org/drawingml/2006/main">
                  <a:graphicData uri="http://schemas.microsoft.com/office/word/2010/wordprocessingShape">
                    <wps:wsp>
                      <wps:cNvSpPr/>
                      <wps:spPr>
                        <a:xfrm rot="900000">
                          <a:off x="4463415" y="2161540"/>
                          <a:ext cx="377825" cy="15875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5.95pt;margin-top:92.55pt;height:12.5pt;width:29.75pt;rotation:983040f;z-index:251834368;v-text-anchor:middle;mso-width-relative:page;mso-height-relative:page;" filled="f" stroked="t" coordsize="21600,21600" o:gfxdata="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yqZuINkAAAALAQAADwAAAAAAAAABACAA&#10;AAAiAAAAZHJzL2Rvd25yZXYueG1sUEsBAhQAFAAAAAgAh07iQM9V/V9+AgAA5QQAAA4AAAAAAAAA&#10;AQAgAAAAKAEAAGRycy9lMm9Eb2MueG1sUEsFBgAAAAAGAAYAWQEAABgGAAAAAA==&#10;">
                <v:fill on="f" focussize="0,0"/>
                <v:stroke weight="1pt" color="#FFFF00 [2404]" miterlimit="8" joinstyle="miter"/>
                <v:imagedata o:title=""/>
                <o:lock v:ext="edit" aspectratio="f"/>
              </v:rect>
            </w:pict>
          </mc:Fallback>
        </mc:AlternateContent>
      </w:r>
      <w:r>
        <w:rPr>
          <w:rFonts w:hint="default" w:ascii="Times New Roman" w:hAnsi="Times New Roman" w:eastAsia="黑体" w:cs="Times New Roman"/>
          <w:bCs/>
          <w:color w:val="000000" w:themeColor="text1"/>
          <w:sz w:val="24"/>
          <w14:textFill>
            <w14:solidFill>
              <w14:schemeClr w14:val="tx1"/>
            </w14:solidFill>
          </w14:textFill>
        </w:rPr>
        <w:drawing>
          <wp:anchor distT="0" distB="0" distL="114300" distR="114300" simplePos="0" relativeHeight="251807744" behindDoc="0" locked="0" layoutInCell="1" allowOverlap="1">
            <wp:simplePos x="0" y="0"/>
            <wp:positionH relativeFrom="column">
              <wp:posOffset>4735830</wp:posOffset>
            </wp:positionH>
            <wp:positionV relativeFrom="paragraph">
              <wp:posOffset>67310</wp:posOffset>
            </wp:positionV>
            <wp:extent cx="565150" cy="598170"/>
            <wp:effectExtent l="19050" t="19050" r="25400" b="11206"/>
            <wp:wrapNone/>
            <wp:docPr id="10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0"/>
                    <pic:cNvPicPr>
                      <a:picLocks noChangeAspect="1" noChangeArrowheads="1"/>
                    </pic:cNvPicPr>
                  </pic:nvPicPr>
                  <pic:blipFill>
                    <a:blip r:embed="rId40" cstate="print"/>
                    <a:srcRect/>
                    <a:stretch>
                      <a:fillRect/>
                    </a:stretch>
                  </pic:blipFill>
                  <pic:spPr>
                    <a:xfrm>
                      <a:off x="0" y="0"/>
                      <a:ext cx="565150" cy="598394"/>
                    </a:xfrm>
                    <a:prstGeom prst="rect">
                      <a:avLst/>
                    </a:prstGeom>
                    <a:noFill/>
                    <a:ln w="19050">
                      <a:solidFill>
                        <a:schemeClr val="tx1"/>
                      </a:solidFill>
                      <a:miter lim="800000"/>
                      <a:headEnd/>
                      <a:tailEnd/>
                    </a:ln>
                  </pic:spPr>
                </pic:pic>
              </a:graphicData>
            </a:graphic>
          </wp:anchor>
        </w:drawing>
      </w:r>
      <w:r>
        <w:rPr>
          <w:rFonts w:hint="default" w:ascii="Times New Roman" w:hAnsi="Times New Roman" w:eastAsia="黑体" w:cs="Times New Roman"/>
          <w:bCs/>
          <w:color w:val="000000" w:themeColor="text1"/>
          <w:sz w:val="24"/>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4753610</wp:posOffset>
                </wp:positionH>
                <wp:positionV relativeFrom="paragraph">
                  <wp:posOffset>720090</wp:posOffset>
                </wp:positionV>
                <wp:extent cx="550545" cy="278130"/>
                <wp:effectExtent l="0" t="0" r="0" b="0"/>
                <wp:wrapNone/>
                <wp:docPr id="102" name="矩形 9405"/>
                <wp:cNvGraphicFramePr/>
                <a:graphic xmlns:a="http://schemas.openxmlformats.org/drawingml/2006/main">
                  <a:graphicData uri="http://schemas.microsoft.com/office/word/2010/wordprocessingShape">
                    <wps:wsp>
                      <wps:cNvSpPr/>
                      <wps:spPr>
                        <a:xfrm>
                          <a:off x="0" y="0"/>
                          <a:ext cx="550545" cy="278130"/>
                        </a:xfrm>
                        <a:prstGeom prst="rect">
                          <a:avLst/>
                        </a:prstGeom>
                        <a:noFill/>
                        <a:ln>
                          <a:noFill/>
                        </a:ln>
                      </wps:spPr>
                      <wps:txbx>
                        <w:txbxContent>
                          <w:p w14:paraId="1480B00C">
                            <w:pPr>
                              <w:rPr>
                                <w:rFonts w:eastAsia="黑体"/>
                                <w:sz w:val="18"/>
                                <w:szCs w:val="18"/>
                              </w:rPr>
                            </w:pPr>
                            <w:r>
                              <w:rPr>
                                <w:rFonts w:eastAsia="黑体"/>
                                <w:sz w:val="18"/>
                                <w:szCs w:val="18"/>
                              </w:rPr>
                              <w:t>142m</w:t>
                            </w:r>
                          </w:p>
                        </w:txbxContent>
                      </wps:txbx>
                      <wps:bodyPr upright="1"/>
                    </wps:wsp>
                  </a:graphicData>
                </a:graphic>
              </wp:anchor>
            </w:drawing>
          </mc:Choice>
          <mc:Fallback>
            <w:pict>
              <v:rect id="矩形 9405" o:spid="_x0000_s1026" o:spt="1" style="position:absolute;left:0pt;margin-left:374.3pt;margin-top:56.7pt;height:21.9pt;width:43.35pt;z-index:251683840;mso-width-relative:page;mso-height-relative:page;" filled="f" stroked="f" coordsize="21600,21600" o:gfxdata="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Ga3/b3AAAAAsB&#10;AAAPAAAAAAAAAAEAIAAAACIAAABkcnMvZG93bnJldi54bWxQSwECFAAUAAAACACHTuJAzaAQR6UB&#10;AABFAwAADgAAAAAAAAABACAAAAArAQAAZHJzL2Uyb0RvYy54bWxQSwUGAAAAAAYABgBZAQAAQgUA&#10;AAAA&#10;">
                <v:fill on="f" focussize="0,0"/>
                <v:stroke on="f"/>
                <v:imagedata o:title=""/>
                <o:lock v:ext="edit" aspectratio="f"/>
                <v:textbox>
                  <w:txbxContent>
                    <w:p w14:paraId="1480B00C">
                      <w:pPr>
                        <w:rPr>
                          <w:rFonts w:eastAsia="黑体"/>
                          <w:sz w:val="18"/>
                          <w:szCs w:val="18"/>
                        </w:rPr>
                      </w:pPr>
                      <w:r>
                        <w:rPr>
                          <w:rFonts w:eastAsia="黑体"/>
                          <w:sz w:val="18"/>
                          <w:szCs w:val="18"/>
                        </w:rPr>
                        <w:t>142m</w:t>
                      </w:r>
                    </w:p>
                  </w:txbxContent>
                </v:textbox>
              </v:rect>
            </w:pict>
          </mc:Fallback>
        </mc:AlternateContent>
      </w:r>
      <w:r>
        <w:rPr>
          <w:rFonts w:hint="default" w:ascii="Times New Roman" w:hAnsi="Times New Roman" w:eastAsia="黑体" w:cs="Times New Roman"/>
          <w:bCs/>
          <w:color w:val="000000" w:themeColor="text1"/>
          <w:sz w:val="24"/>
          <w14:textFill>
            <w14:solidFill>
              <w14:schemeClr w14:val="tx1"/>
            </w14:solidFill>
          </w14:textFill>
        </w:rPr>
        <mc:AlternateContent>
          <mc:Choice Requires="wpg">
            <w:drawing>
              <wp:anchor distT="0" distB="0" distL="114300" distR="114300" simplePos="0" relativeHeight="251682816" behindDoc="0" locked="0" layoutInCell="1" allowOverlap="1">
                <wp:simplePos x="0" y="0"/>
                <wp:positionH relativeFrom="column">
                  <wp:posOffset>4791710</wp:posOffset>
                </wp:positionH>
                <wp:positionV relativeFrom="paragraph">
                  <wp:posOffset>861695</wp:posOffset>
                </wp:positionV>
                <wp:extent cx="360045" cy="87630"/>
                <wp:effectExtent l="0" t="0" r="5527040" b="7153910"/>
                <wp:wrapNone/>
                <wp:docPr id="101" name="组合 9401"/>
                <wp:cNvGraphicFramePr/>
                <a:graphic xmlns:a="http://schemas.openxmlformats.org/drawingml/2006/main">
                  <a:graphicData uri="http://schemas.microsoft.com/office/word/2010/wordprocessingGroup">
                    <wpg:wgp>
                      <wpg:cNvGrpSpPr/>
                      <wpg:grpSpPr>
                        <a:xfrm>
                          <a:off x="0" y="0"/>
                          <a:ext cx="360045" cy="87630"/>
                          <a:chOff x="0" y="0"/>
                          <a:chExt cx="360045" cy="87630"/>
                        </a:xfrm>
                      </wpg:grpSpPr>
                      <wps:wsp>
                        <wps:cNvPr id="98" name="自选图形 9402"/>
                        <wps:cNvCnPr/>
                        <wps:spPr>
                          <a:xfrm flipV="1">
                            <a:off x="8686" y="11382"/>
                            <a:ext cx="567" cy="0"/>
                          </a:xfrm>
                          <a:prstGeom prst="straightConnector1">
                            <a:avLst/>
                          </a:prstGeom>
                          <a:ln w="19050" cap="flat" cmpd="sng">
                            <a:solidFill>
                              <a:srgbClr val="000000"/>
                            </a:solidFill>
                            <a:prstDash val="solid"/>
                            <a:headEnd type="none" w="med" len="med"/>
                            <a:tailEnd type="none" w="med" len="med"/>
                          </a:ln>
                        </wps:spPr>
                        <wps:bodyPr/>
                      </wps:wsp>
                      <wps:wsp>
                        <wps:cNvPr id="99" name="自选图形 9403"/>
                        <wps:cNvCnPr/>
                        <wps:spPr>
                          <a:xfrm flipV="1">
                            <a:off x="8686" y="11244"/>
                            <a:ext cx="0" cy="138"/>
                          </a:xfrm>
                          <a:prstGeom prst="straightConnector1">
                            <a:avLst/>
                          </a:prstGeom>
                          <a:ln w="19050" cap="flat" cmpd="sng">
                            <a:solidFill>
                              <a:srgbClr val="000000"/>
                            </a:solidFill>
                            <a:prstDash val="solid"/>
                            <a:headEnd type="none" w="med" len="med"/>
                            <a:tailEnd type="none" w="med" len="med"/>
                          </a:ln>
                        </wps:spPr>
                        <wps:bodyPr/>
                      </wps:wsp>
                      <wps:wsp>
                        <wps:cNvPr id="100" name="自选图形 9404"/>
                        <wps:cNvCnPr/>
                        <wps:spPr>
                          <a:xfrm flipV="1">
                            <a:off x="9253" y="11244"/>
                            <a:ext cx="0" cy="138"/>
                          </a:xfrm>
                          <a:prstGeom prst="straightConnector1">
                            <a:avLst/>
                          </a:prstGeom>
                          <a:ln w="19050" cap="flat" cmpd="sng">
                            <a:solidFill>
                              <a:srgbClr val="000000"/>
                            </a:solidFill>
                            <a:prstDash val="solid"/>
                            <a:headEnd type="none" w="med" len="med"/>
                            <a:tailEnd type="none" w="med" len="med"/>
                          </a:ln>
                        </wps:spPr>
                        <wps:bodyPr/>
                      </wps:wsp>
                    </wpg:wgp>
                  </a:graphicData>
                </a:graphic>
              </wp:anchor>
            </w:drawing>
          </mc:Choice>
          <mc:Fallback>
            <w:pict>
              <v:group id="组合 9401" o:spid="_x0000_s1026" o:spt="203" style="position:absolute;left:0pt;margin-left:377.3pt;margin-top:67.85pt;height:6.9pt;width:28.35pt;z-index:251682816;mso-width-relative:page;mso-height-relative:page;" coordsize="360045,87630" o:gfxdata="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GsMPrbbAAAACwEAAA8AAAAAAAAA&#10;AQAgAAAAIgAAAGRycy9kb3ducmV2LnhtbFBLAQIUABQAAAAIAIdO4kDxP1J1uQIAAFQJAAAOAAAA&#10;AAAAAAEAIAAAACoBAABkcnMvZTJvRG9jLnhtbFBLBQYAAAAABgAGAFkBAABVBgAAAAA=&#10;">
                <o:lock v:ext="edit" aspectratio="f"/>
                <v:shape id="自选图形 9402" o:spid="_x0000_s1026" o:spt="32" type="#_x0000_t32" style="position:absolute;left:8686;top:11382;flip:y;height:0;width:567;" filled="f" stroked="t" coordsize="21600,21600" o:gfxdata="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U1S7sugAAANsA&#10;AAAPAAAAAAAAAAEAIAAAACIAAABkcnMvZG93bnJldi54bWxQSwECFAAUAAAACACHTuJAMy8FnjsA&#10;AAA5AAAAEAAAAAAAAAABACAAAAAJAQAAZHJzL3NoYXBleG1sLnhtbFBLBQYAAAAABgAGAFsBAACz&#10;AwAAAAA=&#10;">
                  <v:fill on="f" focussize="0,0"/>
                  <v:stroke weight="1.5pt" color="#000000" joinstyle="round"/>
                  <v:imagedata o:title=""/>
                  <o:lock v:ext="edit" aspectratio="f"/>
                </v:shape>
                <v:shape id="自选图形 9403" o:spid="_x0000_s1026" o:spt="32" type="#_x0000_t32" style="position:absolute;left:8686;top:11244;flip:y;height:138;width:0;" filled="f" stroked="t" coordsize="21600,21600" o:gfxdata="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uZi3e/&#10;AAAA2wAAAA8AAAAAAAAAAQAgAAAAIgAAAGRycy9kb3ducmV2LnhtbFBLAQIUABQAAAAIAIdO4kAz&#10;LwWeOwAAADkAAAAQAAAAAAAAAAEAIAAAAA4BAABkcnMvc2hhcGV4bWwueG1sUEsFBgAAAAAGAAYA&#10;WwEAALgDAAAAAA==&#10;">
                  <v:fill on="f" focussize="0,0"/>
                  <v:stroke weight="1.5pt" color="#000000" joinstyle="round"/>
                  <v:imagedata o:title=""/>
                  <o:lock v:ext="edit" aspectratio="f"/>
                </v:shape>
                <v:shape id="自选图形 9404" o:spid="_x0000_s1026" o:spt="32" type="#_x0000_t32" style="position:absolute;left:9253;top:11244;flip:y;height:138;width:0;" filled="f" stroked="t" coordsize="21600,21600" o:gfxdata="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As7xy/&#10;AAAA3AAAAA8AAAAAAAAAAQAgAAAAIgAAAGRycy9kb3ducmV2LnhtbFBLAQIUABQAAAAIAIdO4kAz&#10;LwWeOwAAADkAAAAQAAAAAAAAAAEAIAAAAA4BAABkcnMvc2hhcGV4bWwueG1sUEsFBgAAAAAGAAYA&#10;WwEAALgDAAAAAA==&#10;">
                  <v:fill on="f" focussize="0,0"/>
                  <v:stroke weight="1.5pt" color="#000000" joinstyle="round"/>
                  <v:imagedata o:title=""/>
                  <o:lock v:ext="edit" aspectratio="f"/>
                </v:shape>
              </v:group>
            </w:pict>
          </mc:Fallback>
        </mc:AlternateContent>
      </w:r>
      <w:r>
        <w:rPr>
          <w:rFonts w:hint="default" w:ascii="Times New Roman" w:hAnsi="Times New Roman" w:eastAsia="黑体" w:cs="Times New Roman"/>
          <w:bCs/>
          <w:color w:val="000000" w:themeColor="text1"/>
          <w:sz w:val="24"/>
          <w14:textFill>
            <w14:solidFill>
              <w14:schemeClr w14:val="tx1"/>
            </w14:solidFill>
          </w14:textFill>
        </w:rPr>
        <w:drawing>
          <wp:inline distT="0" distB="0" distL="0" distR="0">
            <wp:extent cx="5278755" cy="3037840"/>
            <wp:effectExtent l="19050" t="19050" r="17145" b="10053"/>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noChangeArrowheads="1"/>
                    </pic:cNvPicPr>
                  </pic:nvPicPr>
                  <pic:blipFill>
                    <a:blip r:embed="rId41" cstate="print"/>
                    <a:srcRect/>
                    <a:stretch>
                      <a:fillRect/>
                    </a:stretch>
                  </pic:blipFill>
                  <pic:spPr>
                    <a:xfrm>
                      <a:off x="0" y="0"/>
                      <a:ext cx="5278755" cy="3037947"/>
                    </a:xfrm>
                    <a:prstGeom prst="rect">
                      <a:avLst/>
                    </a:prstGeom>
                    <a:noFill/>
                    <a:ln w="9525">
                      <a:solidFill>
                        <a:schemeClr val="tx1"/>
                      </a:solidFill>
                      <a:miter lim="800000"/>
                      <a:headEnd/>
                      <a:tailEnd/>
                    </a:ln>
                  </pic:spPr>
                </pic:pic>
              </a:graphicData>
            </a:graphic>
          </wp:inline>
        </w:drawing>
      </w:r>
    </w:p>
    <w:p w14:paraId="363D71E7">
      <w:pPr>
        <w:pStyle w:val="40"/>
        <w:spacing w:after="0" w:line="360" w:lineRule="auto"/>
        <w:ind w:left="0" w:leftChars="0"/>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图4.2-1大气环境现状监测布点图</w:t>
      </w:r>
    </w:p>
    <w:p w14:paraId="3E95682D">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4、评价方法</w:t>
      </w:r>
    </w:p>
    <w:p w14:paraId="3367AD7D">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本次大气环境质量现状评价采用单因子污染指数法，公式如下：</w:t>
      </w:r>
    </w:p>
    <w:p w14:paraId="3C50CADF">
      <w:pPr>
        <w:pStyle w:val="251"/>
        <w:ind w:firstLine="480"/>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position w:val="-30"/>
          <w14:textFill>
            <w14:solidFill>
              <w14:schemeClr w14:val="tx1"/>
            </w14:solidFill>
          </w14:textFill>
        </w:rPr>
        <w:object>
          <v:shape id="_x0000_i1025" o:spt="75" type="#_x0000_t75" style="height:36.45pt;width:42.1pt;" o:ole="t" filled="f" o:preferrelative="t" stroked="f" coordsize="21600,21600">
            <v:path/>
            <v:fill on="f" focussize="0,0"/>
            <v:stroke on="f" joinstyle="miter"/>
            <v:imagedata r:id="rId43" o:title=""/>
            <o:lock v:ext="edit" aspectratio="t"/>
            <w10:wrap type="none"/>
            <w10:anchorlock/>
          </v:shape>
          <o:OLEObject Type="Embed" ProgID="Equation.3" ShapeID="_x0000_i1025" DrawAspect="Content" ObjectID="_1468075725" r:id="rId42">
            <o:LockedField>false</o:LockedField>
          </o:OLEObject>
        </w:object>
      </w:r>
    </w:p>
    <w:p w14:paraId="69417FC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式中：I</w:t>
      </w:r>
      <w:r>
        <w:rPr>
          <w:rFonts w:hint="default" w:ascii="Times New Roman" w:hAnsi="Times New Roman" w:cs="Times New Roman"/>
          <w:color w:val="000000" w:themeColor="text1"/>
          <w:vertAlign w:val="subscript"/>
          <w14:textFill>
            <w14:solidFill>
              <w14:schemeClr w14:val="tx1"/>
            </w14:solidFill>
          </w14:textFill>
        </w:rPr>
        <w:t>i</w:t>
      </w:r>
      <w:r>
        <w:rPr>
          <w:rFonts w:hint="default" w:ascii="Times New Roman" w:hAnsi="Times New Roman" w:cs="Times New Roman"/>
          <w:color w:val="000000" w:themeColor="text1"/>
          <w14:textFill>
            <w14:solidFill>
              <w14:schemeClr w14:val="tx1"/>
            </w14:solidFill>
          </w14:textFill>
        </w:rPr>
        <w:t>—i污染物的单因子污染指数；</w:t>
      </w:r>
    </w:p>
    <w:p w14:paraId="53B4FA7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C</w:t>
      </w:r>
      <w:r>
        <w:rPr>
          <w:rFonts w:hint="default" w:ascii="Times New Roman" w:hAnsi="Times New Roman" w:cs="Times New Roman"/>
          <w:color w:val="000000" w:themeColor="text1"/>
          <w:vertAlign w:val="subscript"/>
          <w14:textFill>
            <w14:solidFill>
              <w14:schemeClr w14:val="tx1"/>
            </w14:solidFill>
          </w14:textFill>
        </w:rPr>
        <w:t>i</w:t>
      </w:r>
      <w:r>
        <w:rPr>
          <w:rFonts w:hint="default" w:ascii="Times New Roman" w:hAnsi="Times New Roman" w:cs="Times New Roman"/>
          <w:color w:val="000000" w:themeColor="text1"/>
          <w14:textFill>
            <w14:solidFill>
              <w14:schemeClr w14:val="tx1"/>
            </w14:solidFill>
          </w14:textFill>
        </w:rPr>
        <w:t>—i污染物的实测浓度，mg/Nm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w:t>
      </w:r>
    </w:p>
    <w:p w14:paraId="35DC69AF">
      <w:pPr>
        <w:pStyle w:val="251"/>
        <w:ind w:firstLine="1200" w:firstLineChars="50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C</w:t>
      </w:r>
      <w:r>
        <w:rPr>
          <w:rFonts w:hint="default" w:ascii="Times New Roman" w:hAnsi="Times New Roman" w:cs="Times New Roman"/>
          <w:color w:val="000000" w:themeColor="text1"/>
          <w:vertAlign w:val="subscript"/>
          <w14:textFill>
            <w14:solidFill>
              <w14:schemeClr w14:val="tx1"/>
            </w14:solidFill>
          </w14:textFill>
        </w:rPr>
        <w:t>Oi</w:t>
      </w:r>
      <w:r>
        <w:rPr>
          <w:rFonts w:hint="default" w:ascii="Times New Roman" w:hAnsi="Times New Roman" w:cs="Times New Roman"/>
          <w:color w:val="000000" w:themeColor="text1"/>
          <w14:textFill>
            <w14:solidFill>
              <w14:schemeClr w14:val="tx1"/>
            </w14:solidFill>
          </w14:textFill>
        </w:rPr>
        <w:t>—i污染物的评价标准，mg/Nm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w:t>
      </w:r>
    </w:p>
    <w:p w14:paraId="524E8F1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当Ii≥1时，即该因子超标。对照评价标准计算各监测点的各污染物小时平均浓度和日均浓度的污染指数范围、超标率等。</w:t>
      </w:r>
    </w:p>
    <w:p w14:paraId="4F1B72AF">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5、评价结果</w:t>
      </w:r>
    </w:p>
    <w:p w14:paraId="189E4AF3">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本项目委托</w:t>
      </w:r>
      <w:r>
        <w:rPr>
          <w:rFonts w:hint="default" w:ascii="Times New Roman" w:hAnsi="Times New Roman" w:cs="Times New Roman"/>
          <w:color w:val="000000" w:themeColor="text1"/>
          <w:lang w:eastAsia="zh-CN"/>
          <w14:textFill>
            <w14:solidFill>
              <w14:schemeClr w14:val="tx1"/>
            </w14:solidFill>
          </w14:textFill>
        </w:rPr>
        <w:t>安徽鑫程检测科技有限公司</w:t>
      </w:r>
      <w:r>
        <w:rPr>
          <w:rFonts w:hint="default" w:ascii="Times New Roman" w:hAnsi="Times New Roman" w:cs="Times New Roman"/>
          <w:color w:val="000000" w:themeColor="text1"/>
          <w14:textFill>
            <w14:solidFill>
              <w14:schemeClr w14:val="tx1"/>
            </w14:solidFill>
          </w14:textFill>
        </w:rPr>
        <w:t>对项目区域环境空气进行了现状监测，监测时间为202</w:t>
      </w:r>
      <w:r>
        <w:rPr>
          <w:rFonts w:hint="default"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年</w:t>
      </w:r>
      <w:r>
        <w:rPr>
          <w:rFonts w:hint="default" w:ascii="Times New Roman" w:hAnsi="Times New Roman" w:cs="Times New Roman"/>
          <w:color w:val="000000" w:themeColor="text1"/>
          <w:lang w:val="en-US" w:eastAsia="zh-CN"/>
          <w14:textFill>
            <w14:solidFill>
              <w14:schemeClr w14:val="tx1"/>
            </w14:solidFill>
          </w14:textFill>
        </w:rPr>
        <w:t>12</w:t>
      </w:r>
      <w:r>
        <w:rPr>
          <w:rFonts w:hint="default" w:ascii="Times New Roman" w:hAnsi="Times New Roman" w:cs="Times New Roman"/>
          <w:color w:val="000000" w:themeColor="text1"/>
          <w14:textFill>
            <w14:solidFill>
              <w14:schemeClr w14:val="tx1"/>
            </w14:solidFill>
          </w14:textFill>
        </w:rPr>
        <w:t>月</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日～202</w:t>
      </w:r>
      <w:r>
        <w:rPr>
          <w:rFonts w:hint="default"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年</w:t>
      </w:r>
      <w:r>
        <w:rPr>
          <w:rFonts w:hint="default" w:ascii="Times New Roman" w:hAnsi="Times New Roman" w:cs="Times New Roman"/>
          <w:color w:val="000000" w:themeColor="text1"/>
          <w:lang w:val="en-US" w:eastAsia="zh-CN"/>
          <w14:textFill>
            <w14:solidFill>
              <w14:schemeClr w14:val="tx1"/>
            </w14:solidFill>
          </w14:textFill>
        </w:rPr>
        <w:t>12</w:t>
      </w:r>
      <w:r>
        <w:rPr>
          <w:rFonts w:hint="default" w:ascii="Times New Roman" w:hAnsi="Times New Roman" w:cs="Times New Roman"/>
          <w:color w:val="000000" w:themeColor="text1"/>
          <w14:textFill>
            <w14:solidFill>
              <w14:schemeClr w14:val="tx1"/>
            </w14:solidFill>
          </w14:textFill>
        </w:rPr>
        <w:t>月</w:t>
      </w:r>
      <w:r>
        <w:rPr>
          <w:rFonts w:hint="default" w:ascii="Times New Roman" w:hAnsi="Times New Roman" w:cs="Times New Roman"/>
          <w:color w:val="000000" w:themeColor="text1"/>
          <w:lang w:val="en-US" w:eastAsia="zh-CN"/>
          <w14:textFill>
            <w14:solidFill>
              <w14:schemeClr w14:val="tx1"/>
            </w14:solidFill>
          </w14:textFill>
        </w:rPr>
        <w:t>7</w:t>
      </w:r>
      <w:r>
        <w:rPr>
          <w:rFonts w:hint="default" w:ascii="Times New Roman" w:hAnsi="Times New Roman" w:cs="Times New Roman"/>
          <w:color w:val="000000" w:themeColor="text1"/>
          <w14:textFill>
            <w14:solidFill>
              <w14:schemeClr w14:val="tx1"/>
            </w14:solidFill>
          </w14:textFill>
        </w:rPr>
        <w:t>日；安徽金荣铜业有限公司委托淮南市宜青环境检测有限公司对项目区域</w:t>
      </w:r>
      <w:r>
        <w:rPr>
          <w:rFonts w:hint="default" w:ascii="Times New Roman" w:hAnsi="Times New Roman" w:cs="Times New Roman"/>
          <w:color w:val="000000" w:themeColor="text1"/>
          <w:lang w:val="en-US" w:eastAsia="zh-CN"/>
          <w14:textFill>
            <w14:solidFill>
              <w14:schemeClr w14:val="tx1"/>
            </w14:solidFill>
          </w14:textFill>
        </w:rPr>
        <w:t>NH</w:t>
      </w:r>
      <w:r>
        <w:rPr>
          <w:rFonts w:hint="default" w:ascii="Times New Roman" w:hAnsi="Times New Roman" w:cs="Times New Roman"/>
          <w:color w:val="000000" w:themeColor="text1"/>
          <w:vertAlign w:val="subscript"/>
          <w:lang w:val="en-US" w:eastAsia="zh-CN"/>
          <w14:textFill>
            <w14:solidFill>
              <w14:schemeClr w14:val="tx1"/>
            </w14:solidFill>
          </w14:textFill>
        </w:rPr>
        <w:t>3</w:t>
      </w:r>
      <w:r>
        <w:rPr>
          <w:rFonts w:hint="default" w:ascii="Times New Roman" w:hAnsi="Times New Roman" w:cs="Times New Roman"/>
          <w:color w:val="000000" w:themeColor="text1"/>
          <w:lang w:val="en-US" w:eastAsia="zh-CN"/>
          <w14:textFill>
            <w14:solidFill>
              <w14:schemeClr w14:val="tx1"/>
            </w14:solidFill>
          </w14:textFill>
        </w:rPr>
        <w:t>、TSP、非甲烷总烃</w:t>
      </w:r>
      <w:r>
        <w:rPr>
          <w:rFonts w:hint="default" w:ascii="Times New Roman" w:hAnsi="Times New Roman" w:cs="Times New Roman"/>
          <w:color w:val="000000" w:themeColor="text1"/>
          <w14:textFill>
            <w14:solidFill>
              <w14:schemeClr w14:val="tx1"/>
            </w14:solidFill>
          </w14:textFill>
        </w:rPr>
        <w:t>进行了现状监测，监测时间为2024年5月8日～2024年5月14日。</w:t>
      </w:r>
    </w:p>
    <w:p w14:paraId="0E350A7E">
      <w:pPr>
        <w:pStyle w:val="251"/>
        <w:ind w:firstLine="480"/>
        <w:rPr>
          <w:rFonts w:hint="default" w:ascii="Times New Roman" w:hAnsi="Times New Roman" w:cs="Times New Roman"/>
          <w:color w:val="000000" w:themeColor="text1"/>
          <w14:textFill>
            <w14:solidFill>
              <w14:schemeClr w14:val="tx1"/>
            </w14:solidFill>
          </w14:textFill>
        </w:rPr>
        <w:sectPr>
          <w:pgSz w:w="11907" w:h="16839"/>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000000" w:themeColor="text1"/>
          <w14:textFill>
            <w14:solidFill>
              <w14:schemeClr w14:val="tx1"/>
            </w14:solidFill>
          </w14:textFill>
        </w:rPr>
        <w:t>按照上述评价方法，本次区域大气环境质量现状评价结果汇总见下表。</w:t>
      </w:r>
    </w:p>
    <w:p w14:paraId="24E4DAD7">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表4.2-</w:t>
      </w:r>
      <w:r>
        <w:rPr>
          <w:rFonts w:hint="eastAsia" w:eastAsia="黑体" w:cs="Times New Roman"/>
          <w:bCs/>
          <w:color w:val="000000" w:themeColor="text1"/>
          <w:sz w:val="24"/>
          <w:lang w:val="en-US" w:eastAsia="zh-CN"/>
          <w14:textFill>
            <w14:solidFill>
              <w14:schemeClr w14:val="tx1"/>
            </w14:solidFill>
          </w14:textFill>
        </w:rPr>
        <w:t>4</w:t>
      </w:r>
      <w:r>
        <w:rPr>
          <w:rFonts w:hint="default" w:ascii="Times New Roman" w:hAnsi="Times New Roman" w:eastAsia="黑体" w:cs="Times New Roman"/>
          <w:bCs/>
          <w:color w:val="000000" w:themeColor="text1"/>
          <w:sz w:val="24"/>
          <w14:textFill>
            <w14:solidFill>
              <w14:schemeClr w14:val="tx1"/>
            </w14:solidFill>
          </w14:textFill>
        </w:rPr>
        <w:t>其他污染物环境质量现状监测结果及评价结果表</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56"/>
        <w:gridCol w:w="1997"/>
        <w:gridCol w:w="1342"/>
        <w:gridCol w:w="1347"/>
        <w:gridCol w:w="1103"/>
        <w:gridCol w:w="1123"/>
        <w:gridCol w:w="1705"/>
        <w:gridCol w:w="1705"/>
        <w:gridCol w:w="1015"/>
        <w:gridCol w:w="1282"/>
      </w:tblGrid>
      <w:tr w14:paraId="1C50A0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9" w:type="pct"/>
            <w:vMerge w:val="restart"/>
            <w:shd w:val="clear" w:color="auto" w:fill="auto"/>
            <w:vAlign w:val="center"/>
          </w:tcPr>
          <w:p w14:paraId="627B7FE2">
            <w:pPr>
              <w:widowControl/>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监测点位</w:t>
            </w:r>
          </w:p>
        </w:tc>
        <w:tc>
          <w:tcPr>
            <w:tcW w:w="704" w:type="pct"/>
            <w:vMerge w:val="restart"/>
            <w:shd w:val="clear" w:color="auto" w:fill="auto"/>
            <w:vAlign w:val="center"/>
          </w:tcPr>
          <w:p w14:paraId="40845A6A">
            <w:pPr>
              <w:widowControl/>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监测</w:t>
            </w:r>
          </w:p>
          <w:p w14:paraId="761DBC16">
            <w:pPr>
              <w:widowControl/>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项目</w:t>
            </w:r>
          </w:p>
        </w:tc>
        <w:tc>
          <w:tcPr>
            <w:tcW w:w="1733" w:type="pct"/>
            <w:gridSpan w:val="4"/>
            <w:shd w:val="clear" w:color="auto" w:fill="auto"/>
            <w:vAlign w:val="center"/>
          </w:tcPr>
          <w:p w14:paraId="33646D06">
            <w:pPr>
              <w:widowControl/>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时均浓度值</w:t>
            </w:r>
          </w:p>
        </w:tc>
        <w:tc>
          <w:tcPr>
            <w:tcW w:w="2012" w:type="pct"/>
            <w:gridSpan w:val="4"/>
            <w:shd w:val="clear" w:color="auto" w:fill="auto"/>
            <w:vAlign w:val="center"/>
          </w:tcPr>
          <w:p w14:paraId="2DB3635F">
            <w:pPr>
              <w:widowControl/>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日平均浓度值</w:t>
            </w:r>
          </w:p>
        </w:tc>
      </w:tr>
      <w:tr w14:paraId="6824EB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9" w:type="pct"/>
            <w:vMerge w:val="continue"/>
            <w:vAlign w:val="center"/>
          </w:tcPr>
          <w:p w14:paraId="6F17F08A">
            <w:pPr>
              <w:widowControl/>
              <w:spacing w:line="276" w:lineRule="auto"/>
              <w:jc w:val="left"/>
              <w:rPr>
                <w:rFonts w:hint="default" w:ascii="Times New Roman" w:hAnsi="Times New Roman" w:cs="Times New Roman"/>
                <w:b/>
                <w:color w:val="000000" w:themeColor="text1"/>
                <w:spacing w:val="0"/>
                <w:sz w:val="21"/>
                <w:szCs w:val="21"/>
                <w14:textFill>
                  <w14:solidFill>
                    <w14:schemeClr w14:val="tx1"/>
                  </w14:solidFill>
                </w14:textFill>
              </w:rPr>
            </w:pPr>
          </w:p>
        </w:tc>
        <w:tc>
          <w:tcPr>
            <w:tcW w:w="704" w:type="pct"/>
            <w:vMerge w:val="continue"/>
            <w:vAlign w:val="center"/>
          </w:tcPr>
          <w:p w14:paraId="09D129D0">
            <w:pPr>
              <w:widowControl/>
              <w:spacing w:line="276" w:lineRule="auto"/>
              <w:jc w:val="left"/>
              <w:rPr>
                <w:rFonts w:hint="default" w:ascii="Times New Roman" w:hAnsi="Times New Roman" w:cs="Times New Roman"/>
                <w:b/>
                <w:color w:val="000000" w:themeColor="text1"/>
                <w:spacing w:val="0"/>
                <w:sz w:val="21"/>
                <w:szCs w:val="21"/>
                <w14:textFill>
                  <w14:solidFill>
                    <w14:schemeClr w14:val="tx1"/>
                  </w14:solidFill>
                </w14:textFill>
              </w:rPr>
            </w:pPr>
          </w:p>
        </w:tc>
        <w:tc>
          <w:tcPr>
            <w:tcW w:w="948" w:type="pct"/>
            <w:gridSpan w:val="2"/>
            <w:shd w:val="clear" w:color="auto" w:fill="auto"/>
            <w:vAlign w:val="center"/>
          </w:tcPr>
          <w:p w14:paraId="4A637EF9">
            <w:pPr>
              <w:widowControl/>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浓度范围</w:t>
            </w:r>
          </w:p>
        </w:tc>
        <w:tc>
          <w:tcPr>
            <w:tcW w:w="389" w:type="pct"/>
            <w:vMerge w:val="restart"/>
            <w:shd w:val="clear" w:color="auto" w:fill="auto"/>
            <w:vAlign w:val="center"/>
          </w:tcPr>
          <w:p w14:paraId="137F67F0">
            <w:pPr>
              <w:widowControl/>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最大占标率%</w:t>
            </w:r>
          </w:p>
        </w:tc>
        <w:tc>
          <w:tcPr>
            <w:tcW w:w="395" w:type="pct"/>
            <w:shd w:val="clear" w:color="auto" w:fill="auto"/>
            <w:vAlign w:val="center"/>
          </w:tcPr>
          <w:p w14:paraId="4F09F765">
            <w:pPr>
              <w:widowControl/>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超标率</w:t>
            </w:r>
          </w:p>
        </w:tc>
        <w:tc>
          <w:tcPr>
            <w:tcW w:w="1202" w:type="pct"/>
            <w:gridSpan w:val="2"/>
            <w:shd w:val="clear" w:color="auto" w:fill="auto"/>
            <w:vAlign w:val="center"/>
          </w:tcPr>
          <w:p w14:paraId="770D5DF2">
            <w:pPr>
              <w:widowControl/>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浓度范围</w:t>
            </w:r>
          </w:p>
        </w:tc>
        <w:tc>
          <w:tcPr>
            <w:tcW w:w="358" w:type="pct"/>
            <w:vMerge w:val="restart"/>
            <w:shd w:val="clear" w:color="auto" w:fill="auto"/>
            <w:vAlign w:val="center"/>
          </w:tcPr>
          <w:p w14:paraId="4F0A4BDA">
            <w:pPr>
              <w:widowControl/>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最大占标率(%)</w:t>
            </w:r>
          </w:p>
        </w:tc>
        <w:tc>
          <w:tcPr>
            <w:tcW w:w="451" w:type="pct"/>
            <w:shd w:val="clear" w:color="auto" w:fill="auto"/>
            <w:vAlign w:val="center"/>
          </w:tcPr>
          <w:p w14:paraId="327678E5">
            <w:pPr>
              <w:widowControl/>
              <w:spacing w:line="276" w:lineRule="auto"/>
              <w:jc w:val="center"/>
              <w:rPr>
                <w:rFonts w:hint="default" w:ascii="Times New Roman" w:hAnsi="Times New Roman" w:cs="Times New Roman"/>
                <w:b/>
                <w:color w:val="000000" w:themeColor="text1"/>
                <w:spacing w:val="-20"/>
                <w:sz w:val="21"/>
                <w:szCs w:val="21"/>
                <w14:textFill>
                  <w14:solidFill>
                    <w14:schemeClr w14:val="tx1"/>
                  </w14:solidFill>
                </w14:textFill>
              </w:rPr>
            </w:pPr>
            <w:r>
              <w:rPr>
                <w:rFonts w:hint="default" w:ascii="Times New Roman" w:hAnsi="Times New Roman" w:cs="Times New Roman"/>
                <w:b/>
                <w:color w:val="000000" w:themeColor="text1"/>
                <w:spacing w:val="-20"/>
                <w:sz w:val="21"/>
                <w:szCs w:val="21"/>
                <w14:textFill>
                  <w14:solidFill>
                    <w14:schemeClr w14:val="tx1"/>
                  </w14:solidFill>
                </w14:textFill>
              </w:rPr>
              <w:t>超标率</w:t>
            </w:r>
          </w:p>
        </w:tc>
      </w:tr>
      <w:tr w14:paraId="1AF4A3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9" w:type="pct"/>
            <w:vMerge w:val="continue"/>
            <w:vAlign w:val="center"/>
          </w:tcPr>
          <w:p w14:paraId="26A56C9F">
            <w:pPr>
              <w:widowControl/>
              <w:spacing w:line="276" w:lineRule="auto"/>
              <w:jc w:val="left"/>
              <w:rPr>
                <w:rFonts w:hint="default" w:ascii="Times New Roman" w:hAnsi="Times New Roman" w:cs="Times New Roman"/>
                <w:b/>
                <w:color w:val="000000" w:themeColor="text1"/>
                <w:spacing w:val="0"/>
                <w:sz w:val="21"/>
                <w:szCs w:val="21"/>
                <w14:textFill>
                  <w14:solidFill>
                    <w14:schemeClr w14:val="tx1"/>
                  </w14:solidFill>
                </w14:textFill>
              </w:rPr>
            </w:pPr>
          </w:p>
        </w:tc>
        <w:tc>
          <w:tcPr>
            <w:tcW w:w="704" w:type="pct"/>
            <w:vMerge w:val="continue"/>
            <w:vAlign w:val="center"/>
          </w:tcPr>
          <w:p w14:paraId="310DF72B">
            <w:pPr>
              <w:widowControl/>
              <w:spacing w:line="276" w:lineRule="auto"/>
              <w:jc w:val="left"/>
              <w:rPr>
                <w:rFonts w:hint="default" w:ascii="Times New Roman" w:hAnsi="Times New Roman" w:cs="Times New Roman"/>
                <w:b/>
                <w:color w:val="000000" w:themeColor="text1"/>
                <w:spacing w:val="0"/>
                <w:sz w:val="21"/>
                <w:szCs w:val="21"/>
                <w14:textFill>
                  <w14:solidFill>
                    <w14:schemeClr w14:val="tx1"/>
                  </w14:solidFill>
                </w14:textFill>
              </w:rPr>
            </w:pPr>
          </w:p>
        </w:tc>
        <w:tc>
          <w:tcPr>
            <w:tcW w:w="473" w:type="pct"/>
            <w:shd w:val="clear" w:color="auto" w:fill="auto"/>
            <w:vAlign w:val="center"/>
          </w:tcPr>
          <w:p w14:paraId="6BA3EC71">
            <w:pPr>
              <w:widowControl/>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最小值</w:t>
            </w:r>
          </w:p>
        </w:tc>
        <w:tc>
          <w:tcPr>
            <w:tcW w:w="475" w:type="pct"/>
            <w:shd w:val="clear" w:color="auto" w:fill="auto"/>
            <w:vAlign w:val="center"/>
          </w:tcPr>
          <w:p w14:paraId="183BC438">
            <w:pPr>
              <w:widowControl/>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最大值</w:t>
            </w:r>
          </w:p>
        </w:tc>
        <w:tc>
          <w:tcPr>
            <w:tcW w:w="389" w:type="pct"/>
            <w:vMerge w:val="continue"/>
            <w:vAlign w:val="center"/>
          </w:tcPr>
          <w:p w14:paraId="1AB5E716">
            <w:pPr>
              <w:widowControl/>
              <w:spacing w:line="276" w:lineRule="auto"/>
              <w:jc w:val="left"/>
              <w:rPr>
                <w:rFonts w:hint="default" w:ascii="Times New Roman" w:hAnsi="Times New Roman" w:cs="Times New Roman"/>
                <w:b/>
                <w:color w:val="000000" w:themeColor="text1"/>
                <w:spacing w:val="0"/>
                <w:sz w:val="21"/>
                <w:szCs w:val="21"/>
                <w14:textFill>
                  <w14:solidFill>
                    <w14:schemeClr w14:val="tx1"/>
                  </w14:solidFill>
                </w14:textFill>
              </w:rPr>
            </w:pPr>
          </w:p>
        </w:tc>
        <w:tc>
          <w:tcPr>
            <w:tcW w:w="395" w:type="pct"/>
            <w:shd w:val="clear" w:color="auto" w:fill="auto"/>
            <w:vAlign w:val="center"/>
          </w:tcPr>
          <w:p w14:paraId="01479136">
            <w:pPr>
              <w:widowControl/>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w:t>
            </w:r>
          </w:p>
        </w:tc>
        <w:tc>
          <w:tcPr>
            <w:tcW w:w="601" w:type="pct"/>
            <w:shd w:val="clear" w:color="auto" w:fill="auto"/>
            <w:vAlign w:val="center"/>
          </w:tcPr>
          <w:p w14:paraId="1E6D9DFF">
            <w:pPr>
              <w:widowControl/>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最小值</w:t>
            </w:r>
          </w:p>
        </w:tc>
        <w:tc>
          <w:tcPr>
            <w:tcW w:w="601" w:type="pct"/>
            <w:shd w:val="clear" w:color="auto" w:fill="auto"/>
            <w:vAlign w:val="center"/>
          </w:tcPr>
          <w:p w14:paraId="7D41A4E9">
            <w:pPr>
              <w:widowControl/>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最大值</w:t>
            </w:r>
          </w:p>
        </w:tc>
        <w:tc>
          <w:tcPr>
            <w:tcW w:w="358" w:type="pct"/>
            <w:vMerge w:val="continue"/>
            <w:vAlign w:val="center"/>
          </w:tcPr>
          <w:p w14:paraId="4A5C5E81">
            <w:pPr>
              <w:widowControl/>
              <w:spacing w:line="276" w:lineRule="auto"/>
              <w:jc w:val="left"/>
              <w:rPr>
                <w:rFonts w:hint="default" w:ascii="Times New Roman" w:hAnsi="Times New Roman" w:cs="Times New Roman"/>
                <w:b/>
                <w:color w:val="000000" w:themeColor="text1"/>
                <w:spacing w:val="0"/>
                <w:sz w:val="21"/>
                <w:szCs w:val="21"/>
                <w14:textFill>
                  <w14:solidFill>
                    <w14:schemeClr w14:val="tx1"/>
                  </w14:solidFill>
                </w14:textFill>
              </w:rPr>
            </w:pPr>
          </w:p>
        </w:tc>
        <w:tc>
          <w:tcPr>
            <w:tcW w:w="451" w:type="pct"/>
            <w:shd w:val="clear" w:color="auto" w:fill="auto"/>
            <w:vAlign w:val="center"/>
          </w:tcPr>
          <w:p w14:paraId="4C2388C1">
            <w:pPr>
              <w:widowControl/>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w:t>
            </w:r>
          </w:p>
        </w:tc>
      </w:tr>
      <w:tr w14:paraId="21885A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49" w:type="pct"/>
            <w:vMerge w:val="restart"/>
            <w:shd w:val="clear" w:color="auto" w:fill="auto"/>
            <w:vAlign w:val="center"/>
          </w:tcPr>
          <w:p w14:paraId="4DBF9A62">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G</w:t>
            </w:r>
            <w:r>
              <w:rPr>
                <w:rFonts w:hint="default" w:ascii="Times New Roman" w:hAnsi="Times New Roman" w:cs="Times New Roman"/>
                <w:color w:val="000000" w:themeColor="text1"/>
                <w:spacing w:val="0"/>
                <w:sz w:val="21"/>
                <w:szCs w:val="21"/>
                <w:vertAlign w:val="subscript"/>
                <w14:textFill>
                  <w14:solidFill>
                    <w14:schemeClr w14:val="tx1"/>
                  </w14:solidFill>
                </w14:textFill>
              </w:rPr>
              <w:t>1</w:t>
            </w:r>
            <w:r>
              <w:rPr>
                <w:rFonts w:hint="default" w:ascii="Times New Roman" w:hAnsi="Times New Roman" w:cs="Times New Roman"/>
                <w:color w:val="000000" w:themeColor="text1"/>
                <w:spacing w:val="0"/>
                <w:kern w:val="2"/>
                <w:sz w:val="21"/>
                <w:szCs w:val="21"/>
                <w14:textFill>
                  <w14:solidFill>
                    <w14:schemeClr w14:val="tx1"/>
                  </w14:solidFill>
                </w14:textFill>
              </w:rPr>
              <w:t>项目厂址</w:t>
            </w:r>
          </w:p>
        </w:tc>
        <w:tc>
          <w:tcPr>
            <w:tcW w:w="704" w:type="pct"/>
            <w:shd w:val="clear" w:color="auto" w:fill="auto"/>
            <w:vAlign w:val="center"/>
          </w:tcPr>
          <w:p w14:paraId="39AF79BD">
            <w:pPr>
              <w:widowControl/>
              <w:spacing w:line="276" w:lineRule="auto"/>
              <w:jc w:val="center"/>
              <w:rPr>
                <w:rFonts w:hint="default" w:ascii="Times New Roman" w:hAnsi="Times New Roman" w:cs="Times New Roman"/>
                <w:color w:val="000000" w:themeColor="text1"/>
                <w:spacing w:val="-2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TSP</w:t>
            </w:r>
            <w:r>
              <w:rPr>
                <w:rFonts w:hint="default" w:ascii="Times New Roman" w:hAnsi="Times New Roman" w:cs="Times New Roman"/>
                <w:color w:val="000000" w:themeColor="text1"/>
                <w:spacing w:val="0"/>
                <w:sz w:val="21"/>
                <w:szCs w:val="21"/>
                <w14:textFill>
                  <w14:solidFill>
                    <w14:schemeClr w14:val="tx1"/>
                  </w14:solidFill>
                </w14:textFill>
              </w:rPr>
              <w:t>(μg/m</w:t>
            </w:r>
            <w:r>
              <w:rPr>
                <w:rFonts w:hint="default" w:ascii="Times New Roman" w:hAnsi="Times New Roman" w:cs="Times New Roman"/>
                <w:color w:val="000000" w:themeColor="text1"/>
                <w:spacing w:val="0"/>
                <w:sz w:val="21"/>
                <w:szCs w:val="21"/>
                <w:vertAlign w:val="super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w:t>
            </w:r>
          </w:p>
        </w:tc>
        <w:tc>
          <w:tcPr>
            <w:tcW w:w="473" w:type="pct"/>
            <w:shd w:val="clear" w:color="auto" w:fill="auto"/>
            <w:vAlign w:val="center"/>
          </w:tcPr>
          <w:p w14:paraId="34215F0A">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475" w:type="pct"/>
            <w:shd w:val="clear" w:color="auto" w:fill="auto"/>
            <w:vAlign w:val="center"/>
          </w:tcPr>
          <w:p w14:paraId="1EE0035C">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389" w:type="pct"/>
            <w:shd w:val="clear" w:color="auto" w:fill="auto"/>
            <w:vAlign w:val="center"/>
          </w:tcPr>
          <w:p w14:paraId="51589DD9">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395" w:type="pct"/>
            <w:shd w:val="clear" w:color="auto" w:fill="auto"/>
            <w:vAlign w:val="center"/>
          </w:tcPr>
          <w:p w14:paraId="3CD78E27">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601" w:type="pct"/>
            <w:shd w:val="clear" w:color="auto" w:fill="auto"/>
            <w:vAlign w:val="center"/>
          </w:tcPr>
          <w:p w14:paraId="0380624B">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218</w:t>
            </w:r>
          </w:p>
        </w:tc>
        <w:tc>
          <w:tcPr>
            <w:tcW w:w="601" w:type="pct"/>
            <w:shd w:val="clear" w:color="auto" w:fill="auto"/>
            <w:vAlign w:val="center"/>
          </w:tcPr>
          <w:p w14:paraId="501F042E">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251</w:t>
            </w:r>
          </w:p>
        </w:tc>
        <w:tc>
          <w:tcPr>
            <w:tcW w:w="358" w:type="pct"/>
            <w:shd w:val="clear" w:color="auto" w:fill="auto"/>
            <w:vAlign w:val="center"/>
          </w:tcPr>
          <w:p w14:paraId="6B330ED8">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84</w:t>
            </w:r>
          </w:p>
        </w:tc>
        <w:tc>
          <w:tcPr>
            <w:tcW w:w="451" w:type="pct"/>
            <w:shd w:val="clear" w:color="auto" w:fill="auto"/>
            <w:vAlign w:val="center"/>
          </w:tcPr>
          <w:p w14:paraId="1D344224">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w:t>
            </w:r>
          </w:p>
        </w:tc>
      </w:tr>
      <w:tr w14:paraId="7CFF90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9" w:type="pct"/>
            <w:vMerge w:val="continue"/>
            <w:vAlign w:val="center"/>
          </w:tcPr>
          <w:p w14:paraId="1FD4B83C">
            <w:pPr>
              <w:widowControl/>
              <w:spacing w:line="276" w:lineRule="auto"/>
              <w:jc w:val="left"/>
              <w:rPr>
                <w:rFonts w:hint="default" w:ascii="Times New Roman" w:hAnsi="Times New Roman" w:cs="Times New Roman"/>
                <w:color w:val="000000" w:themeColor="text1"/>
                <w:spacing w:val="0"/>
                <w:sz w:val="21"/>
                <w:szCs w:val="21"/>
                <w14:textFill>
                  <w14:solidFill>
                    <w14:schemeClr w14:val="tx1"/>
                  </w14:solidFill>
                </w14:textFill>
              </w:rPr>
            </w:pPr>
          </w:p>
        </w:tc>
        <w:tc>
          <w:tcPr>
            <w:tcW w:w="704" w:type="pct"/>
            <w:shd w:val="clear" w:color="auto" w:fill="auto"/>
            <w:vAlign w:val="center"/>
          </w:tcPr>
          <w:p w14:paraId="2C8EEA73">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(mg/m</w:t>
            </w:r>
            <w:r>
              <w:rPr>
                <w:rFonts w:hint="default" w:ascii="Times New Roman" w:hAnsi="Times New Roman" w:cs="Times New Roman"/>
                <w:color w:val="000000" w:themeColor="text1"/>
                <w:spacing w:val="0"/>
                <w:sz w:val="21"/>
                <w:szCs w:val="21"/>
                <w:vertAlign w:val="super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w:t>
            </w:r>
          </w:p>
        </w:tc>
        <w:tc>
          <w:tcPr>
            <w:tcW w:w="473" w:type="pct"/>
            <w:shd w:val="clear" w:color="auto" w:fill="auto"/>
            <w:vAlign w:val="center"/>
          </w:tcPr>
          <w:p w14:paraId="04886DF7">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0.01</w:t>
            </w:r>
          </w:p>
        </w:tc>
        <w:tc>
          <w:tcPr>
            <w:tcW w:w="475" w:type="pct"/>
            <w:shd w:val="clear" w:color="auto" w:fill="auto"/>
            <w:vAlign w:val="center"/>
          </w:tcPr>
          <w:p w14:paraId="62537F89">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0.02</w:t>
            </w:r>
          </w:p>
        </w:tc>
        <w:tc>
          <w:tcPr>
            <w:tcW w:w="389" w:type="pct"/>
            <w:shd w:val="clear" w:color="auto" w:fill="auto"/>
            <w:vAlign w:val="center"/>
          </w:tcPr>
          <w:p w14:paraId="163A461E">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10</w:t>
            </w:r>
          </w:p>
        </w:tc>
        <w:tc>
          <w:tcPr>
            <w:tcW w:w="395" w:type="pct"/>
            <w:shd w:val="clear" w:color="auto" w:fill="auto"/>
            <w:vAlign w:val="center"/>
          </w:tcPr>
          <w:p w14:paraId="2715D5F9">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w:t>
            </w:r>
          </w:p>
        </w:tc>
        <w:tc>
          <w:tcPr>
            <w:tcW w:w="601" w:type="pct"/>
            <w:shd w:val="clear" w:color="auto" w:fill="auto"/>
            <w:vAlign w:val="center"/>
          </w:tcPr>
          <w:p w14:paraId="5E1A6142">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601" w:type="pct"/>
            <w:shd w:val="clear" w:color="auto" w:fill="auto"/>
            <w:vAlign w:val="center"/>
          </w:tcPr>
          <w:p w14:paraId="26EC98FF">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358" w:type="pct"/>
            <w:shd w:val="clear" w:color="auto" w:fill="auto"/>
            <w:vAlign w:val="center"/>
          </w:tcPr>
          <w:p w14:paraId="2F75634D">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451" w:type="pct"/>
            <w:shd w:val="clear" w:color="auto" w:fill="auto"/>
            <w:vAlign w:val="center"/>
          </w:tcPr>
          <w:p w14:paraId="381D0178">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r>
      <w:tr w14:paraId="7CC13D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9" w:type="pct"/>
            <w:vMerge w:val="continue"/>
            <w:vAlign w:val="center"/>
          </w:tcPr>
          <w:p w14:paraId="5D774C31">
            <w:pPr>
              <w:widowControl/>
              <w:spacing w:line="276" w:lineRule="auto"/>
              <w:jc w:val="left"/>
              <w:rPr>
                <w:rFonts w:hint="default" w:ascii="Times New Roman" w:hAnsi="Times New Roman" w:cs="Times New Roman"/>
                <w:color w:val="000000" w:themeColor="text1"/>
                <w:spacing w:val="0"/>
                <w:sz w:val="21"/>
                <w:szCs w:val="21"/>
                <w14:textFill>
                  <w14:solidFill>
                    <w14:schemeClr w14:val="tx1"/>
                  </w14:solidFill>
                </w14:textFill>
              </w:rPr>
            </w:pPr>
          </w:p>
        </w:tc>
        <w:tc>
          <w:tcPr>
            <w:tcW w:w="704" w:type="pct"/>
            <w:shd w:val="clear" w:color="auto" w:fill="auto"/>
            <w:vAlign w:val="center"/>
          </w:tcPr>
          <w:p w14:paraId="54C1655F">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r>
              <w:rPr>
                <w:rFonts w:hint="default" w:ascii="Times New Roman" w:hAnsi="Times New Roman" w:cs="Times New Roman"/>
                <w:color w:val="000000" w:themeColor="text1"/>
                <w:spacing w:val="0"/>
                <w:sz w:val="21"/>
                <w:szCs w:val="21"/>
                <w14:textFill>
                  <w14:solidFill>
                    <w14:schemeClr w14:val="tx1"/>
                  </w14:solidFill>
                </w14:textFill>
              </w:rPr>
              <w:t>(mg/m</w:t>
            </w:r>
            <w:r>
              <w:rPr>
                <w:rFonts w:hint="default" w:ascii="Times New Roman" w:hAnsi="Times New Roman" w:cs="Times New Roman"/>
                <w:color w:val="000000" w:themeColor="text1"/>
                <w:spacing w:val="0"/>
                <w:sz w:val="21"/>
                <w:szCs w:val="21"/>
                <w:vertAlign w:val="super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w:t>
            </w:r>
          </w:p>
        </w:tc>
        <w:tc>
          <w:tcPr>
            <w:tcW w:w="473" w:type="pct"/>
            <w:shd w:val="clear" w:color="auto" w:fill="auto"/>
            <w:vAlign w:val="center"/>
          </w:tcPr>
          <w:p w14:paraId="14DE9F73">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0.98</w:t>
            </w:r>
          </w:p>
        </w:tc>
        <w:tc>
          <w:tcPr>
            <w:tcW w:w="475" w:type="pct"/>
            <w:shd w:val="clear" w:color="auto" w:fill="auto"/>
            <w:vAlign w:val="center"/>
          </w:tcPr>
          <w:p w14:paraId="4D4C068C">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1.52</w:t>
            </w:r>
          </w:p>
        </w:tc>
        <w:tc>
          <w:tcPr>
            <w:tcW w:w="389" w:type="pct"/>
            <w:shd w:val="clear" w:color="auto" w:fill="auto"/>
            <w:vAlign w:val="center"/>
          </w:tcPr>
          <w:p w14:paraId="3377E457">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76</w:t>
            </w:r>
          </w:p>
        </w:tc>
        <w:tc>
          <w:tcPr>
            <w:tcW w:w="395" w:type="pct"/>
            <w:shd w:val="clear" w:color="auto" w:fill="auto"/>
            <w:vAlign w:val="center"/>
          </w:tcPr>
          <w:p w14:paraId="7033CC37">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w:t>
            </w:r>
          </w:p>
        </w:tc>
        <w:tc>
          <w:tcPr>
            <w:tcW w:w="601" w:type="pct"/>
            <w:shd w:val="clear" w:color="auto" w:fill="auto"/>
            <w:vAlign w:val="center"/>
          </w:tcPr>
          <w:p w14:paraId="1CDC45F7">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601" w:type="pct"/>
            <w:shd w:val="clear" w:color="auto" w:fill="auto"/>
            <w:vAlign w:val="center"/>
          </w:tcPr>
          <w:p w14:paraId="643FA70F">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358" w:type="pct"/>
            <w:shd w:val="clear" w:color="auto" w:fill="auto"/>
            <w:vAlign w:val="center"/>
          </w:tcPr>
          <w:p w14:paraId="52441808">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451" w:type="pct"/>
            <w:shd w:val="clear" w:color="auto" w:fill="auto"/>
            <w:vAlign w:val="center"/>
          </w:tcPr>
          <w:p w14:paraId="52389FF9">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r>
      <w:tr w14:paraId="7FDA83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9" w:type="pct"/>
            <w:vMerge w:val="continue"/>
            <w:vAlign w:val="center"/>
          </w:tcPr>
          <w:p w14:paraId="38CD5674">
            <w:pPr>
              <w:widowControl/>
              <w:spacing w:line="276" w:lineRule="auto"/>
              <w:jc w:val="left"/>
              <w:rPr>
                <w:rFonts w:hint="default" w:ascii="Times New Roman" w:hAnsi="Times New Roman" w:cs="Times New Roman"/>
                <w:color w:val="000000" w:themeColor="text1"/>
                <w:spacing w:val="0"/>
                <w:sz w:val="21"/>
                <w:szCs w:val="21"/>
                <w14:textFill>
                  <w14:solidFill>
                    <w14:schemeClr w14:val="tx1"/>
                  </w14:solidFill>
                </w14:textFill>
              </w:rPr>
            </w:pPr>
          </w:p>
        </w:tc>
        <w:tc>
          <w:tcPr>
            <w:tcW w:w="704" w:type="pct"/>
            <w:shd w:val="clear" w:color="auto" w:fill="auto"/>
            <w:vAlign w:val="center"/>
          </w:tcPr>
          <w:p w14:paraId="062D2587">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H</w:t>
            </w:r>
            <w:r>
              <w:rPr>
                <w:rFonts w:hint="default" w:ascii="Times New Roman" w:hAnsi="Times New Roman" w:cs="Times New Roman"/>
                <w:color w:val="000000" w:themeColor="text1"/>
                <w:sz w:val="21"/>
                <w:szCs w:val="21"/>
                <w:vertAlign w:val="subscript"/>
                <w:lang w:val="en-US" w:eastAsia="zh-CN"/>
                <w14:textFill>
                  <w14:solidFill>
                    <w14:schemeClr w14:val="tx1"/>
                  </w14:solidFill>
                </w14:textFill>
              </w:rPr>
              <w:t>2</w:t>
            </w:r>
            <w:r>
              <w:rPr>
                <w:rFonts w:hint="default" w:ascii="Times New Roman" w:hAnsi="Times New Roman" w:cs="Times New Roman"/>
                <w:color w:val="000000" w:themeColor="text1"/>
                <w:sz w:val="21"/>
                <w:szCs w:val="21"/>
                <w:lang w:val="en-US" w:eastAsia="zh-CN"/>
                <w14:textFill>
                  <w14:solidFill>
                    <w14:schemeClr w14:val="tx1"/>
                  </w14:solidFill>
                </w14:textFill>
              </w:rPr>
              <w:t>S</w:t>
            </w:r>
            <w:r>
              <w:rPr>
                <w:rFonts w:hint="default" w:ascii="Times New Roman" w:hAnsi="Times New Roman" w:cs="Times New Roman"/>
                <w:color w:val="000000" w:themeColor="text1"/>
                <w:spacing w:val="0"/>
                <w:sz w:val="21"/>
                <w:szCs w:val="21"/>
                <w14:textFill>
                  <w14:solidFill>
                    <w14:schemeClr w14:val="tx1"/>
                  </w14:solidFill>
                </w14:textFill>
              </w:rPr>
              <w:t>(μg/m</w:t>
            </w:r>
            <w:r>
              <w:rPr>
                <w:rFonts w:hint="default" w:ascii="Times New Roman" w:hAnsi="Times New Roman" w:cs="Times New Roman"/>
                <w:color w:val="000000" w:themeColor="text1"/>
                <w:spacing w:val="0"/>
                <w:sz w:val="21"/>
                <w:szCs w:val="21"/>
                <w:vertAlign w:val="super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w:t>
            </w:r>
          </w:p>
        </w:tc>
        <w:tc>
          <w:tcPr>
            <w:tcW w:w="473" w:type="pct"/>
            <w:shd w:val="clear" w:color="auto" w:fill="auto"/>
            <w:vAlign w:val="center"/>
          </w:tcPr>
          <w:p w14:paraId="214CCE90">
            <w:pPr>
              <w:widowControl/>
              <w:spacing w:line="276"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lang w:val="en-US" w:eastAsia="zh-CN"/>
                <w14:textFill>
                  <w14:solidFill>
                    <w14:schemeClr w14:val="tx1"/>
                  </w14:solidFill>
                </w14:textFill>
              </w:rPr>
              <w:t>4</w:t>
            </w:r>
          </w:p>
        </w:tc>
        <w:tc>
          <w:tcPr>
            <w:tcW w:w="475" w:type="pct"/>
            <w:shd w:val="clear" w:color="auto" w:fill="auto"/>
            <w:vAlign w:val="center"/>
          </w:tcPr>
          <w:p w14:paraId="063D5306">
            <w:pPr>
              <w:widowControl/>
              <w:spacing w:line="276"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lang w:val="en-US" w:eastAsia="zh-CN"/>
                <w14:textFill>
                  <w14:solidFill>
                    <w14:schemeClr w14:val="tx1"/>
                  </w14:solidFill>
                </w14:textFill>
              </w:rPr>
              <w:t>7</w:t>
            </w:r>
          </w:p>
        </w:tc>
        <w:tc>
          <w:tcPr>
            <w:tcW w:w="389" w:type="pct"/>
            <w:shd w:val="clear" w:color="auto" w:fill="auto"/>
            <w:vAlign w:val="center"/>
          </w:tcPr>
          <w:p w14:paraId="2DD2DED1">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val="en-US" w:eastAsia="zh-CN"/>
                <w14:textFill>
                  <w14:solidFill>
                    <w14:schemeClr w14:val="tx1"/>
                  </w14:solidFill>
                </w14:textFill>
              </w:rPr>
              <w:t>7</w:t>
            </w:r>
            <w:r>
              <w:rPr>
                <w:rFonts w:hint="default" w:ascii="Times New Roman" w:hAnsi="Times New Roman" w:cs="Times New Roman"/>
                <w:color w:val="000000" w:themeColor="text1"/>
                <w:spacing w:val="0"/>
                <w:sz w:val="21"/>
                <w:szCs w:val="21"/>
                <w14:textFill>
                  <w14:solidFill>
                    <w14:schemeClr w14:val="tx1"/>
                  </w14:solidFill>
                </w14:textFill>
              </w:rPr>
              <w:t>0</w:t>
            </w:r>
          </w:p>
        </w:tc>
        <w:tc>
          <w:tcPr>
            <w:tcW w:w="395" w:type="pct"/>
            <w:shd w:val="clear" w:color="auto" w:fill="auto"/>
            <w:vAlign w:val="center"/>
          </w:tcPr>
          <w:p w14:paraId="493F777A">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w:t>
            </w:r>
          </w:p>
        </w:tc>
        <w:tc>
          <w:tcPr>
            <w:tcW w:w="1705" w:type="dxa"/>
            <w:shd w:val="clear" w:color="auto" w:fill="auto"/>
            <w:vAlign w:val="center"/>
          </w:tcPr>
          <w:p w14:paraId="3E2AA1C2">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1705" w:type="dxa"/>
            <w:shd w:val="clear" w:color="auto" w:fill="auto"/>
            <w:vAlign w:val="center"/>
          </w:tcPr>
          <w:p w14:paraId="3C60374E">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1015" w:type="dxa"/>
            <w:shd w:val="clear" w:color="auto" w:fill="auto"/>
            <w:vAlign w:val="center"/>
          </w:tcPr>
          <w:p w14:paraId="03AFCA5E">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1282" w:type="dxa"/>
            <w:shd w:val="clear" w:color="auto" w:fill="auto"/>
            <w:vAlign w:val="center"/>
          </w:tcPr>
          <w:p w14:paraId="215C9E74">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r>
      <w:tr w14:paraId="1B1371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49" w:type="pct"/>
            <w:vMerge w:val="restart"/>
            <w:shd w:val="clear" w:color="auto" w:fill="auto"/>
            <w:vAlign w:val="center"/>
          </w:tcPr>
          <w:p w14:paraId="161477E0">
            <w:pPr>
              <w:widowControl/>
              <w:spacing w:line="276"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kern w:val="2"/>
                <w:sz w:val="21"/>
                <w:szCs w:val="21"/>
                <w14:textFill>
                  <w14:solidFill>
                    <w14:schemeClr w14:val="tx1"/>
                  </w14:solidFill>
                </w14:textFill>
              </w:rPr>
              <w:t>G</w:t>
            </w:r>
            <w:r>
              <w:rPr>
                <w:rFonts w:hint="default" w:ascii="Times New Roman" w:hAnsi="Times New Roman" w:cs="Times New Roman"/>
                <w:color w:val="000000" w:themeColor="text1"/>
                <w:spacing w:val="0"/>
                <w:kern w:val="2"/>
                <w:sz w:val="21"/>
                <w:szCs w:val="21"/>
                <w:vertAlign w:val="sub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刘团郢</w:t>
            </w:r>
          </w:p>
        </w:tc>
        <w:tc>
          <w:tcPr>
            <w:tcW w:w="704" w:type="pct"/>
            <w:shd w:val="clear" w:color="auto" w:fill="auto"/>
            <w:vAlign w:val="center"/>
          </w:tcPr>
          <w:p w14:paraId="4E2530A2">
            <w:pPr>
              <w:widowControl/>
              <w:spacing w:line="276" w:lineRule="auto"/>
              <w:jc w:val="center"/>
              <w:rPr>
                <w:rFonts w:hint="default" w:ascii="Times New Roman" w:hAnsi="Times New Roman" w:cs="Times New Roman"/>
                <w:color w:val="000000" w:themeColor="text1"/>
                <w:spacing w:val="-2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TSP</w:t>
            </w:r>
            <w:r>
              <w:rPr>
                <w:rFonts w:hint="default" w:ascii="Times New Roman" w:hAnsi="Times New Roman" w:cs="Times New Roman"/>
                <w:color w:val="000000" w:themeColor="text1"/>
                <w:spacing w:val="0"/>
                <w:sz w:val="21"/>
                <w:szCs w:val="21"/>
                <w14:textFill>
                  <w14:solidFill>
                    <w14:schemeClr w14:val="tx1"/>
                  </w14:solidFill>
                </w14:textFill>
              </w:rPr>
              <w:t>(mg/m</w:t>
            </w:r>
            <w:r>
              <w:rPr>
                <w:rFonts w:hint="default" w:ascii="Times New Roman" w:hAnsi="Times New Roman" w:cs="Times New Roman"/>
                <w:color w:val="000000" w:themeColor="text1"/>
                <w:spacing w:val="0"/>
                <w:sz w:val="21"/>
                <w:szCs w:val="21"/>
                <w:vertAlign w:val="super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w:t>
            </w:r>
          </w:p>
        </w:tc>
        <w:tc>
          <w:tcPr>
            <w:tcW w:w="473" w:type="pct"/>
            <w:shd w:val="clear" w:color="auto" w:fill="auto"/>
            <w:vAlign w:val="center"/>
          </w:tcPr>
          <w:p w14:paraId="47B71B8D">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475" w:type="pct"/>
            <w:shd w:val="clear" w:color="auto" w:fill="auto"/>
            <w:vAlign w:val="center"/>
          </w:tcPr>
          <w:p w14:paraId="1F1C319D">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389" w:type="pct"/>
            <w:shd w:val="clear" w:color="auto" w:fill="auto"/>
            <w:vAlign w:val="center"/>
          </w:tcPr>
          <w:p w14:paraId="1A7F22B2">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395" w:type="pct"/>
            <w:shd w:val="clear" w:color="auto" w:fill="auto"/>
            <w:vAlign w:val="center"/>
          </w:tcPr>
          <w:p w14:paraId="3F0942CF">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601" w:type="pct"/>
            <w:shd w:val="clear" w:color="auto" w:fill="auto"/>
          </w:tcPr>
          <w:p w14:paraId="1D6B7391">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161</w:t>
            </w:r>
          </w:p>
        </w:tc>
        <w:tc>
          <w:tcPr>
            <w:tcW w:w="601" w:type="pct"/>
            <w:shd w:val="clear" w:color="auto" w:fill="auto"/>
          </w:tcPr>
          <w:p w14:paraId="5FE9B21C">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187</w:t>
            </w:r>
          </w:p>
        </w:tc>
        <w:tc>
          <w:tcPr>
            <w:tcW w:w="358" w:type="pct"/>
            <w:shd w:val="clear" w:color="auto" w:fill="auto"/>
          </w:tcPr>
          <w:p w14:paraId="1FF1CEA5">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62</w:t>
            </w:r>
          </w:p>
        </w:tc>
        <w:tc>
          <w:tcPr>
            <w:tcW w:w="451" w:type="pct"/>
            <w:shd w:val="clear" w:color="auto" w:fill="auto"/>
          </w:tcPr>
          <w:p w14:paraId="633305E1">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w:t>
            </w:r>
          </w:p>
        </w:tc>
      </w:tr>
      <w:tr w14:paraId="1AB482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49" w:type="pct"/>
            <w:vMerge w:val="continue"/>
            <w:shd w:val="clear" w:color="auto" w:fill="auto"/>
            <w:vAlign w:val="center"/>
          </w:tcPr>
          <w:p w14:paraId="7849E97D">
            <w:pPr>
              <w:widowControl/>
              <w:spacing w:line="276" w:lineRule="auto"/>
              <w:jc w:val="center"/>
              <w:rPr>
                <w:rFonts w:hint="default" w:ascii="Times New Roman" w:hAnsi="Times New Roman" w:cs="Times New Roman"/>
                <w:color w:val="000000" w:themeColor="text1"/>
                <w:spacing w:val="0"/>
                <w:kern w:val="2"/>
                <w:sz w:val="21"/>
                <w:szCs w:val="21"/>
                <w14:textFill>
                  <w14:solidFill>
                    <w14:schemeClr w14:val="tx1"/>
                  </w14:solidFill>
                </w14:textFill>
              </w:rPr>
            </w:pPr>
          </w:p>
        </w:tc>
        <w:tc>
          <w:tcPr>
            <w:tcW w:w="704" w:type="pct"/>
            <w:shd w:val="clear" w:color="auto" w:fill="auto"/>
            <w:vAlign w:val="center"/>
          </w:tcPr>
          <w:p w14:paraId="6BABA086">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(mg/m</w:t>
            </w:r>
            <w:r>
              <w:rPr>
                <w:rFonts w:hint="default" w:ascii="Times New Roman" w:hAnsi="Times New Roman" w:cs="Times New Roman"/>
                <w:color w:val="000000" w:themeColor="text1"/>
                <w:spacing w:val="0"/>
                <w:sz w:val="21"/>
                <w:szCs w:val="21"/>
                <w:vertAlign w:val="super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w:t>
            </w:r>
          </w:p>
        </w:tc>
        <w:tc>
          <w:tcPr>
            <w:tcW w:w="473" w:type="pct"/>
            <w:shd w:val="clear" w:color="auto" w:fill="auto"/>
            <w:vAlign w:val="center"/>
          </w:tcPr>
          <w:p w14:paraId="3DBE1416">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0.02</w:t>
            </w:r>
          </w:p>
        </w:tc>
        <w:tc>
          <w:tcPr>
            <w:tcW w:w="475" w:type="pct"/>
            <w:shd w:val="clear" w:color="auto" w:fill="auto"/>
            <w:vAlign w:val="center"/>
          </w:tcPr>
          <w:p w14:paraId="54D5D7F5">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0.04</w:t>
            </w:r>
          </w:p>
        </w:tc>
        <w:tc>
          <w:tcPr>
            <w:tcW w:w="389" w:type="pct"/>
            <w:shd w:val="clear" w:color="auto" w:fill="auto"/>
            <w:vAlign w:val="center"/>
          </w:tcPr>
          <w:p w14:paraId="5C3E2373">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20</w:t>
            </w:r>
          </w:p>
        </w:tc>
        <w:tc>
          <w:tcPr>
            <w:tcW w:w="395" w:type="pct"/>
            <w:shd w:val="clear" w:color="auto" w:fill="auto"/>
            <w:vAlign w:val="center"/>
          </w:tcPr>
          <w:p w14:paraId="48CD28EC">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w:t>
            </w:r>
          </w:p>
        </w:tc>
        <w:tc>
          <w:tcPr>
            <w:tcW w:w="601" w:type="pct"/>
            <w:shd w:val="clear" w:color="auto" w:fill="auto"/>
            <w:vAlign w:val="center"/>
          </w:tcPr>
          <w:p w14:paraId="7FA26CCD">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601" w:type="pct"/>
            <w:shd w:val="clear" w:color="auto" w:fill="auto"/>
            <w:vAlign w:val="center"/>
          </w:tcPr>
          <w:p w14:paraId="491F4E77">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358" w:type="pct"/>
            <w:shd w:val="clear" w:color="auto" w:fill="auto"/>
            <w:vAlign w:val="center"/>
          </w:tcPr>
          <w:p w14:paraId="3EFED522">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451" w:type="pct"/>
            <w:shd w:val="clear" w:color="auto" w:fill="auto"/>
            <w:vAlign w:val="center"/>
          </w:tcPr>
          <w:p w14:paraId="4B6E18DE">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r>
      <w:tr w14:paraId="5D0B26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49" w:type="pct"/>
            <w:vMerge w:val="continue"/>
            <w:shd w:val="clear" w:color="auto" w:fill="auto"/>
            <w:vAlign w:val="center"/>
          </w:tcPr>
          <w:p w14:paraId="597B965C">
            <w:pPr>
              <w:widowControl/>
              <w:spacing w:line="276" w:lineRule="auto"/>
              <w:jc w:val="center"/>
              <w:rPr>
                <w:rFonts w:hint="default" w:ascii="Times New Roman" w:hAnsi="Times New Roman" w:cs="Times New Roman"/>
                <w:color w:val="000000" w:themeColor="text1"/>
                <w:spacing w:val="0"/>
                <w:kern w:val="2"/>
                <w:sz w:val="21"/>
                <w:szCs w:val="21"/>
                <w14:textFill>
                  <w14:solidFill>
                    <w14:schemeClr w14:val="tx1"/>
                  </w14:solidFill>
                </w14:textFill>
              </w:rPr>
            </w:pPr>
          </w:p>
        </w:tc>
        <w:tc>
          <w:tcPr>
            <w:tcW w:w="704" w:type="pct"/>
            <w:shd w:val="clear" w:color="auto" w:fill="auto"/>
            <w:vAlign w:val="center"/>
          </w:tcPr>
          <w:p w14:paraId="7490E87D">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r>
              <w:rPr>
                <w:rFonts w:hint="default" w:ascii="Times New Roman" w:hAnsi="Times New Roman" w:cs="Times New Roman"/>
                <w:color w:val="000000" w:themeColor="text1"/>
                <w:spacing w:val="0"/>
                <w:sz w:val="21"/>
                <w:szCs w:val="21"/>
                <w14:textFill>
                  <w14:solidFill>
                    <w14:schemeClr w14:val="tx1"/>
                  </w14:solidFill>
                </w14:textFill>
              </w:rPr>
              <w:t>(mg/m</w:t>
            </w:r>
            <w:r>
              <w:rPr>
                <w:rFonts w:hint="default" w:ascii="Times New Roman" w:hAnsi="Times New Roman" w:cs="Times New Roman"/>
                <w:color w:val="000000" w:themeColor="text1"/>
                <w:spacing w:val="0"/>
                <w:sz w:val="21"/>
                <w:szCs w:val="21"/>
                <w:vertAlign w:val="super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w:t>
            </w:r>
          </w:p>
        </w:tc>
        <w:tc>
          <w:tcPr>
            <w:tcW w:w="473" w:type="pct"/>
            <w:shd w:val="clear" w:color="auto" w:fill="auto"/>
            <w:vAlign w:val="center"/>
          </w:tcPr>
          <w:p w14:paraId="4312CE72">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0.95</w:t>
            </w:r>
          </w:p>
        </w:tc>
        <w:tc>
          <w:tcPr>
            <w:tcW w:w="475" w:type="pct"/>
            <w:shd w:val="clear" w:color="auto" w:fill="auto"/>
            <w:vAlign w:val="center"/>
          </w:tcPr>
          <w:p w14:paraId="0B696B5E">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1.18</w:t>
            </w:r>
          </w:p>
        </w:tc>
        <w:tc>
          <w:tcPr>
            <w:tcW w:w="389" w:type="pct"/>
            <w:shd w:val="clear" w:color="auto" w:fill="auto"/>
            <w:vAlign w:val="center"/>
          </w:tcPr>
          <w:p w14:paraId="39121D68">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59</w:t>
            </w:r>
          </w:p>
        </w:tc>
        <w:tc>
          <w:tcPr>
            <w:tcW w:w="395" w:type="pct"/>
            <w:shd w:val="clear" w:color="auto" w:fill="auto"/>
            <w:vAlign w:val="center"/>
          </w:tcPr>
          <w:p w14:paraId="758ABB90">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w:t>
            </w:r>
          </w:p>
        </w:tc>
        <w:tc>
          <w:tcPr>
            <w:tcW w:w="601" w:type="pct"/>
            <w:shd w:val="clear" w:color="auto" w:fill="auto"/>
            <w:vAlign w:val="center"/>
          </w:tcPr>
          <w:p w14:paraId="758D5CF8">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601" w:type="pct"/>
            <w:shd w:val="clear" w:color="auto" w:fill="auto"/>
            <w:vAlign w:val="center"/>
          </w:tcPr>
          <w:p w14:paraId="2D0FF7D6">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358" w:type="pct"/>
            <w:shd w:val="clear" w:color="auto" w:fill="auto"/>
            <w:vAlign w:val="center"/>
          </w:tcPr>
          <w:p w14:paraId="63FDB1F6">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451" w:type="pct"/>
            <w:shd w:val="clear" w:color="auto" w:fill="auto"/>
            <w:vAlign w:val="center"/>
          </w:tcPr>
          <w:p w14:paraId="2F9FA44B">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r>
      <w:tr w14:paraId="18240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49" w:type="pct"/>
            <w:vMerge w:val="continue"/>
            <w:shd w:val="clear" w:color="auto" w:fill="auto"/>
            <w:vAlign w:val="center"/>
          </w:tcPr>
          <w:p w14:paraId="58ED6698">
            <w:pPr>
              <w:widowControl/>
              <w:spacing w:line="276" w:lineRule="auto"/>
              <w:jc w:val="center"/>
              <w:rPr>
                <w:rFonts w:hint="default" w:ascii="Times New Roman" w:hAnsi="Times New Roman" w:cs="Times New Roman"/>
                <w:color w:val="000000" w:themeColor="text1"/>
                <w:spacing w:val="0"/>
                <w:kern w:val="2"/>
                <w:sz w:val="21"/>
                <w:szCs w:val="21"/>
                <w14:textFill>
                  <w14:solidFill>
                    <w14:schemeClr w14:val="tx1"/>
                  </w14:solidFill>
                </w14:textFill>
              </w:rPr>
            </w:pPr>
          </w:p>
        </w:tc>
        <w:tc>
          <w:tcPr>
            <w:tcW w:w="704" w:type="pct"/>
            <w:shd w:val="clear" w:color="auto" w:fill="auto"/>
            <w:vAlign w:val="center"/>
          </w:tcPr>
          <w:p w14:paraId="09837028">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H</w:t>
            </w:r>
            <w:r>
              <w:rPr>
                <w:rFonts w:hint="default" w:ascii="Times New Roman" w:hAnsi="Times New Roman" w:cs="Times New Roman"/>
                <w:color w:val="000000" w:themeColor="text1"/>
                <w:sz w:val="21"/>
                <w:szCs w:val="21"/>
                <w:vertAlign w:val="subscript"/>
                <w:lang w:val="en-US" w:eastAsia="zh-CN"/>
                <w14:textFill>
                  <w14:solidFill>
                    <w14:schemeClr w14:val="tx1"/>
                  </w14:solidFill>
                </w14:textFill>
              </w:rPr>
              <w:t>2</w:t>
            </w:r>
            <w:r>
              <w:rPr>
                <w:rFonts w:hint="default" w:ascii="Times New Roman" w:hAnsi="Times New Roman" w:cs="Times New Roman"/>
                <w:color w:val="000000" w:themeColor="text1"/>
                <w:sz w:val="21"/>
                <w:szCs w:val="21"/>
                <w:lang w:val="en-US" w:eastAsia="zh-CN"/>
                <w14:textFill>
                  <w14:solidFill>
                    <w14:schemeClr w14:val="tx1"/>
                  </w14:solidFill>
                </w14:textFill>
              </w:rPr>
              <w:t>S</w:t>
            </w:r>
            <w:r>
              <w:rPr>
                <w:rFonts w:hint="default" w:ascii="Times New Roman" w:hAnsi="Times New Roman" w:cs="Times New Roman"/>
                <w:color w:val="000000" w:themeColor="text1"/>
                <w:spacing w:val="0"/>
                <w:sz w:val="21"/>
                <w:szCs w:val="21"/>
                <w14:textFill>
                  <w14:solidFill>
                    <w14:schemeClr w14:val="tx1"/>
                  </w14:solidFill>
                </w14:textFill>
              </w:rPr>
              <w:t>(μg/m</w:t>
            </w:r>
            <w:r>
              <w:rPr>
                <w:rFonts w:hint="default" w:ascii="Times New Roman" w:hAnsi="Times New Roman" w:cs="Times New Roman"/>
                <w:color w:val="000000" w:themeColor="text1"/>
                <w:spacing w:val="0"/>
                <w:sz w:val="21"/>
                <w:szCs w:val="21"/>
                <w:vertAlign w:val="super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w:t>
            </w:r>
          </w:p>
        </w:tc>
        <w:tc>
          <w:tcPr>
            <w:tcW w:w="1342" w:type="dxa"/>
            <w:shd w:val="clear" w:color="auto" w:fill="auto"/>
            <w:vAlign w:val="center"/>
          </w:tcPr>
          <w:p w14:paraId="7389BDBE">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val="en-US" w:eastAsia="zh-CN"/>
                <w14:textFill>
                  <w14:solidFill>
                    <w14:schemeClr w14:val="tx1"/>
                  </w14:solidFill>
                </w14:textFill>
              </w:rPr>
              <w:t>4</w:t>
            </w:r>
          </w:p>
        </w:tc>
        <w:tc>
          <w:tcPr>
            <w:tcW w:w="1347" w:type="dxa"/>
            <w:shd w:val="clear" w:color="auto" w:fill="auto"/>
            <w:vAlign w:val="center"/>
          </w:tcPr>
          <w:p w14:paraId="2121833D">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val="en-US" w:eastAsia="zh-CN"/>
                <w14:textFill>
                  <w14:solidFill>
                    <w14:schemeClr w14:val="tx1"/>
                  </w14:solidFill>
                </w14:textFill>
              </w:rPr>
              <w:t>7</w:t>
            </w:r>
          </w:p>
        </w:tc>
        <w:tc>
          <w:tcPr>
            <w:tcW w:w="1103" w:type="dxa"/>
            <w:shd w:val="clear" w:color="auto" w:fill="auto"/>
            <w:vAlign w:val="center"/>
          </w:tcPr>
          <w:p w14:paraId="406C65FC">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val="en-US" w:eastAsia="zh-CN"/>
                <w14:textFill>
                  <w14:solidFill>
                    <w14:schemeClr w14:val="tx1"/>
                  </w14:solidFill>
                </w14:textFill>
              </w:rPr>
              <w:t>7</w:t>
            </w:r>
            <w:r>
              <w:rPr>
                <w:rFonts w:hint="default" w:ascii="Times New Roman" w:hAnsi="Times New Roman" w:cs="Times New Roman"/>
                <w:color w:val="000000" w:themeColor="text1"/>
                <w:spacing w:val="0"/>
                <w:sz w:val="21"/>
                <w:szCs w:val="21"/>
                <w14:textFill>
                  <w14:solidFill>
                    <w14:schemeClr w14:val="tx1"/>
                  </w14:solidFill>
                </w14:textFill>
              </w:rPr>
              <w:t>0</w:t>
            </w:r>
          </w:p>
        </w:tc>
        <w:tc>
          <w:tcPr>
            <w:tcW w:w="1123" w:type="dxa"/>
            <w:shd w:val="clear" w:color="auto" w:fill="auto"/>
            <w:vAlign w:val="center"/>
          </w:tcPr>
          <w:p w14:paraId="18F52F4F">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w:t>
            </w:r>
          </w:p>
        </w:tc>
        <w:tc>
          <w:tcPr>
            <w:tcW w:w="1705" w:type="dxa"/>
            <w:shd w:val="clear" w:color="auto" w:fill="auto"/>
            <w:vAlign w:val="center"/>
          </w:tcPr>
          <w:p w14:paraId="2218EA42">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1705" w:type="dxa"/>
            <w:shd w:val="clear" w:color="auto" w:fill="auto"/>
            <w:vAlign w:val="center"/>
          </w:tcPr>
          <w:p w14:paraId="2BCB9959">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1015" w:type="dxa"/>
            <w:shd w:val="clear" w:color="auto" w:fill="auto"/>
            <w:vAlign w:val="center"/>
          </w:tcPr>
          <w:p w14:paraId="76D11F12">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1282" w:type="dxa"/>
            <w:shd w:val="clear" w:color="auto" w:fill="auto"/>
            <w:vAlign w:val="center"/>
          </w:tcPr>
          <w:p w14:paraId="13F0A327">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r>
    </w:tbl>
    <w:p w14:paraId="77D132F6">
      <w:pPr>
        <w:pStyle w:val="251"/>
        <w:ind w:firstLine="480"/>
        <w:rPr>
          <w:rFonts w:hint="default" w:ascii="Times New Roman" w:hAnsi="Times New Roman" w:cs="Times New Roman"/>
          <w:color w:val="000000" w:themeColor="text1"/>
          <w:szCs w:val="24"/>
          <w14:textFill>
            <w14:solidFill>
              <w14:schemeClr w14:val="tx1"/>
            </w14:solidFill>
          </w14:textFill>
        </w:rPr>
        <w:sectPr>
          <w:pgSz w:w="16839" w:h="11907"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AndChars" w:linePitch="312" w:charSpace="0"/>
        </w:sectPr>
      </w:pPr>
      <w:r>
        <w:rPr>
          <w:rFonts w:hint="default" w:ascii="Times New Roman" w:hAnsi="Times New Roman" w:cs="Times New Roman"/>
          <w:color w:val="000000" w:themeColor="text1"/>
          <w14:textFill>
            <w14:solidFill>
              <w14:schemeClr w14:val="tx1"/>
            </w14:solidFill>
          </w14:textFill>
        </w:rPr>
        <w:t>各监测点位的TSP满足《环境空气质量标准》（GB3095-2012）中二级标准及2018年修改单中要求；</w:t>
      </w:r>
      <w:r>
        <w:rPr>
          <w:rFonts w:hint="default" w:ascii="Times New Roman" w:hAnsi="Times New Roman" w:cs="Times New Roman"/>
          <w:color w:val="000000" w:themeColor="text1"/>
          <w:lang w:eastAsia="zh-CN"/>
          <w14:textFill>
            <w14:solidFill>
              <w14:schemeClr w14:val="tx1"/>
            </w14:solidFill>
          </w14:textFill>
        </w:rPr>
        <w:t>硫化氢</w:t>
      </w:r>
      <w:r>
        <w:rPr>
          <w:rFonts w:hint="default" w:ascii="Times New Roman" w:hAnsi="Times New Roman" w:cs="Times New Roman"/>
          <w:color w:val="000000" w:themeColor="text1"/>
          <w14:textFill>
            <w14:solidFill>
              <w14:schemeClr w14:val="tx1"/>
            </w14:solidFill>
          </w14:textFill>
        </w:rPr>
        <w:t>、氨气满足《环境影响评价技术导则大气环境》（HJ2.2-2018）附录D中相关标准要求；非甲烷总烃满足《大气污染物综合排放标准详解》的标准。</w:t>
      </w:r>
    </w:p>
    <w:p w14:paraId="4DE7B917">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79" w:name="_Toc173837680"/>
      <w:r>
        <w:rPr>
          <w:rFonts w:hint="default" w:ascii="Times New Roman" w:hAnsi="Times New Roman" w:eastAsia="黑体" w:cs="Times New Roman"/>
          <w:b w:val="0"/>
          <w:color w:val="000000" w:themeColor="text1"/>
          <w14:textFill>
            <w14:solidFill>
              <w14:schemeClr w14:val="tx1"/>
            </w14:solidFill>
          </w14:textFill>
        </w:rPr>
        <w:t>4.3地表水环境质量现状监测与评价</w:t>
      </w:r>
      <w:bookmarkEnd w:id="79"/>
    </w:p>
    <w:p w14:paraId="21A1136F">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项目所在区域地表水为淮河和西淝河，执行《地表水环境质量标准》（GB3838-2002）III类标准。根据《淮南市202</w:t>
      </w:r>
      <w:r>
        <w:rPr>
          <w:rFonts w:hint="eastAsia"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年</w:t>
      </w:r>
      <w:r>
        <w:rPr>
          <w:rFonts w:hint="eastAsia" w:ascii="Times New Roman" w:hAnsi="Times New Roman" w:cs="Times New Roman"/>
          <w:color w:val="000000" w:themeColor="text1"/>
          <w:lang w:val="en-US" w:eastAsia="zh-CN"/>
          <w14:textFill>
            <w14:solidFill>
              <w14:schemeClr w14:val="tx1"/>
            </w14:solidFill>
          </w14:textFill>
        </w:rPr>
        <w:t>11</w:t>
      </w:r>
      <w:r>
        <w:rPr>
          <w:rFonts w:hint="default" w:ascii="Times New Roman" w:hAnsi="Times New Roman" w:cs="Times New Roman"/>
          <w:color w:val="000000" w:themeColor="text1"/>
          <w14:textFill>
            <w14:solidFill>
              <w14:schemeClr w14:val="tx1"/>
            </w14:solidFill>
          </w14:textFill>
        </w:rPr>
        <w:t>月环境质量月报》，淮南市辖地表水淮河和西淝河各监测断面水质一览表如下：</w:t>
      </w:r>
    </w:p>
    <w:p w14:paraId="0F6F2415">
      <w:pPr>
        <w:autoSpaceDE w:val="0"/>
        <w:autoSpaceDN w:val="0"/>
        <w:spacing w:line="360" w:lineRule="auto"/>
        <w:jc w:val="center"/>
        <w:rPr>
          <w:rFonts w:hint="default" w:ascii="Times New Roman" w:hAnsi="Times New Roman" w:eastAsia="黑体" w:cs="Times New Roman"/>
          <w:color w:val="000000" w:themeColor="text1"/>
          <w:spacing w:val="0"/>
          <w:sz w:val="24"/>
          <w:szCs w:val="21"/>
          <w14:textFill>
            <w14:solidFill>
              <w14:schemeClr w14:val="tx1"/>
            </w14:solidFill>
          </w14:textFill>
        </w:rPr>
      </w:pPr>
      <w:r>
        <w:rPr>
          <w:rFonts w:hint="default" w:ascii="Times New Roman" w:hAnsi="Times New Roman" w:eastAsia="黑体" w:cs="Times New Roman"/>
          <w:color w:val="000000" w:themeColor="text1"/>
          <w:spacing w:val="0"/>
          <w:sz w:val="24"/>
          <w:szCs w:val="21"/>
          <w14:textFill>
            <w14:solidFill>
              <w14:schemeClr w14:val="tx1"/>
            </w14:solidFill>
          </w14:textFill>
        </w:rPr>
        <w:t>表4.3-12024年3月淮河断面水质一览表</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360"/>
        <w:gridCol w:w="1617"/>
        <w:gridCol w:w="1160"/>
        <w:gridCol w:w="1650"/>
        <w:gridCol w:w="1178"/>
        <w:gridCol w:w="1341"/>
      </w:tblGrid>
      <w:tr w14:paraId="5DA29E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819" w:type="pct"/>
            <w:vAlign w:val="center"/>
          </w:tcPr>
          <w:p w14:paraId="5E122501">
            <w:pPr>
              <w:widowControl/>
              <w:spacing w:line="276" w:lineRule="auto"/>
              <w:jc w:val="center"/>
              <w:rPr>
                <w:rFonts w:hint="default" w:ascii="Times New Roman" w:hAnsi="Times New Roman" w:cs="Times New Roman"/>
                <w:b/>
                <w:bCs/>
                <w:color w:val="000000" w:themeColor="text1"/>
                <w:spacing w:val="0"/>
                <w:sz w:val="21"/>
                <w:szCs w:val="21"/>
                <w14:textFill>
                  <w14:solidFill>
                    <w14:schemeClr w14:val="tx1"/>
                  </w14:solidFill>
                </w14:textFill>
              </w:rPr>
            </w:pPr>
            <w:r>
              <w:rPr>
                <w:rFonts w:hint="default" w:ascii="Times New Roman" w:hAnsi="Times New Roman" w:cs="Times New Roman"/>
                <w:b/>
                <w:bCs/>
                <w:color w:val="000000" w:themeColor="text1"/>
                <w:spacing w:val="0"/>
                <w:sz w:val="21"/>
                <w:szCs w:val="21"/>
                <w14:textFill>
                  <w14:solidFill>
                    <w14:schemeClr w14:val="tx1"/>
                  </w14:solidFill>
                </w14:textFill>
              </w:rPr>
              <w:t>河流</w:t>
            </w:r>
          </w:p>
        </w:tc>
        <w:tc>
          <w:tcPr>
            <w:tcW w:w="973" w:type="pct"/>
            <w:vAlign w:val="center"/>
          </w:tcPr>
          <w:p w14:paraId="53145161">
            <w:pPr>
              <w:widowControl/>
              <w:spacing w:line="276" w:lineRule="auto"/>
              <w:jc w:val="center"/>
              <w:rPr>
                <w:rFonts w:hint="default" w:ascii="Times New Roman" w:hAnsi="Times New Roman" w:cs="Times New Roman"/>
                <w:b/>
                <w:bCs/>
                <w:color w:val="000000" w:themeColor="text1"/>
                <w:spacing w:val="0"/>
                <w:sz w:val="21"/>
                <w:szCs w:val="21"/>
                <w14:textFill>
                  <w14:solidFill>
                    <w14:schemeClr w14:val="tx1"/>
                  </w14:solidFill>
                </w14:textFill>
              </w:rPr>
            </w:pPr>
            <w:r>
              <w:rPr>
                <w:rFonts w:hint="default" w:ascii="Times New Roman" w:hAnsi="Times New Roman" w:cs="Times New Roman"/>
                <w:b/>
                <w:bCs/>
                <w:color w:val="000000" w:themeColor="text1"/>
                <w:spacing w:val="0"/>
                <w:sz w:val="21"/>
                <w:szCs w:val="21"/>
                <w14:textFill>
                  <w14:solidFill>
                    <w14:schemeClr w14:val="tx1"/>
                  </w14:solidFill>
                </w14:textFill>
              </w:rPr>
              <w:t>断面名称</w:t>
            </w:r>
          </w:p>
        </w:tc>
        <w:tc>
          <w:tcPr>
            <w:tcW w:w="698" w:type="pct"/>
            <w:vAlign w:val="center"/>
          </w:tcPr>
          <w:p w14:paraId="025F0172">
            <w:pPr>
              <w:widowControl/>
              <w:spacing w:line="276" w:lineRule="auto"/>
              <w:jc w:val="center"/>
              <w:rPr>
                <w:rFonts w:hint="default" w:ascii="Times New Roman" w:hAnsi="Times New Roman" w:cs="Times New Roman"/>
                <w:b/>
                <w:bCs/>
                <w:color w:val="000000" w:themeColor="text1"/>
                <w:spacing w:val="0"/>
                <w:sz w:val="21"/>
                <w:szCs w:val="21"/>
                <w14:textFill>
                  <w14:solidFill>
                    <w14:schemeClr w14:val="tx1"/>
                  </w14:solidFill>
                </w14:textFill>
              </w:rPr>
            </w:pPr>
            <w:r>
              <w:rPr>
                <w:rFonts w:hint="default" w:ascii="Times New Roman" w:hAnsi="Times New Roman" w:cs="Times New Roman"/>
                <w:b/>
                <w:bCs/>
                <w:color w:val="000000" w:themeColor="text1"/>
                <w:spacing w:val="0"/>
                <w:sz w:val="21"/>
                <w:szCs w:val="21"/>
                <w14:textFill>
                  <w14:solidFill>
                    <w14:schemeClr w14:val="tx1"/>
                  </w14:solidFill>
                </w14:textFill>
              </w:rPr>
              <w:t>本月水质</w:t>
            </w:r>
          </w:p>
        </w:tc>
        <w:tc>
          <w:tcPr>
            <w:tcW w:w="993" w:type="pct"/>
            <w:vAlign w:val="center"/>
          </w:tcPr>
          <w:p w14:paraId="7A15ABB8">
            <w:pPr>
              <w:widowControl/>
              <w:spacing w:line="276" w:lineRule="auto"/>
              <w:jc w:val="center"/>
              <w:rPr>
                <w:rFonts w:hint="default" w:ascii="Times New Roman" w:hAnsi="Times New Roman" w:cs="Times New Roman"/>
                <w:b/>
                <w:bCs/>
                <w:color w:val="000000" w:themeColor="text1"/>
                <w:spacing w:val="0"/>
                <w:sz w:val="21"/>
                <w:szCs w:val="21"/>
                <w14:textFill>
                  <w14:solidFill>
                    <w14:schemeClr w14:val="tx1"/>
                  </w14:solidFill>
                </w14:textFill>
              </w:rPr>
            </w:pPr>
            <w:r>
              <w:rPr>
                <w:rFonts w:hint="default" w:ascii="Times New Roman" w:hAnsi="Times New Roman" w:cs="Times New Roman"/>
                <w:b/>
                <w:bCs/>
                <w:color w:val="000000" w:themeColor="text1"/>
                <w:spacing w:val="0"/>
                <w:sz w:val="21"/>
                <w:szCs w:val="21"/>
                <w14:textFill>
                  <w14:solidFill>
                    <w14:schemeClr w14:val="tx1"/>
                  </w14:solidFill>
                </w14:textFill>
              </w:rPr>
              <w:t>超标因子及倍数</w:t>
            </w:r>
          </w:p>
        </w:tc>
        <w:tc>
          <w:tcPr>
            <w:tcW w:w="709" w:type="pct"/>
            <w:vAlign w:val="center"/>
          </w:tcPr>
          <w:p w14:paraId="54F22957">
            <w:pPr>
              <w:widowControl/>
              <w:spacing w:line="276" w:lineRule="auto"/>
              <w:jc w:val="center"/>
              <w:rPr>
                <w:rFonts w:hint="default" w:ascii="Times New Roman" w:hAnsi="Times New Roman" w:cs="Times New Roman"/>
                <w:b/>
                <w:bCs/>
                <w:color w:val="000000" w:themeColor="text1"/>
                <w:spacing w:val="0"/>
                <w:sz w:val="21"/>
                <w:szCs w:val="21"/>
                <w14:textFill>
                  <w14:solidFill>
                    <w14:schemeClr w14:val="tx1"/>
                  </w14:solidFill>
                </w14:textFill>
              </w:rPr>
            </w:pPr>
            <w:r>
              <w:rPr>
                <w:rFonts w:hint="default" w:ascii="Times New Roman" w:hAnsi="Times New Roman" w:cs="Times New Roman"/>
                <w:b/>
                <w:bCs/>
                <w:color w:val="000000" w:themeColor="text1"/>
                <w:spacing w:val="0"/>
                <w:sz w:val="21"/>
                <w:szCs w:val="21"/>
                <w14:textFill>
                  <w14:solidFill>
                    <w14:schemeClr w14:val="tx1"/>
                  </w14:solidFill>
                </w14:textFill>
              </w:rPr>
              <w:t>上月水质</w:t>
            </w:r>
          </w:p>
        </w:tc>
        <w:tc>
          <w:tcPr>
            <w:tcW w:w="807" w:type="pct"/>
            <w:vAlign w:val="center"/>
          </w:tcPr>
          <w:p w14:paraId="3C0CF264">
            <w:pPr>
              <w:widowControl/>
              <w:spacing w:line="276" w:lineRule="auto"/>
              <w:jc w:val="center"/>
              <w:rPr>
                <w:rFonts w:hint="default" w:ascii="Times New Roman" w:hAnsi="Times New Roman" w:cs="Times New Roman"/>
                <w:b/>
                <w:bCs/>
                <w:color w:val="000000" w:themeColor="text1"/>
                <w:spacing w:val="0"/>
                <w:sz w:val="21"/>
                <w:szCs w:val="21"/>
                <w14:textFill>
                  <w14:solidFill>
                    <w14:schemeClr w14:val="tx1"/>
                  </w14:solidFill>
                </w14:textFill>
              </w:rPr>
            </w:pPr>
            <w:r>
              <w:rPr>
                <w:rFonts w:hint="default" w:ascii="Times New Roman" w:hAnsi="Times New Roman" w:cs="Times New Roman"/>
                <w:b/>
                <w:bCs/>
                <w:color w:val="000000" w:themeColor="text1"/>
                <w:spacing w:val="0"/>
                <w:sz w:val="21"/>
                <w:szCs w:val="21"/>
                <w14:textFill>
                  <w14:solidFill>
                    <w14:schemeClr w14:val="tx1"/>
                  </w14:solidFill>
                </w14:textFill>
              </w:rPr>
              <w:t>去年同期水质</w:t>
            </w:r>
          </w:p>
        </w:tc>
      </w:tr>
      <w:tr w14:paraId="0796D5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819" w:type="pct"/>
            <w:vMerge w:val="restart"/>
            <w:vAlign w:val="center"/>
          </w:tcPr>
          <w:p w14:paraId="57477D93">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淮河</w:t>
            </w:r>
          </w:p>
        </w:tc>
        <w:tc>
          <w:tcPr>
            <w:tcW w:w="973" w:type="pct"/>
            <w:vAlign w:val="center"/>
          </w:tcPr>
          <w:p w14:paraId="1C59B149">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鲁台孜</w:t>
            </w:r>
          </w:p>
        </w:tc>
        <w:tc>
          <w:tcPr>
            <w:tcW w:w="698" w:type="pct"/>
            <w:vAlign w:val="center"/>
          </w:tcPr>
          <w:p w14:paraId="273E5C83">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Ⅱ</w:t>
            </w:r>
          </w:p>
        </w:tc>
        <w:tc>
          <w:tcPr>
            <w:tcW w:w="993" w:type="pct"/>
            <w:vAlign w:val="center"/>
          </w:tcPr>
          <w:p w14:paraId="737F6E1D">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bCs/>
                <w:color w:val="000000" w:themeColor="text1"/>
                <w:spacing w:val="0"/>
                <w:sz w:val="21"/>
                <w:szCs w:val="21"/>
                <w14:textFill>
                  <w14:solidFill>
                    <w14:schemeClr w14:val="tx1"/>
                  </w14:solidFill>
                </w14:textFill>
              </w:rPr>
              <w:t>/</w:t>
            </w:r>
          </w:p>
        </w:tc>
        <w:tc>
          <w:tcPr>
            <w:tcW w:w="709" w:type="pct"/>
            <w:vAlign w:val="center"/>
          </w:tcPr>
          <w:p w14:paraId="40616A1D">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Ⅲ</w:t>
            </w:r>
          </w:p>
        </w:tc>
        <w:tc>
          <w:tcPr>
            <w:tcW w:w="807" w:type="pct"/>
            <w:vAlign w:val="center"/>
          </w:tcPr>
          <w:p w14:paraId="4C271856">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Ⅱ</w:t>
            </w:r>
          </w:p>
        </w:tc>
      </w:tr>
      <w:tr w14:paraId="5789F4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819" w:type="pct"/>
            <w:vMerge w:val="continue"/>
            <w:vAlign w:val="center"/>
          </w:tcPr>
          <w:p w14:paraId="20781765">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973" w:type="pct"/>
            <w:vAlign w:val="center"/>
          </w:tcPr>
          <w:p w14:paraId="6CB01A55">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新城口</w:t>
            </w:r>
          </w:p>
        </w:tc>
        <w:tc>
          <w:tcPr>
            <w:tcW w:w="698" w:type="pct"/>
            <w:vAlign w:val="center"/>
          </w:tcPr>
          <w:p w14:paraId="52A4BCF0">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Ⅱ</w:t>
            </w:r>
          </w:p>
        </w:tc>
        <w:tc>
          <w:tcPr>
            <w:tcW w:w="993" w:type="pct"/>
            <w:vAlign w:val="center"/>
          </w:tcPr>
          <w:p w14:paraId="427545DE">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bCs/>
                <w:color w:val="000000" w:themeColor="text1"/>
                <w:spacing w:val="0"/>
                <w:sz w:val="21"/>
                <w:szCs w:val="21"/>
                <w14:textFill>
                  <w14:solidFill>
                    <w14:schemeClr w14:val="tx1"/>
                  </w14:solidFill>
                </w14:textFill>
              </w:rPr>
              <w:t>/</w:t>
            </w:r>
          </w:p>
        </w:tc>
        <w:tc>
          <w:tcPr>
            <w:tcW w:w="709" w:type="pct"/>
            <w:vAlign w:val="center"/>
          </w:tcPr>
          <w:p w14:paraId="7C608C40">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Ⅲ</w:t>
            </w:r>
          </w:p>
        </w:tc>
        <w:tc>
          <w:tcPr>
            <w:tcW w:w="807" w:type="pct"/>
            <w:vAlign w:val="center"/>
          </w:tcPr>
          <w:p w14:paraId="364A8631">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Ⅱ</w:t>
            </w:r>
          </w:p>
        </w:tc>
      </w:tr>
      <w:tr w14:paraId="50722C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819" w:type="pct"/>
            <w:vMerge w:val="continue"/>
            <w:vAlign w:val="center"/>
          </w:tcPr>
          <w:p w14:paraId="4022B20D">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973" w:type="pct"/>
            <w:vAlign w:val="center"/>
          </w:tcPr>
          <w:p w14:paraId="2E53F879">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石头埠</w:t>
            </w:r>
          </w:p>
        </w:tc>
        <w:tc>
          <w:tcPr>
            <w:tcW w:w="698" w:type="pct"/>
            <w:vAlign w:val="center"/>
          </w:tcPr>
          <w:p w14:paraId="09D70F02">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Ⅱ</w:t>
            </w:r>
          </w:p>
        </w:tc>
        <w:tc>
          <w:tcPr>
            <w:tcW w:w="993" w:type="pct"/>
            <w:vAlign w:val="center"/>
          </w:tcPr>
          <w:p w14:paraId="5CD874BB">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bCs/>
                <w:color w:val="000000" w:themeColor="text1"/>
                <w:spacing w:val="0"/>
                <w:sz w:val="21"/>
                <w:szCs w:val="21"/>
                <w14:textFill>
                  <w14:solidFill>
                    <w14:schemeClr w14:val="tx1"/>
                  </w14:solidFill>
                </w14:textFill>
              </w:rPr>
              <w:t>/</w:t>
            </w:r>
          </w:p>
        </w:tc>
        <w:tc>
          <w:tcPr>
            <w:tcW w:w="709" w:type="pct"/>
            <w:vAlign w:val="center"/>
          </w:tcPr>
          <w:p w14:paraId="790DDF92">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Ⅱ</w:t>
            </w:r>
          </w:p>
        </w:tc>
        <w:tc>
          <w:tcPr>
            <w:tcW w:w="807" w:type="pct"/>
            <w:vAlign w:val="center"/>
          </w:tcPr>
          <w:p w14:paraId="37A0EBFF">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Ⅱ</w:t>
            </w:r>
          </w:p>
        </w:tc>
      </w:tr>
      <w:tr w14:paraId="0D6842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819" w:type="pct"/>
            <w:vMerge w:val="continue"/>
            <w:vAlign w:val="center"/>
          </w:tcPr>
          <w:p w14:paraId="1C9C331D">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973" w:type="pct"/>
            <w:vAlign w:val="center"/>
          </w:tcPr>
          <w:p w14:paraId="02F71C84">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袁庄水厂</w:t>
            </w:r>
          </w:p>
        </w:tc>
        <w:tc>
          <w:tcPr>
            <w:tcW w:w="698" w:type="pct"/>
            <w:vAlign w:val="center"/>
          </w:tcPr>
          <w:p w14:paraId="5116DA51">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Ⅲ</w:t>
            </w:r>
          </w:p>
        </w:tc>
        <w:tc>
          <w:tcPr>
            <w:tcW w:w="993" w:type="pct"/>
            <w:vAlign w:val="center"/>
          </w:tcPr>
          <w:p w14:paraId="041BAF39">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bCs/>
                <w:color w:val="000000" w:themeColor="text1"/>
                <w:spacing w:val="0"/>
                <w:sz w:val="21"/>
                <w:szCs w:val="21"/>
                <w14:textFill>
                  <w14:solidFill>
                    <w14:schemeClr w14:val="tx1"/>
                  </w14:solidFill>
                </w14:textFill>
              </w:rPr>
              <w:t>/</w:t>
            </w:r>
          </w:p>
        </w:tc>
        <w:tc>
          <w:tcPr>
            <w:tcW w:w="709" w:type="pct"/>
            <w:vAlign w:val="center"/>
          </w:tcPr>
          <w:p w14:paraId="0F45B635">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Ⅲ</w:t>
            </w:r>
          </w:p>
        </w:tc>
        <w:tc>
          <w:tcPr>
            <w:tcW w:w="807" w:type="pct"/>
            <w:vAlign w:val="center"/>
          </w:tcPr>
          <w:p w14:paraId="6CF4CCC4">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Ⅲ</w:t>
            </w:r>
          </w:p>
        </w:tc>
      </w:tr>
      <w:tr w14:paraId="012B60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1" w:hRule="atLeast"/>
        </w:trPr>
        <w:tc>
          <w:tcPr>
            <w:tcW w:w="819" w:type="pct"/>
            <w:vMerge w:val="continue"/>
            <w:vAlign w:val="center"/>
          </w:tcPr>
          <w:p w14:paraId="25E57E33">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973" w:type="pct"/>
            <w:vAlign w:val="center"/>
          </w:tcPr>
          <w:p w14:paraId="489AD391">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东部城区水源地</w:t>
            </w:r>
          </w:p>
        </w:tc>
        <w:tc>
          <w:tcPr>
            <w:tcW w:w="698" w:type="pct"/>
            <w:vAlign w:val="center"/>
          </w:tcPr>
          <w:p w14:paraId="0ED8E798">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Ⅲ</w:t>
            </w:r>
          </w:p>
        </w:tc>
        <w:tc>
          <w:tcPr>
            <w:tcW w:w="993" w:type="pct"/>
            <w:vAlign w:val="center"/>
          </w:tcPr>
          <w:p w14:paraId="0B95DE3C">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bCs/>
                <w:color w:val="000000" w:themeColor="text1"/>
                <w:spacing w:val="0"/>
                <w:sz w:val="21"/>
                <w:szCs w:val="21"/>
                <w14:textFill>
                  <w14:solidFill>
                    <w14:schemeClr w14:val="tx1"/>
                  </w14:solidFill>
                </w14:textFill>
              </w:rPr>
              <w:t>/</w:t>
            </w:r>
          </w:p>
        </w:tc>
        <w:tc>
          <w:tcPr>
            <w:tcW w:w="709" w:type="pct"/>
            <w:vAlign w:val="center"/>
          </w:tcPr>
          <w:p w14:paraId="6B329494">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Ⅲ</w:t>
            </w:r>
          </w:p>
        </w:tc>
        <w:tc>
          <w:tcPr>
            <w:tcW w:w="807" w:type="pct"/>
            <w:vAlign w:val="center"/>
          </w:tcPr>
          <w:p w14:paraId="2290B74E">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Ⅲ</w:t>
            </w:r>
          </w:p>
        </w:tc>
      </w:tr>
      <w:tr w14:paraId="553F6F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10" w:hRule="atLeast"/>
        </w:trPr>
        <w:tc>
          <w:tcPr>
            <w:tcW w:w="819" w:type="pct"/>
            <w:vMerge w:val="continue"/>
            <w:vAlign w:val="center"/>
          </w:tcPr>
          <w:p w14:paraId="6D99F00C">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973" w:type="pct"/>
            <w:vAlign w:val="center"/>
          </w:tcPr>
          <w:p w14:paraId="12A6BD2C">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凤台水厂</w:t>
            </w:r>
          </w:p>
        </w:tc>
        <w:tc>
          <w:tcPr>
            <w:tcW w:w="698" w:type="pct"/>
            <w:vAlign w:val="center"/>
          </w:tcPr>
          <w:p w14:paraId="43296728">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Ⅲ</w:t>
            </w:r>
          </w:p>
        </w:tc>
        <w:tc>
          <w:tcPr>
            <w:tcW w:w="993" w:type="pct"/>
            <w:vAlign w:val="center"/>
          </w:tcPr>
          <w:p w14:paraId="45271F72">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bCs/>
                <w:color w:val="000000" w:themeColor="text1"/>
                <w:spacing w:val="0"/>
                <w:sz w:val="21"/>
                <w:szCs w:val="21"/>
                <w14:textFill>
                  <w14:solidFill>
                    <w14:schemeClr w14:val="tx1"/>
                  </w14:solidFill>
                </w14:textFill>
              </w:rPr>
              <w:t>/</w:t>
            </w:r>
          </w:p>
        </w:tc>
        <w:tc>
          <w:tcPr>
            <w:tcW w:w="709" w:type="pct"/>
            <w:vAlign w:val="center"/>
          </w:tcPr>
          <w:p w14:paraId="1BE591BB">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Ⅲ</w:t>
            </w:r>
          </w:p>
        </w:tc>
        <w:tc>
          <w:tcPr>
            <w:tcW w:w="807" w:type="pct"/>
            <w:vAlign w:val="center"/>
          </w:tcPr>
          <w:p w14:paraId="54E9AE89">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Ⅲ</w:t>
            </w:r>
          </w:p>
        </w:tc>
      </w:tr>
      <w:tr w14:paraId="7EFD9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10" w:hRule="atLeast"/>
        </w:trPr>
        <w:tc>
          <w:tcPr>
            <w:tcW w:w="819" w:type="pct"/>
            <w:vAlign w:val="center"/>
          </w:tcPr>
          <w:p w14:paraId="35F2A6FB">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西淝河</w:t>
            </w:r>
          </w:p>
        </w:tc>
        <w:tc>
          <w:tcPr>
            <w:tcW w:w="973" w:type="pct"/>
            <w:vAlign w:val="center"/>
          </w:tcPr>
          <w:p w14:paraId="5564A006">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西淝河闸下</w:t>
            </w:r>
          </w:p>
        </w:tc>
        <w:tc>
          <w:tcPr>
            <w:tcW w:w="698" w:type="pct"/>
            <w:vAlign w:val="center"/>
          </w:tcPr>
          <w:p w14:paraId="7EED9E1C">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Ⅲ</w:t>
            </w:r>
          </w:p>
        </w:tc>
        <w:tc>
          <w:tcPr>
            <w:tcW w:w="993" w:type="pct"/>
            <w:vAlign w:val="center"/>
          </w:tcPr>
          <w:p w14:paraId="0E24B4D4">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bCs/>
                <w:color w:val="000000" w:themeColor="text1"/>
                <w:spacing w:val="0"/>
                <w:sz w:val="21"/>
                <w:szCs w:val="21"/>
                <w14:textFill>
                  <w14:solidFill>
                    <w14:schemeClr w14:val="tx1"/>
                  </w14:solidFill>
                </w14:textFill>
              </w:rPr>
              <w:t>/</w:t>
            </w:r>
          </w:p>
        </w:tc>
        <w:tc>
          <w:tcPr>
            <w:tcW w:w="709" w:type="pct"/>
            <w:vAlign w:val="center"/>
          </w:tcPr>
          <w:p w14:paraId="48251848">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Ⅲ</w:t>
            </w:r>
          </w:p>
        </w:tc>
        <w:tc>
          <w:tcPr>
            <w:tcW w:w="807" w:type="pct"/>
            <w:vAlign w:val="center"/>
          </w:tcPr>
          <w:p w14:paraId="5D00BB1E">
            <w:pPr>
              <w:widowControl/>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Ⅱ</w:t>
            </w:r>
          </w:p>
        </w:tc>
      </w:tr>
    </w:tbl>
    <w:p w14:paraId="009EE924">
      <w:pPr>
        <w:autoSpaceDE w:val="0"/>
        <w:autoSpaceDN w:val="0"/>
        <w:spacing w:line="360" w:lineRule="auto"/>
        <w:ind w:firstLine="480" w:firstLineChars="200"/>
        <w:jc w:val="left"/>
        <w:rPr>
          <w:rFonts w:hint="default" w:ascii="Times New Roman" w:hAnsi="Times New Roman" w:eastAsia="黑体" w:cs="Times New Roman"/>
          <w:color w:val="000000" w:themeColor="text1"/>
          <w:spacing w:val="0"/>
          <w:sz w:val="24"/>
          <w:szCs w:val="21"/>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根据《淮南市202</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5</w:t>
      </w:r>
      <w:r>
        <w:rPr>
          <w:rFonts w:hint="default" w:ascii="Times New Roman" w:hAnsi="Times New Roman" w:cs="Times New Roman"/>
          <w:color w:val="000000" w:themeColor="text1"/>
          <w:spacing w:val="0"/>
          <w:sz w:val="24"/>
          <w:szCs w:val="24"/>
          <w14:textFill>
            <w14:solidFill>
              <w14:schemeClr w14:val="tx1"/>
            </w14:solidFill>
          </w14:textFill>
        </w:rPr>
        <w:t>年</w:t>
      </w:r>
      <w:r>
        <w:rPr>
          <w:rFonts w:hint="default" w:ascii="Times New Roman" w:hAnsi="Times New Roman" w:cs="Times New Roman"/>
          <w:color w:val="000000" w:themeColor="text1"/>
          <w:spacing w:val="0"/>
          <w:sz w:val="24"/>
          <w:szCs w:val="24"/>
          <w:lang w:val="en-US" w:eastAsia="zh-CN"/>
          <w14:textFill>
            <w14:solidFill>
              <w14:schemeClr w14:val="tx1"/>
            </w14:solidFill>
          </w14:textFill>
        </w:rPr>
        <w:t>11</w:t>
      </w:r>
      <w:r>
        <w:rPr>
          <w:rFonts w:hint="default" w:ascii="Times New Roman" w:hAnsi="Times New Roman" w:cs="Times New Roman"/>
          <w:color w:val="000000" w:themeColor="text1"/>
          <w:spacing w:val="0"/>
          <w:sz w:val="24"/>
          <w:szCs w:val="24"/>
          <w14:textFill>
            <w14:solidFill>
              <w14:schemeClr w14:val="tx1"/>
            </w14:solidFill>
          </w14:textFill>
        </w:rPr>
        <w:t>月环境质量月报》，淮河和西淝河各监测断面均满足《地表水环境质量标准》（GB3838-2002）中的III类标准。</w:t>
      </w:r>
    </w:p>
    <w:p w14:paraId="16D9EFEA">
      <w:pPr>
        <w:pStyle w:val="3952"/>
        <w:spacing w:beforeLines="0"/>
        <w:rPr>
          <w:rFonts w:hint="default" w:ascii="Times New Roman" w:hAnsi="Times New Roman" w:eastAsia="黑体" w:cs="Times New Roman"/>
          <w:b w:val="0"/>
          <w:color w:val="000000" w:themeColor="text1"/>
          <w14:textFill>
            <w14:solidFill>
              <w14:schemeClr w14:val="tx1"/>
            </w14:solidFill>
          </w14:textFill>
        </w:rPr>
      </w:pPr>
      <w:bookmarkStart w:id="80" w:name="_Toc173837681"/>
      <w:r>
        <w:rPr>
          <w:rFonts w:hint="default" w:ascii="Times New Roman" w:hAnsi="Times New Roman" w:eastAsia="黑体" w:cs="Times New Roman"/>
          <w:b w:val="0"/>
          <w:color w:val="000000" w:themeColor="text1"/>
          <w14:textFill>
            <w14:solidFill>
              <w14:schemeClr w14:val="tx1"/>
            </w14:solidFill>
          </w14:textFill>
        </w:rPr>
        <w:t>4.4地下水环境质量现状监测与评价</w:t>
      </w:r>
      <w:bookmarkEnd w:id="80"/>
    </w:p>
    <w:p w14:paraId="28202AF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为说明项目所在区域的环境质量状况</w:t>
      </w:r>
      <w:r>
        <w:rPr>
          <w:rFonts w:hint="default" w:ascii="Times New Roman" w:hAnsi="Times New Roman" w:cs="Times New Roman"/>
          <w:color w:val="000000" w:themeColor="text1"/>
          <w:lang w:eastAsia="zh-CN"/>
          <w14:textFill>
            <w14:solidFill>
              <w14:schemeClr w14:val="tx1"/>
            </w14:solidFill>
          </w14:textFill>
        </w:rPr>
        <w:t>，本项目地下水</w:t>
      </w:r>
      <w:r>
        <w:rPr>
          <w:rFonts w:hint="default" w:ascii="Times New Roman" w:hAnsi="Times New Roman" w:cs="Times New Roman"/>
          <w:color w:val="000000" w:themeColor="text1"/>
          <w14:textFill>
            <w14:solidFill>
              <w14:schemeClr w14:val="tx1"/>
            </w14:solidFill>
          </w14:textFill>
        </w:rPr>
        <w:t>质量现状引用</w:t>
      </w:r>
      <w:r>
        <w:rPr>
          <w:rFonts w:hint="default" w:ascii="Times New Roman" w:hAnsi="Times New Roman" w:cs="Times New Roman"/>
          <w:color w:val="000000" w:themeColor="text1"/>
          <w:highlight w:val="yellow"/>
          <w14:textFill>
            <w14:solidFill>
              <w14:schemeClr w14:val="tx1"/>
            </w14:solidFill>
          </w14:textFill>
        </w:rPr>
        <w:t>《安徽金荣铜业有限公司废旧电容、线路板再生资源综合利用项目环境影响报告书》</w:t>
      </w:r>
      <w:r>
        <w:rPr>
          <w:rFonts w:hint="default" w:ascii="Times New Roman" w:hAnsi="Times New Roman" w:cs="Times New Roman"/>
          <w:color w:val="000000" w:themeColor="text1"/>
          <w14:textFill>
            <w14:solidFill>
              <w14:schemeClr w14:val="tx1"/>
            </w14:solidFill>
          </w14:textFill>
        </w:rPr>
        <w:t>报告中环境质量现状监测数据</w:t>
      </w:r>
      <w:r>
        <w:rPr>
          <w:rFonts w:hint="default" w:ascii="Times New Roman" w:hAnsi="Times New Roman" w:cs="Times New Roman"/>
          <w:color w:val="000000" w:themeColor="text1"/>
          <w:lang w:eastAsia="zh-CN"/>
          <w14:textFill>
            <w14:solidFill>
              <w14:schemeClr w14:val="tx1"/>
            </w14:solidFill>
          </w14:textFill>
        </w:rPr>
        <w:t>，该</w:t>
      </w:r>
      <w:r>
        <w:rPr>
          <w:rFonts w:hint="default" w:ascii="Times New Roman" w:hAnsi="Times New Roman" w:cs="Times New Roman"/>
          <w:color w:val="000000" w:themeColor="text1"/>
          <w14:textFill>
            <w14:solidFill>
              <w14:schemeClr w14:val="tx1"/>
            </w14:solidFill>
          </w14:textFill>
        </w:rPr>
        <w:t>项目委托安徽澳林检测有限公司于2024年5月17日对项目区域内进行了地下水采样。</w:t>
      </w:r>
    </w:p>
    <w:p w14:paraId="2903F83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1、监测点分布</w:t>
      </w:r>
    </w:p>
    <w:p w14:paraId="767AC4F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地下水监测点分布见表4.4-1、表4.4-2及图4.4-1。</w:t>
      </w:r>
    </w:p>
    <w:p w14:paraId="01CEDF90">
      <w:pPr>
        <w:widowControl/>
        <w:spacing w:line="360" w:lineRule="auto"/>
        <w:jc w:val="center"/>
        <w:rPr>
          <w:rFonts w:hint="default" w:ascii="Times New Roman" w:hAnsi="Times New Roman" w:eastAsia="黑体" w:cs="Times New Roman"/>
          <w:color w:val="000000" w:themeColor="text1"/>
          <w:spacing w:val="0"/>
          <w:sz w:val="24"/>
          <w:szCs w:val="24"/>
          <w14:textFill>
            <w14:solidFill>
              <w14:schemeClr w14:val="tx1"/>
            </w14:solidFill>
          </w14:textFill>
        </w:rPr>
      </w:pPr>
      <w:r>
        <w:rPr>
          <w:rFonts w:hint="default" w:ascii="Times New Roman" w:hAnsi="Times New Roman" w:eastAsia="黑体" w:cs="Times New Roman"/>
          <w:color w:val="000000" w:themeColor="text1"/>
          <w:spacing w:val="0"/>
          <w:sz w:val="24"/>
          <w:szCs w:val="24"/>
          <w14:textFill>
            <w14:solidFill>
              <w14:schemeClr w14:val="tx1"/>
            </w14:solidFill>
          </w14:textFill>
        </w:rPr>
        <w:t>表4.4-1地下水监测点位一览表</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0"/>
        <w:gridCol w:w="3019"/>
        <w:gridCol w:w="1364"/>
        <w:gridCol w:w="1491"/>
        <w:gridCol w:w="1608"/>
      </w:tblGrid>
      <w:tr w14:paraId="0B9C2B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0" w:type="pct"/>
            <w:shd w:val="clear" w:color="auto" w:fill="auto"/>
            <w:vAlign w:val="center"/>
          </w:tcPr>
          <w:p w14:paraId="299A0690">
            <w:pPr>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编号</w:t>
            </w:r>
          </w:p>
        </w:tc>
        <w:tc>
          <w:tcPr>
            <w:tcW w:w="1770" w:type="pct"/>
            <w:shd w:val="clear" w:color="auto" w:fill="auto"/>
            <w:vAlign w:val="center"/>
          </w:tcPr>
          <w:p w14:paraId="28D5A921">
            <w:pPr>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监测点位置</w:t>
            </w:r>
          </w:p>
        </w:tc>
        <w:tc>
          <w:tcPr>
            <w:tcW w:w="800" w:type="pct"/>
            <w:shd w:val="clear" w:color="auto" w:fill="auto"/>
            <w:vAlign w:val="center"/>
          </w:tcPr>
          <w:p w14:paraId="533F4EAB">
            <w:pPr>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相对厂区方位</w:t>
            </w:r>
          </w:p>
        </w:tc>
        <w:tc>
          <w:tcPr>
            <w:tcW w:w="874" w:type="pct"/>
            <w:shd w:val="clear" w:color="auto" w:fill="auto"/>
            <w:vAlign w:val="center"/>
          </w:tcPr>
          <w:p w14:paraId="51812853">
            <w:pPr>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与厂区距离(km)</w:t>
            </w:r>
          </w:p>
        </w:tc>
        <w:tc>
          <w:tcPr>
            <w:tcW w:w="943" w:type="pct"/>
            <w:shd w:val="clear" w:color="auto" w:fill="auto"/>
            <w:vAlign w:val="center"/>
          </w:tcPr>
          <w:p w14:paraId="7E661DF7">
            <w:pPr>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监测井功能</w:t>
            </w:r>
          </w:p>
        </w:tc>
      </w:tr>
      <w:tr w14:paraId="09AB22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0" w:type="pct"/>
            <w:shd w:val="clear" w:color="auto" w:fill="auto"/>
            <w:vAlign w:val="center"/>
          </w:tcPr>
          <w:p w14:paraId="1522DC41">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D1</w:t>
            </w:r>
          </w:p>
        </w:tc>
        <w:tc>
          <w:tcPr>
            <w:tcW w:w="1770" w:type="pct"/>
            <w:shd w:val="clear" w:color="auto" w:fill="auto"/>
            <w:vAlign w:val="center"/>
          </w:tcPr>
          <w:p w14:paraId="2767E48E">
            <w:pPr>
              <w:pStyle w:val="3869"/>
              <w:adjustRightInd/>
              <w:snapToGrid/>
              <w:spacing w:line="360" w:lineRule="exact"/>
              <w:ind w:firstLine="0" w:firstLine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场地上游W</w:t>
            </w:r>
            <w:r>
              <w:rPr>
                <w:rFonts w:hint="default" w:ascii="Times New Roman" w:hAnsi="Times New Roman" w:cs="Times New Roman"/>
                <w:bCs/>
                <w:color w:val="000000" w:themeColor="text1"/>
                <w:sz w:val="21"/>
                <w:szCs w:val="21"/>
                <w:vertAlign w:val="subscript"/>
                <w14:textFill>
                  <w14:solidFill>
                    <w14:schemeClr w14:val="tx1"/>
                  </w14:solidFill>
                </w14:textFill>
              </w:rPr>
              <w:t>1</w:t>
            </w:r>
          </w:p>
        </w:tc>
        <w:tc>
          <w:tcPr>
            <w:tcW w:w="800" w:type="pct"/>
            <w:shd w:val="clear" w:color="auto" w:fill="auto"/>
            <w:vAlign w:val="center"/>
          </w:tcPr>
          <w:p w14:paraId="3E1AC7F7">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SE</w:t>
            </w:r>
          </w:p>
        </w:tc>
        <w:tc>
          <w:tcPr>
            <w:tcW w:w="874" w:type="pct"/>
            <w:shd w:val="clear" w:color="auto" w:fill="auto"/>
            <w:vAlign w:val="center"/>
          </w:tcPr>
          <w:p w14:paraId="3F6BA2B1">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1.14</w:t>
            </w:r>
          </w:p>
        </w:tc>
        <w:tc>
          <w:tcPr>
            <w:tcW w:w="943" w:type="pct"/>
            <w:vMerge w:val="restart"/>
            <w:shd w:val="clear" w:color="auto" w:fill="auto"/>
            <w:vAlign w:val="center"/>
          </w:tcPr>
          <w:p w14:paraId="1938DEED">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水质兼水位监测点</w:t>
            </w:r>
          </w:p>
        </w:tc>
      </w:tr>
      <w:tr w14:paraId="5898FB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0" w:type="pct"/>
            <w:shd w:val="clear" w:color="auto" w:fill="auto"/>
            <w:vAlign w:val="center"/>
          </w:tcPr>
          <w:p w14:paraId="7EAA4969">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D2</w:t>
            </w:r>
          </w:p>
        </w:tc>
        <w:tc>
          <w:tcPr>
            <w:tcW w:w="1770" w:type="pct"/>
            <w:shd w:val="clear" w:color="auto" w:fill="auto"/>
            <w:vAlign w:val="center"/>
          </w:tcPr>
          <w:p w14:paraId="6F3F3BA1">
            <w:pPr>
              <w:pStyle w:val="3869"/>
              <w:adjustRightInd/>
              <w:snapToGrid/>
              <w:spacing w:line="360" w:lineRule="exact"/>
              <w:ind w:firstLine="0" w:firstLineChars="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项目区域内W</w:t>
            </w:r>
            <w:r>
              <w:rPr>
                <w:rFonts w:hint="default" w:ascii="Times New Roman" w:hAnsi="Times New Roman" w:cs="Times New Roman"/>
                <w:bCs/>
                <w:color w:val="000000" w:themeColor="text1"/>
                <w:sz w:val="21"/>
                <w:szCs w:val="21"/>
                <w:vertAlign w:val="subscript"/>
                <w14:textFill>
                  <w14:solidFill>
                    <w14:schemeClr w14:val="tx1"/>
                  </w14:solidFill>
                </w14:textFill>
              </w:rPr>
              <w:t>2</w:t>
            </w:r>
          </w:p>
        </w:tc>
        <w:tc>
          <w:tcPr>
            <w:tcW w:w="800" w:type="pct"/>
            <w:shd w:val="clear" w:color="auto" w:fill="auto"/>
            <w:vAlign w:val="center"/>
          </w:tcPr>
          <w:p w14:paraId="73EF1E6C">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874" w:type="pct"/>
            <w:shd w:val="clear" w:color="auto" w:fill="auto"/>
            <w:vAlign w:val="center"/>
          </w:tcPr>
          <w:p w14:paraId="260FC92F">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943" w:type="pct"/>
            <w:vMerge w:val="continue"/>
            <w:shd w:val="clear" w:color="auto" w:fill="auto"/>
            <w:vAlign w:val="center"/>
          </w:tcPr>
          <w:p w14:paraId="782DA197">
            <w:pPr>
              <w:jc w:val="center"/>
              <w:rPr>
                <w:rFonts w:hint="default" w:ascii="Times New Roman" w:hAnsi="Times New Roman" w:cs="Times New Roman"/>
                <w:color w:val="000000" w:themeColor="text1"/>
                <w:spacing w:val="0"/>
                <w:sz w:val="21"/>
                <w:szCs w:val="21"/>
                <w14:textFill>
                  <w14:solidFill>
                    <w14:schemeClr w14:val="tx1"/>
                  </w14:solidFill>
                </w14:textFill>
              </w:rPr>
            </w:pPr>
          </w:p>
        </w:tc>
      </w:tr>
      <w:tr w14:paraId="468F4B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0" w:type="dxa"/>
            <w:shd w:val="clear" w:color="auto" w:fill="auto"/>
            <w:vAlign w:val="center"/>
          </w:tcPr>
          <w:p w14:paraId="3305D986">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D5</w:t>
            </w:r>
          </w:p>
        </w:tc>
        <w:tc>
          <w:tcPr>
            <w:tcW w:w="3019" w:type="dxa"/>
            <w:shd w:val="clear" w:color="auto" w:fill="auto"/>
            <w:vAlign w:val="center"/>
          </w:tcPr>
          <w:p w14:paraId="77844BAD">
            <w:pPr>
              <w:pStyle w:val="3869"/>
              <w:adjustRightInd/>
              <w:snapToGrid/>
              <w:spacing w:line="360" w:lineRule="exact"/>
              <w:ind w:firstLine="0" w:firstLineChars="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场地下游W</w:t>
            </w:r>
            <w:r>
              <w:rPr>
                <w:rFonts w:hint="default" w:ascii="Times New Roman" w:hAnsi="Times New Roman" w:cs="Times New Roman"/>
                <w:bCs/>
                <w:color w:val="000000" w:themeColor="text1"/>
                <w:sz w:val="21"/>
                <w:szCs w:val="21"/>
                <w:vertAlign w:val="subscript"/>
                <w14:textFill>
                  <w14:solidFill>
                    <w14:schemeClr w14:val="tx1"/>
                  </w14:solidFill>
                </w14:textFill>
              </w:rPr>
              <w:t>5</w:t>
            </w:r>
          </w:p>
        </w:tc>
        <w:tc>
          <w:tcPr>
            <w:tcW w:w="1364" w:type="dxa"/>
            <w:shd w:val="clear" w:color="auto" w:fill="auto"/>
            <w:vAlign w:val="center"/>
          </w:tcPr>
          <w:p w14:paraId="53A6B2FE">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NE</w:t>
            </w:r>
          </w:p>
        </w:tc>
        <w:tc>
          <w:tcPr>
            <w:tcW w:w="1491" w:type="dxa"/>
            <w:shd w:val="clear" w:color="auto" w:fill="auto"/>
            <w:vAlign w:val="center"/>
          </w:tcPr>
          <w:p w14:paraId="69F60D58">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0.64</w:t>
            </w:r>
          </w:p>
        </w:tc>
        <w:tc>
          <w:tcPr>
            <w:tcW w:w="943" w:type="pct"/>
            <w:vMerge w:val="continue"/>
            <w:shd w:val="clear" w:color="auto" w:fill="auto"/>
            <w:vAlign w:val="center"/>
          </w:tcPr>
          <w:p w14:paraId="2582EB28">
            <w:pPr>
              <w:jc w:val="center"/>
              <w:rPr>
                <w:rFonts w:hint="default" w:ascii="Times New Roman" w:hAnsi="Times New Roman" w:cs="Times New Roman"/>
                <w:color w:val="000000" w:themeColor="text1"/>
                <w:spacing w:val="0"/>
                <w:sz w:val="21"/>
                <w:szCs w:val="21"/>
                <w14:textFill>
                  <w14:solidFill>
                    <w14:schemeClr w14:val="tx1"/>
                  </w14:solidFill>
                </w14:textFill>
              </w:rPr>
            </w:pPr>
          </w:p>
        </w:tc>
      </w:tr>
    </w:tbl>
    <w:p w14:paraId="26E0C6FA">
      <w:pPr>
        <w:widowControl/>
        <w:spacing w:line="360" w:lineRule="auto"/>
        <w:jc w:val="center"/>
        <w:rPr>
          <w:rFonts w:hint="default" w:ascii="Times New Roman" w:hAnsi="Times New Roman" w:eastAsia="黑体" w:cs="Times New Roman"/>
          <w:color w:val="000000" w:themeColor="text1"/>
          <w:spacing w:val="0"/>
          <w:sz w:val="24"/>
          <w:szCs w:val="24"/>
          <w14:textFill>
            <w14:solidFill>
              <w14:schemeClr w14:val="tx1"/>
            </w14:solidFill>
          </w14:textFill>
        </w:rPr>
      </w:pPr>
      <w:r>
        <w:rPr>
          <w:rFonts w:hint="default" w:ascii="Times New Roman" w:hAnsi="Times New Roman" w:eastAsia="黑体" w:cs="Times New Roman"/>
          <w:color w:val="000000" w:themeColor="text1"/>
          <w:spacing w:val="0"/>
          <w:sz w:val="24"/>
          <w:szCs w:val="24"/>
          <w14:textFill>
            <w14:solidFill>
              <w14:schemeClr w14:val="tx1"/>
            </w14:solidFill>
          </w14:textFill>
        </w:rPr>
        <w:t>表4.4-2地下水水位监测一览表</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07"/>
        <w:gridCol w:w="4876"/>
        <w:gridCol w:w="2439"/>
      </w:tblGrid>
      <w:tr w14:paraId="23B180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8" w:type="pct"/>
            <w:shd w:val="clear" w:color="auto" w:fill="auto"/>
            <w:vAlign w:val="center"/>
          </w:tcPr>
          <w:p w14:paraId="0C3A09A9">
            <w:pPr>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编号</w:t>
            </w:r>
          </w:p>
        </w:tc>
        <w:tc>
          <w:tcPr>
            <w:tcW w:w="2860" w:type="pct"/>
            <w:shd w:val="clear" w:color="auto" w:fill="auto"/>
            <w:vAlign w:val="center"/>
          </w:tcPr>
          <w:p w14:paraId="4B3D02F6">
            <w:pPr>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点位坐标</w:t>
            </w:r>
          </w:p>
        </w:tc>
        <w:tc>
          <w:tcPr>
            <w:tcW w:w="1430" w:type="pct"/>
            <w:shd w:val="clear" w:color="auto" w:fill="auto"/>
            <w:vAlign w:val="center"/>
          </w:tcPr>
          <w:p w14:paraId="304A1ECC">
            <w:pPr>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水位埋深（m）</w:t>
            </w:r>
          </w:p>
        </w:tc>
      </w:tr>
      <w:tr w14:paraId="73D57D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8" w:type="pct"/>
            <w:shd w:val="clear" w:color="auto" w:fill="auto"/>
            <w:vAlign w:val="center"/>
          </w:tcPr>
          <w:p w14:paraId="4BD2FA87">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D1</w:t>
            </w:r>
          </w:p>
        </w:tc>
        <w:tc>
          <w:tcPr>
            <w:tcW w:w="2860" w:type="pct"/>
            <w:shd w:val="clear" w:color="auto" w:fill="auto"/>
            <w:vAlign w:val="center"/>
          </w:tcPr>
          <w:p w14:paraId="0B9FA357">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E：116.594965，N：32.661201</w:t>
            </w:r>
          </w:p>
        </w:tc>
        <w:tc>
          <w:tcPr>
            <w:tcW w:w="1430" w:type="pct"/>
            <w:shd w:val="clear" w:color="auto" w:fill="auto"/>
            <w:vAlign w:val="center"/>
          </w:tcPr>
          <w:p w14:paraId="4971AACA">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6.5</w:t>
            </w:r>
          </w:p>
        </w:tc>
      </w:tr>
      <w:tr w14:paraId="330EC6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8" w:type="pct"/>
            <w:shd w:val="clear" w:color="auto" w:fill="auto"/>
            <w:vAlign w:val="center"/>
          </w:tcPr>
          <w:p w14:paraId="2907377D">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D2</w:t>
            </w:r>
          </w:p>
        </w:tc>
        <w:tc>
          <w:tcPr>
            <w:tcW w:w="2860" w:type="pct"/>
            <w:shd w:val="clear" w:color="auto" w:fill="auto"/>
            <w:vAlign w:val="center"/>
          </w:tcPr>
          <w:p w14:paraId="17FD6C45">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E：116.592166，N：32.667386</w:t>
            </w:r>
          </w:p>
        </w:tc>
        <w:tc>
          <w:tcPr>
            <w:tcW w:w="1430" w:type="pct"/>
            <w:shd w:val="clear" w:color="auto" w:fill="auto"/>
            <w:vAlign w:val="center"/>
          </w:tcPr>
          <w:p w14:paraId="2A2ABA20">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6.9</w:t>
            </w:r>
          </w:p>
        </w:tc>
      </w:tr>
      <w:tr w14:paraId="670A01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8" w:type="pct"/>
            <w:shd w:val="clear" w:color="auto" w:fill="auto"/>
            <w:vAlign w:val="center"/>
          </w:tcPr>
          <w:p w14:paraId="7A044057">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D3</w:t>
            </w:r>
          </w:p>
        </w:tc>
        <w:tc>
          <w:tcPr>
            <w:tcW w:w="2860" w:type="pct"/>
            <w:shd w:val="clear" w:color="auto" w:fill="auto"/>
            <w:vAlign w:val="center"/>
          </w:tcPr>
          <w:p w14:paraId="55F0F3B8">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E：116.592610，N：32.673510</w:t>
            </w:r>
          </w:p>
        </w:tc>
        <w:tc>
          <w:tcPr>
            <w:tcW w:w="1430" w:type="pct"/>
            <w:shd w:val="clear" w:color="auto" w:fill="auto"/>
            <w:vAlign w:val="center"/>
          </w:tcPr>
          <w:p w14:paraId="03E0849E">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6.7</w:t>
            </w:r>
          </w:p>
        </w:tc>
      </w:tr>
      <w:tr w14:paraId="236B1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8" w:type="pct"/>
            <w:shd w:val="clear" w:color="auto" w:fill="auto"/>
            <w:vAlign w:val="center"/>
          </w:tcPr>
          <w:p w14:paraId="55A58057">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D4</w:t>
            </w:r>
          </w:p>
        </w:tc>
        <w:tc>
          <w:tcPr>
            <w:tcW w:w="2860" w:type="pct"/>
            <w:shd w:val="clear" w:color="auto" w:fill="auto"/>
            <w:vAlign w:val="center"/>
          </w:tcPr>
          <w:p w14:paraId="1C299E15">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E：116.584138，N：32.661590</w:t>
            </w:r>
          </w:p>
        </w:tc>
        <w:tc>
          <w:tcPr>
            <w:tcW w:w="1430" w:type="pct"/>
            <w:shd w:val="clear" w:color="auto" w:fill="auto"/>
            <w:vAlign w:val="center"/>
          </w:tcPr>
          <w:p w14:paraId="75B43EA1">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6.2</w:t>
            </w:r>
          </w:p>
        </w:tc>
      </w:tr>
      <w:tr w14:paraId="2F39B5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8" w:type="pct"/>
            <w:shd w:val="clear" w:color="auto" w:fill="auto"/>
            <w:vAlign w:val="center"/>
          </w:tcPr>
          <w:p w14:paraId="4FDF621C">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D5</w:t>
            </w:r>
          </w:p>
        </w:tc>
        <w:tc>
          <w:tcPr>
            <w:tcW w:w="2860" w:type="pct"/>
            <w:shd w:val="clear" w:color="auto" w:fill="auto"/>
            <w:vAlign w:val="center"/>
          </w:tcPr>
          <w:p w14:paraId="5EBFA928">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E：116.592399，N：32.674804</w:t>
            </w:r>
          </w:p>
        </w:tc>
        <w:tc>
          <w:tcPr>
            <w:tcW w:w="1430" w:type="pct"/>
            <w:shd w:val="clear" w:color="auto" w:fill="auto"/>
            <w:vAlign w:val="center"/>
          </w:tcPr>
          <w:p w14:paraId="41CFBF17">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8.2</w:t>
            </w:r>
          </w:p>
        </w:tc>
      </w:tr>
      <w:tr w14:paraId="2747D2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8" w:type="pct"/>
            <w:shd w:val="clear" w:color="auto" w:fill="auto"/>
            <w:vAlign w:val="center"/>
          </w:tcPr>
          <w:p w14:paraId="1E41C350">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D6</w:t>
            </w:r>
          </w:p>
        </w:tc>
        <w:tc>
          <w:tcPr>
            <w:tcW w:w="2860" w:type="pct"/>
            <w:shd w:val="clear" w:color="auto" w:fill="auto"/>
            <w:vAlign w:val="center"/>
          </w:tcPr>
          <w:p w14:paraId="0360D765">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E：116.595375，N：32.661003</w:t>
            </w:r>
          </w:p>
        </w:tc>
        <w:tc>
          <w:tcPr>
            <w:tcW w:w="1430" w:type="pct"/>
            <w:shd w:val="clear" w:color="auto" w:fill="auto"/>
            <w:vAlign w:val="center"/>
          </w:tcPr>
          <w:p w14:paraId="35482DFA">
            <w:pPr>
              <w:widowControl/>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7.2</w:t>
            </w:r>
          </w:p>
        </w:tc>
      </w:tr>
    </w:tbl>
    <w:p w14:paraId="31513A5F">
      <w:pPr>
        <w:adjustRightInd w:val="0"/>
        <w:spacing w:line="360" w:lineRule="auto"/>
        <w:rPr>
          <w:rFonts w:hint="default" w:ascii="Times New Roman" w:hAnsi="Times New Roman" w:cs="Times New Roman"/>
          <w:color w:val="000000" w:themeColor="text1"/>
          <w:sz w:val="24"/>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837440" behindDoc="0" locked="0" layoutInCell="1" allowOverlap="1">
                <wp:simplePos x="0" y="0"/>
                <wp:positionH relativeFrom="column">
                  <wp:posOffset>347980</wp:posOffset>
                </wp:positionH>
                <wp:positionV relativeFrom="paragraph">
                  <wp:posOffset>455295</wp:posOffset>
                </wp:positionV>
                <wp:extent cx="763270" cy="290830"/>
                <wp:effectExtent l="6350" t="6350" r="773430" b="236220"/>
                <wp:wrapNone/>
                <wp:docPr id="56" name="圆角矩形标注 56"/>
                <wp:cNvGraphicFramePr/>
                <a:graphic xmlns:a="http://schemas.openxmlformats.org/drawingml/2006/main">
                  <a:graphicData uri="http://schemas.microsoft.com/office/word/2010/wordprocessingShape">
                    <wps:wsp>
                      <wps:cNvSpPr/>
                      <wps:spPr>
                        <a:xfrm>
                          <a:off x="1934210" y="2639695"/>
                          <a:ext cx="763270" cy="290830"/>
                        </a:xfrm>
                        <a:prstGeom prst="wedgeRoundRectCallout">
                          <a:avLst>
                            <a:gd name="adj1" fmla="val 144758"/>
                            <a:gd name="adj2" fmla="val 120960"/>
                            <a:gd name="adj3" fmla="val 16667"/>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DB9CA97">
                            <w:pPr>
                              <w:jc w:val="center"/>
                              <w:rPr>
                                <w:rFonts w:hint="eastAsia" w:eastAsia="宋体"/>
                                <w:color w:val="FFFF00"/>
                                <w:sz w:val="21"/>
                                <w:szCs w:val="21"/>
                                <w:lang w:eastAsia="zh-CN"/>
                              </w:rPr>
                            </w:pPr>
                            <w:r>
                              <w:rPr>
                                <w:rFonts w:hint="eastAsia"/>
                                <w:color w:val="FFFF00"/>
                                <w:sz w:val="21"/>
                                <w:szCs w:val="21"/>
                                <w:lang w:eastAsia="zh-CN"/>
                              </w:rPr>
                              <w:t>评价范围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7.4pt;margin-top:35.85pt;height:22.9pt;width:60.1pt;z-index:251837440;v-text-anchor:middle;mso-width-relative:page;mso-height-relative:page;" filled="f" stroked="t" coordsize="21600,21600" o:gfxdata="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DTjaaLV&#10;AAAACQEAAA8AAAAAAAAAAQAgAAAAIgAAAGRycy9kb3ducmV2LnhtbFBLAQIUABQAAAAIAIdO4kAZ&#10;eBhxzgIAAHcFAAAOAAAAAAAAAAEAIAAAACQBAABkcnMvZTJvRG9jLnhtbFBLBQYAAAAABgAGAFkB&#10;AABkBgAAAAA=&#10;" adj="42068,36927,14400">
                <v:fill on="f" focussize="0,0"/>
                <v:stroke weight="1pt" color="#FFFF00 [2404]" miterlimit="8" joinstyle="miter"/>
                <v:imagedata o:title=""/>
                <o:lock v:ext="edit" aspectratio="f"/>
                <v:textbox>
                  <w:txbxContent>
                    <w:p w14:paraId="4DB9CA97">
                      <w:pPr>
                        <w:jc w:val="center"/>
                        <w:rPr>
                          <w:rFonts w:hint="eastAsia" w:eastAsia="宋体"/>
                          <w:color w:val="FFFF00"/>
                          <w:sz w:val="21"/>
                          <w:szCs w:val="21"/>
                          <w:lang w:eastAsia="zh-CN"/>
                        </w:rPr>
                      </w:pPr>
                      <w:r>
                        <w:rPr>
                          <w:rFonts w:hint="eastAsia"/>
                          <w:color w:val="FFFF00"/>
                          <w:sz w:val="21"/>
                          <w:szCs w:val="21"/>
                          <w:lang w:eastAsia="zh-CN"/>
                        </w:rPr>
                        <w:t>评价范围</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836416" behindDoc="0" locked="0" layoutInCell="1" allowOverlap="1">
                <wp:simplePos x="0" y="0"/>
                <wp:positionH relativeFrom="column">
                  <wp:posOffset>1709420</wp:posOffset>
                </wp:positionH>
                <wp:positionV relativeFrom="paragraph">
                  <wp:posOffset>645160</wp:posOffset>
                </wp:positionV>
                <wp:extent cx="2583180" cy="1910715"/>
                <wp:effectExtent l="323215" t="576580" r="332105" b="579755"/>
                <wp:wrapNone/>
                <wp:docPr id="55" name="矩形 55"/>
                <wp:cNvGraphicFramePr/>
                <a:graphic xmlns:a="http://schemas.openxmlformats.org/drawingml/2006/main">
                  <a:graphicData uri="http://schemas.microsoft.com/office/word/2010/wordprocessingShape">
                    <wps:wsp>
                      <wps:cNvSpPr/>
                      <wps:spPr>
                        <a:xfrm rot="2100000">
                          <a:off x="2623185" y="2346960"/>
                          <a:ext cx="2583180" cy="1910715"/>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4.6pt;margin-top:50.8pt;height:150.45pt;width:203.4pt;rotation:2293760f;z-index:251836416;v-text-anchor:middle;mso-width-relative:page;mso-height-relative:page;" filled="f" stroked="t" coordsize="21600,21600" o:gfxdata="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p5dR62gAAAAsBAAAPAAAAAAAAAAEAIAAA&#10;ACIAAABkcnMvZG93bnJldi54bWxQSwECFAAUAAAACACHTuJAxsoIpHwCAADoBAAADgAAAAAAAAAB&#10;ACAAAAApAQAAZHJzL2Uyb0RvYy54bWxQSwUGAAAAAAYABgBZAQAAFwYAAAAA&#10;">
                <v:fill on="f" focussize="0,0"/>
                <v:stroke weight="1pt" color="#FFFF00 [2404]" miterlimit="8" joinstyle="miter"/>
                <v:imagedata o:title=""/>
                <o:lock v:ext="edit" aspectratio="f"/>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822080" behindDoc="0" locked="0" layoutInCell="1" allowOverlap="1">
                <wp:simplePos x="0" y="0"/>
                <wp:positionH relativeFrom="column">
                  <wp:posOffset>3545840</wp:posOffset>
                </wp:positionH>
                <wp:positionV relativeFrom="paragraph">
                  <wp:posOffset>2694305</wp:posOffset>
                </wp:positionV>
                <wp:extent cx="120650" cy="136525"/>
                <wp:effectExtent l="4445" t="4445" r="14605" b="11430"/>
                <wp:wrapNone/>
                <wp:docPr id="256" name="文本框 13959"/>
                <wp:cNvGraphicFramePr/>
                <a:graphic xmlns:a="http://schemas.openxmlformats.org/drawingml/2006/main">
                  <a:graphicData uri="http://schemas.microsoft.com/office/word/2010/wordprocessingShape">
                    <wps:wsp>
                      <wps:cNvSpPr txBox="1"/>
                      <wps:spPr>
                        <a:xfrm>
                          <a:off x="0" y="0"/>
                          <a:ext cx="120650" cy="136525"/>
                        </a:xfrm>
                        <a:prstGeom prst="rect">
                          <a:avLst/>
                        </a:prstGeom>
                        <a:noFill/>
                        <a:ln w="9525" cap="flat" cmpd="sng">
                          <a:solidFill>
                            <a:srgbClr val="FF0000"/>
                          </a:solidFill>
                          <a:prstDash val="solid"/>
                          <a:miter/>
                          <a:headEnd type="none" w="med" len="med"/>
                          <a:tailEnd type="triangle" w="sm" len="med"/>
                        </a:ln>
                      </wps:spPr>
                      <wps:txbx>
                        <w:txbxContent>
                          <w:p w14:paraId="2D92E877">
                            <w:pPr>
                              <w:rPr>
                                <w:rFonts w:hint="default" w:eastAsia="宋体"/>
                                <w:color w:val="FF0000"/>
                                <w:sz w:val="13"/>
                                <w:szCs w:val="13"/>
                                <w:lang w:val="en-US" w:eastAsia="zh-CN"/>
                              </w:rPr>
                            </w:pPr>
                            <w:r>
                              <w:rPr>
                                <w:rFonts w:hint="eastAsia"/>
                                <w:color w:val="FF0000"/>
                                <w:sz w:val="11"/>
                                <w:szCs w:val="11"/>
                                <w:lang w:val="en-US" w:eastAsia="zh-CN"/>
                              </w:rPr>
                              <w:t>D6</w:t>
                            </w:r>
                          </w:p>
                        </w:txbxContent>
                      </wps:txbx>
                      <wps:bodyPr lIns="0" tIns="0" rIns="0" bIns="0" upright="1"/>
                    </wps:wsp>
                  </a:graphicData>
                </a:graphic>
              </wp:anchor>
            </w:drawing>
          </mc:Choice>
          <mc:Fallback>
            <w:pict>
              <v:shape id="文本框 13959" o:spid="_x0000_s1026" o:spt="202" type="#_x0000_t202" style="position:absolute;left:0pt;margin-left:279.2pt;margin-top:212.15pt;height:10.75pt;width:9.5pt;z-index:251822080;mso-width-relative:page;mso-height-relative:page;" filled="f" stroked="t" coordsize="21600,21600" o:gfxdata="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GbORG&#10;2QAAAAsBAAAPAAAAAAAAAAEAIAAAACIAAABkcnMvZG93bnJldi54bWxQSwECFAAUAAAACACHTuJA&#10;rWOhcyACAAA5BAAADgAAAAAAAAABACAAAAAoAQAAZHJzL2Uyb0RvYy54bWxQSwUGAAAAAAYABgBZ&#10;AQAAugUAAAAA&#10;">
                <v:fill on="f" focussize="0,0"/>
                <v:stroke color="#FF0000" joinstyle="miter" endarrow="block" endarrowwidth="narrow"/>
                <v:imagedata o:title=""/>
                <o:lock v:ext="edit" aspectratio="f"/>
                <v:textbox inset="0mm,0mm,0mm,0mm">
                  <w:txbxContent>
                    <w:p w14:paraId="2D92E877">
                      <w:pPr>
                        <w:rPr>
                          <w:rFonts w:hint="default" w:eastAsia="宋体"/>
                          <w:color w:val="FF0000"/>
                          <w:sz w:val="13"/>
                          <w:szCs w:val="13"/>
                          <w:lang w:val="en-US" w:eastAsia="zh-CN"/>
                        </w:rPr>
                      </w:pPr>
                      <w:r>
                        <w:rPr>
                          <w:rFonts w:hint="eastAsia"/>
                          <w:color w:val="FF0000"/>
                          <w:sz w:val="11"/>
                          <w:szCs w:val="11"/>
                          <w:lang w:val="en-US" w:eastAsia="zh-CN"/>
                        </w:rPr>
                        <w:t>D6</w:t>
                      </w:r>
                    </w:p>
                  </w:txbxContent>
                </v:textbox>
              </v:shape>
            </w:pict>
          </mc:Fallback>
        </mc:AlternateContent>
      </w:r>
      <w:r>
        <w:rPr>
          <w:rFonts w:hint="default" w:ascii="Times New Roman" w:hAnsi="Times New Roman" w:cs="Times New Roman"/>
          <w:color w:val="000000" w:themeColor="text1"/>
          <w:sz w:val="24"/>
          <w14:textFill>
            <w14:solidFill>
              <w14:schemeClr w14:val="tx1"/>
            </w14:solidFill>
          </w14:textFill>
        </w:rPr>
        <w:drawing>
          <wp:anchor distT="0" distB="0" distL="114300" distR="114300" simplePos="0" relativeHeight="251808768" behindDoc="0" locked="0" layoutInCell="1" allowOverlap="1">
            <wp:simplePos x="0" y="0"/>
            <wp:positionH relativeFrom="column">
              <wp:posOffset>4712970</wp:posOffset>
            </wp:positionH>
            <wp:positionV relativeFrom="paragraph">
              <wp:posOffset>17145</wp:posOffset>
            </wp:positionV>
            <wp:extent cx="565150" cy="598805"/>
            <wp:effectExtent l="19050" t="19050" r="25400" b="10795"/>
            <wp:wrapNone/>
            <wp:docPr id="10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0"/>
                    <pic:cNvPicPr>
                      <a:picLocks noChangeAspect="1" noChangeArrowheads="1"/>
                    </pic:cNvPicPr>
                  </pic:nvPicPr>
                  <pic:blipFill>
                    <a:blip r:embed="rId40" cstate="print"/>
                    <a:srcRect/>
                    <a:stretch>
                      <a:fillRect/>
                    </a:stretch>
                  </pic:blipFill>
                  <pic:spPr>
                    <a:xfrm>
                      <a:off x="0" y="0"/>
                      <a:ext cx="565150" cy="598805"/>
                    </a:xfrm>
                    <a:prstGeom prst="rect">
                      <a:avLst/>
                    </a:prstGeom>
                    <a:noFill/>
                    <a:ln w="19050">
                      <a:solidFill>
                        <a:schemeClr val="tx1"/>
                      </a:solidFill>
                      <a:miter lim="800000"/>
                      <a:headEnd/>
                      <a:tailEnd/>
                    </a:ln>
                  </pic:spPr>
                </pic:pic>
              </a:graphicData>
            </a:graphic>
          </wp:anchor>
        </w:drawing>
      </w:r>
      <w:r>
        <w:rPr>
          <w:rFonts w:hint="default" w:ascii="Times New Roman" w:hAnsi="Times New Roman" w:cs="Times New Roman"/>
          <w:color w:val="000000" w:themeColor="text1"/>
          <w:sz w:val="24"/>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4860290</wp:posOffset>
                </wp:positionH>
                <wp:positionV relativeFrom="paragraph">
                  <wp:posOffset>591820</wp:posOffset>
                </wp:positionV>
                <wp:extent cx="454660" cy="247015"/>
                <wp:effectExtent l="0" t="0" r="0" b="0"/>
                <wp:wrapNone/>
                <wp:docPr id="111" name="矩形 9410"/>
                <wp:cNvGraphicFramePr/>
                <a:graphic xmlns:a="http://schemas.openxmlformats.org/drawingml/2006/main">
                  <a:graphicData uri="http://schemas.microsoft.com/office/word/2010/wordprocessingShape">
                    <wps:wsp>
                      <wps:cNvSpPr/>
                      <wps:spPr>
                        <a:xfrm>
                          <a:off x="0" y="0"/>
                          <a:ext cx="454660" cy="247015"/>
                        </a:xfrm>
                        <a:prstGeom prst="rect">
                          <a:avLst/>
                        </a:prstGeom>
                        <a:noFill/>
                        <a:ln>
                          <a:noFill/>
                        </a:ln>
                      </wps:spPr>
                      <wps:txbx>
                        <w:txbxContent>
                          <w:p w14:paraId="125FBB95">
                            <w:pPr>
                              <w:rPr>
                                <w:rFonts w:eastAsia="黑体"/>
                                <w:sz w:val="18"/>
                                <w:szCs w:val="18"/>
                              </w:rPr>
                            </w:pPr>
                            <w:r>
                              <w:rPr>
                                <w:rFonts w:eastAsia="黑体"/>
                                <w:sz w:val="18"/>
                                <w:szCs w:val="18"/>
                              </w:rPr>
                              <w:t>265m</w:t>
                            </w:r>
                          </w:p>
                        </w:txbxContent>
                      </wps:txbx>
                      <wps:bodyPr upright="1"/>
                    </wps:wsp>
                  </a:graphicData>
                </a:graphic>
              </wp:anchor>
            </w:drawing>
          </mc:Choice>
          <mc:Fallback>
            <w:pict>
              <v:rect id="矩形 9410" o:spid="_x0000_s1026" o:spt="1" style="position:absolute;left:0pt;margin-left:382.7pt;margin-top:46.6pt;height:19.45pt;width:35.8pt;z-index:251685888;mso-width-relative:page;mso-height-relative:page;" filled="f" stroked="f" coordsize="21600,21600" o:gfxdata="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lZwwo9sAAAAKAQAA&#10;DwAAAAAAAAABACAAAAAiAAAAZHJzL2Rvd25yZXYueG1sUEsBAhQAFAAAAAgAh07iQIn9yMKkAQAA&#10;RQMAAA4AAAAAAAAAAQAgAAAAKgEAAGRycy9lMm9Eb2MueG1sUEsFBgAAAAAGAAYAWQEAAEAFAAAA&#10;AA==&#10;">
                <v:fill on="f" focussize="0,0"/>
                <v:stroke on="f"/>
                <v:imagedata o:title=""/>
                <o:lock v:ext="edit" aspectratio="f"/>
                <v:textbox>
                  <w:txbxContent>
                    <w:p w14:paraId="125FBB95">
                      <w:pPr>
                        <w:rPr>
                          <w:rFonts w:eastAsia="黑体"/>
                          <w:sz w:val="18"/>
                          <w:szCs w:val="18"/>
                        </w:rPr>
                      </w:pPr>
                      <w:r>
                        <w:rPr>
                          <w:rFonts w:eastAsia="黑体"/>
                          <w:sz w:val="18"/>
                          <w:szCs w:val="18"/>
                        </w:rPr>
                        <w:t>265m</w:t>
                      </w:r>
                    </w:p>
                  </w:txbxContent>
                </v:textbox>
              </v:rect>
            </w:pict>
          </mc:Fallback>
        </mc:AlternateContent>
      </w:r>
      <w:r>
        <w:rPr>
          <w:rFonts w:hint="default" w:ascii="Times New Roman" w:hAnsi="Times New Roman" w:cs="Times New Roman"/>
          <w:color w:val="000000" w:themeColor="text1"/>
          <w:sz w:val="24"/>
          <w14:textFill>
            <w14:solidFill>
              <w14:schemeClr w14:val="tx1"/>
            </w14:solidFill>
          </w14:textFill>
        </w:rPr>
        <mc:AlternateContent>
          <mc:Choice Requires="wpg">
            <w:drawing>
              <wp:anchor distT="0" distB="0" distL="114300" distR="114300" simplePos="0" relativeHeight="251684864" behindDoc="0" locked="0" layoutInCell="1" allowOverlap="1">
                <wp:simplePos x="0" y="0"/>
                <wp:positionH relativeFrom="column">
                  <wp:posOffset>4897755</wp:posOffset>
                </wp:positionH>
                <wp:positionV relativeFrom="paragraph">
                  <wp:posOffset>832485</wp:posOffset>
                </wp:positionV>
                <wp:extent cx="360045" cy="87630"/>
                <wp:effectExtent l="0" t="0" r="5527040" b="7153910"/>
                <wp:wrapNone/>
                <wp:docPr id="109" name="组合 9406"/>
                <wp:cNvGraphicFramePr/>
                <a:graphic xmlns:a="http://schemas.openxmlformats.org/drawingml/2006/main">
                  <a:graphicData uri="http://schemas.microsoft.com/office/word/2010/wordprocessingGroup">
                    <wpg:wgp>
                      <wpg:cNvGrpSpPr/>
                      <wpg:grpSpPr>
                        <a:xfrm>
                          <a:off x="0" y="0"/>
                          <a:ext cx="360045" cy="87630"/>
                          <a:chOff x="0" y="0"/>
                          <a:chExt cx="360045" cy="87630"/>
                        </a:xfrm>
                      </wpg:grpSpPr>
                      <wps:wsp>
                        <wps:cNvPr id="103" name="自选图形 9407"/>
                        <wps:cNvCnPr/>
                        <wps:spPr>
                          <a:xfrm flipV="1">
                            <a:off x="8686" y="11382"/>
                            <a:ext cx="567" cy="0"/>
                          </a:xfrm>
                          <a:prstGeom prst="straightConnector1">
                            <a:avLst/>
                          </a:prstGeom>
                          <a:ln w="19050" cap="flat" cmpd="sng">
                            <a:solidFill>
                              <a:srgbClr val="000000"/>
                            </a:solidFill>
                            <a:prstDash val="solid"/>
                            <a:headEnd type="none" w="med" len="med"/>
                            <a:tailEnd type="none" w="med" len="med"/>
                          </a:ln>
                        </wps:spPr>
                        <wps:bodyPr/>
                      </wps:wsp>
                      <wps:wsp>
                        <wps:cNvPr id="104" name="自选图形 9408"/>
                        <wps:cNvCnPr/>
                        <wps:spPr>
                          <a:xfrm flipV="1">
                            <a:off x="8686" y="11244"/>
                            <a:ext cx="0" cy="138"/>
                          </a:xfrm>
                          <a:prstGeom prst="straightConnector1">
                            <a:avLst/>
                          </a:prstGeom>
                          <a:ln w="19050" cap="flat" cmpd="sng">
                            <a:solidFill>
                              <a:srgbClr val="000000"/>
                            </a:solidFill>
                            <a:prstDash val="solid"/>
                            <a:headEnd type="none" w="med" len="med"/>
                            <a:tailEnd type="none" w="med" len="med"/>
                          </a:ln>
                        </wps:spPr>
                        <wps:bodyPr/>
                      </wps:wsp>
                      <wps:wsp>
                        <wps:cNvPr id="105" name="自选图形 9409"/>
                        <wps:cNvCnPr/>
                        <wps:spPr>
                          <a:xfrm flipV="1">
                            <a:off x="9253" y="11244"/>
                            <a:ext cx="0" cy="138"/>
                          </a:xfrm>
                          <a:prstGeom prst="straightConnector1">
                            <a:avLst/>
                          </a:prstGeom>
                          <a:ln w="19050" cap="flat" cmpd="sng">
                            <a:solidFill>
                              <a:srgbClr val="000000"/>
                            </a:solidFill>
                            <a:prstDash val="solid"/>
                            <a:headEnd type="none" w="med" len="med"/>
                            <a:tailEnd type="none" w="med" len="med"/>
                          </a:ln>
                        </wps:spPr>
                        <wps:bodyPr/>
                      </wps:wsp>
                    </wpg:wgp>
                  </a:graphicData>
                </a:graphic>
              </wp:anchor>
            </w:drawing>
          </mc:Choice>
          <mc:Fallback>
            <w:pict>
              <v:group id="组合 9406" o:spid="_x0000_s1026" o:spt="203" style="position:absolute;left:0pt;margin-left:385.65pt;margin-top:65.55pt;height:6.9pt;width:28.35pt;z-index:251684864;mso-width-relative:page;mso-height-relative:page;" coordsize="360045,87630" o:gfxdata="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AWtYbPaAAAACwEAAA8AAAAAAAAAAQAg&#10;AAAAIgAAAGRycy9kb3ducmV2LnhtbFBLAQIUABQAAAAIAIdO4kDhn/XztwIAAFYJAAAOAAAAAAAA&#10;AAEAIAAAACkBAABkcnMvZTJvRG9jLnhtbFBLBQYAAAAABgAGAFkBAABSBgAAAAA=&#10;">
                <o:lock v:ext="edit" aspectratio="f"/>
                <v:shape id="自选图形 9407" o:spid="_x0000_s1026" o:spt="32" type="#_x0000_t32" style="position:absolute;left:8686;top:11382;flip:y;height:0;width:567;" filled="f" stroked="t" coordsize="21600,21600" o:gfxdata="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nFrvQAA&#10;ANwAAAAPAAAAAAAAAAEAIAAAACIAAABkcnMvZG93bnJldi54bWxQSwECFAAUAAAACACHTuJAMy8F&#10;njsAAAA5AAAAEAAAAAAAAAABACAAAAAMAQAAZHJzL3NoYXBleG1sLnhtbFBLBQYAAAAABgAGAFsB&#10;AAC2AwAAAAA=&#10;">
                  <v:fill on="f" focussize="0,0"/>
                  <v:stroke weight="1.5pt" color="#000000" joinstyle="round"/>
                  <v:imagedata o:title=""/>
                  <o:lock v:ext="edit" aspectratio="f"/>
                </v:shape>
                <v:shape id="自选图形 9408" o:spid="_x0000_s1026" o:spt="32" type="#_x0000_t32" style="position:absolute;left:8686;top:11244;flip:y;height:138;width:0;" filled="f" stroked="t" coordsize="21600,21600" o:gfxdata="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xfpH7sAAADc&#10;AAAADwAAAAAAAAABACAAAAAiAAAAZHJzL2Rvd25yZXYueG1sUEsBAhQAFAAAAAgAh07iQDMvBZ47&#10;AAAAOQAAABAAAAAAAAAAAQAgAAAACgEAAGRycy9zaGFwZXhtbC54bWxQSwUGAAAAAAYABgBbAQAA&#10;tAMAAAAA&#10;">
                  <v:fill on="f" focussize="0,0"/>
                  <v:stroke weight="1.5pt" color="#000000" joinstyle="round"/>
                  <v:imagedata o:title=""/>
                  <o:lock v:ext="edit" aspectratio="f"/>
                </v:shape>
                <v:shape id="自选图形 9409" o:spid="_x0000_s1026" o:spt="32" type="#_x0000_t32" style="position:absolute;left:9253;top:11244;flip:y;height:138;width:0;" filled="f" stroked="t" coordsize="21600,21600" o:gfxdata="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FtMhLsAAADc&#10;AAAADwAAAAAAAAABACAAAAAiAAAAZHJzL2Rvd25yZXYueG1sUEsBAhQAFAAAAAgAh07iQDMvBZ47&#10;AAAAOQAAABAAAAAAAAAAAQAgAAAACgEAAGRycy9zaGFwZXhtbC54bWxQSwUGAAAAAAYABgBbAQAA&#10;tAMAAAAA&#10;">
                  <v:fill on="f" focussize="0,0"/>
                  <v:stroke weight="1.5pt" color="#000000" joinstyle="round"/>
                  <v:imagedata o:title=""/>
                  <o:lock v:ext="edit" aspectratio="f"/>
                </v:shape>
              </v:group>
            </w:pict>
          </mc:Fallback>
        </mc:AlternateContent>
      </w:r>
      <w:r>
        <w:rPr>
          <w:color w:val="000000" w:themeColor="text1"/>
          <w:sz w:val="24"/>
          <w14:textFill>
            <w14:solidFill>
              <w14:schemeClr w14:val="tx1"/>
            </w14:solidFill>
          </w14:textFill>
        </w:rPr>
        <w:drawing>
          <wp:inline distT="0" distB="0" distL="114300" distR="114300">
            <wp:extent cx="5274310" cy="3107055"/>
            <wp:effectExtent l="9525" t="9525" r="12065" b="26670"/>
            <wp:docPr id="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
                    <pic:cNvPicPr>
                      <a:picLocks noChangeAspect="1"/>
                    </pic:cNvPicPr>
                  </pic:nvPicPr>
                  <pic:blipFill>
                    <a:blip r:embed="rId44"/>
                    <a:stretch>
                      <a:fillRect/>
                    </a:stretch>
                  </pic:blipFill>
                  <pic:spPr>
                    <a:xfrm>
                      <a:off x="0" y="0"/>
                      <a:ext cx="5274310" cy="3107055"/>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6DD5ABD1">
      <w:pPr>
        <w:adjustRightInd w:val="0"/>
        <w:spacing w:line="360" w:lineRule="auto"/>
        <w:jc w:val="center"/>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图4.4-1地下水环境现状监测布点图</w:t>
      </w:r>
    </w:p>
    <w:p w14:paraId="6267D079">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2、监测时段及监测频次</w:t>
      </w:r>
    </w:p>
    <w:p w14:paraId="738ED3C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监测一次。</w:t>
      </w:r>
    </w:p>
    <w:p w14:paraId="167A231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3、监测项目</w:t>
      </w:r>
    </w:p>
    <w:p w14:paraId="67CE50D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pH</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色度</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臭和味</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浑浊度</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肉眼可见物</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总硬度</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溶解性总固体</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耗氧量</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氨氮</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氟离子</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硝酸根（以N计）</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氯离子</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硫酸根</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亚硝酸盐氮</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CO</w:t>
      </w:r>
      <w:r>
        <w:rPr>
          <w:rFonts w:hint="default" w:ascii="Times New Roman" w:hAnsi="Times New Roman" w:cs="Times New Roman"/>
          <w:color w:val="000000" w:themeColor="text1"/>
          <w:vertAlign w:val="subscript"/>
          <w14:textFill>
            <w14:solidFill>
              <w14:schemeClr w14:val="tx1"/>
            </w14:solidFill>
          </w14:textFill>
        </w:rPr>
        <w:t>3</w:t>
      </w:r>
      <w:r>
        <w:rPr>
          <w:rFonts w:hint="default" w:ascii="Times New Roman" w:hAnsi="Times New Roman" w:cs="Times New Roman"/>
          <w:color w:val="000000" w:themeColor="text1"/>
          <w:vertAlign w:val="superscript"/>
          <w14:textFill>
            <w14:solidFill>
              <w14:schemeClr w14:val="tx1"/>
            </w14:solidFill>
          </w14:textFill>
        </w:rPr>
        <w:t>2-</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HCO</w:t>
      </w:r>
      <w:r>
        <w:rPr>
          <w:rFonts w:hint="default" w:ascii="Times New Roman" w:hAnsi="Times New Roman" w:cs="Times New Roman"/>
          <w:color w:val="000000" w:themeColor="text1"/>
          <w:vertAlign w:val="subscript"/>
          <w14:textFill>
            <w14:solidFill>
              <w14:schemeClr w14:val="tx1"/>
            </w14:solidFill>
          </w14:textFill>
        </w:rPr>
        <w:t>3</w:t>
      </w:r>
      <w:r>
        <w:rPr>
          <w:rFonts w:hint="default" w:ascii="Times New Roman" w:hAnsi="Times New Roman" w:cs="Times New Roman"/>
          <w:color w:val="000000" w:themeColor="text1"/>
          <w:vertAlign w:val="superscript"/>
          <w14:textFill>
            <w14:solidFill>
              <w14:schemeClr w14:val="tx1"/>
            </w14:solidFill>
          </w14:textFill>
        </w:rPr>
        <w:t>-</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氰化物</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硫化物</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挥发酚</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阴离子表面活性剂</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铁</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锰</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铜</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锌</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铅</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镉</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钙</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镁</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钾</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钠</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铝</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砷</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汞</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铬（六价）</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菌落总数</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总大肠菌群</w:t>
      </w:r>
    </w:p>
    <w:p w14:paraId="2D98114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4、评价标准</w:t>
      </w:r>
    </w:p>
    <w:p w14:paraId="09763F04">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评价区域地下水执行《地下水质量标准》（GB/T14848-2017）中Ⅲ类标准。</w:t>
      </w:r>
    </w:p>
    <w:p w14:paraId="10C5CB1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5、评价方法</w:t>
      </w:r>
    </w:p>
    <w:p w14:paraId="25D221C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地下水水质现状评价采用标准指数法进行评价。标准指数＞1，表明该因子已超过了规定的水质标准，指数值越大，超标越严重。标准指数计算公式分为以下两种情况：</w:t>
      </w:r>
    </w:p>
    <w:p w14:paraId="3A9C4AD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（1）对于评价标准为定值的水质因子，其标准指数计算公式：</w:t>
      </w:r>
    </w:p>
    <w:p w14:paraId="4242EFAE">
      <w:pPr>
        <w:pStyle w:val="251"/>
        <w:ind w:firstLine="480"/>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0" distR="0">
            <wp:extent cx="1449070" cy="629920"/>
            <wp:effectExtent l="19050" t="0" r="0" b="0"/>
            <wp:docPr id="94" name="图片 6" descr="_$GBBZZ}8WF`632{(33`U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 descr="_$GBBZZ}8WF`632{(33`U45"/>
                    <pic:cNvPicPr>
                      <a:picLocks noChangeAspect="1" noChangeArrowheads="1"/>
                    </pic:cNvPicPr>
                  </pic:nvPicPr>
                  <pic:blipFill>
                    <a:blip r:embed="rId45" cstate="print"/>
                    <a:srcRect/>
                    <a:stretch>
                      <a:fillRect/>
                    </a:stretch>
                  </pic:blipFill>
                  <pic:spPr>
                    <a:xfrm>
                      <a:off x="0" y="0"/>
                      <a:ext cx="1449070" cy="629920"/>
                    </a:xfrm>
                    <a:prstGeom prst="rect">
                      <a:avLst/>
                    </a:prstGeom>
                    <a:noFill/>
                    <a:ln w="9525">
                      <a:noFill/>
                      <a:miter lim="800000"/>
                      <a:headEnd/>
                      <a:tailEnd/>
                    </a:ln>
                  </pic:spPr>
                </pic:pic>
              </a:graphicData>
            </a:graphic>
          </wp:inline>
        </w:drawing>
      </w:r>
    </w:p>
    <w:p w14:paraId="59F78D7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式中：Pi—第i个水质因子的标准指数，无量纲；</w:t>
      </w:r>
    </w:p>
    <w:p w14:paraId="1CB27CC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Ci—第i个水质因子的监测浓度值，mg/l；</w:t>
      </w:r>
    </w:p>
    <w:p w14:paraId="77643D3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Csi—第i个水质因子的标准浓度值，mg/l；</w:t>
      </w:r>
    </w:p>
    <w:p w14:paraId="257BC0A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67456" behindDoc="0" locked="0" layoutInCell="1" allowOverlap="1">
            <wp:simplePos x="0" y="0"/>
            <wp:positionH relativeFrom="margin">
              <wp:align>center</wp:align>
            </wp:positionH>
            <wp:positionV relativeFrom="paragraph">
              <wp:posOffset>514350</wp:posOffset>
            </wp:positionV>
            <wp:extent cx="4152900" cy="1129030"/>
            <wp:effectExtent l="19050" t="0" r="0" b="0"/>
            <wp:wrapNone/>
            <wp:docPr id="95" name="图片 1458" descr="../../../../../../Documents%20and%20Settings/Administrator/Application%20Data/Tencent/Users/112768905/QQ/WinTemp/RichOle/_VHJZS4F%7dP4CPO9SD)(L$%7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458" descr="../../../../../../Documents%20and%20Settings/Administrator/Application%20Data/Tencent/Users/112768905/QQ/WinTemp/RichOle/_VHJZS4F%7dP4CPO9SD)(L$%7d5.jpg"/>
                    <pic:cNvPicPr>
                      <a:picLocks noChangeAspect="1" noChangeArrowheads="1"/>
                    </pic:cNvPicPr>
                  </pic:nvPicPr>
                  <pic:blipFill>
                    <a:blip r:embed="rId46" r:link="rId47" cstate="print"/>
                    <a:srcRect/>
                    <a:stretch>
                      <a:fillRect/>
                    </a:stretch>
                  </pic:blipFill>
                  <pic:spPr>
                    <a:xfrm>
                      <a:off x="0" y="0"/>
                      <a:ext cx="4152900" cy="1129030"/>
                    </a:xfrm>
                    <a:prstGeom prst="rect">
                      <a:avLst/>
                    </a:prstGeom>
                    <a:noFill/>
                    <a:ln w="9525">
                      <a:noFill/>
                      <a:miter lim="800000"/>
                      <a:headEnd/>
                      <a:tailEnd/>
                    </a:ln>
                  </pic:spPr>
                </pic:pic>
              </a:graphicData>
            </a:graphic>
          </wp:anchor>
        </w:drawing>
      </w:r>
      <w:r>
        <w:rPr>
          <w:rFonts w:hint="default" w:ascii="Times New Roman" w:hAnsi="Times New Roman" w:cs="Times New Roman"/>
          <w:color w:val="000000" w:themeColor="text1"/>
          <w14:textFill>
            <w14:solidFill>
              <w14:schemeClr w14:val="tx1"/>
            </w14:solidFill>
          </w14:textFill>
        </w:rPr>
        <w:t>（2）对于评价标准为区间值的水质因子（如pH值），其标准指数计算公式：</w:t>
      </w:r>
    </w:p>
    <w:p w14:paraId="15F499D2">
      <w:pPr>
        <w:pStyle w:val="251"/>
        <w:ind w:firstLine="480"/>
        <w:rPr>
          <w:rFonts w:hint="default" w:ascii="Times New Roman" w:hAnsi="Times New Roman" w:cs="Times New Roman"/>
          <w:color w:val="000000" w:themeColor="text1"/>
          <w14:textFill>
            <w14:solidFill>
              <w14:schemeClr w14:val="tx1"/>
            </w14:solidFill>
          </w14:textFill>
        </w:rPr>
      </w:pPr>
    </w:p>
    <w:p w14:paraId="590242FF">
      <w:pPr>
        <w:pStyle w:val="251"/>
        <w:ind w:firstLine="480"/>
        <w:rPr>
          <w:rFonts w:hint="default" w:ascii="Times New Roman" w:hAnsi="Times New Roman" w:cs="Times New Roman"/>
          <w:color w:val="000000" w:themeColor="text1"/>
          <w14:textFill>
            <w14:solidFill>
              <w14:schemeClr w14:val="tx1"/>
            </w14:solidFill>
          </w14:textFill>
        </w:rPr>
      </w:pPr>
    </w:p>
    <w:p w14:paraId="575B7B3E">
      <w:pPr>
        <w:pStyle w:val="251"/>
        <w:ind w:firstLine="480"/>
        <w:rPr>
          <w:rFonts w:hint="default" w:ascii="Times New Roman" w:hAnsi="Times New Roman" w:cs="Times New Roman"/>
          <w:color w:val="000000" w:themeColor="text1"/>
          <w14:textFill>
            <w14:solidFill>
              <w14:schemeClr w14:val="tx1"/>
            </w14:solidFill>
          </w14:textFill>
        </w:rPr>
      </w:pPr>
    </w:p>
    <w:p w14:paraId="4D01DACC">
      <w:pPr>
        <w:pStyle w:val="251"/>
        <w:ind w:firstLine="480"/>
        <w:rPr>
          <w:rFonts w:hint="default" w:ascii="Times New Roman" w:hAnsi="Times New Roman" w:cs="Times New Roman"/>
          <w:color w:val="000000" w:themeColor="text1"/>
          <w14:textFill>
            <w14:solidFill>
              <w14:schemeClr w14:val="tx1"/>
            </w14:solidFill>
          </w14:textFill>
        </w:rPr>
      </w:pPr>
    </w:p>
    <w:p w14:paraId="6D3B513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式中：P</w:t>
      </w:r>
      <w:r>
        <w:rPr>
          <w:rFonts w:hint="default" w:ascii="Times New Roman" w:hAnsi="Times New Roman" w:cs="Times New Roman"/>
          <w:color w:val="000000" w:themeColor="text1"/>
          <w:vertAlign w:val="subscript"/>
          <w14:textFill>
            <w14:solidFill>
              <w14:schemeClr w14:val="tx1"/>
            </w14:solidFill>
          </w14:textFill>
        </w:rPr>
        <w:t>pH</w:t>
      </w:r>
      <w:r>
        <w:rPr>
          <w:rFonts w:hint="default" w:ascii="Times New Roman" w:hAnsi="Times New Roman" w:cs="Times New Roman"/>
          <w:color w:val="000000" w:themeColor="text1"/>
          <w14:textFill>
            <w14:solidFill>
              <w14:schemeClr w14:val="tx1"/>
            </w14:solidFill>
          </w14:textFill>
        </w:rPr>
        <w:t>—pH的标准指数，无量纲；</w:t>
      </w:r>
    </w:p>
    <w:p w14:paraId="4E17D89F">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pH—pH的监测值；</w:t>
      </w:r>
    </w:p>
    <w:p w14:paraId="0712BEE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pH</w:t>
      </w:r>
      <w:r>
        <w:rPr>
          <w:rFonts w:hint="default" w:ascii="Times New Roman" w:hAnsi="Times New Roman" w:cs="Times New Roman"/>
          <w:color w:val="000000" w:themeColor="text1"/>
          <w:vertAlign w:val="subscript"/>
          <w14:textFill>
            <w14:solidFill>
              <w14:schemeClr w14:val="tx1"/>
            </w14:solidFill>
          </w14:textFill>
        </w:rPr>
        <w:t>su</w:t>
      </w:r>
      <w:r>
        <w:rPr>
          <w:rFonts w:hint="default" w:ascii="Times New Roman" w:hAnsi="Times New Roman" w:cs="Times New Roman"/>
          <w:color w:val="000000" w:themeColor="text1"/>
          <w14:textFill>
            <w14:solidFill>
              <w14:schemeClr w14:val="tx1"/>
            </w14:solidFill>
          </w14:textFill>
        </w:rPr>
        <w:t>—标准中pH的上限值；</w:t>
      </w:r>
    </w:p>
    <w:p w14:paraId="11DD2A1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pH</w:t>
      </w:r>
      <w:r>
        <w:rPr>
          <w:rFonts w:hint="default" w:ascii="Times New Roman" w:hAnsi="Times New Roman" w:cs="Times New Roman"/>
          <w:color w:val="000000" w:themeColor="text1"/>
          <w:vertAlign w:val="subscript"/>
          <w14:textFill>
            <w14:solidFill>
              <w14:schemeClr w14:val="tx1"/>
            </w14:solidFill>
          </w14:textFill>
        </w:rPr>
        <w:t>sd</w:t>
      </w:r>
      <w:r>
        <w:rPr>
          <w:rFonts w:hint="default" w:ascii="Times New Roman" w:hAnsi="Times New Roman" w:cs="Times New Roman"/>
          <w:color w:val="000000" w:themeColor="text1"/>
          <w14:textFill>
            <w14:solidFill>
              <w14:schemeClr w14:val="tx1"/>
            </w14:solidFill>
          </w14:textFill>
        </w:rPr>
        <w:t>—标准中pH的下限值；</w:t>
      </w:r>
    </w:p>
    <w:p w14:paraId="795A89C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6、基本水质因子评价结果</w:t>
      </w:r>
    </w:p>
    <w:p w14:paraId="3899B15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区域地下水环境质量现状分析如下：</w:t>
      </w:r>
    </w:p>
    <w:p w14:paraId="182C4BD4">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评价结果见下表：</w:t>
      </w:r>
    </w:p>
    <w:p w14:paraId="4FBE2AC5">
      <w:pPr>
        <w:adjustRightInd w:val="0"/>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表4.4-4地下水监测结果汇总表</w:t>
      </w:r>
    </w:p>
    <w:tbl>
      <w:tblPr>
        <w:tblStyle w:val="8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08"/>
        <w:gridCol w:w="1352"/>
        <w:gridCol w:w="1099"/>
        <w:gridCol w:w="1219"/>
        <w:gridCol w:w="1219"/>
        <w:gridCol w:w="1162"/>
        <w:gridCol w:w="1060"/>
      </w:tblGrid>
      <w:tr w14:paraId="06E25A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Merge w:val="restart"/>
            <w:vAlign w:val="center"/>
          </w:tcPr>
          <w:p w14:paraId="0981604D">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监测因子</w:t>
            </w:r>
          </w:p>
        </w:tc>
        <w:tc>
          <w:tcPr>
            <w:tcW w:w="793" w:type="pct"/>
            <w:vMerge w:val="restart"/>
            <w:vAlign w:val="center"/>
          </w:tcPr>
          <w:p w14:paraId="7C98F9C9">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单位</w:t>
            </w:r>
          </w:p>
        </w:tc>
        <w:tc>
          <w:tcPr>
            <w:tcW w:w="645" w:type="pct"/>
            <w:vMerge w:val="restart"/>
            <w:vAlign w:val="center"/>
          </w:tcPr>
          <w:p w14:paraId="171EC27D">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检出限</w:t>
            </w:r>
          </w:p>
        </w:tc>
        <w:tc>
          <w:tcPr>
            <w:tcW w:w="2112" w:type="pct"/>
            <w:gridSpan w:val="3"/>
            <w:vAlign w:val="center"/>
          </w:tcPr>
          <w:p w14:paraId="50CF1AFB">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检测结果</w:t>
            </w:r>
          </w:p>
        </w:tc>
        <w:tc>
          <w:tcPr>
            <w:tcW w:w="622" w:type="pct"/>
            <w:vMerge w:val="restart"/>
            <w:vAlign w:val="center"/>
          </w:tcPr>
          <w:p w14:paraId="1A2CD756">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标准</w:t>
            </w:r>
          </w:p>
          <w:p w14:paraId="704A5B81">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限值</w:t>
            </w:r>
          </w:p>
        </w:tc>
      </w:tr>
      <w:tr w14:paraId="23B2EF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Merge w:val="continue"/>
            <w:vAlign w:val="center"/>
          </w:tcPr>
          <w:p w14:paraId="0D41D657">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793" w:type="pct"/>
            <w:vMerge w:val="continue"/>
            <w:vAlign w:val="center"/>
          </w:tcPr>
          <w:p w14:paraId="6DD16094">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645" w:type="pct"/>
            <w:vMerge w:val="continue"/>
            <w:vAlign w:val="center"/>
          </w:tcPr>
          <w:p w14:paraId="36E4F87B">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2112" w:type="pct"/>
            <w:gridSpan w:val="3"/>
            <w:vAlign w:val="center"/>
          </w:tcPr>
          <w:p w14:paraId="63C414AF">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2024.01.05</w:t>
            </w:r>
          </w:p>
        </w:tc>
        <w:tc>
          <w:tcPr>
            <w:tcW w:w="622" w:type="pct"/>
            <w:vMerge w:val="continue"/>
            <w:vAlign w:val="center"/>
          </w:tcPr>
          <w:p w14:paraId="6A027936">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r>
      <w:tr w14:paraId="0C0431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Merge w:val="continue"/>
            <w:vAlign w:val="center"/>
          </w:tcPr>
          <w:p w14:paraId="4C5D219E">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793" w:type="pct"/>
            <w:vMerge w:val="continue"/>
            <w:vAlign w:val="center"/>
          </w:tcPr>
          <w:p w14:paraId="46229740">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645" w:type="pct"/>
            <w:vMerge w:val="continue"/>
            <w:vAlign w:val="center"/>
          </w:tcPr>
          <w:p w14:paraId="2AEDDF3C">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715" w:type="pct"/>
            <w:vAlign w:val="center"/>
          </w:tcPr>
          <w:p w14:paraId="4C85041E">
            <w:pPr>
              <w:pStyle w:val="3869"/>
              <w:adjustRightInd/>
              <w:snapToGrid/>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D</w:t>
            </w:r>
            <w:r>
              <w:rPr>
                <w:rFonts w:hint="default" w:ascii="Times New Roman" w:hAnsi="Times New Roman" w:cs="Times New Roman"/>
                <w:bCs/>
                <w:color w:val="000000" w:themeColor="text1"/>
                <w:sz w:val="21"/>
                <w:szCs w:val="21"/>
                <w:vertAlign w:val="subscript"/>
                <w14:textFill>
                  <w14:solidFill>
                    <w14:schemeClr w14:val="tx1"/>
                  </w14:solidFill>
                </w14:textFill>
              </w:rPr>
              <w:t>1</w:t>
            </w:r>
          </w:p>
        </w:tc>
        <w:tc>
          <w:tcPr>
            <w:tcW w:w="715" w:type="pct"/>
            <w:vAlign w:val="center"/>
          </w:tcPr>
          <w:p w14:paraId="6C09D00D">
            <w:pPr>
              <w:pStyle w:val="3869"/>
              <w:adjustRightInd/>
              <w:snapToGrid/>
              <w:spacing w:line="276" w:lineRule="auto"/>
              <w:ind w:firstLine="0" w:firstLineChars="0"/>
              <w:jc w:val="center"/>
              <w:rPr>
                <w:rFonts w:hint="default" w:ascii="Times New Roman" w:hAnsi="Times New Roman" w:cs="Times New Roman"/>
                <w:bCs/>
                <w:color w:val="000000" w:themeColor="text1"/>
                <w:sz w:val="21"/>
                <w:szCs w:val="21"/>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D</w:t>
            </w:r>
            <w:r>
              <w:rPr>
                <w:rFonts w:hint="default" w:ascii="Times New Roman" w:hAnsi="Times New Roman" w:cs="Times New Roman"/>
                <w:bCs/>
                <w:color w:val="000000" w:themeColor="text1"/>
                <w:sz w:val="21"/>
                <w:szCs w:val="21"/>
                <w:vertAlign w:val="subscript"/>
                <w14:textFill>
                  <w14:solidFill>
                    <w14:schemeClr w14:val="tx1"/>
                  </w14:solidFill>
                </w14:textFill>
              </w:rPr>
              <w:t>2</w:t>
            </w:r>
          </w:p>
        </w:tc>
        <w:tc>
          <w:tcPr>
            <w:tcW w:w="681" w:type="pct"/>
            <w:vAlign w:val="center"/>
          </w:tcPr>
          <w:p w14:paraId="4CC9634F">
            <w:pPr>
              <w:pStyle w:val="3869"/>
              <w:adjustRightInd/>
              <w:snapToGrid/>
              <w:spacing w:line="276" w:lineRule="auto"/>
              <w:ind w:firstLine="0" w:firstLineChars="0"/>
              <w:jc w:val="center"/>
              <w:rPr>
                <w:rFonts w:hint="default" w:ascii="Times New Roman" w:hAnsi="Times New Roman" w:cs="Times New Roman"/>
                <w:bCs/>
                <w:color w:val="000000" w:themeColor="text1"/>
                <w:sz w:val="21"/>
                <w:szCs w:val="21"/>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D</w:t>
            </w:r>
            <w:r>
              <w:rPr>
                <w:rFonts w:hint="default" w:ascii="Times New Roman" w:hAnsi="Times New Roman" w:cs="Times New Roman"/>
                <w:bCs/>
                <w:color w:val="000000" w:themeColor="text1"/>
                <w:sz w:val="21"/>
                <w:szCs w:val="21"/>
                <w:vertAlign w:val="subscript"/>
                <w14:textFill>
                  <w14:solidFill>
                    <w14:schemeClr w14:val="tx1"/>
                  </w14:solidFill>
                </w14:textFill>
              </w:rPr>
              <w:t>5</w:t>
            </w:r>
          </w:p>
        </w:tc>
        <w:tc>
          <w:tcPr>
            <w:tcW w:w="622" w:type="pct"/>
            <w:vMerge w:val="continue"/>
            <w:vAlign w:val="center"/>
          </w:tcPr>
          <w:p w14:paraId="7555EC72">
            <w:pPr>
              <w:pStyle w:val="3869"/>
              <w:adjustRightInd/>
              <w:snapToGrid/>
              <w:spacing w:line="276" w:lineRule="auto"/>
              <w:ind w:firstLine="0" w:firstLineChars="0"/>
              <w:jc w:val="center"/>
              <w:rPr>
                <w:rFonts w:hint="default" w:ascii="Times New Roman" w:hAnsi="Times New Roman" w:cs="Times New Roman"/>
                <w:bCs/>
                <w:color w:val="000000" w:themeColor="text1"/>
                <w:sz w:val="21"/>
                <w:szCs w:val="21"/>
                <w14:textFill>
                  <w14:solidFill>
                    <w14:schemeClr w14:val="tx1"/>
                  </w14:solidFill>
                </w14:textFill>
              </w:rPr>
            </w:pPr>
          </w:p>
        </w:tc>
      </w:tr>
      <w:tr w14:paraId="07FC84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7C09DFC6">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样品性状</w:t>
            </w:r>
          </w:p>
        </w:tc>
        <w:tc>
          <w:tcPr>
            <w:tcW w:w="793" w:type="pct"/>
            <w:vAlign w:val="center"/>
          </w:tcPr>
          <w:p w14:paraId="3CD6D0BB">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645" w:type="pct"/>
            <w:vAlign w:val="center"/>
          </w:tcPr>
          <w:p w14:paraId="78E2906F">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15" w:type="pct"/>
            <w:vAlign w:val="center"/>
          </w:tcPr>
          <w:p w14:paraId="2C76FD24">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无色、透明、无味、无油膜</w:t>
            </w:r>
          </w:p>
        </w:tc>
        <w:tc>
          <w:tcPr>
            <w:tcW w:w="715" w:type="pct"/>
            <w:vAlign w:val="center"/>
          </w:tcPr>
          <w:p w14:paraId="4D97708F">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无色、透明、无味、无油膜</w:t>
            </w:r>
          </w:p>
        </w:tc>
        <w:tc>
          <w:tcPr>
            <w:tcW w:w="681" w:type="pct"/>
            <w:vAlign w:val="center"/>
          </w:tcPr>
          <w:p w14:paraId="5E50AC2C">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无色、透明、无味、无油膜</w:t>
            </w:r>
          </w:p>
        </w:tc>
        <w:tc>
          <w:tcPr>
            <w:tcW w:w="622" w:type="pct"/>
            <w:vAlign w:val="center"/>
          </w:tcPr>
          <w:p w14:paraId="71FFFB0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2DBE9D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7193742E">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pH</w:t>
            </w:r>
          </w:p>
        </w:tc>
        <w:tc>
          <w:tcPr>
            <w:tcW w:w="793" w:type="pct"/>
            <w:vAlign w:val="center"/>
          </w:tcPr>
          <w:p w14:paraId="09BA3EF6">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无量纲</w:t>
            </w:r>
          </w:p>
        </w:tc>
        <w:tc>
          <w:tcPr>
            <w:tcW w:w="645" w:type="pct"/>
            <w:vAlign w:val="center"/>
          </w:tcPr>
          <w:p w14:paraId="2148E8F2">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0.1</w:t>
            </w:r>
          </w:p>
        </w:tc>
        <w:tc>
          <w:tcPr>
            <w:tcW w:w="715" w:type="pct"/>
            <w:vAlign w:val="center"/>
          </w:tcPr>
          <w:p w14:paraId="3550F37A">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7.7[水温：20.3℃]</w:t>
            </w:r>
          </w:p>
        </w:tc>
        <w:tc>
          <w:tcPr>
            <w:tcW w:w="715" w:type="pct"/>
            <w:vAlign w:val="center"/>
          </w:tcPr>
          <w:p w14:paraId="3EEB016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7.6[水温：19.8℃]</w:t>
            </w:r>
          </w:p>
        </w:tc>
        <w:tc>
          <w:tcPr>
            <w:tcW w:w="681" w:type="pct"/>
            <w:vAlign w:val="center"/>
          </w:tcPr>
          <w:p w14:paraId="6285129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8.0[水温：20.3℃]</w:t>
            </w:r>
          </w:p>
        </w:tc>
        <w:tc>
          <w:tcPr>
            <w:tcW w:w="622" w:type="pct"/>
            <w:vAlign w:val="center"/>
          </w:tcPr>
          <w:p w14:paraId="7CA949C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6.5～8.5</w:t>
            </w:r>
          </w:p>
        </w:tc>
      </w:tr>
      <w:tr w14:paraId="3BB85E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1E09C577">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色度</w:t>
            </w:r>
          </w:p>
        </w:tc>
        <w:tc>
          <w:tcPr>
            <w:tcW w:w="793" w:type="pct"/>
            <w:vAlign w:val="center"/>
          </w:tcPr>
          <w:p w14:paraId="5DE34233">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度</w:t>
            </w:r>
          </w:p>
        </w:tc>
        <w:tc>
          <w:tcPr>
            <w:tcW w:w="645" w:type="pct"/>
            <w:vAlign w:val="center"/>
          </w:tcPr>
          <w:p w14:paraId="64B9D563">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715" w:type="pct"/>
            <w:vAlign w:val="center"/>
          </w:tcPr>
          <w:p w14:paraId="1CB43E0A">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5L</w:t>
            </w:r>
          </w:p>
        </w:tc>
        <w:tc>
          <w:tcPr>
            <w:tcW w:w="715" w:type="pct"/>
            <w:vAlign w:val="center"/>
          </w:tcPr>
          <w:p w14:paraId="6C7B8229">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5L</w:t>
            </w:r>
          </w:p>
        </w:tc>
        <w:tc>
          <w:tcPr>
            <w:tcW w:w="681" w:type="pct"/>
            <w:vAlign w:val="center"/>
          </w:tcPr>
          <w:p w14:paraId="2A44FCF3">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5L</w:t>
            </w:r>
          </w:p>
        </w:tc>
        <w:tc>
          <w:tcPr>
            <w:tcW w:w="622" w:type="pct"/>
            <w:vAlign w:val="center"/>
          </w:tcPr>
          <w:p w14:paraId="48D85DE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r>
      <w:tr w14:paraId="58C09E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6F2EE669">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浑浊度</w:t>
            </w:r>
          </w:p>
        </w:tc>
        <w:tc>
          <w:tcPr>
            <w:tcW w:w="793" w:type="pct"/>
            <w:vAlign w:val="center"/>
          </w:tcPr>
          <w:p w14:paraId="5B0F7EFD">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NTU</w:t>
            </w:r>
          </w:p>
        </w:tc>
        <w:tc>
          <w:tcPr>
            <w:tcW w:w="645" w:type="pct"/>
            <w:vAlign w:val="center"/>
          </w:tcPr>
          <w:p w14:paraId="7D709934">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715" w:type="pct"/>
            <w:vAlign w:val="center"/>
          </w:tcPr>
          <w:p w14:paraId="7281372B">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715" w:type="pct"/>
            <w:vAlign w:val="center"/>
          </w:tcPr>
          <w:p w14:paraId="0D5D340B">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681" w:type="pct"/>
            <w:vAlign w:val="center"/>
          </w:tcPr>
          <w:p w14:paraId="6901D4F0">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622" w:type="pct"/>
            <w:vAlign w:val="center"/>
          </w:tcPr>
          <w:p w14:paraId="0CE147D6">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r>
      <w:tr w14:paraId="40EA79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7BE9C244">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总硬度</w:t>
            </w:r>
          </w:p>
        </w:tc>
        <w:tc>
          <w:tcPr>
            <w:tcW w:w="793" w:type="pct"/>
            <w:vAlign w:val="center"/>
          </w:tcPr>
          <w:p w14:paraId="4C2E0E7C">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2E33EDCB">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w:t>
            </w:r>
          </w:p>
        </w:tc>
        <w:tc>
          <w:tcPr>
            <w:tcW w:w="715" w:type="pct"/>
            <w:vAlign w:val="center"/>
          </w:tcPr>
          <w:p w14:paraId="61530497">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无</w:t>
            </w:r>
          </w:p>
        </w:tc>
        <w:tc>
          <w:tcPr>
            <w:tcW w:w="715" w:type="pct"/>
            <w:vAlign w:val="center"/>
          </w:tcPr>
          <w:p w14:paraId="46730D4D">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无</w:t>
            </w:r>
          </w:p>
        </w:tc>
        <w:tc>
          <w:tcPr>
            <w:tcW w:w="681" w:type="pct"/>
            <w:vAlign w:val="center"/>
          </w:tcPr>
          <w:p w14:paraId="5EACAF57">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无</w:t>
            </w:r>
          </w:p>
        </w:tc>
        <w:tc>
          <w:tcPr>
            <w:tcW w:w="622" w:type="pct"/>
            <w:vAlign w:val="center"/>
          </w:tcPr>
          <w:p w14:paraId="6986F479">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≤450</w:t>
            </w:r>
          </w:p>
        </w:tc>
      </w:tr>
      <w:tr w14:paraId="544EC7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60037EDB">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溶解性总固体</w:t>
            </w:r>
          </w:p>
        </w:tc>
        <w:tc>
          <w:tcPr>
            <w:tcW w:w="793" w:type="pct"/>
            <w:vAlign w:val="center"/>
          </w:tcPr>
          <w:p w14:paraId="115D2ADA">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20C18C34">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15" w:type="pct"/>
            <w:vAlign w:val="center"/>
          </w:tcPr>
          <w:p w14:paraId="05126A31">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无</w:t>
            </w:r>
          </w:p>
        </w:tc>
        <w:tc>
          <w:tcPr>
            <w:tcW w:w="715" w:type="pct"/>
            <w:vAlign w:val="center"/>
          </w:tcPr>
          <w:p w14:paraId="3E772029">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无</w:t>
            </w:r>
          </w:p>
        </w:tc>
        <w:tc>
          <w:tcPr>
            <w:tcW w:w="681" w:type="pct"/>
            <w:vAlign w:val="center"/>
          </w:tcPr>
          <w:p w14:paraId="1DAA17A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无</w:t>
            </w:r>
          </w:p>
        </w:tc>
        <w:tc>
          <w:tcPr>
            <w:tcW w:w="622" w:type="pct"/>
            <w:vAlign w:val="center"/>
          </w:tcPr>
          <w:p w14:paraId="0013CCC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≤1000</w:t>
            </w:r>
          </w:p>
        </w:tc>
      </w:tr>
      <w:tr w14:paraId="0C970D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3CC1E06D">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高锰酸盐指数</w:t>
            </w:r>
          </w:p>
        </w:tc>
        <w:tc>
          <w:tcPr>
            <w:tcW w:w="793" w:type="pct"/>
            <w:vAlign w:val="center"/>
          </w:tcPr>
          <w:p w14:paraId="32E2F108">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2F9D0FF3">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0.5</w:t>
            </w:r>
          </w:p>
        </w:tc>
        <w:tc>
          <w:tcPr>
            <w:tcW w:w="715" w:type="pct"/>
            <w:vAlign w:val="center"/>
          </w:tcPr>
          <w:p w14:paraId="65BD3FC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214</w:t>
            </w:r>
          </w:p>
        </w:tc>
        <w:tc>
          <w:tcPr>
            <w:tcW w:w="715" w:type="pct"/>
            <w:vAlign w:val="center"/>
          </w:tcPr>
          <w:p w14:paraId="30BB3AD6">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217</w:t>
            </w:r>
          </w:p>
        </w:tc>
        <w:tc>
          <w:tcPr>
            <w:tcW w:w="681" w:type="pct"/>
            <w:vAlign w:val="center"/>
          </w:tcPr>
          <w:p w14:paraId="46190792">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152</w:t>
            </w:r>
          </w:p>
        </w:tc>
        <w:tc>
          <w:tcPr>
            <w:tcW w:w="622" w:type="pct"/>
            <w:vAlign w:val="center"/>
          </w:tcPr>
          <w:p w14:paraId="608ABC5C">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482644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5B9FCEA8">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氨氮</w:t>
            </w:r>
          </w:p>
        </w:tc>
        <w:tc>
          <w:tcPr>
            <w:tcW w:w="793" w:type="pct"/>
            <w:vAlign w:val="center"/>
          </w:tcPr>
          <w:p w14:paraId="3F339AE7">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75E46F9E">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0.025</w:t>
            </w:r>
          </w:p>
        </w:tc>
        <w:tc>
          <w:tcPr>
            <w:tcW w:w="715" w:type="pct"/>
            <w:vAlign w:val="center"/>
          </w:tcPr>
          <w:p w14:paraId="44A23769">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513</w:t>
            </w:r>
          </w:p>
        </w:tc>
        <w:tc>
          <w:tcPr>
            <w:tcW w:w="715" w:type="pct"/>
            <w:vAlign w:val="center"/>
          </w:tcPr>
          <w:p w14:paraId="64F3BFB7">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562</w:t>
            </w:r>
          </w:p>
        </w:tc>
        <w:tc>
          <w:tcPr>
            <w:tcW w:w="681" w:type="pct"/>
            <w:vAlign w:val="center"/>
          </w:tcPr>
          <w:p w14:paraId="3E0BE891">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756</w:t>
            </w:r>
          </w:p>
        </w:tc>
        <w:tc>
          <w:tcPr>
            <w:tcW w:w="622" w:type="pct"/>
            <w:vAlign w:val="center"/>
          </w:tcPr>
          <w:p w14:paraId="43F8C72E">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≤0.5</w:t>
            </w:r>
          </w:p>
        </w:tc>
      </w:tr>
      <w:tr w14:paraId="3EE618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0491D888">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亚硝酸盐氮</w:t>
            </w:r>
          </w:p>
        </w:tc>
        <w:tc>
          <w:tcPr>
            <w:tcW w:w="793" w:type="pct"/>
            <w:vAlign w:val="center"/>
          </w:tcPr>
          <w:p w14:paraId="13AC7D23">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63151C79">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0.003</w:t>
            </w:r>
          </w:p>
        </w:tc>
        <w:tc>
          <w:tcPr>
            <w:tcW w:w="715" w:type="pct"/>
            <w:vAlign w:val="center"/>
          </w:tcPr>
          <w:p w14:paraId="1815C814">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715" w:type="pct"/>
            <w:vAlign w:val="center"/>
          </w:tcPr>
          <w:p w14:paraId="578F5759">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w:t>
            </w:r>
          </w:p>
        </w:tc>
        <w:tc>
          <w:tcPr>
            <w:tcW w:w="681" w:type="pct"/>
            <w:vAlign w:val="center"/>
          </w:tcPr>
          <w:p w14:paraId="70462ECF">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1.4</w:t>
            </w:r>
          </w:p>
        </w:tc>
        <w:tc>
          <w:tcPr>
            <w:tcW w:w="622" w:type="pct"/>
            <w:vAlign w:val="center"/>
          </w:tcPr>
          <w:p w14:paraId="7731EC06">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r>
      <w:tr w14:paraId="4BD202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61866064">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硝酸根（以N计）</w:t>
            </w:r>
          </w:p>
        </w:tc>
        <w:tc>
          <w:tcPr>
            <w:tcW w:w="793" w:type="pct"/>
            <w:vAlign w:val="center"/>
          </w:tcPr>
          <w:p w14:paraId="26E3016F">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4D6FF621">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0.004</w:t>
            </w:r>
          </w:p>
        </w:tc>
        <w:tc>
          <w:tcPr>
            <w:tcW w:w="715" w:type="pct"/>
            <w:vAlign w:val="center"/>
          </w:tcPr>
          <w:p w14:paraId="5144C63A">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0.025L</w:t>
            </w:r>
          </w:p>
        </w:tc>
        <w:tc>
          <w:tcPr>
            <w:tcW w:w="715" w:type="pct"/>
            <w:vAlign w:val="center"/>
          </w:tcPr>
          <w:p w14:paraId="6335674D">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0.025L</w:t>
            </w:r>
          </w:p>
        </w:tc>
        <w:tc>
          <w:tcPr>
            <w:tcW w:w="681" w:type="pct"/>
            <w:vAlign w:val="center"/>
          </w:tcPr>
          <w:p w14:paraId="386CC0D7">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0.146</w:t>
            </w:r>
          </w:p>
        </w:tc>
        <w:tc>
          <w:tcPr>
            <w:tcW w:w="622" w:type="pct"/>
            <w:vAlign w:val="center"/>
          </w:tcPr>
          <w:p w14:paraId="1206873A">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264E0E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79C00A7D">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硫酸根</w:t>
            </w:r>
          </w:p>
        </w:tc>
        <w:tc>
          <w:tcPr>
            <w:tcW w:w="793" w:type="pct"/>
            <w:vAlign w:val="center"/>
          </w:tcPr>
          <w:p w14:paraId="1C60A9DD">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42AC1D5D">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0.018</w:t>
            </w:r>
          </w:p>
        </w:tc>
        <w:tc>
          <w:tcPr>
            <w:tcW w:w="715" w:type="pct"/>
            <w:vAlign w:val="center"/>
          </w:tcPr>
          <w:p w14:paraId="0BB8817B">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0.028</w:t>
            </w:r>
          </w:p>
        </w:tc>
        <w:tc>
          <w:tcPr>
            <w:tcW w:w="715" w:type="pct"/>
            <w:vAlign w:val="center"/>
          </w:tcPr>
          <w:p w14:paraId="59E26CF8">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0.026</w:t>
            </w:r>
          </w:p>
        </w:tc>
        <w:tc>
          <w:tcPr>
            <w:tcW w:w="681" w:type="pct"/>
            <w:vAlign w:val="center"/>
          </w:tcPr>
          <w:p w14:paraId="3BB3FE4A">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0.003</w:t>
            </w:r>
          </w:p>
        </w:tc>
        <w:tc>
          <w:tcPr>
            <w:tcW w:w="622" w:type="pct"/>
            <w:vAlign w:val="center"/>
          </w:tcPr>
          <w:p w14:paraId="7C73FFB6">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≤250</w:t>
            </w:r>
          </w:p>
        </w:tc>
      </w:tr>
      <w:tr w14:paraId="298986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53DA7E6C">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氟离子</w:t>
            </w:r>
          </w:p>
        </w:tc>
        <w:tc>
          <w:tcPr>
            <w:tcW w:w="793" w:type="pct"/>
            <w:vAlign w:val="center"/>
          </w:tcPr>
          <w:p w14:paraId="0B9F0C7C">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635BAF45">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0.006</w:t>
            </w:r>
          </w:p>
        </w:tc>
        <w:tc>
          <w:tcPr>
            <w:tcW w:w="715" w:type="pct"/>
            <w:vAlign w:val="center"/>
          </w:tcPr>
          <w:p w14:paraId="3127803C">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10.3</w:t>
            </w:r>
          </w:p>
        </w:tc>
        <w:tc>
          <w:tcPr>
            <w:tcW w:w="715" w:type="pct"/>
            <w:vAlign w:val="center"/>
          </w:tcPr>
          <w:p w14:paraId="4B7A6C9E">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9.85</w:t>
            </w:r>
          </w:p>
        </w:tc>
        <w:tc>
          <w:tcPr>
            <w:tcW w:w="681" w:type="pct"/>
            <w:vAlign w:val="center"/>
          </w:tcPr>
          <w:p w14:paraId="213F4268">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0.028</w:t>
            </w:r>
          </w:p>
        </w:tc>
        <w:tc>
          <w:tcPr>
            <w:tcW w:w="622" w:type="pct"/>
            <w:vAlign w:val="center"/>
          </w:tcPr>
          <w:p w14:paraId="6772AAAB">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r>
      <w:tr w14:paraId="18D613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76117A10">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氯离子</w:t>
            </w:r>
          </w:p>
        </w:tc>
        <w:tc>
          <w:tcPr>
            <w:tcW w:w="793" w:type="pct"/>
            <w:vAlign w:val="center"/>
          </w:tcPr>
          <w:p w14:paraId="005CE152">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22EC3CBC">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0.007</w:t>
            </w:r>
          </w:p>
        </w:tc>
        <w:tc>
          <w:tcPr>
            <w:tcW w:w="715" w:type="pct"/>
            <w:vAlign w:val="center"/>
          </w:tcPr>
          <w:p w14:paraId="33D95709">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29.4</w:t>
            </w:r>
          </w:p>
        </w:tc>
        <w:tc>
          <w:tcPr>
            <w:tcW w:w="715" w:type="pct"/>
            <w:vAlign w:val="center"/>
          </w:tcPr>
          <w:p w14:paraId="4E4398B3">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29.4</w:t>
            </w:r>
          </w:p>
        </w:tc>
        <w:tc>
          <w:tcPr>
            <w:tcW w:w="681" w:type="pct"/>
            <w:vAlign w:val="center"/>
          </w:tcPr>
          <w:p w14:paraId="031B84B9">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65.3</w:t>
            </w:r>
          </w:p>
        </w:tc>
        <w:tc>
          <w:tcPr>
            <w:tcW w:w="622" w:type="pct"/>
            <w:vAlign w:val="center"/>
          </w:tcPr>
          <w:p w14:paraId="3804E679">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≤250</w:t>
            </w:r>
          </w:p>
        </w:tc>
      </w:tr>
      <w:tr w14:paraId="482A8D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698A958B">
            <w:pPr>
              <w:pStyle w:val="641"/>
              <w:adjustRightInd/>
              <w:spacing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碳酸根</w:t>
            </w:r>
          </w:p>
        </w:tc>
        <w:tc>
          <w:tcPr>
            <w:tcW w:w="793" w:type="pct"/>
            <w:vAlign w:val="center"/>
          </w:tcPr>
          <w:p w14:paraId="6A23C6B4">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646B895B">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715" w:type="pct"/>
            <w:vAlign w:val="center"/>
          </w:tcPr>
          <w:p w14:paraId="20D73ED4">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0.281</w:t>
            </w:r>
          </w:p>
        </w:tc>
        <w:tc>
          <w:tcPr>
            <w:tcW w:w="715" w:type="pct"/>
            <w:vAlign w:val="center"/>
          </w:tcPr>
          <w:p w14:paraId="16D22FB6">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0.289</w:t>
            </w:r>
          </w:p>
        </w:tc>
        <w:tc>
          <w:tcPr>
            <w:tcW w:w="681" w:type="pct"/>
            <w:vAlign w:val="center"/>
          </w:tcPr>
          <w:p w14:paraId="78FCCD9E">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0.320</w:t>
            </w:r>
          </w:p>
        </w:tc>
        <w:tc>
          <w:tcPr>
            <w:tcW w:w="622" w:type="pct"/>
            <w:vAlign w:val="center"/>
          </w:tcPr>
          <w:p w14:paraId="24CE08A2">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7BB4B7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70FE534B">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碳酸氢根</w:t>
            </w:r>
          </w:p>
        </w:tc>
        <w:tc>
          <w:tcPr>
            <w:tcW w:w="793" w:type="pct"/>
            <w:vAlign w:val="center"/>
          </w:tcPr>
          <w:p w14:paraId="026153BB">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01EFD4B6">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715" w:type="pct"/>
            <w:vAlign w:val="center"/>
          </w:tcPr>
          <w:p w14:paraId="21FF58B8">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134</w:t>
            </w:r>
          </w:p>
        </w:tc>
        <w:tc>
          <w:tcPr>
            <w:tcW w:w="715" w:type="pct"/>
            <w:vAlign w:val="center"/>
          </w:tcPr>
          <w:p w14:paraId="0946C8BB">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132</w:t>
            </w:r>
          </w:p>
        </w:tc>
        <w:tc>
          <w:tcPr>
            <w:tcW w:w="681" w:type="pct"/>
            <w:vAlign w:val="center"/>
          </w:tcPr>
          <w:p w14:paraId="09B4727F">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213</w:t>
            </w:r>
          </w:p>
        </w:tc>
        <w:tc>
          <w:tcPr>
            <w:tcW w:w="622" w:type="pct"/>
            <w:vAlign w:val="center"/>
          </w:tcPr>
          <w:p w14:paraId="5771307A">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6C2CE5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74DC455C">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硫化物</w:t>
            </w:r>
          </w:p>
        </w:tc>
        <w:tc>
          <w:tcPr>
            <w:tcW w:w="793" w:type="pct"/>
            <w:vAlign w:val="center"/>
          </w:tcPr>
          <w:p w14:paraId="074E61B8">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2C38B79D">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0.003</w:t>
            </w:r>
          </w:p>
        </w:tc>
        <w:tc>
          <w:tcPr>
            <w:tcW w:w="715" w:type="pct"/>
            <w:vAlign w:val="center"/>
          </w:tcPr>
          <w:p w14:paraId="276A3102">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5L</w:t>
            </w:r>
          </w:p>
        </w:tc>
        <w:tc>
          <w:tcPr>
            <w:tcW w:w="715" w:type="pct"/>
            <w:vAlign w:val="center"/>
          </w:tcPr>
          <w:p w14:paraId="5C9D52D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5L</w:t>
            </w:r>
          </w:p>
        </w:tc>
        <w:tc>
          <w:tcPr>
            <w:tcW w:w="681" w:type="pct"/>
            <w:vAlign w:val="center"/>
          </w:tcPr>
          <w:p w14:paraId="78E09182">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5L</w:t>
            </w:r>
          </w:p>
        </w:tc>
        <w:tc>
          <w:tcPr>
            <w:tcW w:w="622" w:type="pct"/>
            <w:vAlign w:val="center"/>
          </w:tcPr>
          <w:p w14:paraId="5AA78C6C">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≤0.02</w:t>
            </w:r>
          </w:p>
        </w:tc>
      </w:tr>
      <w:tr w14:paraId="341055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7773D711">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氰化物</w:t>
            </w:r>
          </w:p>
        </w:tc>
        <w:tc>
          <w:tcPr>
            <w:tcW w:w="793" w:type="pct"/>
            <w:vAlign w:val="center"/>
          </w:tcPr>
          <w:p w14:paraId="4D06D4CE">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4A689F91">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0.002</w:t>
            </w:r>
          </w:p>
        </w:tc>
        <w:tc>
          <w:tcPr>
            <w:tcW w:w="715" w:type="pct"/>
            <w:vAlign w:val="center"/>
          </w:tcPr>
          <w:p w14:paraId="4F82D459">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203</w:t>
            </w:r>
          </w:p>
        </w:tc>
        <w:tc>
          <w:tcPr>
            <w:tcW w:w="715" w:type="pct"/>
            <w:vAlign w:val="center"/>
          </w:tcPr>
          <w:p w14:paraId="2892BEFF">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195</w:t>
            </w:r>
          </w:p>
        </w:tc>
        <w:tc>
          <w:tcPr>
            <w:tcW w:w="681" w:type="pct"/>
            <w:vAlign w:val="center"/>
          </w:tcPr>
          <w:p w14:paraId="14BCFC5F">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333</w:t>
            </w:r>
          </w:p>
        </w:tc>
        <w:tc>
          <w:tcPr>
            <w:tcW w:w="622" w:type="pct"/>
            <w:vAlign w:val="center"/>
          </w:tcPr>
          <w:p w14:paraId="37ACDFE4">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10BFBA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6775627C">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挥发酚</w:t>
            </w:r>
          </w:p>
        </w:tc>
        <w:tc>
          <w:tcPr>
            <w:tcW w:w="793" w:type="pct"/>
            <w:vAlign w:val="center"/>
          </w:tcPr>
          <w:p w14:paraId="19717EF5">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2840403C">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0.0003</w:t>
            </w:r>
          </w:p>
        </w:tc>
        <w:tc>
          <w:tcPr>
            <w:tcW w:w="715" w:type="pct"/>
            <w:vAlign w:val="center"/>
          </w:tcPr>
          <w:p w14:paraId="3E7A0C83">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0.003L</w:t>
            </w:r>
          </w:p>
        </w:tc>
        <w:tc>
          <w:tcPr>
            <w:tcW w:w="715" w:type="pct"/>
            <w:vAlign w:val="center"/>
          </w:tcPr>
          <w:p w14:paraId="1A59ED8A">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0.003L</w:t>
            </w:r>
          </w:p>
        </w:tc>
        <w:tc>
          <w:tcPr>
            <w:tcW w:w="681" w:type="pct"/>
            <w:vAlign w:val="center"/>
          </w:tcPr>
          <w:p w14:paraId="5CC54F79">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0.003L</w:t>
            </w:r>
          </w:p>
        </w:tc>
        <w:tc>
          <w:tcPr>
            <w:tcW w:w="622" w:type="pct"/>
            <w:vAlign w:val="center"/>
          </w:tcPr>
          <w:p w14:paraId="1F3ACE9B">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≤0.002</w:t>
            </w:r>
          </w:p>
        </w:tc>
      </w:tr>
      <w:tr w14:paraId="693CE4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268DF692">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阴离子表面活性剂</w:t>
            </w:r>
          </w:p>
        </w:tc>
        <w:tc>
          <w:tcPr>
            <w:tcW w:w="793" w:type="pct"/>
            <w:vAlign w:val="center"/>
          </w:tcPr>
          <w:p w14:paraId="1D7528BD">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70A0DB2C">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0.05</w:t>
            </w:r>
          </w:p>
        </w:tc>
        <w:tc>
          <w:tcPr>
            <w:tcW w:w="715" w:type="pct"/>
            <w:vAlign w:val="center"/>
          </w:tcPr>
          <w:p w14:paraId="0318D3FF">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0.002L</w:t>
            </w:r>
          </w:p>
        </w:tc>
        <w:tc>
          <w:tcPr>
            <w:tcW w:w="715" w:type="pct"/>
            <w:vAlign w:val="center"/>
          </w:tcPr>
          <w:p w14:paraId="118C1AF6">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0.002L</w:t>
            </w:r>
          </w:p>
        </w:tc>
        <w:tc>
          <w:tcPr>
            <w:tcW w:w="681" w:type="pct"/>
            <w:vAlign w:val="center"/>
          </w:tcPr>
          <w:p w14:paraId="7925038E">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0.002L</w:t>
            </w:r>
          </w:p>
        </w:tc>
        <w:tc>
          <w:tcPr>
            <w:tcW w:w="622" w:type="pct"/>
            <w:vAlign w:val="center"/>
          </w:tcPr>
          <w:p w14:paraId="0BC5BDA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≤0.3</w:t>
            </w:r>
          </w:p>
        </w:tc>
      </w:tr>
      <w:tr w14:paraId="10DE5E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7651E032">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铝</w:t>
            </w:r>
          </w:p>
        </w:tc>
        <w:tc>
          <w:tcPr>
            <w:tcW w:w="793" w:type="pct"/>
            <w:vAlign w:val="center"/>
          </w:tcPr>
          <w:p w14:paraId="4D56791E">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64BBC32E">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0.008</w:t>
            </w:r>
          </w:p>
        </w:tc>
        <w:tc>
          <w:tcPr>
            <w:tcW w:w="715" w:type="pct"/>
            <w:vAlign w:val="center"/>
          </w:tcPr>
          <w:p w14:paraId="6BF30562">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0.0003L</w:t>
            </w:r>
          </w:p>
        </w:tc>
        <w:tc>
          <w:tcPr>
            <w:tcW w:w="715" w:type="pct"/>
            <w:vAlign w:val="center"/>
          </w:tcPr>
          <w:p w14:paraId="7946340B">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0.0003L</w:t>
            </w:r>
          </w:p>
        </w:tc>
        <w:tc>
          <w:tcPr>
            <w:tcW w:w="681" w:type="pct"/>
            <w:vAlign w:val="center"/>
          </w:tcPr>
          <w:p w14:paraId="38638A90">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0.0003L</w:t>
            </w:r>
          </w:p>
        </w:tc>
        <w:tc>
          <w:tcPr>
            <w:tcW w:w="622" w:type="pct"/>
            <w:vAlign w:val="center"/>
          </w:tcPr>
          <w:p w14:paraId="6BB91C82">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≤0.01</w:t>
            </w:r>
          </w:p>
        </w:tc>
      </w:tr>
      <w:tr w14:paraId="24C251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11E18064">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铬（六价）</w:t>
            </w:r>
          </w:p>
        </w:tc>
        <w:tc>
          <w:tcPr>
            <w:tcW w:w="793" w:type="pct"/>
            <w:vAlign w:val="center"/>
          </w:tcPr>
          <w:p w14:paraId="0654DACC">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4E0D6A66">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0.004</w:t>
            </w:r>
          </w:p>
        </w:tc>
        <w:tc>
          <w:tcPr>
            <w:tcW w:w="715" w:type="pct"/>
            <w:vAlign w:val="center"/>
          </w:tcPr>
          <w:p w14:paraId="047A441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0.05L</w:t>
            </w:r>
          </w:p>
        </w:tc>
        <w:tc>
          <w:tcPr>
            <w:tcW w:w="715" w:type="pct"/>
            <w:vAlign w:val="center"/>
          </w:tcPr>
          <w:p w14:paraId="10BC5EF0">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0.05L</w:t>
            </w:r>
          </w:p>
        </w:tc>
        <w:tc>
          <w:tcPr>
            <w:tcW w:w="681" w:type="pct"/>
            <w:vAlign w:val="center"/>
          </w:tcPr>
          <w:p w14:paraId="01611390">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0.05L</w:t>
            </w:r>
          </w:p>
        </w:tc>
        <w:tc>
          <w:tcPr>
            <w:tcW w:w="622" w:type="pct"/>
            <w:vAlign w:val="center"/>
          </w:tcPr>
          <w:p w14:paraId="04B19A64">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≤0.05</w:t>
            </w:r>
          </w:p>
        </w:tc>
      </w:tr>
      <w:tr w14:paraId="2B1A45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494722D8">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铅</w:t>
            </w:r>
          </w:p>
        </w:tc>
        <w:tc>
          <w:tcPr>
            <w:tcW w:w="793" w:type="pct"/>
            <w:vAlign w:val="center"/>
          </w:tcPr>
          <w:p w14:paraId="39616462">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μg/L</w:t>
            </w:r>
          </w:p>
        </w:tc>
        <w:tc>
          <w:tcPr>
            <w:tcW w:w="645" w:type="pct"/>
            <w:vAlign w:val="center"/>
          </w:tcPr>
          <w:p w14:paraId="6BE0A58D">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w:t>
            </w:r>
          </w:p>
        </w:tc>
        <w:tc>
          <w:tcPr>
            <w:tcW w:w="715" w:type="pct"/>
            <w:vAlign w:val="center"/>
          </w:tcPr>
          <w:p w14:paraId="541D0436">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2.5L</w:t>
            </w:r>
          </w:p>
        </w:tc>
        <w:tc>
          <w:tcPr>
            <w:tcW w:w="715" w:type="pct"/>
            <w:vAlign w:val="center"/>
          </w:tcPr>
          <w:p w14:paraId="0BF52F8C">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2.5L</w:t>
            </w:r>
          </w:p>
        </w:tc>
        <w:tc>
          <w:tcPr>
            <w:tcW w:w="681" w:type="pct"/>
            <w:vAlign w:val="center"/>
          </w:tcPr>
          <w:p w14:paraId="78DCBD3D">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2.5L</w:t>
            </w:r>
          </w:p>
        </w:tc>
        <w:tc>
          <w:tcPr>
            <w:tcW w:w="622" w:type="pct"/>
            <w:vAlign w:val="center"/>
          </w:tcPr>
          <w:p w14:paraId="6CBC85C7">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≤0.01</w:t>
            </w:r>
          </w:p>
        </w:tc>
      </w:tr>
      <w:tr w14:paraId="60208B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3C6D8B9E">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镉</w:t>
            </w:r>
          </w:p>
        </w:tc>
        <w:tc>
          <w:tcPr>
            <w:tcW w:w="793" w:type="pct"/>
            <w:vAlign w:val="center"/>
          </w:tcPr>
          <w:p w14:paraId="304AFC5B">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μg/L</w:t>
            </w:r>
          </w:p>
        </w:tc>
        <w:tc>
          <w:tcPr>
            <w:tcW w:w="645" w:type="pct"/>
            <w:vAlign w:val="center"/>
          </w:tcPr>
          <w:p w14:paraId="589F7C16">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0.5</w:t>
            </w:r>
          </w:p>
        </w:tc>
        <w:tc>
          <w:tcPr>
            <w:tcW w:w="715" w:type="pct"/>
            <w:vAlign w:val="center"/>
          </w:tcPr>
          <w:p w14:paraId="245B2CE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0.5</w:t>
            </w:r>
          </w:p>
        </w:tc>
        <w:tc>
          <w:tcPr>
            <w:tcW w:w="715" w:type="pct"/>
            <w:vAlign w:val="center"/>
          </w:tcPr>
          <w:p w14:paraId="40828EDC">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0.5</w:t>
            </w:r>
          </w:p>
        </w:tc>
        <w:tc>
          <w:tcPr>
            <w:tcW w:w="681" w:type="pct"/>
            <w:vAlign w:val="center"/>
          </w:tcPr>
          <w:p w14:paraId="42088B0E">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3.0</w:t>
            </w:r>
          </w:p>
        </w:tc>
        <w:tc>
          <w:tcPr>
            <w:tcW w:w="622" w:type="pct"/>
            <w:vAlign w:val="center"/>
          </w:tcPr>
          <w:p w14:paraId="03943CA0">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≤0.005</w:t>
            </w:r>
          </w:p>
        </w:tc>
      </w:tr>
      <w:tr w14:paraId="3C028B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1EC1436F">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锌</w:t>
            </w:r>
          </w:p>
        </w:tc>
        <w:tc>
          <w:tcPr>
            <w:tcW w:w="793" w:type="pct"/>
            <w:vAlign w:val="center"/>
          </w:tcPr>
          <w:p w14:paraId="6FDF9EA9">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7BA36FA9">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0.02</w:t>
            </w:r>
          </w:p>
        </w:tc>
        <w:tc>
          <w:tcPr>
            <w:tcW w:w="715" w:type="pct"/>
            <w:vAlign w:val="center"/>
          </w:tcPr>
          <w:p w14:paraId="07DF7BBD">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0.02L</w:t>
            </w:r>
          </w:p>
        </w:tc>
        <w:tc>
          <w:tcPr>
            <w:tcW w:w="715" w:type="pct"/>
            <w:vAlign w:val="center"/>
          </w:tcPr>
          <w:p w14:paraId="36EB3F5F">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0.02L</w:t>
            </w:r>
          </w:p>
        </w:tc>
        <w:tc>
          <w:tcPr>
            <w:tcW w:w="681" w:type="pct"/>
            <w:vAlign w:val="center"/>
          </w:tcPr>
          <w:p w14:paraId="3FF29770">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0.02L</w:t>
            </w:r>
          </w:p>
        </w:tc>
        <w:tc>
          <w:tcPr>
            <w:tcW w:w="622" w:type="pct"/>
            <w:vAlign w:val="center"/>
          </w:tcPr>
          <w:p w14:paraId="2E8779C3">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r>
      <w:tr w14:paraId="7C89B3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48867162">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铜</w:t>
            </w:r>
          </w:p>
        </w:tc>
        <w:tc>
          <w:tcPr>
            <w:tcW w:w="793" w:type="pct"/>
            <w:vAlign w:val="center"/>
          </w:tcPr>
          <w:p w14:paraId="29A85F19">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1DF1E9E8">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0.05</w:t>
            </w:r>
          </w:p>
        </w:tc>
        <w:tc>
          <w:tcPr>
            <w:tcW w:w="715" w:type="pct"/>
            <w:vAlign w:val="center"/>
          </w:tcPr>
          <w:p w14:paraId="678ED63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0.05L</w:t>
            </w:r>
          </w:p>
        </w:tc>
        <w:tc>
          <w:tcPr>
            <w:tcW w:w="715" w:type="pct"/>
            <w:vAlign w:val="center"/>
          </w:tcPr>
          <w:p w14:paraId="61A55C41">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0.05L</w:t>
            </w:r>
          </w:p>
        </w:tc>
        <w:tc>
          <w:tcPr>
            <w:tcW w:w="681" w:type="pct"/>
            <w:vAlign w:val="center"/>
          </w:tcPr>
          <w:p w14:paraId="6449E75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0.05L</w:t>
            </w:r>
          </w:p>
        </w:tc>
        <w:tc>
          <w:tcPr>
            <w:tcW w:w="622" w:type="pct"/>
            <w:vAlign w:val="center"/>
          </w:tcPr>
          <w:p w14:paraId="2EF05D2B">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r>
      <w:tr w14:paraId="6ED813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10E97C1B">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铁</w:t>
            </w:r>
          </w:p>
        </w:tc>
        <w:tc>
          <w:tcPr>
            <w:tcW w:w="793" w:type="pct"/>
            <w:vAlign w:val="center"/>
          </w:tcPr>
          <w:p w14:paraId="74B9B0E2">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728043AF">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0.08</w:t>
            </w:r>
          </w:p>
        </w:tc>
        <w:tc>
          <w:tcPr>
            <w:tcW w:w="715" w:type="pct"/>
            <w:vAlign w:val="center"/>
          </w:tcPr>
          <w:p w14:paraId="74CB11EE">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0.14</w:t>
            </w:r>
          </w:p>
        </w:tc>
        <w:tc>
          <w:tcPr>
            <w:tcW w:w="715" w:type="pct"/>
            <w:vAlign w:val="center"/>
          </w:tcPr>
          <w:p w14:paraId="4B05CC10">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0.14</w:t>
            </w:r>
          </w:p>
        </w:tc>
        <w:tc>
          <w:tcPr>
            <w:tcW w:w="681" w:type="pct"/>
            <w:vAlign w:val="center"/>
          </w:tcPr>
          <w:p w14:paraId="02E8283A">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0.08L</w:t>
            </w:r>
          </w:p>
        </w:tc>
        <w:tc>
          <w:tcPr>
            <w:tcW w:w="622" w:type="pct"/>
            <w:vAlign w:val="center"/>
          </w:tcPr>
          <w:p w14:paraId="00385E41">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≤0.3</w:t>
            </w:r>
          </w:p>
        </w:tc>
      </w:tr>
      <w:tr w14:paraId="5A1272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391856BB">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锰</w:t>
            </w:r>
          </w:p>
        </w:tc>
        <w:tc>
          <w:tcPr>
            <w:tcW w:w="793" w:type="pct"/>
            <w:vAlign w:val="center"/>
          </w:tcPr>
          <w:p w14:paraId="28AD7853">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1E7E5A81">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0.03</w:t>
            </w:r>
          </w:p>
        </w:tc>
        <w:tc>
          <w:tcPr>
            <w:tcW w:w="715" w:type="pct"/>
            <w:vAlign w:val="center"/>
          </w:tcPr>
          <w:p w14:paraId="3C6FB7D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0.06</w:t>
            </w:r>
          </w:p>
        </w:tc>
        <w:tc>
          <w:tcPr>
            <w:tcW w:w="715" w:type="pct"/>
            <w:vAlign w:val="center"/>
          </w:tcPr>
          <w:p w14:paraId="40C178B1">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0.06</w:t>
            </w:r>
          </w:p>
        </w:tc>
        <w:tc>
          <w:tcPr>
            <w:tcW w:w="681" w:type="pct"/>
            <w:vAlign w:val="center"/>
          </w:tcPr>
          <w:p w14:paraId="2BF9D300">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0.09</w:t>
            </w:r>
          </w:p>
        </w:tc>
        <w:tc>
          <w:tcPr>
            <w:tcW w:w="622" w:type="pct"/>
            <w:vAlign w:val="center"/>
          </w:tcPr>
          <w:p w14:paraId="0139200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≤0.005</w:t>
            </w:r>
          </w:p>
        </w:tc>
      </w:tr>
      <w:tr w14:paraId="00C21E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714A96F2">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钙</w:t>
            </w:r>
          </w:p>
        </w:tc>
        <w:tc>
          <w:tcPr>
            <w:tcW w:w="793" w:type="pct"/>
            <w:vAlign w:val="center"/>
          </w:tcPr>
          <w:p w14:paraId="01E1A818">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684FAFAC">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0.02</w:t>
            </w:r>
          </w:p>
        </w:tc>
        <w:tc>
          <w:tcPr>
            <w:tcW w:w="715" w:type="pct"/>
            <w:vAlign w:val="center"/>
          </w:tcPr>
          <w:p w14:paraId="78E936AB">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79.7</w:t>
            </w:r>
          </w:p>
        </w:tc>
        <w:tc>
          <w:tcPr>
            <w:tcW w:w="715" w:type="pct"/>
            <w:vAlign w:val="center"/>
          </w:tcPr>
          <w:p w14:paraId="32349ABB">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78.1</w:t>
            </w:r>
          </w:p>
        </w:tc>
        <w:tc>
          <w:tcPr>
            <w:tcW w:w="681" w:type="pct"/>
            <w:vAlign w:val="center"/>
          </w:tcPr>
          <w:p w14:paraId="3D3D3F6B">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103</w:t>
            </w:r>
          </w:p>
        </w:tc>
        <w:tc>
          <w:tcPr>
            <w:tcW w:w="622" w:type="pct"/>
            <w:vAlign w:val="center"/>
          </w:tcPr>
          <w:p w14:paraId="1E3265C2">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2F3712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02C71E90">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镁</w:t>
            </w:r>
          </w:p>
        </w:tc>
        <w:tc>
          <w:tcPr>
            <w:tcW w:w="793" w:type="pct"/>
            <w:vAlign w:val="center"/>
          </w:tcPr>
          <w:p w14:paraId="4A8BA820">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5E9CE940">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0.002</w:t>
            </w:r>
          </w:p>
        </w:tc>
        <w:tc>
          <w:tcPr>
            <w:tcW w:w="715" w:type="pct"/>
            <w:vAlign w:val="center"/>
          </w:tcPr>
          <w:p w14:paraId="6CEF0E0D">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17.2</w:t>
            </w:r>
          </w:p>
        </w:tc>
        <w:tc>
          <w:tcPr>
            <w:tcW w:w="715" w:type="pct"/>
            <w:vAlign w:val="center"/>
          </w:tcPr>
          <w:p w14:paraId="37D59A13">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18.0</w:t>
            </w:r>
          </w:p>
        </w:tc>
        <w:tc>
          <w:tcPr>
            <w:tcW w:w="681" w:type="pct"/>
            <w:vAlign w:val="center"/>
          </w:tcPr>
          <w:p w14:paraId="3B7FCB1C">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24.0</w:t>
            </w:r>
          </w:p>
        </w:tc>
        <w:tc>
          <w:tcPr>
            <w:tcW w:w="622" w:type="pct"/>
            <w:vAlign w:val="center"/>
          </w:tcPr>
          <w:p w14:paraId="4F3D9D3B">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2A62D7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6DB4C3A2">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钾</w:t>
            </w:r>
          </w:p>
        </w:tc>
        <w:tc>
          <w:tcPr>
            <w:tcW w:w="793" w:type="pct"/>
            <w:vAlign w:val="center"/>
          </w:tcPr>
          <w:p w14:paraId="4A00F38F">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5132A363">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0.02</w:t>
            </w:r>
          </w:p>
        </w:tc>
        <w:tc>
          <w:tcPr>
            <w:tcW w:w="715" w:type="pct"/>
            <w:vAlign w:val="center"/>
          </w:tcPr>
          <w:p w14:paraId="22D21C36">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0.72</w:t>
            </w:r>
          </w:p>
        </w:tc>
        <w:tc>
          <w:tcPr>
            <w:tcW w:w="715" w:type="pct"/>
            <w:vAlign w:val="center"/>
          </w:tcPr>
          <w:p w14:paraId="673D5C9F">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0.63</w:t>
            </w:r>
          </w:p>
        </w:tc>
        <w:tc>
          <w:tcPr>
            <w:tcW w:w="681" w:type="pct"/>
            <w:vAlign w:val="center"/>
          </w:tcPr>
          <w:p w14:paraId="3B5A45E1">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1.19</w:t>
            </w:r>
          </w:p>
        </w:tc>
        <w:tc>
          <w:tcPr>
            <w:tcW w:w="622" w:type="pct"/>
            <w:vAlign w:val="center"/>
          </w:tcPr>
          <w:p w14:paraId="6A6622E8">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2DDD2D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47466A06">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钠</w:t>
            </w:r>
          </w:p>
        </w:tc>
        <w:tc>
          <w:tcPr>
            <w:tcW w:w="793" w:type="pct"/>
            <w:vAlign w:val="center"/>
          </w:tcPr>
          <w:p w14:paraId="1AAAC834">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mg/L</w:t>
            </w:r>
          </w:p>
        </w:tc>
        <w:tc>
          <w:tcPr>
            <w:tcW w:w="645" w:type="pct"/>
            <w:vAlign w:val="center"/>
          </w:tcPr>
          <w:p w14:paraId="62406D34">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0.003</w:t>
            </w:r>
          </w:p>
        </w:tc>
        <w:tc>
          <w:tcPr>
            <w:tcW w:w="715" w:type="pct"/>
            <w:vAlign w:val="center"/>
          </w:tcPr>
          <w:p w14:paraId="5F6AAF01">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21.5</w:t>
            </w:r>
          </w:p>
        </w:tc>
        <w:tc>
          <w:tcPr>
            <w:tcW w:w="715" w:type="pct"/>
            <w:vAlign w:val="center"/>
          </w:tcPr>
          <w:p w14:paraId="5245AE13">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17.6</w:t>
            </w:r>
          </w:p>
        </w:tc>
        <w:tc>
          <w:tcPr>
            <w:tcW w:w="681" w:type="pct"/>
            <w:vAlign w:val="center"/>
          </w:tcPr>
          <w:p w14:paraId="489F0A39">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40.5</w:t>
            </w:r>
          </w:p>
        </w:tc>
        <w:tc>
          <w:tcPr>
            <w:tcW w:w="622" w:type="pct"/>
            <w:vAlign w:val="center"/>
          </w:tcPr>
          <w:p w14:paraId="3FF528C9">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≤200</w:t>
            </w:r>
          </w:p>
        </w:tc>
      </w:tr>
      <w:tr w14:paraId="4096AA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7257213B">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砷</w:t>
            </w:r>
          </w:p>
        </w:tc>
        <w:tc>
          <w:tcPr>
            <w:tcW w:w="793" w:type="pct"/>
            <w:vAlign w:val="center"/>
          </w:tcPr>
          <w:p w14:paraId="3090F11B">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μg/L</w:t>
            </w:r>
          </w:p>
        </w:tc>
        <w:tc>
          <w:tcPr>
            <w:tcW w:w="645" w:type="pct"/>
            <w:vAlign w:val="center"/>
          </w:tcPr>
          <w:p w14:paraId="5687E940">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0.3</w:t>
            </w:r>
          </w:p>
        </w:tc>
        <w:tc>
          <w:tcPr>
            <w:tcW w:w="715" w:type="pct"/>
            <w:vAlign w:val="center"/>
          </w:tcPr>
          <w:p w14:paraId="3B41A4AB">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0.3L</w:t>
            </w:r>
          </w:p>
        </w:tc>
        <w:tc>
          <w:tcPr>
            <w:tcW w:w="715" w:type="pct"/>
            <w:vAlign w:val="center"/>
          </w:tcPr>
          <w:p w14:paraId="3D8133F0">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0.3L</w:t>
            </w:r>
          </w:p>
        </w:tc>
        <w:tc>
          <w:tcPr>
            <w:tcW w:w="681" w:type="pct"/>
            <w:vAlign w:val="center"/>
          </w:tcPr>
          <w:p w14:paraId="090DCF8A">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0.3L</w:t>
            </w:r>
          </w:p>
        </w:tc>
        <w:tc>
          <w:tcPr>
            <w:tcW w:w="622" w:type="pct"/>
            <w:vAlign w:val="center"/>
          </w:tcPr>
          <w:p w14:paraId="6758141B">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≤0.01</w:t>
            </w:r>
          </w:p>
        </w:tc>
      </w:tr>
      <w:tr w14:paraId="47A95D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7698CEB8">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汞</w:t>
            </w:r>
          </w:p>
        </w:tc>
        <w:tc>
          <w:tcPr>
            <w:tcW w:w="793" w:type="pct"/>
            <w:vAlign w:val="center"/>
          </w:tcPr>
          <w:p w14:paraId="2AED5099">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μg/L</w:t>
            </w:r>
          </w:p>
        </w:tc>
        <w:tc>
          <w:tcPr>
            <w:tcW w:w="645" w:type="pct"/>
            <w:vAlign w:val="center"/>
          </w:tcPr>
          <w:p w14:paraId="083D5BC0">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0.04</w:t>
            </w:r>
          </w:p>
        </w:tc>
        <w:tc>
          <w:tcPr>
            <w:tcW w:w="715" w:type="pct"/>
            <w:vAlign w:val="center"/>
          </w:tcPr>
          <w:p w14:paraId="228D7377">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0.04L</w:t>
            </w:r>
          </w:p>
        </w:tc>
        <w:tc>
          <w:tcPr>
            <w:tcW w:w="715" w:type="pct"/>
            <w:vAlign w:val="center"/>
          </w:tcPr>
          <w:p w14:paraId="2B04034E">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0.04L</w:t>
            </w:r>
          </w:p>
        </w:tc>
        <w:tc>
          <w:tcPr>
            <w:tcW w:w="681" w:type="pct"/>
            <w:vAlign w:val="center"/>
          </w:tcPr>
          <w:p w14:paraId="469E7CAF">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0.04L</w:t>
            </w:r>
          </w:p>
        </w:tc>
        <w:tc>
          <w:tcPr>
            <w:tcW w:w="622" w:type="pct"/>
            <w:vAlign w:val="center"/>
          </w:tcPr>
          <w:p w14:paraId="691B380E">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≤0.001</w:t>
            </w:r>
          </w:p>
        </w:tc>
      </w:tr>
      <w:tr w14:paraId="621351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0994C957">
            <w:pPr>
              <w:pStyle w:val="641"/>
              <w:adjustRightInd/>
              <w:spacing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菌落总数</w:t>
            </w:r>
          </w:p>
        </w:tc>
        <w:tc>
          <w:tcPr>
            <w:tcW w:w="793" w:type="pct"/>
            <w:vAlign w:val="center"/>
          </w:tcPr>
          <w:p w14:paraId="5D510A41">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CFU/mL</w:t>
            </w:r>
          </w:p>
        </w:tc>
        <w:tc>
          <w:tcPr>
            <w:tcW w:w="645" w:type="pct"/>
            <w:vAlign w:val="center"/>
          </w:tcPr>
          <w:p w14:paraId="50660900">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15" w:type="pct"/>
            <w:vAlign w:val="center"/>
          </w:tcPr>
          <w:p w14:paraId="1490CCE4">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47</w:t>
            </w:r>
          </w:p>
        </w:tc>
        <w:tc>
          <w:tcPr>
            <w:tcW w:w="715" w:type="pct"/>
            <w:vAlign w:val="center"/>
          </w:tcPr>
          <w:p w14:paraId="4AA9DA9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32</w:t>
            </w:r>
          </w:p>
        </w:tc>
        <w:tc>
          <w:tcPr>
            <w:tcW w:w="681" w:type="pct"/>
            <w:vAlign w:val="center"/>
          </w:tcPr>
          <w:p w14:paraId="7F3A68F6">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44</w:t>
            </w:r>
          </w:p>
        </w:tc>
        <w:tc>
          <w:tcPr>
            <w:tcW w:w="622" w:type="pct"/>
            <w:vAlign w:val="center"/>
          </w:tcPr>
          <w:p w14:paraId="7275713A">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default" w:ascii="Times New Roman" w:hAnsi="Times New Roman" w:cs="Times New Roman"/>
                <w:bCs/>
                <w:color w:val="000000" w:themeColor="text1"/>
                <w:sz w:val="21"/>
                <w:szCs w:val="21"/>
                <w14:textFill>
                  <w14:solidFill>
                    <w14:schemeClr w14:val="tx1"/>
                  </w14:solidFill>
                </w14:textFill>
              </w:rPr>
              <w:t>00</w:t>
            </w:r>
          </w:p>
        </w:tc>
      </w:tr>
      <w:tr w14:paraId="5D9E7A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26" w:type="pct"/>
            <w:vAlign w:val="center"/>
          </w:tcPr>
          <w:p w14:paraId="56570D9E">
            <w:pPr>
              <w:pStyle w:val="641"/>
              <w:adjustRightInd/>
              <w:spacing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总大肠菌群</w:t>
            </w:r>
          </w:p>
        </w:tc>
        <w:tc>
          <w:tcPr>
            <w:tcW w:w="793" w:type="pct"/>
            <w:vAlign w:val="center"/>
          </w:tcPr>
          <w:p w14:paraId="17AA171A">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MPN/100mL</w:t>
            </w:r>
          </w:p>
        </w:tc>
        <w:tc>
          <w:tcPr>
            <w:tcW w:w="645" w:type="pct"/>
            <w:vAlign w:val="center"/>
          </w:tcPr>
          <w:p w14:paraId="0693DE62">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715" w:type="pct"/>
            <w:vAlign w:val="center"/>
          </w:tcPr>
          <w:p w14:paraId="37D2715A">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2L</w:t>
            </w:r>
          </w:p>
        </w:tc>
        <w:tc>
          <w:tcPr>
            <w:tcW w:w="715" w:type="pct"/>
            <w:vAlign w:val="center"/>
          </w:tcPr>
          <w:p w14:paraId="0EC9346B">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2L</w:t>
            </w:r>
          </w:p>
        </w:tc>
        <w:tc>
          <w:tcPr>
            <w:tcW w:w="681" w:type="pct"/>
            <w:vAlign w:val="center"/>
          </w:tcPr>
          <w:p w14:paraId="19DBED23">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2L</w:t>
            </w:r>
          </w:p>
        </w:tc>
        <w:tc>
          <w:tcPr>
            <w:tcW w:w="622" w:type="pct"/>
            <w:vAlign w:val="center"/>
          </w:tcPr>
          <w:p w14:paraId="57121A16">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14:textFill>
                  <w14:solidFill>
                    <w14:schemeClr w14:val="tx1"/>
                  </w14:solidFill>
                </w14:textFill>
              </w:rPr>
              <w:t>3.0</w:t>
            </w:r>
          </w:p>
        </w:tc>
      </w:tr>
    </w:tbl>
    <w:p w14:paraId="071521E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从表4.4-4中的监测结果表明，项目所在区域地下水各项监测指标均可达到《地下水质量标准》（GB/T14848-2017）中Ⅲ类标准要求。</w:t>
      </w:r>
    </w:p>
    <w:p w14:paraId="25BBA983">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81" w:name="_Toc173837682"/>
      <w:r>
        <w:rPr>
          <w:rFonts w:hint="default" w:ascii="Times New Roman" w:hAnsi="Times New Roman" w:eastAsia="黑体" w:cs="Times New Roman"/>
          <w:b w:val="0"/>
          <w:color w:val="000000" w:themeColor="text1"/>
          <w14:textFill>
            <w14:solidFill>
              <w14:schemeClr w14:val="tx1"/>
            </w14:solidFill>
          </w14:textFill>
        </w:rPr>
        <w:t>4.5声环境质量现状监测与评价</w:t>
      </w:r>
      <w:bookmarkEnd w:id="81"/>
    </w:p>
    <w:p w14:paraId="138E6E98">
      <w:pPr>
        <w:pStyle w:val="3159"/>
        <w:rPr>
          <w:rFonts w:hint="default" w:ascii="Times New Roman" w:hAnsi="Times New Roman" w:eastAsia="黑体" w:cs="Times New Roman"/>
          <w:b w:val="0"/>
          <w:color w:val="000000" w:themeColor="text1"/>
          <w14:textFill>
            <w14:solidFill>
              <w14:schemeClr w14:val="tx1"/>
            </w14:solidFill>
          </w14:textFill>
        </w:rPr>
      </w:pPr>
      <w:bookmarkStart w:id="82" w:name="_Toc173837683"/>
      <w:r>
        <w:rPr>
          <w:rFonts w:hint="default" w:ascii="Times New Roman" w:hAnsi="Times New Roman" w:eastAsia="黑体" w:cs="Times New Roman"/>
          <w:b w:val="0"/>
          <w:color w:val="000000" w:themeColor="text1"/>
          <w14:textFill>
            <w14:solidFill>
              <w14:schemeClr w14:val="tx1"/>
            </w14:solidFill>
          </w14:textFill>
        </w:rPr>
        <w:t>4.5.1现状监测</w:t>
      </w:r>
      <w:bookmarkEnd w:id="82"/>
    </w:p>
    <w:p w14:paraId="69138CF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本次评价在项目区域共布设4个声环境监测点。</w:t>
      </w:r>
    </w:p>
    <w:p w14:paraId="70ECFA73">
      <w:pPr>
        <w:pStyle w:val="251"/>
        <w:ind w:left="0" w:leftChars="0" w:firstLine="0" w:firstLineChars="0"/>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5268595" cy="3530600"/>
            <wp:effectExtent l="0" t="0" r="8255" b="12700"/>
            <wp:docPr id="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
                    <pic:cNvPicPr>
                      <a:picLocks noChangeAspect="1"/>
                    </pic:cNvPicPr>
                  </pic:nvPicPr>
                  <pic:blipFill>
                    <a:blip r:embed="rId48"/>
                    <a:stretch>
                      <a:fillRect/>
                    </a:stretch>
                  </pic:blipFill>
                  <pic:spPr>
                    <a:xfrm>
                      <a:off x="0" y="0"/>
                      <a:ext cx="5268595" cy="3530600"/>
                    </a:xfrm>
                    <a:prstGeom prst="rect">
                      <a:avLst/>
                    </a:prstGeom>
                    <a:noFill/>
                    <a:ln>
                      <a:noFill/>
                    </a:ln>
                  </pic:spPr>
                </pic:pic>
              </a:graphicData>
            </a:graphic>
          </wp:inline>
        </w:drawing>
      </w:r>
      <w:r>
        <w:rPr>
          <w:rFonts w:hint="default" w:ascii="Times New Roman" w:hAnsi="Times New Roman" w:cs="Times New Roman"/>
          <w:color w:val="000000" w:themeColor="text1"/>
          <w14:textFill>
            <w14:solidFill>
              <w14:schemeClr w14:val="tx1"/>
            </w14:solidFill>
          </w14:textFill>
        </w:rPr>
        <mc:AlternateContent>
          <mc:Choice Requires="wpg">
            <w:drawing>
              <wp:anchor distT="0" distB="0" distL="114300" distR="114300" simplePos="0" relativeHeight="251686912" behindDoc="0" locked="0" layoutInCell="1" allowOverlap="1">
                <wp:simplePos x="0" y="0"/>
                <wp:positionH relativeFrom="column">
                  <wp:posOffset>4964430</wp:posOffset>
                </wp:positionH>
                <wp:positionV relativeFrom="paragraph">
                  <wp:posOffset>950595</wp:posOffset>
                </wp:positionV>
                <wp:extent cx="360045" cy="87630"/>
                <wp:effectExtent l="0" t="0" r="5527040" b="7153910"/>
                <wp:wrapNone/>
                <wp:docPr id="115" name="组合 9412"/>
                <wp:cNvGraphicFramePr/>
                <a:graphic xmlns:a="http://schemas.openxmlformats.org/drawingml/2006/main">
                  <a:graphicData uri="http://schemas.microsoft.com/office/word/2010/wordprocessingGroup">
                    <wpg:wgp>
                      <wpg:cNvGrpSpPr/>
                      <wpg:grpSpPr>
                        <a:xfrm>
                          <a:off x="0" y="0"/>
                          <a:ext cx="360045" cy="87630"/>
                          <a:chOff x="0" y="0"/>
                          <a:chExt cx="360045" cy="87630"/>
                        </a:xfrm>
                      </wpg:grpSpPr>
                      <wps:wsp>
                        <wps:cNvPr id="112" name="自选图形 9413"/>
                        <wps:cNvCnPr/>
                        <wps:spPr>
                          <a:xfrm flipV="1">
                            <a:off x="8686" y="11382"/>
                            <a:ext cx="567" cy="0"/>
                          </a:xfrm>
                          <a:prstGeom prst="straightConnector1">
                            <a:avLst/>
                          </a:prstGeom>
                          <a:ln w="19050" cap="flat" cmpd="sng">
                            <a:solidFill>
                              <a:srgbClr val="000000"/>
                            </a:solidFill>
                            <a:prstDash val="solid"/>
                            <a:headEnd type="none" w="med" len="med"/>
                            <a:tailEnd type="none" w="med" len="med"/>
                          </a:ln>
                        </wps:spPr>
                        <wps:bodyPr/>
                      </wps:wsp>
                      <wps:wsp>
                        <wps:cNvPr id="113" name="自选图形 9414"/>
                        <wps:cNvCnPr/>
                        <wps:spPr>
                          <a:xfrm flipV="1">
                            <a:off x="8686" y="11244"/>
                            <a:ext cx="0" cy="138"/>
                          </a:xfrm>
                          <a:prstGeom prst="straightConnector1">
                            <a:avLst/>
                          </a:prstGeom>
                          <a:ln w="19050" cap="flat" cmpd="sng">
                            <a:solidFill>
                              <a:srgbClr val="000000"/>
                            </a:solidFill>
                            <a:prstDash val="solid"/>
                            <a:headEnd type="none" w="med" len="med"/>
                            <a:tailEnd type="none" w="med" len="med"/>
                          </a:ln>
                        </wps:spPr>
                        <wps:bodyPr/>
                      </wps:wsp>
                      <wps:wsp>
                        <wps:cNvPr id="114" name="自选图形 9415"/>
                        <wps:cNvCnPr/>
                        <wps:spPr>
                          <a:xfrm flipV="1">
                            <a:off x="9253" y="11244"/>
                            <a:ext cx="0" cy="138"/>
                          </a:xfrm>
                          <a:prstGeom prst="straightConnector1">
                            <a:avLst/>
                          </a:prstGeom>
                          <a:ln w="19050" cap="flat" cmpd="sng">
                            <a:solidFill>
                              <a:srgbClr val="000000"/>
                            </a:solidFill>
                            <a:prstDash val="solid"/>
                            <a:headEnd type="none" w="med" len="med"/>
                            <a:tailEnd type="none" w="med" len="med"/>
                          </a:ln>
                        </wps:spPr>
                        <wps:bodyPr/>
                      </wps:wsp>
                    </wpg:wgp>
                  </a:graphicData>
                </a:graphic>
              </wp:anchor>
            </w:drawing>
          </mc:Choice>
          <mc:Fallback>
            <w:pict>
              <v:group id="组合 9412" o:spid="_x0000_s1026" o:spt="203" style="position:absolute;left:0pt;margin-left:390.9pt;margin-top:74.85pt;height:6.9pt;width:28.35pt;z-index:251686912;mso-width-relative:page;mso-height-relative:page;" coordsize="360045,87630" o:gfxdata="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L/aWBLbAAAACwEAAA8AAAAAAAAAAQAgAAAAIgAA&#10;AGRycy9kb3ducmV2LnhtbFBLAQIUABQAAAAIAIdO4kCrkPbwsAIAAFYJAAAOAAAAAAAAAAEAIAAA&#10;ACoBAABkcnMvZTJvRG9jLnhtbFBLBQYAAAAABgAGAFkBAABMBgAAAAA=&#10;">
                <o:lock v:ext="edit" aspectratio="f"/>
                <v:shape id="自选图形 9413" o:spid="_x0000_s1026" o:spt="32" type="#_x0000_t32" style="position:absolute;left:8686;top:11382;flip:y;height:0;width:567;" filled="f" stroked="t" coordsize="21600,21600" o:gfxdata="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mtCLbsAAADc&#10;AAAADwAAAAAAAAABACAAAAAiAAAAZHJzL2Rvd25yZXYueG1sUEsBAhQAFAAAAAgAh07iQDMvBZ47&#10;AAAAOQAAABAAAAAAAAAAAQAgAAAACgEAAGRycy9zaGFwZXhtbC54bWxQSwUGAAAAAAYABgBbAQAA&#10;tAMAAAAA&#10;">
                  <v:fill on="f" focussize="0,0"/>
                  <v:stroke weight="1.5pt" color="#000000" joinstyle="round"/>
                  <v:imagedata o:title=""/>
                  <o:lock v:ext="edit" aspectratio="f"/>
                </v:shape>
                <v:shape id="自选图形 9414" o:spid="_x0000_s1026" o:spt="32" type="#_x0000_t32" style="position:absolute;left:8686;top:11244;flip:y;height:138;width:0;" filled="f" stroked="t" coordsize="21600,21600" o:gfxdata="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SfntrsAAADc&#10;AAAADwAAAAAAAAABACAAAAAiAAAAZHJzL2Rvd25yZXYueG1sUEsBAhQAFAAAAAgAh07iQDMvBZ47&#10;AAAAOQAAABAAAAAAAAAAAQAgAAAACgEAAGRycy9zaGFwZXhtbC54bWxQSwUGAAAAAAYABgBbAQAA&#10;tAMAAAAA&#10;">
                  <v:fill on="f" focussize="0,0"/>
                  <v:stroke weight="1.5pt" color="#000000" joinstyle="round"/>
                  <v:imagedata o:title=""/>
                  <o:lock v:ext="edit" aspectratio="f"/>
                </v:shape>
                <v:shape id="自选图形 9415" o:spid="_x0000_s1026" o:spt="32" type="#_x0000_t32" style="position:absolute;left:9253;top:11244;flip:y;height:138;width:0;" filled="f" stroked="t" coordsize="21600,21600" o:gfxdata="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rOf8K8AAAA&#10;3AAAAA8AAAAAAAAAAQAgAAAAIgAAAGRycy9kb3ducmV2LnhtbFBLAQIUABQAAAAIAIdO4kAzLwWe&#10;OwAAADkAAAAQAAAAAAAAAAEAIAAAAAsBAABkcnMvc2hhcGV4bWwueG1sUEsFBgAAAAAGAAYAWwEA&#10;ALUDAAAAAA==&#10;">
                  <v:fill on="f" focussize="0,0"/>
                  <v:stroke weight="1.5pt" color="#000000" joinstyle="round"/>
                  <v:imagedata o:title=""/>
                  <o:lock v:ext="edit" aspectratio="f"/>
                </v:shape>
              </v:group>
            </w:pict>
          </mc:Fallback>
        </mc:AlternateContent>
      </w:r>
    </w:p>
    <w:p w14:paraId="5E3334E1">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图4.5-1声环境质量现状监测点位图</w:t>
      </w:r>
    </w:p>
    <w:p w14:paraId="544477A7">
      <w:pPr>
        <w:pStyle w:val="3159"/>
        <w:rPr>
          <w:rFonts w:hint="default" w:ascii="Times New Roman" w:hAnsi="Times New Roman" w:eastAsia="黑体" w:cs="Times New Roman"/>
          <w:b w:val="0"/>
          <w:color w:val="000000" w:themeColor="text1"/>
          <w14:textFill>
            <w14:solidFill>
              <w14:schemeClr w14:val="tx1"/>
            </w14:solidFill>
          </w14:textFill>
        </w:rPr>
      </w:pPr>
      <w:bookmarkStart w:id="83" w:name="_Toc173837684"/>
      <w:r>
        <w:rPr>
          <w:rFonts w:hint="default" w:ascii="Times New Roman" w:hAnsi="Times New Roman" w:eastAsia="黑体" w:cs="Times New Roman"/>
          <w:b w:val="0"/>
          <w:color w:val="000000" w:themeColor="text1"/>
          <w14:textFill>
            <w14:solidFill>
              <w14:schemeClr w14:val="tx1"/>
            </w14:solidFill>
          </w14:textFill>
        </w:rPr>
        <w:t>4.5.2监测方法</w:t>
      </w:r>
      <w:bookmarkEnd w:id="83"/>
    </w:p>
    <w:p w14:paraId="2672B4B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依据《声环境质量标准》（GB3096-2008）有关规定，对厂界噪声水平现状进行了现场监测。</w:t>
      </w:r>
    </w:p>
    <w:p w14:paraId="215AD753">
      <w:pPr>
        <w:pStyle w:val="3159"/>
        <w:rPr>
          <w:rFonts w:hint="default" w:ascii="Times New Roman" w:hAnsi="Times New Roman" w:eastAsia="黑体" w:cs="Times New Roman"/>
          <w:b w:val="0"/>
          <w:color w:val="000000" w:themeColor="text1"/>
          <w14:textFill>
            <w14:solidFill>
              <w14:schemeClr w14:val="tx1"/>
            </w14:solidFill>
          </w14:textFill>
        </w:rPr>
      </w:pPr>
      <w:bookmarkStart w:id="84" w:name="_Toc173837685"/>
      <w:r>
        <w:rPr>
          <w:rFonts w:hint="default" w:ascii="Times New Roman" w:hAnsi="Times New Roman" w:eastAsia="黑体" w:cs="Times New Roman"/>
          <w:b w:val="0"/>
          <w:color w:val="000000" w:themeColor="text1"/>
          <w14:textFill>
            <w14:solidFill>
              <w14:schemeClr w14:val="tx1"/>
            </w14:solidFill>
          </w14:textFill>
        </w:rPr>
        <w:t>4.5.3监测时段及频率</w:t>
      </w:r>
      <w:bookmarkEnd w:id="84"/>
    </w:p>
    <w:p w14:paraId="07EA434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连续监测两天，昼间和夜间各监测一次，统计等效连续A声级。</w:t>
      </w:r>
    </w:p>
    <w:p w14:paraId="329F9A7F">
      <w:pPr>
        <w:pStyle w:val="3159"/>
        <w:rPr>
          <w:rFonts w:hint="default" w:ascii="Times New Roman" w:hAnsi="Times New Roman" w:eastAsia="黑体" w:cs="Times New Roman"/>
          <w:b w:val="0"/>
          <w:color w:val="000000" w:themeColor="text1"/>
          <w14:textFill>
            <w14:solidFill>
              <w14:schemeClr w14:val="tx1"/>
            </w14:solidFill>
          </w14:textFill>
        </w:rPr>
      </w:pPr>
      <w:bookmarkStart w:id="85" w:name="_Toc173837686"/>
      <w:r>
        <w:rPr>
          <w:rFonts w:hint="default" w:ascii="Times New Roman" w:hAnsi="Times New Roman" w:eastAsia="黑体" w:cs="Times New Roman"/>
          <w:b w:val="0"/>
          <w:color w:val="000000" w:themeColor="text1"/>
          <w14:textFill>
            <w14:solidFill>
              <w14:schemeClr w14:val="tx1"/>
            </w14:solidFill>
          </w14:textFill>
        </w:rPr>
        <w:t>4.5.4监测结果</w:t>
      </w:r>
      <w:bookmarkEnd w:id="85"/>
    </w:p>
    <w:p w14:paraId="51E6862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环境噪声监测结果见表4.5-1。</w:t>
      </w:r>
    </w:p>
    <w:p w14:paraId="256E0841">
      <w:pPr>
        <w:spacing w:line="360" w:lineRule="auto"/>
        <w:jc w:val="center"/>
        <w:rPr>
          <w:rFonts w:hint="eastAsia" w:ascii="Times New Roman" w:hAnsi="Times New Roman" w:eastAsia="黑体" w:cs="Times New Roman"/>
          <w:color w:val="000000" w:themeColor="text1"/>
          <w:sz w:val="24"/>
          <w:szCs w:val="24"/>
          <w:lang w:eastAsia="zh-CN"/>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表4.5-1环境噪声现状监测结果</w:t>
      </w:r>
      <w:r>
        <w:rPr>
          <w:rFonts w:hint="eastAsia" w:eastAsia="黑体" w:cs="Times New Roman"/>
          <w:color w:val="000000" w:themeColor="text1"/>
          <w:sz w:val="24"/>
          <w:szCs w:val="24"/>
          <w:lang w:val="en-US" w:eastAsia="zh-CN"/>
          <w14:textFill>
            <w14:solidFill>
              <w14:schemeClr w14:val="tx1"/>
            </w14:solidFill>
          </w14:textFill>
        </w:rPr>
        <w:t xml:space="preserve">  </w:t>
      </w:r>
      <w:r>
        <w:rPr>
          <w:rFonts w:hint="eastAsia" w:eastAsia="黑体" w:cs="Times New Roman"/>
          <w:color w:val="000000" w:themeColor="text1"/>
          <w:sz w:val="24"/>
          <w:szCs w:val="24"/>
          <w:lang w:eastAsia="zh-CN"/>
          <w14:textFill>
            <w14:solidFill>
              <w14:schemeClr w14:val="tx1"/>
            </w14:solidFill>
          </w14:textFill>
        </w:rPr>
        <w:t>单位：dB(A)</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908"/>
        <w:gridCol w:w="1154"/>
        <w:gridCol w:w="1154"/>
        <w:gridCol w:w="1154"/>
        <w:gridCol w:w="1152"/>
      </w:tblGrid>
      <w:tr w14:paraId="7168BE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93" w:type="pct"/>
            <w:vMerge w:val="restart"/>
            <w:vAlign w:val="center"/>
          </w:tcPr>
          <w:p w14:paraId="1A0EBFD5">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监测点位</w:t>
            </w:r>
          </w:p>
        </w:tc>
        <w:tc>
          <w:tcPr>
            <w:tcW w:w="1354" w:type="pct"/>
            <w:gridSpan w:val="2"/>
            <w:vAlign w:val="center"/>
          </w:tcPr>
          <w:p w14:paraId="49C457C5">
            <w:pPr>
              <w:spacing w:line="264" w:lineRule="auto"/>
              <w:jc w:val="center"/>
              <w:textAlignment w:val="center"/>
              <w:rPr>
                <w:rFonts w:hint="default" w:ascii="Times New Roman" w:hAnsi="Times New Roman" w:eastAsia="宋体" w:cs="Times New Roman"/>
                <w:b/>
                <w:color w:val="000000" w:themeColor="text1"/>
                <w:sz w:val="21"/>
                <w:szCs w:val="21"/>
                <w:lang w:eastAsia="zh-CN"/>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202</w:t>
            </w:r>
            <w:r>
              <w:rPr>
                <w:rFonts w:hint="default" w:ascii="Times New Roman" w:hAnsi="Times New Roman" w:cs="Times New Roman"/>
                <w:b/>
                <w:color w:val="000000" w:themeColor="text1"/>
                <w:sz w:val="21"/>
                <w:szCs w:val="21"/>
                <w:lang w:val="en-US" w:eastAsia="zh-CN"/>
                <w14:textFill>
                  <w14:solidFill>
                    <w14:schemeClr w14:val="tx1"/>
                  </w14:solidFill>
                </w14:textFill>
              </w:rPr>
              <w:t>5</w:t>
            </w:r>
            <w:r>
              <w:rPr>
                <w:rFonts w:hint="default" w:ascii="Times New Roman" w:hAnsi="Times New Roman" w:cs="Times New Roman"/>
                <w:b/>
                <w:color w:val="000000" w:themeColor="text1"/>
                <w:sz w:val="21"/>
                <w:szCs w:val="21"/>
                <w14:textFill>
                  <w14:solidFill>
                    <w14:schemeClr w14:val="tx1"/>
                  </w14:solidFill>
                </w14:textFill>
              </w:rPr>
              <w:t>.</w:t>
            </w:r>
            <w:r>
              <w:rPr>
                <w:rFonts w:hint="default" w:ascii="Times New Roman" w:hAnsi="Times New Roman" w:cs="Times New Roman"/>
                <w:b/>
                <w:color w:val="000000" w:themeColor="text1"/>
                <w:sz w:val="21"/>
                <w:szCs w:val="21"/>
                <w:lang w:val="en-US" w:eastAsia="zh-CN"/>
                <w14:textFill>
                  <w14:solidFill>
                    <w14:schemeClr w14:val="tx1"/>
                  </w14:solidFill>
                </w14:textFill>
              </w:rPr>
              <w:t>12</w:t>
            </w:r>
            <w:r>
              <w:rPr>
                <w:rFonts w:hint="default" w:ascii="Times New Roman" w:hAnsi="Times New Roman" w:cs="Times New Roman"/>
                <w:b/>
                <w:color w:val="000000" w:themeColor="text1"/>
                <w:sz w:val="21"/>
                <w:szCs w:val="21"/>
                <w14:textFill>
                  <w14:solidFill>
                    <w14:schemeClr w14:val="tx1"/>
                  </w14:solidFill>
                </w14:textFill>
              </w:rPr>
              <w:t>.</w:t>
            </w:r>
            <w:r>
              <w:rPr>
                <w:rFonts w:hint="default" w:ascii="Times New Roman" w:hAnsi="Times New Roman" w:cs="Times New Roman"/>
                <w:b/>
                <w:color w:val="000000" w:themeColor="text1"/>
                <w:sz w:val="21"/>
                <w:szCs w:val="21"/>
                <w:lang w:val="en-US" w:eastAsia="zh-CN"/>
                <w14:textFill>
                  <w14:solidFill>
                    <w14:schemeClr w14:val="tx1"/>
                  </w14:solidFill>
                </w14:textFill>
              </w:rPr>
              <w:t>5</w:t>
            </w:r>
          </w:p>
        </w:tc>
        <w:tc>
          <w:tcPr>
            <w:tcW w:w="1353" w:type="pct"/>
            <w:gridSpan w:val="2"/>
            <w:vAlign w:val="center"/>
          </w:tcPr>
          <w:p w14:paraId="5A8AB110">
            <w:pPr>
              <w:spacing w:line="264" w:lineRule="auto"/>
              <w:jc w:val="center"/>
              <w:textAlignment w:val="center"/>
              <w:rPr>
                <w:rFonts w:hint="default" w:ascii="Times New Roman" w:hAnsi="Times New Roman" w:eastAsia="宋体" w:cs="Times New Roman"/>
                <w:b/>
                <w:color w:val="000000" w:themeColor="text1"/>
                <w:sz w:val="21"/>
                <w:szCs w:val="21"/>
                <w:lang w:eastAsia="zh-CN"/>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202</w:t>
            </w:r>
            <w:r>
              <w:rPr>
                <w:rFonts w:hint="default" w:ascii="Times New Roman" w:hAnsi="Times New Roman" w:cs="Times New Roman"/>
                <w:b/>
                <w:color w:val="000000" w:themeColor="text1"/>
                <w:sz w:val="21"/>
                <w:szCs w:val="21"/>
                <w:lang w:val="en-US" w:eastAsia="zh-CN"/>
                <w14:textFill>
                  <w14:solidFill>
                    <w14:schemeClr w14:val="tx1"/>
                  </w14:solidFill>
                </w14:textFill>
              </w:rPr>
              <w:t>5</w:t>
            </w:r>
            <w:r>
              <w:rPr>
                <w:rFonts w:hint="default" w:ascii="Times New Roman" w:hAnsi="Times New Roman" w:cs="Times New Roman"/>
                <w:b/>
                <w:color w:val="000000" w:themeColor="text1"/>
                <w:sz w:val="21"/>
                <w:szCs w:val="21"/>
                <w14:textFill>
                  <w14:solidFill>
                    <w14:schemeClr w14:val="tx1"/>
                  </w14:solidFill>
                </w14:textFill>
              </w:rPr>
              <w:t>.</w:t>
            </w:r>
            <w:r>
              <w:rPr>
                <w:rFonts w:hint="default" w:ascii="Times New Roman" w:hAnsi="Times New Roman" w:cs="Times New Roman"/>
                <w:b/>
                <w:color w:val="000000" w:themeColor="text1"/>
                <w:sz w:val="21"/>
                <w:szCs w:val="21"/>
                <w:lang w:val="en-US" w:eastAsia="zh-CN"/>
                <w14:textFill>
                  <w14:solidFill>
                    <w14:schemeClr w14:val="tx1"/>
                  </w14:solidFill>
                </w14:textFill>
              </w:rPr>
              <w:t>12</w:t>
            </w:r>
            <w:r>
              <w:rPr>
                <w:rFonts w:hint="default" w:ascii="Times New Roman" w:hAnsi="Times New Roman" w:cs="Times New Roman"/>
                <w:b/>
                <w:color w:val="000000" w:themeColor="text1"/>
                <w:sz w:val="21"/>
                <w:szCs w:val="21"/>
                <w14:textFill>
                  <w14:solidFill>
                    <w14:schemeClr w14:val="tx1"/>
                  </w14:solidFill>
                </w14:textFill>
              </w:rPr>
              <w:t>.</w:t>
            </w:r>
            <w:r>
              <w:rPr>
                <w:rFonts w:hint="default" w:ascii="Times New Roman" w:hAnsi="Times New Roman" w:cs="Times New Roman"/>
                <w:b/>
                <w:color w:val="000000" w:themeColor="text1"/>
                <w:sz w:val="21"/>
                <w:szCs w:val="21"/>
                <w:lang w:val="en-US" w:eastAsia="zh-CN"/>
                <w14:textFill>
                  <w14:solidFill>
                    <w14:schemeClr w14:val="tx1"/>
                  </w14:solidFill>
                </w14:textFill>
              </w:rPr>
              <w:t>6</w:t>
            </w:r>
          </w:p>
        </w:tc>
      </w:tr>
      <w:tr w14:paraId="2CE983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93" w:type="pct"/>
            <w:vMerge w:val="continue"/>
            <w:vAlign w:val="center"/>
          </w:tcPr>
          <w:p w14:paraId="67F87841">
            <w:pPr>
              <w:widowControl/>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p>
        </w:tc>
        <w:tc>
          <w:tcPr>
            <w:tcW w:w="677" w:type="pct"/>
            <w:vAlign w:val="center"/>
          </w:tcPr>
          <w:p w14:paraId="2683AB6C">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昼间</w:t>
            </w:r>
          </w:p>
        </w:tc>
        <w:tc>
          <w:tcPr>
            <w:tcW w:w="677" w:type="pct"/>
            <w:vAlign w:val="center"/>
          </w:tcPr>
          <w:p w14:paraId="7A7F230E">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夜间</w:t>
            </w:r>
          </w:p>
        </w:tc>
        <w:tc>
          <w:tcPr>
            <w:tcW w:w="677" w:type="pct"/>
            <w:vAlign w:val="center"/>
          </w:tcPr>
          <w:p w14:paraId="189E18CE">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昼间</w:t>
            </w:r>
          </w:p>
        </w:tc>
        <w:tc>
          <w:tcPr>
            <w:tcW w:w="676" w:type="pct"/>
            <w:vAlign w:val="center"/>
          </w:tcPr>
          <w:p w14:paraId="730018DA">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夜间</w:t>
            </w:r>
          </w:p>
        </w:tc>
      </w:tr>
      <w:tr w14:paraId="67308F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93" w:type="pct"/>
            <w:vAlign w:val="center"/>
          </w:tcPr>
          <w:p w14:paraId="738D2E8B">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东厂界N</w:t>
            </w:r>
            <w:r>
              <w:rPr>
                <w:rFonts w:hint="default" w:ascii="Times New Roman" w:hAnsi="Times New Roman" w:cs="Times New Roman"/>
                <w:color w:val="000000" w:themeColor="text1"/>
                <w:sz w:val="21"/>
                <w:szCs w:val="21"/>
                <w:vertAlign w:val="subscript"/>
                <w14:textFill>
                  <w14:solidFill>
                    <w14:schemeClr w14:val="tx1"/>
                  </w14:solidFill>
                </w14:textFill>
              </w:rPr>
              <w:t>1</w:t>
            </w:r>
          </w:p>
        </w:tc>
        <w:tc>
          <w:tcPr>
            <w:tcW w:w="677" w:type="pct"/>
            <w:vAlign w:val="center"/>
          </w:tcPr>
          <w:p w14:paraId="5BE9A89E">
            <w:pPr>
              <w:adjustRightInd w:val="0"/>
              <w:snapToGrid w:val="0"/>
              <w:spacing w:line="360" w:lineRule="exact"/>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47.9</w:t>
            </w:r>
          </w:p>
        </w:tc>
        <w:tc>
          <w:tcPr>
            <w:tcW w:w="677" w:type="pct"/>
            <w:vAlign w:val="center"/>
          </w:tcPr>
          <w:p w14:paraId="522EA0F1">
            <w:pPr>
              <w:adjustRightInd w:val="0"/>
              <w:snapToGrid w:val="0"/>
              <w:spacing w:line="360" w:lineRule="exact"/>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48.3</w:t>
            </w:r>
          </w:p>
        </w:tc>
        <w:tc>
          <w:tcPr>
            <w:tcW w:w="677" w:type="pct"/>
            <w:vAlign w:val="center"/>
          </w:tcPr>
          <w:p w14:paraId="25357896">
            <w:pPr>
              <w:adjustRightInd w:val="0"/>
              <w:snapToGrid w:val="0"/>
              <w:spacing w:line="360" w:lineRule="exact"/>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53</w:t>
            </w:r>
            <w:r>
              <w:rPr>
                <w:rFonts w:hint="default" w:ascii="Times New Roman" w:hAnsi="Times New Roman" w:cs="Times New Roman"/>
                <w:color w:val="000000" w:themeColor="text1"/>
                <w:szCs w:val="21"/>
                <w:lang w:val="en-US" w:eastAsia="zh-CN"/>
                <w14:textFill>
                  <w14:solidFill>
                    <w14:schemeClr w14:val="tx1"/>
                  </w14:solidFill>
                </w14:textFill>
              </w:rPr>
              <w:t>.6</w:t>
            </w:r>
          </w:p>
        </w:tc>
        <w:tc>
          <w:tcPr>
            <w:tcW w:w="676" w:type="pct"/>
            <w:vAlign w:val="center"/>
          </w:tcPr>
          <w:p w14:paraId="41CD869C">
            <w:pPr>
              <w:adjustRightInd w:val="0"/>
              <w:snapToGrid w:val="0"/>
              <w:spacing w:line="360" w:lineRule="exact"/>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47.8</w:t>
            </w:r>
          </w:p>
        </w:tc>
      </w:tr>
      <w:tr w14:paraId="020D65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93" w:type="pct"/>
            <w:vAlign w:val="center"/>
          </w:tcPr>
          <w:p w14:paraId="403D85D7">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南厂界N</w:t>
            </w:r>
            <w:r>
              <w:rPr>
                <w:rFonts w:hint="default" w:ascii="Times New Roman" w:hAnsi="Times New Roman" w:cs="Times New Roman"/>
                <w:color w:val="000000" w:themeColor="text1"/>
                <w:sz w:val="21"/>
                <w:szCs w:val="21"/>
                <w:vertAlign w:val="subscript"/>
                <w14:textFill>
                  <w14:solidFill>
                    <w14:schemeClr w14:val="tx1"/>
                  </w14:solidFill>
                </w14:textFill>
              </w:rPr>
              <w:t>2</w:t>
            </w:r>
          </w:p>
        </w:tc>
        <w:tc>
          <w:tcPr>
            <w:tcW w:w="677" w:type="pct"/>
            <w:vAlign w:val="center"/>
          </w:tcPr>
          <w:p w14:paraId="30FD0EFB">
            <w:pPr>
              <w:adjustRightInd w:val="0"/>
              <w:snapToGrid w:val="0"/>
              <w:spacing w:line="360" w:lineRule="exact"/>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50.5</w:t>
            </w:r>
          </w:p>
        </w:tc>
        <w:tc>
          <w:tcPr>
            <w:tcW w:w="677" w:type="pct"/>
            <w:vAlign w:val="center"/>
          </w:tcPr>
          <w:p w14:paraId="23521790">
            <w:pPr>
              <w:adjustRightInd w:val="0"/>
              <w:snapToGrid w:val="0"/>
              <w:spacing w:line="360" w:lineRule="exact"/>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40.7</w:t>
            </w:r>
          </w:p>
        </w:tc>
        <w:tc>
          <w:tcPr>
            <w:tcW w:w="677" w:type="pct"/>
            <w:vAlign w:val="center"/>
          </w:tcPr>
          <w:p w14:paraId="6F5838CC">
            <w:pPr>
              <w:adjustRightInd w:val="0"/>
              <w:snapToGrid w:val="0"/>
              <w:spacing w:line="360" w:lineRule="exact"/>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49.5</w:t>
            </w:r>
          </w:p>
        </w:tc>
        <w:tc>
          <w:tcPr>
            <w:tcW w:w="676" w:type="pct"/>
            <w:vAlign w:val="center"/>
          </w:tcPr>
          <w:p w14:paraId="4962EE8B">
            <w:pPr>
              <w:adjustRightInd w:val="0"/>
              <w:snapToGrid w:val="0"/>
              <w:spacing w:line="360" w:lineRule="exact"/>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44.2</w:t>
            </w:r>
          </w:p>
        </w:tc>
      </w:tr>
      <w:tr w14:paraId="209334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93" w:type="pct"/>
            <w:vAlign w:val="center"/>
          </w:tcPr>
          <w:p w14:paraId="60C44317">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西厂界N</w:t>
            </w:r>
            <w:r>
              <w:rPr>
                <w:rFonts w:hint="default" w:ascii="Times New Roman" w:hAnsi="Times New Roman" w:cs="Times New Roman"/>
                <w:color w:val="000000" w:themeColor="text1"/>
                <w:sz w:val="21"/>
                <w:szCs w:val="21"/>
                <w:vertAlign w:val="subscript"/>
                <w14:textFill>
                  <w14:solidFill>
                    <w14:schemeClr w14:val="tx1"/>
                  </w14:solidFill>
                </w14:textFill>
              </w:rPr>
              <w:t>3</w:t>
            </w:r>
          </w:p>
        </w:tc>
        <w:tc>
          <w:tcPr>
            <w:tcW w:w="677" w:type="pct"/>
            <w:vAlign w:val="center"/>
          </w:tcPr>
          <w:p w14:paraId="22B9ECE5">
            <w:pPr>
              <w:adjustRightInd w:val="0"/>
              <w:snapToGrid w:val="0"/>
              <w:spacing w:line="360" w:lineRule="exact"/>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5</w:t>
            </w:r>
            <w:r>
              <w:rPr>
                <w:rFonts w:hint="default" w:ascii="Times New Roman" w:hAnsi="Times New Roman" w:cs="Times New Roman"/>
                <w:color w:val="000000" w:themeColor="text1"/>
                <w:szCs w:val="21"/>
                <w:lang w:val="en-US" w:eastAsia="zh-CN"/>
                <w14:textFill>
                  <w14:solidFill>
                    <w14:schemeClr w14:val="tx1"/>
                  </w14:solidFill>
                </w14:textFill>
              </w:rPr>
              <w:t>3.0</w:t>
            </w:r>
          </w:p>
        </w:tc>
        <w:tc>
          <w:tcPr>
            <w:tcW w:w="677" w:type="pct"/>
            <w:vAlign w:val="center"/>
          </w:tcPr>
          <w:p w14:paraId="513BB4E1">
            <w:pPr>
              <w:adjustRightInd w:val="0"/>
              <w:snapToGrid w:val="0"/>
              <w:spacing w:line="360" w:lineRule="exact"/>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39.6</w:t>
            </w:r>
          </w:p>
        </w:tc>
        <w:tc>
          <w:tcPr>
            <w:tcW w:w="677" w:type="pct"/>
            <w:vAlign w:val="center"/>
          </w:tcPr>
          <w:p w14:paraId="243336CD">
            <w:pPr>
              <w:adjustRightInd w:val="0"/>
              <w:snapToGrid w:val="0"/>
              <w:spacing w:line="360" w:lineRule="exact"/>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5</w:t>
            </w:r>
            <w:r>
              <w:rPr>
                <w:rFonts w:hint="default" w:ascii="Times New Roman" w:hAnsi="Times New Roman" w:cs="Times New Roman"/>
                <w:color w:val="000000" w:themeColor="text1"/>
                <w:szCs w:val="21"/>
                <w:lang w:val="en-US" w:eastAsia="zh-CN"/>
                <w14:textFill>
                  <w14:solidFill>
                    <w14:schemeClr w14:val="tx1"/>
                  </w14:solidFill>
                </w14:textFill>
              </w:rPr>
              <w:t>8.7</w:t>
            </w:r>
          </w:p>
        </w:tc>
        <w:tc>
          <w:tcPr>
            <w:tcW w:w="676" w:type="pct"/>
            <w:vAlign w:val="center"/>
          </w:tcPr>
          <w:p w14:paraId="1F20F2B2">
            <w:pPr>
              <w:adjustRightInd w:val="0"/>
              <w:snapToGrid w:val="0"/>
              <w:spacing w:line="360" w:lineRule="exact"/>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44.0</w:t>
            </w:r>
          </w:p>
        </w:tc>
      </w:tr>
      <w:tr w14:paraId="62D332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93" w:type="pct"/>
            <w:vAlign w:val="center"/>
          </w:tcPr>
          <w:p w14:paraId="09205E53">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北厂界N</w:t>
            </w:r>
            <w:r>
              <w:rPr>
                <w:rFonts w:hint="default" w:ascii="Times New Roman" w:hAnsi="Times New Roman" w:cs="Times New Roman"/>
                <w:color w:val="000000" w:themeColor="text1"/>
                <w:sz w:val="21"/>
                <w:szCs w:val="21"/>
                <w:vertAlign w:val="subscript"/>
                <w14:textFill>
                  <w14:solidFill>
                    <w14:schemeClr w14:val="tx1"/>
                  </w14:solidFill>
                </w14:textFill>
              </w:rPr>
              <w:t>4</w:t>
            </w:r>
          </w:p>
        </w:tc>
        <w:tc>
          <w:tcPr>
            <w:tcW w:w="677" w:type="pct"/>
            <w:vAlign w:val="center"/>
          </w:tcPr>
          <w:p w14:paraId="4101E69F">
            <w:pPr>
              <w:adjustRightInd w:val="0"/>
              <w:snapToGrid w:val="0"/>
              <w:spacing w:line="360" w:lineRule="exact"/>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47.2</w:t>
            </w:r>
          </w:p>
        </w:tc>
        <w:tc>
          <w:tcPr>
            <w:tcW w:w="677" w:type="pct"/>
            <w:vAlign w:val="center"/>
          </w:tcPr>
          <w:p w14:paraId="47E3FF85">
            <w:pPr>
              <w:adjustRightInd w:val="0"/>
              <w:snapToGrid w:val="0"/>
              <w:spacing w:line="360" w:lineRule="exact"/>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4</w:t>
            </w:r>
            <w:r>
              <w:rPr>
                <w:rFonts w:hint="default" w:ascii="Times New Roman" w:hAnsi="Times New Roman" w:cs="Times New Roman"/>
                <w:color w:val="000000" w:themeColor="text1"/>
                <w:szCs w:val="21"/>
                <w:lang w:val="en-US" w:eastAsia="zh-CN"/>
                <w14:textFill>
                  <w14:solidFill>
                    <w14:schemeClr w14:val="tx1"/>
                  </w14:solidFill>
                </w14:textFill>
              </w:rPr>
              <w:t>1.3</w:t>
            </w:r>
          </w:p>
        </w:tc>
        <w:tc>
          <w:tcPr>
            <w:tcW w:w="677" w:type="pct"/>
            <w:vAlign w:val="center"/>
          </w:tcPr>
          <w:p w14:paraId="1E1DB9C8">
            <w:pPr>
              <w:adjustRightInd w:val="0"/>
              <w:snapToGrid w:val="0"/>
              <w:spacing w:line="360" w:lineRule="exact"/>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46.8</w:t>
            </w:r>
          </w:p>
        </w:tc>
        <w:tc>
          <w:tcPr>
            <w:tcW w:w="676" w:type="pct"/>
            <w:vAlign w:val="center"/>
          </w:tcPr>
          <w:p w14:paraId="0B04518F">
            <w:pPr>
              <w:adjustRightInd w:val="0"/>
              <w:snapToGrid w:val="0"/>
              <w:spacing w:line="360" w:lineRule="exact"/>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cs="Times New Roman"/>
                <w:color w:val="000000" w:themeColor="text1"/>
                <w:szCs w:val="21"/>
                <w:lang w:val="en-US" w:eastAsia="zh-CN"/>
                <w14:textFill>
                  <w14:solidFill>
                    <w14:schemeClr w14:val="tx1"/>
                  </w14:solidFill>
                </w14:textFill>
              </w:rPr>
              <w:t>38.3</w:t>
            </w:r>
          </w:p>
        </w:tc>
      </w:tr>
    </w:tbl>
    <w:p w14:paraId="5A381FB1">
      <w:pPr>
        <w:pStyle w:val="3159"/>
        <w:rPr>
          <w:rFonts w:hint="default" w:ascii="Times New Roman" w:hAnsi="Times New Roman" w:eastAsia="黑体" w:cs="Times New Roman"/>
          <w:b w:val="0"/>
          <w:color w:val="000000" w:themeColor="text1"/>
          <w14:textFill>
            <w14:solidFill>
              <w14:schemeClr w14:val="tx1"/>
            </w14:solidFill>
          </w14:textFill>
        </w:rPr>
      </w:pPr>
      <w:bookmarkStart w:id="86" w:name="_Toc173837687"/>
      <w:r>
        <w:rPr>
          <w:rFonts w:hint="default" w:ascii="Times New Roman" w:hAnsi="Times New Roman" w:eastAsia="黑体" w:cs="Times New Roman"/>
          <w:b w:val="0"/>
          <w:color w:val="000000" w:themeColor="text1"/>
          <w14:textFill>
            <w14:solidFill>
              <w14:schemeClr w14:val="tx1"/>
            </w14:solidFill>
          </w14:textFill>
        </w:rPr>
        <w:t>4.5.5环境噪声现状评价</w:t>
      </w:r>
      <w:bookmarkEnd w:id="86"/>
    </w:p>
    <w:p w14:paraId="74593DB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现状监测结果表明各向厂界监测点昼、夜间噪声均符合《声环境质量标准》（GB3096-2008）中3类排放标准要求。</w:t>
      </w:r>
    </w:p>
    <w:p w14:paraId="5A7E0674">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87" w:name="_Toc173837688"/>
      <w:r>
        <w:rPr>
          <w:rFonts w:hint="default" w:ascii="Times New Roman" w:hAnsi="Times New Roman" w:eastAsia="黑体" w:cs="Times New Roman"/>
          <w:b w:val="0"/>
          <w:color w:val="000000" w:themeColor="text1"/>
          <w14:textFill>
            <w14:solidFill>
              <w14:schemeClr w14:val="tx1"/>
            </w14:solidFill>
          </w14:textFill>
        </w:rPr>
        <w:t>4.6土壤环境质量监测与评价</w:t>
      </w:r>
      <w:bookmarkEnd w:id="87"/>
    </w:p>
    <w:p w14:paraId="085FC0B8">
      <w:pPr>
        <w:pStyle w:val="3159"/>
        <w:rPr>
          <w:rFonts w:hint="default" w:ascii="Times New Roman" w:hAnsi="Times New Roman" w:eastAsia="黑体" w:cs="Times New Roman"/>
          <w:b w:val="0"/>
          <w:color w:val="000000" w:themeColor="text1"/>
          <w14:textFill>
            <w14:solidFill>
              <w14:schemeClr w14:val="tx1"/>
            </w14:solidFill>
          </w14:textFill>
        </w:rPr>
      </w:pPr>
      <w:bookmarkStart w:id="88" w:name="_Toc173837689"/>
      <w:r>
        <w:rPr>
          <w:rFonts w:hint="default" w:ascii="Times New Roman" w:hAnsi="Times New Roman" w:eastAsia="黑体" w:cs="Times New Roman"/>
          <w:b w:val="0"/>
          <w:color w:val="000000" w:themeColor="text1"/>
          <w14:textFill>
            <w14:solidFill>
              <w14:schemeClr w14:val="tx1"/>
            </w14:solidFill>
          </w14:textFill>
        </w:rPr>
        <w:t>4.6.1土壤环境监测</w:t>
      </w:r>
      <w:bookmarkEnd w:id="88"/>
    </w:p>
    <w:p w14:paraId="5B4348F4">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为说明项目所在区域的环境质量状况</w:t>
      </w:r>
      <w:r>
        <w:rPr>
          <w:rFonts w:hint="default" w:ascii="Times New Roman" w:hAnsi="Times New Roman" w:cs="Times New Roman"/>
          <w:color w:val="000000" w:themeColor="text1"/>
          <w:lang w:eastAsia="zh-CN"/>
          <w14:textFill>
            <w14:solidFill>
              <w14:schemeClr w14:val="tx1"/>
            </w14:solidFill>
          </w14:textFill>
        </w:rPr>
        <w:t>，本项目土壤环境</w:t>
      </w:r>
      <w:r>
        <w:rPr>
          <w:rFonts w:hint="default" w:ascii="Times New Roman" w:hAnsi="Times New Roman" w:cs="Times New Roman"/>
          <w:color w:val="000000" w:themeColor="text1"/>
          <w14:textFill>
            <w14:solidFill>
              <w14:schemeClr w14:val="tx1"/>
            </w14:solidFill>
          </w14:textFill>
        </w:rPr>
        <w:t>质量现状引用《安徽金荣铜业有限公司废旧电容、线路板再生资源综合利用项目环境影响报告书》报告中环境质量现状监测数据</w:t>
      </w:r>
      <w:r>
        <w:rPr>
          <w:rFonts w:hint="default" w:ascii="Times New Roman" w:hAnsi="Times New Roman" w:cs="Times New Roman"/>
          <w:color w:val="000000" w:themeColor="text1"/>
          <w:lang w:eastAsia="zh-CN"/>
          <w14:textFill>
            <w14:solidFill>
              <w14:schemeClr w14:val="tx1"/>
            </w14:solidFill>
          </w14:textFill>
        </w:rPr>
        <w:t>，该</w:t>
      </w:r>
      <w:r>
        <w:rPr>
          <w:rFonts w:hint="default" w:ascii="Times New Roman" w:hAnsi="Times New Roman" w:cs="Times New Roman"/>
          <w:color w:val="000000" w:themeColor="text1"/>
          <w14:textFill>
            <w14:solidFill>
              <w14:schemeClr w14:val="tx1"/>
            </w14:solidFill>
          </w14:textFill>
        </w:rPr>
        <w:t>项目委托安徽澳林检测有限公司于2024年5月17日对项目区域进行了土壤采样。</w:t>
      </w:r>
    </w:p>
    <w:p w14:paraId="4A970AF3">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1、监测点布设</w:t>
      </w:r>
    </w:p>
    <w:p w14:paraId="11C0A30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根据《环境影响评价技术导则土壤环境（试行）》（HJ964-2018）要求，在项目占地范围内</w:t>
      </w:r>
      <w:r>
        <w:rPr>
          <w:rFonts w:hint="eastAsia" w:ascii="Times New Roman" w:hAnsi="Times New Roman" w:cs="Times New Roman"/>
          <w:color w:val="000000" w:themeColor="text1"/>
          <w:lang w:val="en-US" w:eastAsia="zh-CN"/>
          <w14:textFill>
            <w14:solidFill>
              <w14:schemeClr w14:val="tx1"/>
            </w14:solidFill>
          </w14:textFill>
        </w:rPr>
        <w:t>及上下风向各</w:t>
      </w:r>
      <w:r>
        <w:rPr>
          <w:rFonts w:hint="default" w:ascii="Times New Roman" w:hAnsi="Times New Roman" w:cs="Times New Roman"/>
          <w:color w:val="000000" w:themeColor="text1"/>
          <w14:textFill>
            <w14:solidFill>
              <w14:schemeClr w14:val="tx1"/>
            </w14:solidFill>
          </w14:textFill>
        </w:rPr>
        <w:t>设置</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个表层样监测点位</w:t>
      </w:r>
      <w:r>
        <w:rPr>
          <w:rFonts w:hint="eastAsia" w:ascii="Times New Roman" w:hAnsi="Times New Roman" w:cs="Times New Roman"/>
          <w:color w:val="000000" w:themeColor="text1"/>
          <w:lang w:eastAsia="zh-CN"/>
          <w14:textFill>
            <w14:solidFill>
              <w14:schemeClr w14:val="tx1"/>
            </w14:solidFill>
          </w14:textFill>
        </w:rPr>
        <w:t>，本项目与</w:t>
      </w:r>
      <w:r>
        <w:rPr>
          <w:rFonts w:hint="default" w:ascii="Times New Roman" w:hAnsi="Times New Roman" w:cs="Times New Roman"/>
          <w:color w:val="000000" w:themeColor="text1"/>
          <w14:textFill>
            <w14:solidFill>
              <w14:schemeClr w14:val="tx1"/>
            </w14:solidFill>
          </w14:textFill>
        </w:rPr>
        <w:t>《安徽金荣铜业有限公司</w:t>
      </w:r>
      <w:r>
        <w:rPr>
          <w:rFonts w:hint="eastAsia" w:ascii="Times New Roman" w:hAnsi="Times New Roman" w:cs="Times New Roman"/>
          <w:color w:val="000000" w:themeColor="text1"/>
          <w:lang w:eastAsia="zh-CN"/>
          <w14:textFill>
            <w14:solidFill>
              <w14:schemeClr w14:val="tx1"/>
            </w14:solidFill>
          </w14:textFill>
        </w:rPr>
        <w:t>共用一个厂界，项目区已做好地面硬化</w:t>
      </w:r>
      <w:r>
        <w:rPr>
          <w:rFonts w:hint="default" w:ascii="Times New Roman" w:hAnsi="Times New Roman" w:cs="Times New Roman"/>
          <w:color w:val="000000" w:themeColor="text1"/>
          <w14:textFill>
            <w14:solidFill>
              <w14:schemeClr w14:val="tx1"/>
            </w14:solidFill>
          </w14:textFill>
        </w:rPr>
        <w:t>。具体位置见下表及下图。</w:t>
      </w:r>
    </w:p>
    <w:p w14:paraId="5FC39FF0">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表4.6-1区域土壤环境质量监测点位一览表</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4"/>
        <w:gridCol w:w="568"/>
        <w:gridCol w:w="1159"/>
        <w:gridCol w:w="3376"/>
        <w:gridCol w:w="1185"/>
      </w:tblGrid>
      <w:tr w14:paraId="7795F5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3" w:type="pct"/>
            <w:gridSpan w:val="2"/>
            <w:vAlign w:val="center"/>
          </w:tcPr>
          <w:p w14:paraId="3B961E89">
            <w:pPr>
              <w:autoSpaceDE w:val="0"/>
              <w:autoSpaceDN w:val="0"/>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监测点位</w:t>
            </w:r>
          </w:p>
        </w:tc>
        <w:tc>
          <w:tcPr>
            <w:tcW w:w="680" w:type="pct"/>
            <w:vAlign w:val="center"/>
          </w:tcPr>
          <w:p w14:paraId="55904180">
            <w:pPr>
              <w:autoSpaceDE w:val="0"/>
              <w:autoSpaceDN w:val="0"/>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监测深度</w:t>
            </w:r>
          </w:p>
        </w:tc>
        <w:tc>
          <w:tcPr>
            <w:tcW w:w="1980" w:type="pct"/>
            <w:vAlign w:val="center"/>
          </w:tcPr>
          <w:p w14:paraId="1F0C7505">
            <w:pPr>
              <w:autoSpaceDE w:val="0"/>
              <w:autoSpaceDN w:val="0"/>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监测因子</w:t>
            </w:r>
          </w:p>
        </w:tc>
        <w:tc>
          <w:tcPr>
            <w:tcW w:w="695" w:type="pct"/>
            <w:vAlign w:val="center"/>
          </w:tcPr>
          <w:p w14:paraId="02B7C9E2">
            <w:pPr>
              <w:autoSpaceDE w:val="0"/>
              <w:autoSpaceDN w:val="0"/>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监测频率</w:t>
            </w:r>
          </w:p>
        </w:tc>
      </w:tr>
      <w:tr w14:paraId="14665F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0" w:type="pct"/>
            <w:vAlign w:val="center"/>
          </w:tcPr>
          <w:p w14:paraId="16211EE0">
            <w:pPr>
              <w:autoSpaceDE w:val="0"/>
              <w:autoSpaceDN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项目区域内</w:t>
            </w:r>
          </w:p>
        </w:tc>
        <w:tc>
          <w:tcPr>
            <w:tcW w:w="333" w:type="pct"/>
            <w:vAlign w:val="center"/>
          </w:tcPr>
          <w:p w14:paraId="22ED3CAC">
            <w:pPr>
              <w:autoSpaceDE w:val="0"/>
              <w:autoSpaceDN w:val="0"/>
              <w:spacing w:line="276" w:lineRule="auto"/>
              <w:jc w:val="center"/>
              <w:textAlignment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w:t>
            </w:r>
            <w:r>
              <w:rPr>
                <w:rFonts w:hint="default" w:ascii="Times New Roman" w:hAnsi="Times New Roman" w:cs="Times New Roman"/>
                <w:color w:val="000000" w:themeColor="text1"/>
                <w:sz w:val="21"/>
                <w:szCs w:val="21"/>
                <w:vertAlign w:val="subscript"/>
                <w14:textFill>
                  <w14:solidFill>
                    <w14:schemeClr w14:val="tx1"/>
                  </w14:solidFill>
                </w14:textFill>
              </w:rPr>
              <w:t>2</w:t>
            </w:r>
          </w:p>
        </w:tc>
        <w:tc>
          <w:tcPr>
            <w:tcW w:w="680" w:type="pct"/>
            <w:vAlign w:val="center"/>
          </w:tcPr>
          <w:p w14:paraId="4339460D">
            <w:pPr>
              <w:autoSpaceDE w:val="0"/>
              <w:autoSpaceDN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0.2~0.3m</w:t>
            </w:r>
          </w:p>
        </w:tc>
        <w:tc>
          <w:tcPr>
            <w:tcW w:w="1980" w:type="pct"/>
            <w:vMerge w:val="restart"/>
            <w:vAlign w:val="center"/>
          </w:tcPr>
          <w:p w14:paraId="76A4E0C4">
            <w:pPr>
              <w:autoSpaceDE w:val="0"/>
              <w:autoSpaceDN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pH、铜、镍、铅、镉、砷、汞、六价铬、挥发性有机物（27种）、半挥发性有机物（11种）</w:t>
            </w:r>
          </w:p>
        </w:tc>
        <w:tc>
          <w:tcPr>
            <w:tcW w:w="695" w:type="pct"/>
            <w:vMerge w:val="restart"/>
            <w:vAlign w:val="center"/>
          </w:tcPr>
          <w:p w14:paraId="26DABACC">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1次/天</w:t>
            </w:r>
          </w:p>
        </w:tc>
      </w:tr>
      <w:tr w14:paraId="49C4C2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0" w:type="pct"/>
            <w:vAlign w:val="center"/>
          </w:tcPr>
          <w:p w14:paraId="1CF97C2D">
            <w:pPr>
              <w:autoSpaceDE w:val="0"/>
              <w:autoSpaceDN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项目区域外（主导风向上风向</w:t>
            </w:r>
            <w:r>
              <w:rPr>
                <w:rFonts w:hint="default" w:ascii="Times New Roman" w:hAnsi="Times New Roman" w:cs="Times New Roman"/>
                <w:color w:val="000000" w:themeColor="text1"/>
                <w:sz w:val="21"/>
                <w:szCs w:val="21"/>
                <w:highlight w:val="yellow"/>
                <w14:textFill>
                  <w14:solidFill>
                    <w14:schemeClr w14:val="tx1"/>
                  </w14:solidFill>
                </w14:textFill>
              </w:rPr>
              <w:t>空置耕地</w:t>
            </w:r>
            <w:r>
              <w:rPr>
                <w:rFonts w:hint="default" w:ascii="Times New Roman" w:hAnsi="Times New Roman" w:cs="Times New Roman"/>
                <w:color w:val="000000" w:themeColor="text1"/>
                <w:sz w:val="21"/>
                <w:szCs w:val="21"/>
                <w14:textFill>
                  <w14:solidFill>
                    <w14:schemeClr w14:val="tx1"/>
                  </w14:solidFill>
                </w14:textFill>
              </w:rPr>
              <w:t>）</w:t>
            </w:r>
          </w:p>
        </w:tc>
        <w:tc>
          <w:tcPr>
            <w:tcW w:w="333" w:type="pct"/>
            <w:vAlign w:val="center"/>
          </w:tcPr>
          <w:p w14:paraId="2A4C153F">
            <w:pPr>
              <w:autoSpaceDE w:val="0"/>
              <w:autoSpaceDN w:val="0"/>
              <w:spacing w:line="276" w:lineRule="auto"/>
              <w:jc w:val="center"/>
              <w:textAlignment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w:t>
            </w:r>
            <w:r>
              <w:rPr>
                <w:rFonts w:hint="default" w:ascii="Times New Roman" w:hAnsi="Times New Roman" w:cs="Times New Roman"/>
                <w:color w:val="000000" w:themeColor="text1"/>
                <w:sz w:val="21"/>
                <w:szCs w:val="21"/>
                <w:vertAlign w:val="subscript"/>
                <w14:textFill>
                  <w14:solidFill>
                    <w14:schemeClr w14:val="tx1"/>
                  </w14:solidFill>
                </w14:textFill>
              </w:rPr>
              <w:t>8</w:t>
            </w:r>
          </w:p>
        </w:tc>
        <w:tc>
          <w:tcPr>
            <w:tcW w:w="680" w:type="pct"/>
            <w:vAlign w:val="center"/>
          </w:tcPr>
          <w:p w14:paraId="6F670646">
            <w:pPr>
              <w:autoSpaceDE w:val="0"/>
              <w:autoSpaceDN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0.2~0.3m</w:t>
            </w:r>
          </w:p>
        </w:tc>
        <w:tc>
          <w:tcPr>
            <w:tcW w:w="1980" w:type="pct"/>
            <w:vMerge w:val="continue"/>
            <w:vAlign w:val="center"/>
          </w:tcPr>
          <w:p w14:paraId="1D0396BF">
            <w:pPr>
              <w:autoSpaceDE w:val="0"/>
              <w:autoSpaceDN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95" w:type="pct"/>
            <w:vMerge w:val="continue"/>
            <w:vAlign w:val="center"/>
          </w:tcPr>
          <w:p w14:paraId="69DA5FFB">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r>
      <w:tr w14:paraId="09F37A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10" w:type="pct"/>
            <w:vAlign w:val="center"/>
          </w:tcPr>
          <w:p w14:paraId="0A5B70E3">
            <w:pPr>
              <w:autoSpaceDE w:val="0"/>
              <w:autoSpaceDN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项目区域外（主导风向上风向空置耕地）</w:t>
            </w:r>
          </w:p>
        </w:tc>
        <w:tc>
          <w:tcPr>
            <w:tcW w:w="333" w:type="pct"/>
            <w:vAlign w:val="center"/>
          </w:tcPr>
          <w:p w14:paraId="0EC71364">
            <w:pPr>
              <w:autoSpaceDE w:val="0"/>
              <w:autoSpaceDN w:val="0"/>
              <w:spacing w:line="276" w:lineRule="auto"/>
              <w:jc w:val="center"/>
              <w:textAlignment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w:t>
            </w:r>
            <w:r>
              <w:rPr>
                <w:rFonts w:hint="default" w:ascii="Times New Roman" w:hAnsi="Times New Roman" w:cs="Times New Roman"/>
                <w:color w:val="000000" w:themeColor="text1"/>
                <w:sz w:val="21"/>
                <w:szCs w:val="21"/>
                <w:vertAlign w:val="subscript"/>
                <w14:textFill>
                  <w14:solidFill>
                    <w14:schemeClr w14:val="tx1"/>
                  </w14:solidFill>
                </w14:textFill>
              </w:rPr>
              <w:t>9</w:t>
            </w:r>
          </w:p>
        </w:tc>
        <w:tc>
          <w:tcPr>
            <w:tcW w:w="680" w:type="pct"/>
            <w:vAlign w:val="center"/>
          </w:tcPr>
          <w:p w14:paraId="76F3FAAC">
            <w:pPr>
              <w:autoSpaceDE w:val="0"/>
              <w:autoSpaceDN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0.2~0.3m</w:t>
            </w:r>
          </w:p>
        </w:tc>
        <w:tc>
          <w:tcPr>
            <w:tcW w:w="1980" w:type="pct"/>
            <w:vMerge w:val="continue"/>
            <w:vAlign w:val="center"/>
          </w:tcPr>
          <w:p w14:paraId="63777EC5">
            <w:pPr>
              <w:spacing w:line="276" w:lineRule="auto"/>
              <w:jc w:val="center"/>
              <w:textAlignment w:val="center"/>
              <w:outlineLvl w:val="0"/>
              <w:rPr>
                <w:rFonts w:hint="default" w:ascii="Times New Roman" w:hAnsi="Times New Roman" w:cs="Times New Roman"/>
                <w:color w:val="000000" w:themeColor="text1"/>
                <w:sz w:val="21"/>
                <w:szCs w:val="21"/>
                <w14:textFill>
                  <w14:solidFill>
                    <w14:schemeClr w14:val="tx1"/>
                  </w14:solidFill>
                </w14:textFill>
              </w:rPr>
            </w:pPr>
          </w:p>
        </w:tc>
        <w:tc>
          <w:tcPr>
            <w:tcW w:w="695" w:type="pct"/>
            <w:vMerge w:val="continue"/>
            <w:vAlign w:val="center"/>
          </w:tcPr>
          <w:p w14:paraId="740FC2F8">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r>
    </w:tbl>
    <w:p w14:paraId="55415226">
      <w:pPr>
        <w:pStyle w:val="251"/>
        <w:ind w:firstLine="0" w:firstLineChars="0"/>
        <w:rPr>
          <w:rFonts w:hint="default" w:ascii="Times New Roman" w:hAnsi="Times New Roman" w:cs="Times New Roman"/>
          <w:color w:val="000000" w:themeColor="text1"/>
          <w:szCs w:val="24"/>
          <w14:textFill>
            <w14:solidFill>
              <w14:schemeClr w14:val="tx1"/>
            </w14:solidFill>
          </w14:textFill>
        </w:rPr>
      </w:pPr>
      <w:r>
        <w:rPr>
          <w:rFonts w:hint="default" w:ascii="Times New Roman" w:hAnsi="Times New Roman" w:cs="Times New Roman"/>
          <w:color w:val="000000" w:themeColor="text1"/>
          <w:szCs w:val="24"/>
          <w14:textFill>
            <w14:solidFill>
              <w14:schemeClr w14:val="tx1"/>
            </w14:solidFill>
          </w14:textFill>
        </w:rPr>
        <w:drawing>
          <wp:anchor distT="0" distB="0" distL="114300" distR="114300" simplePos="0" relativeHeight="251809792" behindDoc="0" locked="0" layoutInCell="1" allowOverlap="1">
            <wp:simplePos x="0" y="0"/>
            <wp:positionH relativeFrom="column">
              <wp:posOffset>4705350</wp:posOffset>
            </wp:positionH>
            <wp:positionV relativeFrom="paragraph">
              <wp:posOffset>38735</wp:posOffset>
            </wp:positionV>
            <wp:extent cx="565150" cy="598805"/>
            <wp:effectExtent l="19050" t="19050" r="25400" b="10795"/>
            <wp:wrapNone/>
            <wp:docPr id="11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0"/>
                    <pic:cNvPicPr>
                      <a:picLocks noChangeAspect="1" noChangeArrowheads="1"/>
                    </pic:cNvPicPr>
                  </pic:nvPicPr>
                  <pic:blipFill>
                    <a:blip r:embed="rId40" cstate="print"/>
                    <a:srcRect/>
                    <a:stretch>
                      <a:fillRect/>
                    </a:stretch>
                  </pic:blipFill>
                  <pic:spPr>
                    <a:xfrm>
                      <a:off x="0" y="0"/>
                      <a:ext cx="565150" cy="598805"/>
                    </a:xfrm>
                    <a:prstGeom prst="rect">
                      <a:avLst/>
                    </a:prstGeom>
                    <a:noFill/>
                    <a:ln w="19050">
                      <a:solidFill>
                        <a:schemeClr val="tx1"/>
                      </a:solidFill>
                      <a:miter lim="800000"/>
                      <a:headEnd/>
                      <a:tailEnd/>
                    </a:ln>
                  </pic:spPr>
                </pic:pic>
              </a:graphicData>
            </a:graphic>
          </wp:anchor>
        </w:drawing>
      </w:r>
      <w:r>
        <w:rPr>
          <w:rFonts w:hint="default" w:ascii="Times New Roman" w:hAnsi="Times New Roman" w:cs="Times New Roman"/>
          <w:color w:val="000000" w:themeColor="text1"/>
          <w:szCs w:val="24"/>
          <w14:textFill>
            <w14:solidFill>
              <w14:schemeClr w14:val="tx1"/>
            </w14:solidFill>
          </w14:textFill>
        </w:rPr>
        <w:drawing>
          <wp:inline distT="0" distB="0" distL="0" distR="0">
            <wp:extent cx="5274310" cy="3154680"/>
            <wp:effectExtent l="19050" t="0" r="2540" b="0"/>
            <wp:docPr id="10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8"/>
                    <pic:cNvPicPr>
                      <a:picLocks noChangeAspect="1" noChangeArrowheads="1"/>
                    </pic:cNvPicPr>
                  </pic:nvPicPr>
                  <pic:blipFill>
                    <a:blip r:embed="rId49" cstate="print"/>
                    <a:srcRect/>
                    <a:stretch>
                      <a:fillRect/>
                    </a:stretch>
                  </pic:blipFill>
                  <pic:spPr>
                    <a:xfrm>
                      <a:off x="0" y="0"/>
                      <a:ext cx="5274310" cy="3155040"/>
                    </a:xfrm>
                    <a:prstGeom prst="rect">
                      <a:avLst/>
                    </a:prstGeom>
                    <a:noFill/>
                    <a:ln w="9525">
                      <a:noFill/>
                      <a:miter lim="800000"/>
                      <a:headEnd/>
                      <a:tailEnd/>
                    </a:ln>
                  </pic:spPr>
                </pic:pic>
              </a:graphicData>
            </a:graphic>
          </wp:inline>
        </w:drawing>
      </w:r>
    </w:p>
    <w:p w14:paraId="0D9B2D73">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图</w:t>
      </w:r>
      <w:r>
        <w:rPr>
          <w:rFonts w:hint="eastAsia" w:eastAsia="黑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黑体" w:cs="Times New Roman"/>
          <w:color w:val="000000" w:themeColor="text1"/>
          <w:sz w:val="24"/>
          <w:szCs w:val="24"/>
          <w14:textFill>
            <w14:solidFill>
              <w14:schemeClr w14:val="tx1"/>
            </w14:solidFill>
          </w14:textFill>
        </w:rPr>
        <w:t>.6-1土壤环境质量现状监测点位图</w:t>
      </w:r>
    </w:p>
    <w:p w14:paraId="3EF4A2D9">
      <w:pPr>
        <w:pStyle w:val="251"/>
        <w:ind w:firstLine="480"/>
        <w:rPr>
          <w:rFonts w:hint="default" w:ascii="Times New Roman" w:hAnsi="Times New Roman" w:cs="Times New Roman"/>
          <w:color w:val="000000" w:themeColor="text1"/>
          <w:szCs w:val="24"/>
          <w14:textFill>
            <w14:solidFill>
              <w14:schemeClr w14:val="tx1"/>
            </w14:solidFill>
          </w14:textFill>
        </w:rPr>
      </w:pPr>
      <w:r>
        <w:rPr>
          <w:rFonts w:hint="default" w:ascii="Times New Roman" w:hAnsi="Times New Roman" w:cs="Times New Roman"/>
          <w:color w:val="000000" w:themeColor="text1"/>
          <w:szCs w:val="24"/>
          <w14:textFill>
            <w14:solidFill>
              <w14:schemeClr w14:val="tx1"/>
            </w14:solidFill>
          </w14:textFill>
        </w:rPr>
        <w:t>2、监测项目</w:t>
      </w:r>
    </w:p>
    <w:p w14:paraId="170C8F15">
      <w:pPr>
        <w:pStyle w:val="251"/>
        <w:ind w:firstLine="480"/>
        <w:rPr>
          <w:rFonts w:hint="default" w:ascii="Times New Roman" w:hAnsi="Times New Roman" w:cs="Times New Roman"/>
          <w:color w:val="000000" w:themeColor="text1"/>
          <w:szCs w:val="24"/>
          <w14:textFill>
            <w14:solidFill>
              <w14:schemeClr w14:val="tx1"/>
            </w14:solidFill>
          </w14:textFill>
        </w:rPr>
      </w:pPr>
      <w:r>
        <w:rPr>
          <w:rFonts w:hint="default" w:ascii="Times New Roman" w:hAnsi="Times New Roman" w:cs="Times New Roman"/>
          <w:color w:val="000000" w:themeColor="text1"/>
          <w:szCs w:val="24"/>
          <w14:textFill>
            <w14:solidFill>
              <w14:schemeClr w14:val="tx1"/>
            </w14:solidFill>
          </w14:textFill>
        </w:rPr>
        <w:t>45个基本项：砷、汞、镉、铅、铜、镍、六价铬、挥发性有机物和半挥发性有机物。</w:t>
      </w:r>
    </w:p>
    <w:p w14:paraId="4CA18C9D">
      <w:pPr>
        <w:pStyle w:val="251"/>
        <w:ind w:firstLine="480"/>
        <w:rPr>
          <w:rFonts w:hint="default" w:ascii="Times New Roman" w:hAnsi="Times New Roman" w:cs="Times New Roman"/>
          <w:color w:val="000000" w:themeColor="text1"/>
          <w:szCs w:val="24"/>
          <w14:textFill>
            <w14:solidFill>
              <w14:schemeClr w14:val="tx1"/>
            </w14:solidFill>
          </w14:textFill>
        </w:rPr>
      </w:pPr>
      <w:r>
        <w:rPr>
          <w:rFonts w:hint="default" w:ascii="Times New Roman" w:hAnsi="Times New Roman" w:cs="Times New Roman"/>
          <w:color w:val="000000" w:themeColor="text1"/>
          <w:szCs w:val="24"/>
          <w14:textFill>
            <w14:solidFill>
              <w14:schemeClr w14:val="tx1"/>
            </w14:solidFill>
          </w14:textFill>
        </w:rPr>
        <w:t>挥发性有机物包含检测项目为氯甲烷、氯乙烯、1，1-二氯乙烯、二氯甲烷、反式-1，2-二氯乙烯、1，1-二氯乙烷、顺式-1，2-二氯乙烯、三氯甲烷、1，1，1-三氯乙烷、四氯化碳、苯、1，2-二氯乙烷、三氯乙烯、1，2-二氯丙烷、甲苯、1，1，2-三氯乙烷、四氯乙烯、氯苯、1，1，1，2-四氯乙烷、乙苯、间，对-二甲苯、邻二甲苯、苯乙烯、1，1，2，2-四氯乙烷、1，2，3-三氯丙烷、1，4-二氯苯、1，2-二氯苯；半挥发性有机物包含检测项目为硝基苯、2-氯苯酚、苯并[a]蒽、苯并[a]芘、苯并[b]荧蒽、苯并[k]荧蒽、䓛、二苯并[a，h]蒽、茚并[1，2，3-c，d]芘、萘、苯胺。</w:t>
      </w:r>
    </w:p>
    <w:p w14:paraId="5B5F67D4">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3、监测分析方法及依据</w:t>
      </w:r>
    </w:p>
    <w:p w14:paraId="4888FA4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土壤环境质量监测分析方法及依据见表4.6-2。</w:t>
      </w:r>
    </w:p>
    <w:p w14:paraId="2722D6DB">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表4.6-2土壤监测项目、分析方法及依据一览表</w:t>
      </w:r>
    </w:p>
    <w:tbl>
      <w:tblPr>
        <w:tblStyle w:val="88"/>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99"/>
        <w:gridCol w:w="1444"/>
        <w:gridCol w:w="3255"/>
        <w:gridCol w:w="1246"/>
        <w:gridCol w:w="1878"/>
      </w:tblGrid>
      <w:tr w14:paraId="405D82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0" w:hRule="atLeast"/>
        </w:trPr>
        <w:tc>
          <w:tcPr>
            <w:tcW w:w="410" w:type="pct"/>
            <w:vAlign w:val="center"/>
          </w:tcPr>
          <w:p w14:paraId="6CD33E22">
            <w:pPr>
              <w:pStyle w:val="641"/>
              <w:adjustRightInd/>
              <w:spacing w:line="276" w:lineRule="auto"/>
              <w:jc w:val="center"/>
              <w:textAlignment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检测类别</w:t>
            </w:r>
          </w:p>
        </w:tc>
        <w:tc>
          <w:tcPr>
            <w:tcW w:w="847" w:type="pct"/>
            <w:vAlign w:val="center"/>
          </w:tcPr>
          <w:p w14:paraId="7E601BF9">
            <w:pPr>
              <w:pStyle w:val="641"/>
              <w:adjustRightInd/>
              <w:spacing w:line="276" w:lineRule="auto"/>
              <w:jc w:val="center"/>
              <w:textAlignment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检测项目</w:t>
            </w:r>
          </w:p>
        </w:tc>
        <w:tc>
          <w:tcPr>
            <w:tcW w:w="1909" w:type="pct"/>
            <w:vAlign w:val="center"/>
          </w:tcPr>
          <w:p w14:paraId="7CCB009A">
            <w:pPr>
              <w:pStyle w:val="641"/>
              <w:adjustRightInd/>
              <w:spacing w:line="276" w:lineRule="auto"/>
              <w:jc w:val="center"/>
              <w:textAlignment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检测方法</w:t>
            </w:r>
          </w:p>
        </w:tc>
        <w:tc>
          <w:tcPr>
            <w:tcW w:w="731" w:type="pct"/>
            <w:vAlign w:val="center"/>
          </w:tcPr>
          <w:p w14:paraId="264B0CF9">
            <w:pPr>
              <w:pStyle w:val="641"/>
              <w:adjustRightInd/>
              <w:spacing w:line="276" w:lineRule="auto"/>
              <w:jc w:val="center"/>
              <w:textAlignment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检出限</w:t>
            </w:r>
          </w:p>
        </w:tc>
        <w:tc>
          <w:tcPr>
            <w:tcW w:w="1101" w:type="pct"/>
            <w:vAlign w:val="center"/>
          </w:tcPr>
          <w:p w14:paraId="5504A148">
            <w:pPr>
              <w:pStyle w:val="641"/>
              <w:adjustRightInd/>
              <w:spacing w:line="276" w:lineRule="auto"/>
              <w:jc w:val="center"/>
              <w:textAlignment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仪器设备名称及编号</w:t>
            </w:r>
          </w:p>
        </w:tc>
      </w:tr>
      <w:tr w14:paraId="20F99E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restart"/>
            <w:vAlign w:val="center"/>
          </w:tcPr>
          <w:p w14:paraId="038CCDD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w:t>
            </w:r>
          </w:p>
        </w:tc>
        <w:tc>
          <w:tcPr>
            <w:tcW w:w="847" w:type="pct"/>
            <w:vAlign w:val="center"/>
          </w:tcPr>
          <w:p w14:paraId="106C085A">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pH</w:t>
            </w:r>
          </w:p>
        </w:tc>
        <w:tc>
          <w:tcPr>
            <w:tcW w:w="1909" w:type="pct"/>
            <w:vAlign w:val="center"/>
          </w:tcPr>
          <w:p w14:paraId="5E7BC9E1">
            <w:pPr>
              <w:pStyle w:val="4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土壤pH值的测定电位法HJ962-2018</w:t>
            </w:r>
          </w:p>
        </w:tc>
        <w:tc>
          <w:tcPr>
            <w:tcW w:w="731" w:type="pct"/>
            <w:vAlign w:val="center"/>
          </w:tcPr>
          <w:p w14:paraId="594E8747">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0.01</w:t>
            </w:r>
          </w:p>
          <w:p w14:paraId="3573B90E">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（无量纲）</w:t>
            </w:r>
          </w:p>
        </w:tc>
        <w:tc>
          <w:tcPr>
            <w:tcW w:w="1101" w:type="pct"/>
            <w:vAlign w:val="center"/>
          </w:tcPr>
          <w:p w14:paraId="609C6F83">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pH计雷磁PHS-3C（ALJC-SN-004）</w:t>
            </w:r>
          </w:p>
        </w:tc>
      </w:tr>
      <w:tr w14:paraId="2CA3C3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continue"/>
            <w:vAlign w:val="center"/>
          </w:tcPr>
          <w:p w14:paraId="6300300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7" w:type="pct"/>
            <w:vAlign w:val="center"/>
          </w:tcPr>
          <w:p w14:paraId="5F0C1D42">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阳离子</w:t>
            </w:r>
          </w:p>
          <w:p w14:paraId="73E86F14">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交换量</w:t>
            </w:r>
          </w:p>
        </w:tc>
        <w:tc>
          <w:tcPr>
            <w:tcW w:w="1909" w:type="pct"/>
            <w:vAlign w:val="center"/>
          </w:tcPr>
          <w:p w14:paraId="78A8966B">
            <w:pPr>
              <w:pStyle w:val="4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土壤阳离子交换量的测定</w:t>
            </w:r>
          </w:p>
          <w:p w14:paraId="276A6933">
            <w:pPr>
              <w:pStyle w:val="4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三氯化六氨合钴浸提-分光光度法HJ889-2017</w:t>
            </w:r>
          </w:p>
        </w:tc>
        <w:tc>
          <w:tcPr>
            <w:tcW w:w="731" w:type="pct"/>
            <w:vAlign w:val="center"/>
          </w:tcPr>
          <w:p w14:paraId="45517430">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0.8cmol</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/kg</w:t>
            </w:r>
          </w:p>
        </w:tc>
        <w:tc>
          <w:tcPr>
            <w:tcW w:w="1101" w:type="pct"/>
            <w:vAlign w:val="center"/>
          </w:tcPr>
          <w:p w14:paraId="2EBC5279">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可见分光光度计722G</w:t>
            </w:r>
          </w:p>
          <w:p w14:paraId="0DA5A363">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（ALJC-SN-089）</w:t>
            </w:r>
          </w:p>
        </w:tc>
      </w:tr>
      <w:tr w14:paraId="55C85D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continue"/>
            <w:vAlign w:val="center"/>
          </w:tcPr>
          <w:p w14:paraId="5B19BCB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7" w:type="pct"/>
            <w:vAlign w:val="center"/>
          </w:tcPr>
          <w:p w14:paraId="711CBF2F">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氧化还</w:t>
            </w:r>
          </w:p>
          <w:p w14:paraId="2110E830">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原电位</w:t>
            </w:r>
          </w:p>
        </w:tc>
        <w:tc>
          <w:tcPr>
            <w:tcW w:w="1909" w:type="pct"/>
            <w:vAlign w:val="center"/>
          </w:tcPr>
          <w:p w14:paraId="2876EDB7">
            <w:pPr>
              <w:pStyle w:val="4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土壤氧化还原电位的测定</w:t>
            </w:r>
          </w:p>
          <w:p w14:paraId="471D0D2E">
            <w:pPr>
              <w:pStyle w:val="4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电位法HJ746-2015</w:t>
            </w:r>
          </w:p>
        </w:tc>
        <w:tc>
          <w:tcPr>
            <w:tcW w:w="731" w:type="pct"/>
            <w:vAlign w:val="center"/>
          </w:tcPr>
          <w:p w14:paraId="3850685A">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101" w:type="pct"/>
            <w:vAlign w:val="center"/>
          </w:tcPr>
          <w:p w14:paraId="3D4EC371">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智能便携式氧化还原电位仪QX6530（ALJC-SW-049）</w:t>
            </w:r>
          </w:p>
        </w:tc>
      </w:tr>
      <w:tr w14:paraId="0A8B30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continue"/>
            <w:vAlign w:val="center"/>
          </w:tcPr>
          <w:p w14:paraId="63047FF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7" w:type="pct"/>
            <w:vAlign w:val="center"/>
          </w:tcPr>
          <w:p w14:paraId="740ACEE7">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渗滤系数（饱和导水率）</w:t>
            </w:r>
          </w:p>
        </w:tc>
        <w:tc>
          <w:tcPr>
            <w:tcW w:w="1909" w:type="pct"/>
            <w:vAlign w:val="center"/>
          </w:tcPr>
          <w:p w14:paraId="7F1EE2C3">
            <w:pPr>
              <w:pStyle w:val="4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森林土壤渗滤率的测定LY/T1218-1999</w:t>
            </w:r>
          </w:p>
        </w:tc>
        <w:tc>
          <w:tcPr>
            <w:tcW w:w="731" w:type="pct"/>
            <w:vAlign w:val="center"/>
          </w:tcPr>
          <w:p w14:paraId="09F46F6A">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101" w:type="pct"/>
            <w:vAlign w:val="center"/>
          </w:tcPr>
          <w:p w14:paraId="392E684B">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166B33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continue"/>
            <w:vAlign w:val="center"/>
          </w:tcPr>
          <w:p w14:paraId="422B93C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7" w:type="pct"/>
            <w:vAlign w:val="center"/>
          </w:tcPr>
          <w:p w14:paraId="0A2F9ED9">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土壤容重</w:t>
            </w:r>
          </w:p>
        </w:tc>
        <w:tc>
          <w:tcPr>
            <w:tcW w:w="1909" w:type="pct"/>
            <w:vAlign w:val="center"/>
          </w:tcPr>
          <w:p w14:paraId="78395635">
            <w:pPr>
              <w:pStyle w:val="4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土壤检测第4部分：土壤容重的测定NY/T1121.4-2006</w:t>
            </w:r>
          </w:p>
        </w:tc>
        <w:tc>
          <w:tcPr>
            <w:tcW w:w="731" w:type="pct"/>
            <w:vAlign w:val="center"/>
          </w:tcPr>
          <w:p w14:paraId="3CEA41EA">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101" w:type="pct"/>
            <w:vAlign w:val="center"/>
          </w:tcPr>
          <w:p w14:paraId="1AE4BE11">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电子天平YP6002（ALJC-SN-078）</w:t>
            </w:r>
          </w:p>
        </w:tc>
      </w:tr>
      <w:tr w14:paraId="55CC71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continue"/>
            <w:vAlign w:val="center"/>
          </w:tcPr>
          <w:p w14:paraId="07748C9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7" w:type="pct"/>
            <w:vAlign w:val="center"/>
          </w:tcPr>
          <w:p w14:paraId="1D4D6980">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土壤孔隙度（总孔隙度）</w:t>
            </w:r>
          </w:p>
        </w:tc>
        <w:tc>
          <w:tcPr>
            <w:tcW w:w="1909" w:type="pct"/>
            <w:vAlign w:val="center"/>
          </w:tcPr>
          <w:p w14:paraId="0DE61C4D">
            <w:pPr>
              <w:pStyle w:val="4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森林土壤水分-物理性质的测定LY/T1215-1999</w:t>
            </w:r>
          </w:p>
        </w:tc>
        <w:tc>
          <w:tcPr>
            <w:tcW w:w="731" w:type="pct"/>
            <w:vAlign w:val="center"/>
          </w:tcPr>
          <w:p w14:paraId="4BFD36DB">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101" w:type="pct"/>
            <w:vAlign w:val="center"/>
          </w:tcPr>
          <w:p w14:paraId="40233650">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电子天平YP6002（ALJC-SN-078）</w:t>
            </w:r>
          </w:p>
        </w:tc>
      </w:tr>
      <w:tr w14:paraId="50BD0F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continue"/>
            <w:vAlign w:val="center"/>
          </w:tcPr>
          <w:p w14:paraId="5F46640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7" w:type="pct"/>
            <w:vAlign w:val="center"/>
          </w:tcPr>
          <w:p w14:paraId="5BCDCE86">
            <w:pPr>
              <w:widowControl/>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铜</w:t>
            </w:r>
          </w:p>
        </w:tc>
        <w:tc>
          <w:tcPr>
            <w:tcW w:w="1909" w:type="pct"/>
            <w:vMerge w:val="restart"/>
            <w:vAlign w:val="center"/>
          </w:tcPr>
          <w:p w14:paraId="6EF933FC">
            <w:pPr>
              <w:pStyle w:val="47"/>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土壤和沉积物铜、锌、铅、镍、铬的测定火焰原子吸收分光光度法HJ491-2019</w:t>
            </w:r>
          </w:p>
        </w:tc>
        <w:tc>
          <w:tcPr>
            <w:tcW w:w="731" w:type="pct"/>
            <w:vAlign w:val="center"/>
          </w:tcPr>
          <w:p w14:paraId="05273B15">
            <w:pPr>
              <w:widowControl/>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1mg/kg</w:t>
            </w:r>
          </w:p>
        </w:tc>
        <w:tc>
          <w:tcPr>
            <w:tcW w:w="1101" w:type="pct"/>
            <w:vMerge w:val="restart"/>
            <w:vAlign w:val="center"/>
          </w:tcPr>
          <w:p w14:paraId="4065DE7B">
            <w:pPr>
              <w:pStyle w:val="641"/>
              <w:spacing w:line="360" w:lineRule="exact"/>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原子吸收分光光度计普析通用TAS-990AFG（ALJC-SN-040）</w:t>
            </w:r>
          </w:p>
        </w:tc>
      </w:tr>
      <w:tr w14:paraId="6FE72F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continue"/>
            <w:vAlign w:val="center"/>
          </w:tcPr>
          <w:p w14:paraId="4B2736E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7" w:type="pct"/>
            <w:vAlign w:val="center"/>
          </w:tcPr>
          <w:p w14:paraId="444346CF">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镍</w:t>
            </w:r>
          </w:p>
        </w:tc>
        <w:tc>
          <w:tcPr>
            <w:tcW w:w="1909" w:type="pct"/>
            <w:vMerge w:val="continue"/>
            <w:vAlign w:val="center"/>
          </w:tcPr>
          <w:p w14:paraId="1AA6AB41">
            <w:pPr>
              <w:pStyle w:val="47"/>
              <w:snapToGrid/>
              <w:spacing w:line="276" w:lineRule="auto"/>
              <w:jc w:val="center"/>
              <w:textAlignment w:val="center"/>
              <w:rPr>
                <w:rFonts w:hint="default" w:ascii="Times New Roman" w:hAnsi="Times New Roman" w:cs="Times New Roman"/>
                <w:color w:val="000000" w:themeColor="text1"/>
                <w:kern w:val="2"/>
                <w:sz w:val="21"/>
                <w:szCs w:val="21"/>
                <w14:textFill>
                  <w14:solidFill>
                    <w14:schemeClr w14:val="tx1"/>
                  </w14:solidFill>
                </w14:textFill>
              </w:rPr>
            </w:pPr>
          </w:p>
        </w:tc>
        <w:tc>
          <w:tcPr>
            <w:tcW w:w="731" w:type="pct"/>
            <w:vAlign w:val="center"/>
          </w:tcPr>
          <w:p w14:paraId="2AA82A84">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3mg/kg</w:t>
            </w:r>
          </w:p>
        </w:tc>
        <w:tc>
          <w:tcPr>
            <w:tcW w:w="1101" w:type="pct"/>
            <w:vMerge w:val="continue"/>
            <w:vAlign w:val="center"/>
          </w:tcPr>
          <w:p w14:paraId="2BBF9C87">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383B11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continue"/>
            <w:vAlign w:val="center"/>
          </w:tcPr>
          <w:p w14:paraId="2881A96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7" w:type="pct"/>
            <w:vAlign w:val="center"/>
          </w:tcPr>
          <w:p w14:paraId="21C4E6A9">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铅</w:t>
            </w:r>
          </w:p>
        </w:tc>
        <w:tc>
          <w:tcPr>
            <w:tcW w:w="1909" w:type="pct"/>
            <w:vMerge w:val="continue"/>
            <w:vAlign w:val="center"/>
          </w:tcPr>
          <w:p w14:paraId="65CC0935">
            <w:pPr>
              <w:pStyle w:val="47"/>
              <w:snapToGrid/>
              <w:spacing w:line="276" w:lineRule="auto"/>
              <w:jc w:val="center"/>
              <w:textAlignment w:val="center"/>
              <w:rPr>
                <w:rFonts w:hint="default" w:ascii="Times New Roman" w:hAnsi="Times New Roman" w:cs="Times New Roman"/>
                <w:color w:val="000000" w:themeColor="text1"/>
                <w:kern w:val="2"/>
                <w:sz w:val="21"/>
                <w:szCs w:val="21"/>
                <w14:textFill>
                  <w14:solidFill>
                    <w14:schemeClr w14:val="tx1"/>
                  </w14:solidFill>
                </w14:textFill>
              </w:rPr>
            </w:pPr>
          </w:p>
        </w:tc>
        <w:tc>
          <w:tcPr>
            <w:tcW w:w="731" w:type="pct"/>
            <w:vAlign w:val="center"/>
          </w:tcPr>
          <w:p w14:paraId="00810829">
            <w:pPr>
              <w:widowControl/>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10mg/kg</w:t>
            </w:r>
          </w:p>
        </w:tc>
        <w:tc>
          <w:tcPr>
            <w:tcW w:w="1101" w:type="pct"/>
            <w:vMerge w:val="continue"/>
            <w:vAlign w:val="center"/>
          </w:tcPr>
          <w:p w14:paraId="0593176B">
            <w:pPr>
              <w:pStyle w:val="641"/>
              <w:adjustRightInd/>
              <w:spacing w:line="276" w:lineRule="auto"/>
              <w:jc w:val="center"/>
              <w:textAlignment w:val="center"/>
              <w:rPr>
                <w:rFonts w:hint="default" w:ascii="Times New Roman" w:hAnsi="Times New Roman" w:eastAsia="宋体" w:cs="Times New Roman"/>
                <w:b/>
                <w:color w:val="000000" w:themeColor="text1"/>
                <w:sz w:val="21"/>
                <w:szCs w:val="21"/>
                <w14:textFill>
                  <w14:solidFill>
                    <w14:schemeClr w14:val="tx1"/>
                  </w14:solidFill>
                </w14:textFill>
              </w:rPr>
            </w:pPr>
          </w:p>
        </w:tc>
      </w:tr>
      <w:tr w14:paraId="750EA6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continue"/>
            <w:vAlign w:val="center"/>
          </w:tcPr>
          <w:p w14:paraId="0A56208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7" w:type="pct"/>
            <w:vAlign w:val="center"/>
          </w:tcPr>
          <w:p w14:paraId="07B32AED">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铬</w:t>
            </w:r>
          </w:p>
        </w:tc>
        <w:tc>
          <w:tcPr>
            <w:tcW w:w="1909" w:type="pct"/>
            <w:vMerge w:val="continue"/>
            <w:vAlign w:val="center"/>
          </w:tcPr>
          <w:p w14:paraId="70310408">
            <w:pPr>
              <w:pStyle w:val="47"/>
              <w:snapToGrid/>
              <w:spacing w:line="276" w:lineRule="auto"/>
              <w:jc w:val="center"/>
              <w:textAlignment w:val="center"/>
              <w:rPr>
                <w:rFonts w:hint="default" w:ascii="Times New Roman" w:hAnsi="Times New Roman" w:cs="Times New Roman"/>
                <w:color w:val="000000" w:themeColor="text1"/>
                <w:kern w:val="2"/>
                <w:sz w:val="21"/>
                <w:szCs w:val="21"/>
                <w14:textFill>
                  <w14:solidFill>
                    <w14:schemeClr w14:val="tx1"/>
                  </w14:solidFill>
                </w14:textFill>
              </w:rPr>
            </w:pPr>
          </w:p>
        </w:tc>
        <w:tc>
          <w:tcPr>
            <w:tcW w:w="731" w:type="pct"/>
            <w:vAlign w:val="center"/>
          </w:tcPr>
          <w:p w14:paraId="5DFD9F06">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4mg/kg</w:t>
            </w:r>
          </w:p>
        </w:tc>
        <w:tc>
          <w:tcPr>
            <w:tcW w:w="1101" w:type="pct"/>
            <w:vMerge w:val="continue"/>
            <w:vAlign w:val="center"/>
          </w:tcPr>
          <w:p w14:paraId="73B776F6">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64A567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continue"/>
            <w:vAlign w:val="center"/>
          </w:tcPr>
          <w:p w14:paraId="6D0720C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7" w:type="pct"/>
            <w:vAlign w:val="center"/>
          </w:tcPr>
          <w:p w14:paraId="2177D9F6">
            <w:pPr>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镉</w:t>
            </w:r>
          </w:p>
        </w:tc>
        <w:tc>
          <w:tcPr>
            <w:tcW w:w="1909" w:type="pct"/>
            <w:vAlign w:val="center"/>
          </w:tcPr>
          <w:p w14:paraId="2DCB1CF6">
            <w:pPr>
              <w:pStyle w:val="47"/>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土壤质量铅、镉的测定</w:t>
            </w:r>
          </w:p>
          <w:p w14:paraId="1D139450">
            <w:pPr>
              <w:pStyle w:val="47"/>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石墨炉原子吸收分光光度法GB/T17141-1997</w:t>
            </w:r>
          </w:p>
        </w:tc>
        <w:tc>
          <w:tcPr>
            <w:tcW w:w="731" w:type="pct"/>
            <w:vAlign w:val="center"/>
          </w:tcPr>
          <w:p w14:paraId="12EB3477">
            <w:pPr>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0.01mg/kg</w:t>
            </w:r>
          </w:p>
        </w:tc>
        <w:tc>
          <w:tcPr>
            <w:tcW w:w="1101" w:type="pct"/>
            <w:vAlign w:val="center"/>
          </w:tcPr>
          <w:p w14:paraId="560E31D1">
            <w:pPr>
              <w:widowControl/>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原子吸收分光光度计普析通用TAS-990AFG（ALJC-SN-040）</w:t>
            </w:r>
          </w:p>
        </w:tc>
      </w:tr>
      <w:tr w14:paraId="4D27CA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continue"/>
            <w:vAlign w:val="center"/>
          </w:tcPr>
          <w:p w14:paraId="02BB49C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7" w:type="pct"/>
            <w:vAlign w:val="center"/>
          </w:tcPr>
          <w:p w14:paraId="16FD2C3F">
            <w:pPr>
              <w:widowControl/>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砷</w:t>
            </w:r>
          </w:p>
        </w:tc>
        <w:tc>
          <w:tcPr>
            <w:tcW w:w="1909" w:type="pct"/>
            <w:vMerge w:val="restart"/>
            <w:vAlign w:val="center"/>
          </w:tcPr>
          <w:p w14:paraId="5C97BC45">
            <w:pPr>
              <w:pStyle w:val="47"/>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土壤和沉积物汞、砷、硒、铋、锑的测定微波消解/原子荧光法HJ680-2013</w:t>
            </w:r>
          </w:p>
        </w:tc>
        <w:tc>
          <w:tcPr>
            <w:tcW w:w="731" w:type="pct"/>
            <w:vAlign w:val="center"/>
          </w:tcPr>
          <w:p w14:paraId="310190DC">
            <w:pPr>
              <w:widowControl/>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0.01mg/kg</w:t>
            </w:r>
          </w:p>
        </w:tc>
        <w:tc>
          <w:tcPr>
            <w:tcW w:w="1101" w:type="pct"/>
            <w:vMerge w:val="restart"/>
            <w:vAlign w:val="center"/>
          </w:tcPr>
          <w:p w14:paraId="39AACA89">
            <w:pPr>
              <w:pStyle w:val="641"/>
              <w:spacing w:line="360" w:lineRule="exact"/>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原子荧光光度计</w:t>
            </w:r>
          </w:p>
          <w:p w14:paraId="73FA5375">
            <w:pPr>
              <w:pStyle w:val="641"/>
              <w:spacing w:line="360" w:lineRule="exact"/>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北京吉天AFS-8220（ALJC-SN-039）</w:t>
            </w:r>
          </w:p>
        </w:tc>
      </w:tr>
      <w:tr w14:paraId="2E9D11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continue"/>
            <w:vAlign w:val="center"/>
          </w:tcPr>
          <w:p w14:paraId="36EB150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7" w:type="pct"/>
            <w:vAlign w:val="center"/>
          </w:tcPr>
          <w:p w14:paraId="58F83EC3">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汞</w:t>
            </w:r>
          </w:p>
        </w:tc>
        <w:tc>
          <w:tcPr>
            <w:tcW w:w="1909" w:type="pct"/>
            <w:vMerge w:val="continue"/>
            <w:vAlign w:val="center"/>
          </w:tcPr>
          <w:p w14:paraId="78542D4D">
            <w:pPr>
              <w:pStyle w:val="47"/>
              <w:snapToGrid/>
              <w:spacing w:line="276" w:lineRule="auto"/>
              <w:jc w:val="center"/>
              <w:textAlignment w:val="center"/>
              <w:rPr>
                <w:rFonts w:hint="default" w:ascii="Times New Roman" w:hAnsi="Times New Roman" w:cs="Times New Roman"/>
                <w:color w:val="000000" w:themeColor="text1"/>
                <w:kern w:val="2"/>
                <w:sz w:val="21"/>
                <w:szCs w:val="21"/>
                <w14:textFill>
                  <w14:solidFill>
                    <w14:schemeClr w14:val="tx1"/>
                  </w14:solidFill>
                </w14:textFill>
              </w:rPr>
            </w:pPr>
          </w:p>
        </w:tc>
        <w:tc>
          <w:tcPr>
            <w:tcW w:w="731" w:type="pct"/>
            <w:vAlign w:val="center"/>
          </w:tcPr>
          <w:p w14:paraId="6554EFF7">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0.002mg/kg</w:t>
            </w:r>
          </w:p>
        </w:tc>
        <w:tc>
          <w:tcPr>
            <w:tcW w:w="1101" w:type="pct"/>
            <w:vMerge w:val="continue"/>
            <w:vAlign w:val="center"/>
          </w:tcPr>
          <w:p w14:paraId="67676A56">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733A93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continue"/>
            <w:vAlign w:val="center"/>
          </w:tcPr>
          <w:p w14:paraId="74799F6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7" w:type="pct"/>
            <w:vAlign w:val="center"/>
          </w:tcPr>
          <w:p w14:paraId="1C8F302D">
            <w:pPr>
              <w:widowControl/>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六价铬</w:t>
            </w:r>
          </w:p>
        </w:tc>
        <w:tc>
          <w:tcPr>
            <w:tcW w:w="1909" w:type="pct"/>
            <w:vAlign w:val="center"/>
          </w:tcPr>
          <w:p w14:paraId="67BAE957">
            <w:pPr>
              <w:pStyle w:val="47"/>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土壤和沉积物六价铬的测定碱溶液提取-火焰原子吸收分光光度法HJ1082-2019</w:t>
            </w:r>
          </w:p>
        </w:tc>
        <w:tc>
          <w:tcPr>
            <w:tcW w:w="731" w:type="pct"/>
            <w:vAlign w:val="center"/>
          </w:tcPr>
          <w:p w14:paraId="26DB0E22">
            <w:pPr>
              <w:widowControl/>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0.5mg/kg</w:t>
            </w:r>
          </w:p>
        </w:tc>
        <w:tc>
          <w:tcPr>
            <w:tcW w:w="1101" w:type="pct"/>
            <w:vAlign w:val="center"/>
          </w:tcPr>
          <w:p w14:paraId="58676B70">
            <w:pPr>
              <w:pStyle w:val="641"/>
              <w:spacing w:line="360" w:lineRule="exact"/>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原子吸收分光光度计</w:t>
            </w:r>
          </w:p>
          <w:p w14:paraId="7059E538">
            <w:pPr>
              <w:pStyle w:val="641"/>
              <w:spacing w:line="360" w:lineRule="exact"/>
              <w:jc w:val="center"/>
              <w:textAlignment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普析通用TAS-990AFG（ALJC-SN-040）</w:t>
            </w:r>
          </w:p>
        </w:tc>
      </w:tr>
      <w:tr w14:paraId="61C1F4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continue"/>
            <w:vAlign w:val="center"/>
          </w:tcPr>
          <w:p w14:paraId="461EE3A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7" w:type="pct"/>
            <w:vAlign w:val="center"/>
          </w:tcPr>
          <w:p w14:paraId="6755E25D">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石油烃（C</w:t>
            </w:r>
            <w:r>
              <w:rPr>
                <w:rFonts w:hint="default" w:ascii="Times New Roman" w:hAnsi="Times New Roman" w:eastAsia="宋体" w:cs="Times New Roman"/>
                <w:color w:val="000000" w:themeColor="text1"/>
                <w:sz w:val="21"/>
                <w:szCs w:val="21"/>
                <w:vertAlign w:val="subscript"/>
                <w14:textFill>
                  <w14:solidFill>
                    <w14:schemeClr w14:val="tx1"/>
                  </w14:solidFill>
                </w14:textFill>
              </w:rPr>
              <w:t>10</w:t>
            </w:r>
            <w:r>
              <w:rPr>
                <w:rFonts w:hint="default" w:ascii="Times New Roman" w:hAnsi="Times New Roman" w:eastAsia="宋体" w:cs="Times New Roman"/>
                <w:color w:val="000000" w:themeColor="text1"/>
                <w:sz w:val="21"/>
                <w:szCs w:val="21"/>
                <w14:textFill>
                  <w14:solidFill>
                    <w14:schemeClr w14:val="tx1"/>
                  </w14:solidFill>
                </w14:textFill>
              </w:rPr>
              <w:t>-C</w:t>
            </w:r>
            <w:r>
              <w:rPr>
                <w:rFonts w:hint="default" w:ascii="Times New Roman" w:hAnsi="Times New Roman" w:eastAsia="宋体" w:cs="Times New Roman"/>
                <w:color w:val="000000" w:themeColor="text1"/>
                <w:sz w:val="21"/>
                <w:szCs w:val="21"/>
                <w:vertAlign w:val="subscript"/>
                <w14:textFill>
                  <w14:solidFill>
                    <w14:schemeClr w14:val="tx1"/>
                  </w14:solidFill>
                </w14:textFill>
              </w:rPr>
              <w:t>40</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909" w:type="pct"/>
            <w:vAlign w:val="center"/>
          </w:tcPr>
          <w:p w14:paraId="4F5F7604">
            <w:pPr>
              <w:pStyle w:val="4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土壤和沉积物石油烃（C</w:t>
            </w:r>
            <w:r>
              <w:rPr>
                <w:rFonts w:hint="default" w:ascii="Times New Roman" w:hAnsi="Times New Roman" w:cs="Times New Roman"/>
                <w:color w:val="000000" w:themeColor="text1"/>
                <w:sz w:val="21"/>
                <w:szCs w:val="21"/>
                <w:vertAlign w:val="subscript"/>
                <w14:textFill>
                  <w14:solidFill>
                    <w14:schemeClr w14:val="tx1"/>
                  </w14:solidFill>
                </w14:textFill>
              </w:rPr>
              <w:t>10</w:t>
            </w:r>
            <w:r>
              <w:rPr>
                <w:rFonts w:hint="default" w:ascii="Times New Roman" w:hAnsi="Times New Roman" w:cs="Times New Roman"/>
                <w:color w:val="000000" w:themeColor="text1"/>
                <w:sz w:val="21"/>
                <w:szCs w:val="21"/>
                <w14:textFill>
                  <w14:solidFill>
                    <w14:schemeClr w14:val="tx1"/>
                  </w14:solidFill>
                </w14:textFill>
              </w:rPr>
              <w:t>-C</w:t>
            </w:r>
            <w:r>
              <w:rPr>
                <w:rFonts w:hint="default" w:ascii="Times New Roman" w:hAnsi="Times New Roman" w:cs="Times New Roman"/>
                <w:color w:val="000000" w:themeColor="text1"/>
                <w:sz w:val="21"/>
                <w:szCs w:val="21"/>
                <w:vertAlign w:val="subscript"/>
                <w14:textFill>
                  <w14:solidFill>
                    <w14:schemeClr w14:val="tx1"/>
                  </w14:solidFill>
                </w14:textFill>
              </w:rPr>
              <w:t>40</w:t>
            </w:r>
            <w:r>
              <w:rPr>
                <w:rFonts w:hint="default" w:ascii="Times New Roman" w:hAnsi="Times New Roman" w:cs="Times New Roman"/>
                <w:color w:val="000000" w:themeColor="text1"/>
                <w:sz w:val="21"/>
                <w:szCs w:val="21"/>
                <w14:textFill>
                  <w14:solidFill>
                    <w14:schemeClr w14:val="tx1"/>
                  </w14:solidFill>
                </w14:textFill>
              </w:rPr>
              <w:t>）的测定气相色谱法HJ1021-2019</w:t>
            </w:r>
          </w:p>
        </w:tc>
        <w:tc>
          <w:tcPr>
            <w:tcW w:w="731" w:type="pct"/>
            <w:vAlign w:val="center"/>
          </w:tcPr>
          <w:p w14:paraId="0BC42FBF">
            <w:pPr>
              <w:pStyle w:val="641"/>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6mg/kg</w:t>
            </w:r>
          </w:p>
        </w:tc>
        <w:tc>
          <w:tcPr>
            <w:tcW w:w="1101" w:type="pct"/>
            <w:vAlign w:val="center"/>
          </w:tcPr>
          <w:p w14:paraId="53BE2681">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气相色谱仪岛津GC-2010PRO（ALJC-SN-036）</w:t>
            </w:r>
          </w:p>
        </w:tc>
      </w:tr>
      <w:tr w14:paraId="6CB825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continue"/>
            <w:vAlign w:val="center"/>
          </w:tcPr>
          <w:p w14:paraId="2702853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7" w:type="pct"/>
            <w:vAlign w:val="center"/>
          </w:tcPr>
          <w:p w14:paraId="65F2851E">
            <w:pPr>
              <w:widowControl/>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挥发性</w:t>
            </w:r>
          </w:p>
          <w:p w14:paraId="7FF5D5D9">
            <w:pPr>
              <w:widowControl/>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有机物</w:t>
            </w:r>
          </w:p>
          <w:p w14:paraId="2FDE0780">
            <w:pPr>
              <w:widowControl/>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（27种）</w:t>
            </w:r>
          </w:p>
        </w:tc>
        <w:tc>
          <w:tcPr>
            <w:tcW w:w="1909" w:type="pct"/>
            <w:vAlign w:val="center"/>
          </w:tcPr>
          <w:p w14:paraId="7AD3E001">
            <w:pPr>
              <w:widowControl/>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土壤和沉积物挥发性有机物的测定吹扫捕集/气相色谱-质谱法HJ605-2011</w:t>
            </w:r>
          </w:p>
        </w:tc>
        <w:tc>
          <w:tcPr>
            <w:tcW w:w="731" w:type="pct"/>
            <w:vAlign w:val="center"/>
          </w:tcPr>
          <w:p w14:paraId="61DAF580">
            <w:pPr>
              <w:widowControl/>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101" w:type="pct"/>
            <w:vAlign w:val="center"/>
          </w:tcPr>
          <w:p w14:paraId="1DC6EE72">
            <w:pPr>
              <w:pStyle w:val="641"/>
              <w:spacing w:line="360" w:lineRule="exact"/>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气相色谱质谱联用仪安捷伦（ALJC-SN-081）</w:t>
            </w:r>
          </w:p>
        </w:tc>
      </w:tr>
      <w:tr w14:paraId="3697D8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410" w:type="pct"/>
            <w:vMerge w:val="continue"/>
            <w:vAlign w:val="center"/>
          </w:tcPr>
          <w:p w14:paraId="7520032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7" w:type="pct"/>
            <w:vAlign w:val="center"/>
          </w:tcPr>
          <w:p w14:paraId="2737E213">
            <w:pPr>
              <w:widowControl/>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半挥发性</w:t>
            </w:r>
          </w:p>
          <w:p w14:paraId="64AEABA4">
            <w:pPr>
              <w:widowControl/>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有机物</w:t>
            </w:r>
          </w:p>
          <w:p w14:paraId="1EC56EC5">
            <w:pPr>
              <w:widowControl/>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（11种）</w:t>
            </w:r>
          </w:p>
        </w:tc>
        <w:tc>
          <w:tcPr>
            <w:tcW w:w="1909" w:type="pct"/>
            <w:vAlign w:val="center"/>
          </w:tcPr>
          <w:p w14:paraId="1A482805">
            <w:pPr>
              <w:pStyle w:val="47"/>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土壤和沉积物半挥发性有机物的测定气相色谱-质谱法HJ834-2017</w:t>
            </w:r>
          </w:p>
        </w:tc>
        <w:tc>
          <w:tcPr>
            <w:tcW w:w="731" w:type="pct"/>
            <w:vAlign w:val="center"/>
          </w:tcPr>
          <w:p w14:paraId="4861E37F">
            <w:pPr>
              <w:widowControl/>
              <w:spacing w:line="360" w:lineRule="exact"/>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101" w:type="pct"/>
            <w:vAlign w:val="center"/>
          </w:tcPr>
          <w:p w14:paraId="2B343C11">
            <w:pPr>
              <w:pStyle w:val="641"/>
              <w:spacing w:line="360" w:lineRule="exact"/>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气相色谱质谱联用仪岛津GCMS-QP2010SE（ALJC-SN-034）</w:t>
            </w:r>
          </w:p>
        </w:tc>
      </w:tr>
    </w:tbl>
    <w:p w14:paraId="55388D1F">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4、监测结果及分析</w:t>
      </w:r>
    </w:p>
    <w:p w14:paraId="49644129">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表4.6-3土壤理化性质检测结果统计表</w:t>
      </w:r>
    </w:p>
    <w:tbl>
      <w:tblPr>
        <w:tblStyle w:val="88"/>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284"/>
        <w:gridCol w:w="981"/>
        <w:gridCol w:w="960"/>
        <w:gridCol w:w="4297"/>
      </w:tblGrid>
      <w:tr w14:paraId="5C5E20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342" w:type="pct"/>
            <w:vMerge w:val="restart"/>
            <w:vAlign w:val="center"/>
          </w:tcPr>
          <w:p w14:paraId="31953C26">
            <w:pPr>
              <w:autoSpaceDE w:val="0"/>
              <w:autoSpaceDN w:val="0"/>
              <w:adjustRightInd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监测因子</w:t>
            </w:r>
          </w:p>
        </w:tc>
        <w:tc>
          <w:tcPr>
            <w:tcW w:w="570" w:type="pct"/>
            <w:vMerge w:val="restart"/>
            <w:vAlign w:val="center"/>
          </w:tcPr>
          <w:p w14:paraId="51B1A612">
            <w:pPr>
              <w:autoSpaceDE w:val="0"/>
              <w:autoSpaceDN w:val="0"/>
              <w:adjustRightInd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单位</w:t>
            </w:r>
          </w:p>
        </w:tc>
        <w:tc>
          <w:tcPr>
            <w:tcW w:w="565" w:type="pct"/>
            <w:vMerge w:val="restart"/>
            <w:vAlign w:val="center"/>
          </w:tcPr>
          <w:p w14:paraId="16E74617">
            <w:pPr>
              <w:autoSpaceDE w:val="0"/>
              <w:autoSpaceDN w:val="0"/>
              <w:adjustRightInd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检出限</w:t>
            </w:r>
          </w:p>
        </w:tc>
        <w:tc>
          <w:tcPr>
            <w:tcW w:w="2523" w:type="pct"/>
            <w:vAlign w:val="center"/>
          </w:tcPr>
          <w:p w14:paraId="41E75EFF">
            <w:pPr>
              <w:autoSpaceDE w:val="0"/>
              <w:autoSpaceDN w:val="0"/>
              <w:adjustRightInd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检测结果</w:t>
            </w:r>
          </w:p>
        </w:tc>
      </w:tr>
      <w:tr w14:paraId="6D84FA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342" w:type="pct"/>
            <w:vMerge w:val="continue"/>
            <w:vAlign w:val="center"/>
          </w:tcPr>
          <w:p w14:paraId="60615F98">
            <w:pPr>
              <w:autoSpaceDE w:val="0"/>
              <w:autoSpaceDN w:val="0"/>
              <w:adjustRightInd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570" w:type="pct"/>
            <w:vMerge w:val="continue"/>
            <w:vAlign w:val="center"/>
          </w:tcPr>
          <w:p w14:paraId="07E082C9">
            <w:pPr>
              <w:autoSpaceDE w:val="0"/>
              <w:autoSpaceDN w:val="0"/>
              <w:adjustRightInd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565" w:type="pct"/>
            <w:vMerge w:val="continue"/>
            <w:vAlign w:val="center"/>
          </w:tcPr>
          <w:p w14:paraId="53FAFE43">
            <w:pPr>
              <w:autoSpaceDE w:val="0"/>
              <w:autoSpaceDN w:val="0"/>
              <w:adjustRightInd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2523" w:type="pct"/>
            <w:vAlign w:val="center"/>
          </w:tcPr>
          <w:p w14:paraId="14A83FAB">
            <w:pPr>
              <w:autoSpaceDE w:val="0"/>
              <w:autoSpaceDN w:val="0"/>
              <w:adjustRightInd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2024.05.17</w:t>
            </w:r>
          </w:p>
        </w:tc>
      </w:tr>
      <w:tr w14:paraId="398106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342" w:type="pct"/>
            <w:vMerge w:val="continue"/>
            <w:vAlign w:val="center"/>
          </w:tcPr>
          <w:p w14:paraId="5A9C472F">
            <w:pPr>
              <w:autoSpaceDE w:val="0"/>
              <w:autoSpaceDN w:val="0"/>
              <w:adjustRightInd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570" w:type="pct"/>
            <w:vMerge w:val="continue"/>
            <w:vAlign w:val="center"/>
          </w:tcPr>
          <w:p w14:paraId="47D5A179">
            <w:pPr>
              <w:autoSpaceDE w:val="0"/>
              <w:autoSpaceDN w:val="0"/>
              <w:adjustRightInd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565" w:type="pct"/>
            <w:vMerge w:val="continue"/>
            <w:vAlign w:val="center"/>
          </w:tcPr>
          <w:p w14:paraId="28ADD515">
            <w:pPr>
              <w:autoSpaceDE w:val="0"/>
              <w:autoSpaceDN w:val="0"/>
              <w:adjustRightInd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2523" w:type="pct"/>
            <w:vAlign w:val="center"/>
          </w:tcPr>
          <w:p w14:paraId="190BD288">
            <w:pPr>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T</w:t>
            </w:r>
            <w:r>
              <w:rPr>
                <w:rFonts w:hint="default" w:ascii="Times New Roman" w:hAnsi="Times New Roman" w:cs="Times New Roman"/>
                <w:b/>
                <w:color w:val="000000" w:themeColor="text1"/>
                <w:sz w:val="21"/>
                <w:szCs w:val="21"/>
                <w:vertAlign w:val="subscript"/>
                <w14:textFill>
                  <w14:solidFill>
                    <w14:schemeClr w14:val="tx1"/>
                  </w14:solidFill>
                </w14:textFill>
              </w:rPr>
              <w:t>2</w:t>
            </w:r>
          </w:p>
        </w:tc>
      </w:tr>
      <w:tr w14:paraId="45CFEF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342" w:type="pct"/>
            <w:vAlign w:val="center"/>
          </w:tcPr>
          <w:p w14:paraId="3D30DA28">
            <w:pPr>
              <w:pStyle w:val="641"/>
              <w:spacing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阳离子交换量</w:t>
            </w:r>
          </w:p>
        </w:tc>
        <w:tc>
          <w:tcPr>
            <w:tcW w:w="570" w:type="pct"/>
            <w:vAlign w:val="center"/>
          </w:tcPr>
          <w:p w14:paraId="0B7108C1">
            <w:pPr>
              <w:pStyle w:val="641"/>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cmol</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/kg</w:t>
            </w:r>
          </w:p>
        </w:tc>
        <w:tc>
          <w:tcPr>
            <w:tcW w:w="565" w:type="pct"/>
            <w:vAlign w:val="center"/>
          </w:tcPr>
          <w:p w14:paraId="52234D69">
            <w:pPr>
              <w:pStyle w:val="641"/>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0.8</w:t>
            </w:r>
          </w:p>
        </w:tc>
        <w:tc>
          <w:tcPr>
            <w:tcW w:w="2523" w:type="pct"/>
            <w:vAlign w:val="center"/>
          </w:tcPr>
          <w:p w14:paraId="15D03E27">
            <w:pPr>
              <w:autoSpaceDE w:val="0"/>
              <w:autoSpaceDN w:val="0"/>
              <w:adjustRightInd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3.6</w:t>
            </w:r>
          </w:p>
        </w:tc>
      </w:tr>
      <w:tr w14:paraId="7FC88C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342" w:type="pct"/>
            <w:vAlign w:val="center"/>
          </w:tcPr>
          <w:p w14:paraId="48B4D96C">
            <w:pPr>
              <w:pStyle w:val="641"/>
              <w:spacing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氧化还原电位</w:t>
            </w:r>
          </w:p>
        </w:tc>
        <w:tc>
          <w:tcPr>
            <w:tcW w:w="570" w:type="pct"/>
            <w:vAlign w:val="center"/>
          </w:tcPr>
          <w:p w14:paraId="2D28ECD2">
            <w:pPr>
              <w:pStyle w:val="641"/>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mV</w:t>
            </w:r>
          </w:p>
        </w:tc>
        <w:tc>
          <w:tcPr>
            <w:tcW w:w="565" w:type="pct"/>
            <w:vAlign w:val="center"/>
          </w:tcPr>
          <w:p w14:paraId="58EA8D5F">
            <w:pPr>
              <w:pStyle w:val="641"/>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2523" w:type="pct"/>
            <w:vAlign w:val="center"/>
          </w:tcPr>
          <w:p w14:paraId="097BFD4E">
            <w:pPr>
              <w:autoSpaceDE w:val="0"/>
              <w:autoSpaceDN w:val="0"/>
              <w:adjustRightInd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353</w:t>
            </w:r>
          </w:p>
        </w:tc>
      </w:tr>
      <w:tr w14:paraId="182B30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342" w:type="pct"/>
            <w:vAlign w:val="center"/>
          </w:tcPr>
          <w:p w14:paraId="1A34C8AC">
            <w:pPr>
              <w:pStyle w:val="641"/>
              <w:spacing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渗滤系数（饱和导水率）</w:t>
            </w:r>
          </w:p>
        </w:tc>
        <w:tc>
          <w:tcPr>
            <w:tcW w:w="570" w:type="pct"/>
            <w:vAlign w:val="center"/>
          </w:tcPr>
          <w:p w14:paraId="5E7C82DC">
            <w:pPr>
              <w:pStyle w:val="641"/>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mm/min</w:t>
            </w:r>
          </w:p>
        </w:tc>
        <w:tc>
          <w:tcPr>
            <w:tcW w:w="565" w:type="pct"/>
            <w:vAlign w:val="center"/>
          </w:tcPr>
          <w:p w14:paraId="65446210">
            <w:pPr>
              <w:pStyle w:val="641"/>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2523" w:type="pct"/>
            <w:vAlign w:val="center"/>
          </w:tcPr>
          <w:p w14:paraId="1FEBBFAF">
            <w:pPr>
              <w:autoSpaceDE w:val="0"/>
              <w:autoSpaceDN w:val="0"/>
              <w:adjustRightInd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0.46</w:t>
            </w:r>
          </w:p>
        </w:tc>
      </w:tr>
      <w:tr w14:paraId="78DE00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83" w:hRule="atLeast"/>
          <w:jc w:val="center"/>
        </w:trPr>
        <w:tc>
          <w:tcPr>
            <w:tcW w:w="1342" w:type="pct"/>
            <w:vAlign w:val="center"/>
          </w:tcPr>
          <w:p w14:paraId="493F30D7">
            <w:pPr>
              <w:pStyle w:val="641"/>
              <w:spacing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土壤容重</w:t>
            </w:r>
          </w:p>
        </w:tc>
        <w:tc>
          <w:tcPr>
            <w:tcW w:w="570" w:type="pct"/>
            <w:vAlign w:val="center"/>
          </w:tcPr>
          <w:p w14:paraId="44900B6B">
            <w:pPr>
              <w:pStyle w:val="641"/>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g/cm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p>
        </w:tc>
        <w:tc>
          <w:tcPr>
            <w:tcW w:w="565" w:type="pct"/>
            <w:vAlign w:val="center"/>
          </w:tcPr>
          <w:p w14:paraId="77A6C08E">
            <w:pPr>
              <w:pStyle w:val="641"/>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2523" w:type="pct"/>
            <w:vAlign w:val="center"/>
          </w:tcPr>
          <w:p w14:paraId="2E341A3E">
            <w:pPr>
              <w:autoSpaceDE w:val="0"/>
              <w:autoSpaceDN w:val="0"/>
              <w:adjustRightInd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1.14</w:t>
            </w:r>
          </w:p>
        </w:tc>
      </w:tr>
      <w:tr w14:paraId="2EBAC1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342" w:type="pct"/>
            <w:vAlign w:val="center"/>
          </w:tcPr>
          <w:p w14:paraId="73D48A57">
            <w:pPr>
              <w:pStyle w:val="641"/>
              <w:spacing w:line="276"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土壤孔隙度（总孔隙度）</w:t>
            </w:r>
          </w:p>
        </w:tc>
        <w:tc>
          <w:tcPr>
            <w:tcW w:w="570" w:type="pct"/>
            <w:vAlign w:val="center"/>
          </w:tcPr>
          <w:p w14:paraId="44B38FDD">
            <w:pPr>
              <w:pStyle w:val="641"/>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565" w:type="pct"/>
            <w:vAlign w:val="center"/>
          </w:tcPr>
          <w:p w14:paraId="32670B2C">
            <w:pPr>
              <w:pStyle w:val="641"/>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2523" w:type="pct"/>
            <w:vAlign w:val="center"/>
          </w:tcPr>
          <w:p w14:paraId="059C55AD">
            <w:pPr>
              <w:autoSpaceDE w:val="0"/>
              <w:autoSpaceDN w:val="0"/>
              <w:adjustRightInd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44</w:t>
            </w:r>
          </w:p>
        </w:tc>
      </w:tr>
    </w:tbl>
    <w:p w14:paraId="2DBF944D">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表4.6-4土壤监测结果统计表</w:t>
      </w:r>
    </w:p>
    <w:tbl>
      <w:tblPr>
        <w:tblStyle w:val="88"/>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304"/>
        <w:gridCol w:w="1433"/>
        <w:gridCol w:w="1268"/>
        <w:gridCol w:w="1423"/>
        <w:gridCol w:w="1070"/>
        <w:gridCol w:w="1021"/>
      </w:tblGrid>
      <w:tr w14:paraId="243DFF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Merge w:val="restart"/>
            <w:vAlign w:val="center"/>
          </w:tcPr>
          <w:p w14:paraId="5C64522D">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监测因子</w:t>
            </w:r>
          </w:p>
        </w:tc>
        <w:tc>
          <w:tcPr>
            <w:tcW w:w="841" w:type="pct"/>
            <w:vMerge w:val="restart"/>
            <w:vAlign w:val="center"/>
          </w:tcPr>
          <w:p w14:paraId="0B88E30D">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单位</w:t>
            </w:r>
          </w:p>
        </w:tc>
        <w:tc>
          <w:tcPr>
            <w:tcW w:w="744" w:type="pct"/>
            <w:vMerge w:val="restart"/>
            <w:vAlign w:val="center"/>
          </w:tcPr>
          <w:p w14:paraId="362F3922">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检出限</w:t>
            </w:r>
          </w:p>
        </w:tc>
        <w:tc>
          <w:tcPr>
            <w:tcW w:w="2060" w:type="pct"/>
            <w:gridSpan w:val="3"/>
            <w:shd w:val="clear" w:color="auto" w:fill="auto"/>
            <w:vAlign w:val="center"/>
          </w:tcPr>
          <w:p w14:paraId="4FA7C515">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检测结果</w:t>
            </w:r>
          </w:p>
        </w:tc>
      </w:tr>
      <w:tr w14:paraId="609517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Merge w:val="continue"/>
            <w:vAlign w:val="center"/>
          </w:tcPr>
          <w:p w14:paraId="07FF43F8">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841" w:type="pct"/>
            <w:vMerge w:val="continue"/>
            <w:vAlign w:val="center"/>
          </w:tcPr>
          <w:p w14:paraId="7DC40971">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744" w:type="pct"/>
            <w:vMerge w:val="continue"/>
            <w:vAlign w:val="center"/>
          </w:tcPr>
          <w:p w14:paraId="5D059AB5">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2060" w:type="pct"/>
            <w:gridSpan w:val="3"/>
            <w:shd w:val="clear" w:color="auto" w:fill="auto"/>
            <w:vAlign w:val="center"/>
          </w:tcPr>
          <w:p w14:paraId="33BA1CFE">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2024.05.17</w:t>
            </w:r>
          </w:p>
        </w:tc>
      </w:tr>
      <w:tr w14:paraId="6F619B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Merge w:val="continue"/>
            <w:vAlign w:val="center"/>
          </w:tcPr>
          <w:p w14:paraId="5C1D9243">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841" w:type="pct"/>
            <w:vMerge w:val="continue"/>
            <w:vAlign w:val="center"/>
          </w:tcPr>
          <w:p w14:paraId="24588875">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744" w:type="pct"/>
            <w:vMerge w:val="continue"/>
            <w:vAlign w:val="center"/>
          </w:tcPr>
          <w:p w14:paraId="0E52D689">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p>
        </w:tc>
        <w:tc>
          <w:tcPr>
            <w:tcW w:w="835" w:type="pct"/>
            <w:vAlign w:val="center"/>
          </w:tcPr>
          <w:p w14:paraId="77490E34">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T</w:t>
            </w:r>
            <w:r>
              <w:rPr>
                <w:rFonts w:hint="default" w:ascii="Times New Roman" w:hAnsi="Times New Roman" w:cs="Times New Roman"/>
                <w:b/>
                <w:color w:val="000000" w:themeColor="text1"/>
                <w:sz w:val="21"/>
                <w:szCs w:val="21"/>
                <w:vertAlign w:val="subscript"/>
                <w14:textFill>
                  <w14:solidFill>
                    <w14:schemeClr w14:val="tx1"/>
                  </w14:solidFill>
                </w14:textFill>
              </w:rPr>
              <w:t>2</w:t>
            </w:r>
          </w:p>
        </w:tc>
        <w:tc>
          <w:tcPr>
            <w:tcW w:w="628" w:type="pct"/>
            <w:vAlign w:val="center"/>
          </w:tcPr>
          <w:p w14:paraId="7D66CD52">
            <w:pPr>
              <w:autoSpaceDE w:val="0"/>
              <w:autoSpaceDN w:val="0"/>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T</w:t>
            </w:r>
            <w:r>
              <w:rPr>
                <w:rFonts w:hint="default" w:ascii="Times New Roman" w:hAnsi="Times New Roman" w:cs="Times New Roman"/>
                <w:b/>
                <w:color w:val="000000" w:themeColor="text1"/>
                <w:sz w:val="21"/>
                <w:szCs w:val="21"/>
                <w:vertAlign w:val="subscript"/>
                <w14:textFill>
                  <w14:solidFill>
                    <w14:schemeClr w14:val="tx1"/>
                  </w14:solidFill>
                </w14:textFill>
              </w:rPr>
              <w:t>3</w:t>
            </w:r>
          </w:p>
        </w:tc>
        <w:tc>
          <w:tcPr>
            <w:tcW w:w="597" w:type="pct"/>
            <w:vAlign w:val="center"/>
          </w:tcPr>
          <w:p w14:paraId="3D475885">
            <w:pPr>
              <w:autoSpaceDE w:val="0"/>
              <w:autoSpaceDN w:val="0"/>
              <w:spacing w:line="276" w:lineRule="auto"/>
              <w:jc w:val="center"/>
              <w:textAlignment w:val="center"/>
              <w:rPr>
                <w:rFonts w:hint="eastAsia" w:ascii="Times New Roman" w:hAnsi="Times New Roman" w:eastAsia="宋体" w:cs="Times New Roman"/>
                <w:b/>
                <w:color w:val="000000" w:themeColor="text1"/>
                <w:sz w:val="21"/>
                <w:szCs w:val="21"/>
                <w:lang w:eastAsia="zh-CN"/>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T</w:t>
            </w:r>
            <w:r>
              <w:rPr>
                <w:rFonts w:hint="eastAsia" w:cs="Times New Roman"/>
                <w:b/>
                <w:color w:val="000000" w:themeColor="text1"/>
                <w:sz w:val="21"/>
                <w:szCs w:val="21"/>
                <w:vertAlign w:val="subscript"/>
                <w:lang w:val="en-US" w:eastAsia="zh-CN"/>
                <w14:textFill>
                  <w14:solidFill>
                    <w14:schemeClr w14:val="tx1"/>
                  </w14:solidFill>
                </w14:textFill>
              </w:rPr>
              <w:t>5</w:t>
            </w:r>
          </w:p>
        </w:tc>
      </w:tr>
      <w:tr w14:paraId="49EE40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1366D2BE">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pH</w:t>
            </w:r>
          </w:p>
        </w:tc>
        <w:tc>
          <w:tcPr>
            <w:tcW w:w="841" w:type="pct"/>
            <w:vAlign w:val="center"/>
          </w:tcPr>
          <w:p w14:paraId="6CE83A67">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无量纲</w:t>
            </w:r>
          </w:p>
        </w:tc>
        <w:tc>
          <w:tcPr>
            <w:tcW w:w="744" w:type="pct"/>
            <w:vAlign w:val="center"/>
          </w:tcPr>
          <w:p w14:paraId="65CD99E6">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0.01</w:t>
            </w:r>
          </w:p>
        </w:tc>
        <w:tc>
          <w:tcPr>
            <w:tcW w:w="835" w:type="pct"/>
            <w:vAlign w:val="center"/>
          </w:tcPr>
          <w:p w14:paraId="27C14F71">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6.92</w:t>
            </w:r>
          </w:p>
        </w:tc>
        <w:tc>
          <w:tcPr>
            <w:tcW w:w="628" w:type="pct"/>
            <w:vAlign w:val="center"/>
          </w:tcPr>
          <w:p w14:paraId="2B17DADA">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6.85</w:t>
            </w:r>
          </w:p>
        </w:tc>
        <w:tc>
          <w:tcPr>
            <w:tcW w:w="597" w:type="pct"/>
            <w:shd w:val="clear" w:color="auto" w:fill="auto"/>
            <w:vAlign w:val="center"/>
          </w:tcPr>
          <w:p w14:paraId="71190C22">
            <w:pPr>
              <w:autoSpaceDE w:val="0"/>
              <w:autoSpaceDN w:val="0"/>
              <w:spacing w:line="276"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7.14</w:t>
            </w:r>
          </w:p>
        </w:tc>
      </w:tr>
      <w:tr w14:paraId="195D09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5101CFA5">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铜</w:t>
            </w:r>
          </w:p>
        </w:tc>
        <w:tc>
          <w:tcPr>
            <w:tcW w:w="841" w:type="pct"/>
            <w:vAlign w:val="center"/>
          </w:tcPr>
          <w:p w14:paraId="704D1E40">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6BE85D3B">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835" w:type="pct"/>
            <w:vAlign w:val="center"/>
          </w:tcPr>
          <w:p w14:paraId="3657A9AD">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42</w:t>
            </w:r>
          </w:p>
        </w:tc>
        <w:tc>
          <w:tcPr>
            <w:tcW w:w="628" w:type="pct"/>
            <w:vAlign w:val="center"/>
          </w:tcPr>
          <w:p w14:paraId="6B7AE522">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52</w:t>
            </w:r>
          </w:p>
        </w:tc>
        <w:tc>
          <w:tcPr>
            <w:tcW w:w="597" w:type="pct"/>
            <w:shd w:val="clear" w:color="auto" w:fill="auto"/>
            <w:vAlign w:val="center"/>
          </w:tcPr>
          <w:p w14:paraId="1A65C097">
            <w:pPr>
              <w:autoSpaceDE w:val="0"/>
              <w:autoSpaceDN w:val="0"/>
              <w:spacing w:line="276"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22</w:t>
            </w:r>
          </w:p>
        </w:tc>
      </w:tr>
      <w:tr w14:paraId="5198C9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2755E492">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镍</w:t>
            </w:r>
          </w:p>
        </w:tc>
        <w:tc>
          <w:tcPr>
            <w:tcW w:w="841" w:type="pct"/>
            <w:vAlign w:val="center"/>
          </w:tcPr>
          <w:p w14:paraId="6EE61257">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mg/kg</w:t>
            </w:r>
          </w:p>
        </w:tc>
        <w:tc>
          <w:tcPr>
            <w:tcW w:w="744" w:type="pct"/>
            <w:vAlign w:val="center"/>
          </w:tcPr>
          <w:p w14:paraId="4C06C595">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835" w:type="pct"/>
            <w:vAlign w:val="center"/>
          </w:tcPr>
          <w:p w14:paraId="66FC1F27">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39</w:t>
            </w:r>
          </w:p>
        </w:tc>
        <w:tc>
          <w:tcPr>
            <w:tcW w:w="628" w:type="pct"/>
            <w:vAlign w:val="center"/>
          </w:tcPr>
          <w:p w14:paraId="551C3646">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44</w:t>
            </w:r>
          </w:p>
        </w:tc>
        <w:tc>
          <w:tcPr>
            <w:tcW w:w="597" w:type="pct"/>
            <w:shd w:val="clear" w:color="auto" w:fill="auto"/>
            <w:vAlign w:val="center"/>
          </w:tcPr>
          <w:p w14:paraId="5B633E39">
            <w:pPr>
              <w:autoSpaceDE w:val="0"/>
              <w:autoSpaceDN w:val="0"/>
              <w:spacing w:line="276"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39</w:t>
            </w:r>
          </w:p>
        </w:tc>
      </w:tr>
      <w:tr w14:paraId="2F83C3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52623026">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铅</w:t>
            </w:r>
          </w:p>
        </w:tc>
        <w:tc>
          <w:tcPr>
            <w:tcW w:w="841" w:type="pct"/>
            <w:vAlign w:val="center"/>
          </w:tcPr>
          <w:p w14:paraId="785D7769">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1A413E7D">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10</w:t>
            </w:r>
          </w:p>
        </w:tc>
        <w:tc>
          <w:tcPr>
            <w:tcW w:w="835" w:type="pct"/>
            <w:vAlign w:val="center"/>
          </w:tcPr>
          <w:p w14:paraId="5BB7B3B6">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22</w:t>
            </w:r>
          </w:p>
        </w:tc>
        <w:tc>
          <w:tcPr>
            <w:tcW w:w="628" w:type="pct"/>
            <w:vAlign w:val="center"/>
          </w:tcPr>
          <w:p w14:paraId="4243E6C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31</w:t>
            </w:r>
          </w:p>
        </w:tc>
        <w:tc>
          <w:tcPr>
            <w:tcW w:w="597" w:type="pct"/>
            <w:shd w:val="clear" w:color="auto" w:fill="auto"/>
            <w:vAlign w:val="center"/>
          </w:tcPr>
          <w:p w14:paraId="2A8ADCF9">
            <w:pPr>
              <w:spacing w:line="276"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31</w:t>
            </w:r>
          </w:p>
        </w:tc>
      </w:tr>
      <w:tr w14:paraId="5830FB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1689919B">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镉</w:t>
            </w:r>
          </w:p>
        </w:tc>
        <w:tc>
          <w:tcPr>
            <w:tcW w:w="841" w:type="pct"/>
            <w:vAlign w:val="center"/>
          </w:tcPr>
          <w:p w14:paraId="61906FAB">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5E6C78B8">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0.01</w:t>
            </w:r>
          </w:p>
        </w:tc>
        <w:tc>
          <w:tcPr>
            <w:tcW w:w="835" w:type="pct"/>
            <w:vAlign w:val="center"/>
          </w:tcPr>
          <w:p w14:paraId="39526621">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0.28</w:t>
            </w:r>
          </w:p>
        </w:tc>
        <w:tc>
          <w:tcPr>
            <w:tcW w:w="628" w:type="pct"/>
            <w:vAlign w:val="center"/>
          </w:tcPr>
          <w:p w14:paraId="7FB7485A">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0.26</w:t>
            </w:r>
          </w:p>
        </w:tc>
        <w:tc>
          <w:tcPr>
            <w:tcW w:w="597" w:type="pct"/>
            <w:shd w:val="clear" w:color="auto" w:fill="auto"/>
            <w:vAlign w:val="center"/>
          </w:tcPr>
          <w:p w14:paraId="7C5FCCEF">
            <w:pPr>
              <w:spacing w:line="276"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0.25</w:t>
            </w:r>
          </w:p>
        </w:tc>
      </w:tr>
      <w:tr w14:paraId="2F01A5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7FAA1C2D">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砷</w:t>
            </w:r>
          </w:p>
        </w:tc>
        <w:tc>
          <w:tcPr>
            <w:tcW w:w="841" w:type="pct"/>
            <w:vAlign w:val="center"/>
          </w:tcPr>
          <w:p w14:paraId="69603529">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3259B4DB">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0.01</w:t>
            </w:r>
          </w:p>
        </w:tc>
        <w:tc>
          <w:tcPr>
            <w:tcW w:w="835" w:type="pct"/>
            <w:vAlign w:val="center"/>
          </w:tcPr>
          <w:p w14:paraId="3EB53EB0">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4.36</w:t>
            </w:r>
          </w:p>
        </w:tc>
        <w:tc>
          <w:tcPr>
            <w:tcW w:w="628" w:type="pct"/>
            <w:vAlign w:val="center"/>
          </w:tcPr>
          <w:p w14:paraId="491EC258">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4.96</w:t>
            </w:r>
          </w:p>
        </w:tc>
        <w:tc>
          <w:tcPr>
            <w:tcW w:w="597" w:type="pct"/>
            <w:shd w:val="clear" w:color="auto" w:fill="auto"/>
            <w:vAlign w:val="center"/>
          </w:tcPr>
          <w:p w14:paraId="105CB2DA">
            <w:pPr>
              <w:spacing w:line="276"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4.71</w:t>
            </w:r>
          </w:p>
        </w:tc>
      </w:tr>
      <w:tr w14:paraId="056054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1A676E7E">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汞</w:t>
            </w:r>
          </w:p>
        </w:tc>
        <w:tc>
          <w:tcPr>
            <w:tcW w:w="841" w:type="pct"/>
            <w:vAlign w:val="center"/>
          </w:tcPr>
          <w:p w14:paraId="1DB9E8F1">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4017FF22">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0.002</w:t>
            </w:r>
          </w:p>
        </w:tc>
        <w:tc>
          <w:tcPr>
            <w:tcW w:w="835" w:type="pct"/>
            <w:vAlign w:val="center"/>
          </w:tcPr>
          <w:p w14:paraId="5AA9FA4A">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0.134</w:t>
            </w:r>
          </w:p>
        </w:tc>
        <w:tc>
          <w:tcPr>
            <w:tcW w:w="628" w:type="pct"/>
            <w:vAlign w:val="center"/>
          </w:tcPr>
          <w:p w14:paraId="5F736125">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0.067</w:t>
            </w:r>
          </w:p>
        </w:tc>
        <w:tc>
          <w:tcPr>
            <w:tcW w:w="597" w:type="pct"/>
            <w:shd w:val="clear" w:color="auto" w:fill="auto"/>
            <w:vAlign w:val="center"/>
          </w:tcPr>
          <w:p w14:paraId="1FF5AF98">
            <w:pPr>
              <w:spacing w:line="276"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0.095</w:t>
            </w:r>
          </w:p>
        </w:tc>
      </w:tr>
      <w:tr w14:paraId="39BAAF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335B793D">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六价铬</w:t>
            </w:r>
          </w:p>
        </w:tc>
        <w:tc>
          <w:tcPr>
            <w:tcW w:w="841" w:type="pct"/>
            <w:vAlign w:val="center"/>
          </w:tcPr>
          <w:p w14:paraId="4339F2E7">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0AABCE02">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0.5</w:t>
            </w:r>
          </w:p>
        </w:tc>
        <w:tc>
          <w:tcPr>
            <w:tcW w:w="835" w:type="pct"/>
            <w:vAlign w:val="center"/>
          </w:tcPr>
          <w:p w14:paraId="00E363F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516D82D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shd w:val="clear" w:color="auto" w:fill="auto"/>
            <w:vAlign w:val="center"/>
          </w:tcPr>
          <w:p w14:paraId="67A9CD76">
            <w:pPr>
              <w:pStyle w:val="641"/>
              <w:adjustRightInd/>
              <w:spacing w:line="276" w:lineRule="auto"/>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6CCBCC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000" w:type="pct"/>
            <w:gridSpan w:val="6"/>
            <w:vAlign w:val="center"/>
          </w:tcPr>
          <w:p w14:paraId="0188FB9D">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挥发性有机物（27种）</w:t>
            </w:r>
          </w:p>
        </w:tc>
      </w:tr>
      <w:tr w14:paraId="3DE3ED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1A00808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四氯化碳</w:t>
            </w:r>
          </w:p>
        </w:tc>
        <w:tc>
          <w:tcPr>
            <w:tcW w:w="841" w:type="pct"/>
            <w:vAlign w:val="center"/>
          </w:tcPr>
          <w:p w14:paraId="01A0A4D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695625D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1.3</w:t>
            </w:r>
          </w:p>
        </w:tc>
        <w:tc>
          <w:tcPr>
            <w:tcW w:w="835" w:type="pct"/>
            <w:vAlign w:val="center"/>
          </w:tcPr>
          <w:p w14:paraId="61F0766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1779280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692C582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3DFBF4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40E539F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氯仿</w:t>
            </w:r>
          </w:p>
        </w:tc>
        <w:tc>
          <w:tcPr>
            <w:tcW w:w="841" w:type="pct"/>
            <w:vAlign w:val="center"/>
          </w:tcPr>
          <w:p w14:paraId="7E8D204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3D869E7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w:t>
            </w:r>
          </w:p>
        </w:tc>
        <w:tc>
          <w:tcPr>
            <w:tcW w:w="835" w:type="pct"/>
            <w:vAlign w:val="center"/>
          </w:tcPr>
          <w:p w14:paraId="3B83053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1A962D0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38CA312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6AFB16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780934A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氯甲烷</w:t>
            </w:r>
          </w:p>
        </w:tc>
        <w:tc>
          <w:tcPr>
            <w:tcW w:w="841" w:type="pct"/>
            <w:vAlign w:val="center"/>
          </w:tcPr>
          <w:p w14:paraId="0FAC6DF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578DF31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c>
          <w:tcPr>
            <w:tcW w:w="835" w:type="pct"/>
            <w:vAlign w:val="center"/>
          </w:tcPr>
          <w:p w14:paraId="2F560E5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0F525C8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4849834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704C64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12AB853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1,1-二氯乙烷</w:t>
            </w:r>
          </w:p>
        </w:tc>
        <w:tc>
          <w:tcPr>
            <w:tcW w:w="841" w:type="pct"/>
            <w:vAlign w:val="center"/>
          </w:tcPr>
          <w:p w14:paraId="021AEBD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5F54638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835" w:type="pct"/>
            <w:vAlign w:val="center"/>
          </w:tcPr>
          <w:p w14:paraId="46A1B2B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29DBCFB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7097D29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5D259A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393D5CD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1,2-二氯乙烷</w:t>
            </w:r>
          </w:p>
        </w:tc>
        <w:tc>
          <w:tcPr>
            <w:tcW w:w="841" w:type="pct"/>
            <w:vAlign w:val="center"/>
          </w:tcPr>
          <w:p w14:paraId="3C0BCA4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102755B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1.3</w:t>
            </w:r>
          </w:p>
        </w:tc>
        <w:tc>
          <w:tcPr>
            <w:tcW w:w="835" w:type="pct"/>
            <w:vAlign w:val="center"/>
          </w:tcPr>
          <w:p w14:paraId="730A0FC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56BB30E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41E6A71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34CCF4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016202A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1,1-二氯乙烯</w:t>
            </w:r>
          </w:p>
        </w:tc>
        <w:tc>
          <w:tcPr>
            <w:tcW w:w="841" w:type="pct"/>
            <w:vAlign w:val="center"/>
          </w:tcPr>
          <w:p w14:paraId="7023275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386FE11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c>
          <w:tcPr>
            <w:tcW w:w="835" w:type="pct"/>
            <w:vAlign w:val="center"/>
          </w:tcPr>
          <w:p w14:paraId="284248E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371BFD7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7CAA90D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2109BB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555A098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顺式-1,2-二氯乙烯</w:t>
            </w:r>
          </w:p>
        </w:tc>
        <w:tc>
          <w:tcPr>
            <w:tcW w:w="841" w:type="pct"/>
            <w:vAlign w:val="center"/>
          </w:tcPr>
          <w:p w14:paraId="3024957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6AD6664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1.3</w:t>
            </w:r>
          </w:p>
        </w:tc>
        <w:tc>
          <w:tcPr>
            <w:tcW w:w="835" w:type="pct"/>
            <w:vAlign w:val="center"/>
          </w:tcPr>
          <w:p w14:paraId="1AE7C6B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3E4B3C7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41F3589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482AC2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1203FD2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反式-1,2-二氯乙烯</w:t>
            </w:r>
          </w:p>
        </w:tc>
        <w:tc>
          <w:tcPr>
            <w:tcW w:w="841" w:type="pct"/>
            <w:vAlign w:val="center"/>
          </w:tcPr>
          <w:p w14:paraId="3CEEB80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236F5F0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1.4</w:t>
            </w:r>
          </w:p>
        </w:tc>
        <w:tc>
          <w:tcPr>
            <w:tcW w:w="835" w:type="pct"/>
            <w:vAlign w:val="center"/>
          </w:tcPr>
          <w:p w14:paraId="4B1F228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0B94BFC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6465A86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7C630A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6DCEBD1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二氯甲烷</w:t>
            </w:r>
          </w:p>
        </w:tc>
        <w:tc>
          <w:tcPr>
            <w:tcW w:w="841" w:type="pct"/>
            <w:vAlign w:val="center"/>
          </w:tcPr>
          <w:p w14:paraId="4ABAE5C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099E4E6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c>
          <w:tcPr>
            <w:tcW w:w="835" w:type="pct"/>
            <w:vAlign w:val="center"/>
          </w:tcPr>
          <w:p w14:paraId="5DC1A51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2F632B6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18614F3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656E19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41B4A9A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1,2-二氯丙烷</w:t>
            </w:r>
          </w:p>
        </w:tc>
        <w:tc>
          <w:tcPr>
            <w:tcW w:w="841" w:type="pct"/>
            <w:vAlign w:val="center"/>
          </w:tcPr>
          <w:p w14:paraId="76EC744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194345E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w:t>
            </w:r>
          </w:p>
        </w:tc>
        <w:tc>
          <w:tcPr>
            <w:tcW w:w="835" w:type="pct"/>
            <w:vAlign w:val="center"/>
          </w:tcPr>
          <w:p w14:paraId="612BB6A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5F74914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78CD67E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7CEE39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6F5D32C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1,1,1,2-四氯乙烷</w:t>
            </w:r>
          </w:p>
        </w:tc>
        <w:tc>
          <w:tcPr>
            <w:tcW w:w="841" w:type="pct"/>
            <w:vAlign w:val="center"/>
          </w:tcPr>
          <w:p w14:paraId="08D8E6E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41FA738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835" w:type="pct"/>
            <w:vAlign w:val="center"/>
          </w:tcPr>
          <w:p w14:paraId="5D2686D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34020E9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2BFBA2E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1B658F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1D007F6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1,1,2,2-四氯乙烷</w:t>
            </w:r>
          </w:p>
        </w:tc>
        <w:tc>
          <w:tcPr>
            <w:tcW w:w="841" w:type="pct"/>
            <w:vAlign w:val="center"/>
          </w:tcPr>
          <w:p w14:paraId="6198017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1718400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835" w:type="pct"/>
            <w:vAlign w:val="center"/>
          </w:tcPr>
          <w:p w14:paraId="5B0D5D7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0CB7A06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7CCD154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13EBFC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74903F9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四氯乙烯</w:t>
            </w:r>
          </w:p>
        </w:tc>
        <w:tc>
          <w:tcPr>
            <w:tcW w:w="841" w:type="pct"/>
            <w:vAlign w:val="center"/>
          </w:tcPr>
          <w:p w14:paraId="28EDE59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36FA064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1.4</w:t>
            </w:r>
          </w:p>
        </w:tc>
        <w:tc>
          <w:tcPr>
            <w:tcW w:w="835" w:type="pct"/>
            <w:vAlign w:val="center"/>
          </w:tcPr>
          <w:p w14:paraId="2D459CF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6D8AB58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74E53DC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5A2A75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003B0C9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1,1,1-三氯乙烷</w:t>
            </w:r>
          </w:p>
        </w:tc>
        <w:tc>
          <w:tcPr>
            <w:tcW w:w="841" w:type="pct"/>
            <w:vAlign w:val="center"/>
          </w:tcPr>
          <w:p w14:paraId="1B4511E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4B617F3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1.3</w:t>
            </w:r>
          </w:p>
        </w:tc>
        <w:tc>
          <w:tcPr>
            <w:tcW w:w="835" w:type="pct"/>
            <w:vAlign w:val="center"/>
          </w:tcPr>
          <w:p w14:paraId="6182CEE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0783B4B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53D1672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034F48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597F504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1,1,2-三氯乙烷</w:t>
            </w:r>
          </w:p>
        </w:tc>
        <w:tc>
          <w:tcPr>
            <w:tcW w:w="841" w:type="pct"/>
            <w:vAlign w:val="center"/>
          </w:tcPr>
          <w:p w14:paraId="314BEE4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169F598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835" w:type="pct"/>
            <w:vAlign w:val="center"/>
          </w:tcPr>
          <w:p w14:paraId="5A86A0B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0AD6FE0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3FB0398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745A17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0366E8A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三氯乙烯</w:t>
            </w:r>
          </w:p>
        </w:tc>
        <w:tc>
          <w:tcPr>
            <w:tcW w:w="841" w:type="pct"/>
            <w:vAlign w:val="center"/>
          </w:tcPr>
          <w:p w14:paraId="001E046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57B1799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835" w:type="pct"/>
            <w:vAlign w:val="center"/>
          </w:tcPr>
          <w:p w14:paraId="4BD44A4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3A74946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1CCBC17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7C0356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0C4C5AD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1,2,3-三氯丙烷</w:t>
            </w:r>
          </w:p>
        </w:tc>
        <w:tc>
          <w:tcPr>
            <w:tcW w:w="841" w:type="pct"/>
            <w:vAlign w:val="center"/>
          </w:tcPr>
          <w:p w14:paraId="4A16C2F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6E3C0A0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835" w:type="pct"/>
            <w:vAlign w:val="center"/>
          </w:tcPr>
          <w:p w14:paraId="6C065F5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357F0A8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50B144F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413FBE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2AED085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氯乙烯</w:t>
            </w:r>
          </w:p>
        </w:tc>
        <w:tc>
          <w:tcPr>
            <w:tcW w:w="841" w:type="pct"/>
            <w:vAlign w:val="center"/>
          </w:tcPr>
          <w:p w14:paraId="4A5A1D0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546D466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c>
          <w:tcPr>
            <w:tcW w:w="835" w:type="pct"/>
            <w:vAlign w:val="center"/>
          </w:tcPr>
          <w:p w14:paraId="4739AD2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1993271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64611EF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2BD44E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4260F60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苯</w:t>
            </w:r>
          </w:p>
        </w:tc>
        <w:tc>
          <w:tcPr>
            <w:tcW w:w="841" w:type="pct"/>
            <w:vAlign w:val="center"/>
          </w:tcPr>
          <w:p w14:paraId="372BC5D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0347B93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1.9</w:t>
            </w:r>
          </w:p>
        </w:tc>
        <w:tc>
          <w:tcPr>
            <w:tcW w:w="835" w:type="pct"/>
            <w:vAlign w:val="center"/>
          </w:tcPr>
          <w:p w14:paraId="28CAE0C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1AF3A4E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30C4505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339C97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4C18A25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氯苯</w:t>
            </w:r>
          </w:p>
        </w:tc>
        <w:tc>
          <w:tcPr>
            <w:tcW w:w="841" w:type="pct"/>
            <w:vAlign w:val="center"/>
          </w:tcPr>
          <w:p w14:paraId="24D147D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68DA9CA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835" w:type="pct"/>
            <w:vAlign w:val="center"/>
          </w:tcPr>
          <w:p w14:paraId="0E3CEDF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683E76D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217D38B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55DAD7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4D339B9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1,2-二氯苯</w:t>
            </w:r>
          </w:p>
        </w:tc>
        <w:tc>
          <w:tcPr>
            <w:tcW w:w="841" w:type="pct"/>
            <w:vAlign w:val="center"/>
          </w:tcPr>
          <w:p w14:paraId="296F02D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53E4206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c>
          <w:tcPr>
            <w:tcW w:w="835" w:type="pct"/>
            <w:vAlign w:val="center"/>
          </w:tcPr>
          <w:p w14:paraId="007CE05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0432D57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43D165E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3873E6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6C5E66C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1,4-二氯苯</w:t>
            </w:r>
          </w:p>
        </w:tc>
        <w:tc>
          <w:tcPr>
            <w:tcW w:w="841" w:type="pct"/>
            <w:vAlign w:val="center"/>
          </w:tcPr>
          <w:p w14:paraId="304A685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5035A6B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c>
          <w:tcPr>
            <w:tcW w:w="835" w:type="pct"/>
            <w:vAlign w:val="center"/>
          </w:tcPr>
          <w:p w14:paraId="349228A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3E0D888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49D5079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79A17E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3E73BB6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乙苯</w:t>
            </w:r>
          </w:p>
        </w:tc>
        <w:tc>
          <w:tcPr>
            <w:tcW w:w="841" w:type="pct"/>
            <w:vAlign w:val="center"/>
          </w:tcPr>
          <w:p w14:paraId="35AC10D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1A9752A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835" w:type="pct"/>
            <w:vAlign w:val="center"/>
          </w:tcPr>
          <w:p w14:paraId="0DEDAC7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60D7DA1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0D80524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2ECBFC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459E1D4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苯乙烯</w:t>
            </w:r>
          </w:p>
        </w:tc>
        <w:tc>
          <w:tcPr>
            <w:tcW w:w="841" w:type="pct"/>
            <w:vAlign w:val="center"/>
          </w:tcPr>
          <w:p w14:paraId="36F033A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7592B37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w:t>
            </w:r>
          </w:p>
        </w:tc>
        <w:tc>
          <w:tcPr>
            <w:tcW w:w="835" w:type="pct"/>
            <w:vAlign w:val="center"/>
          </w:tcPr>
          <w:p w14:paraId="0A51C00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55CF9A1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5EB8862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450C65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7A82969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甲苯</w:t>
            </w:r>
          </w:p>
        </w:tc>
        <w:tc>
          <w:tcPr>
            <w:tcW w:w="841" w:type="pct"/>
            <w:vAlign w:val="center"/>
          </w:tcPr>
          <w:p w14:paraId="4992284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2AAD264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1.3</w:t>
            </w:r>
          </w:p>
        </w:tc>
        <w:tc>
          <w:tcPr>
            <w:tcW w:w="835" w:type="pct"/>
            <w:vAlign w:val="center"/>
          </w:tcPr>
          <w:p w14:paraId="4A98312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66B4D6F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14142DD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49A7E6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4E74D54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间、对二甲苯</w:t>
            </w:r>
          </w:p>
        </w:tc>
        <w:tc>
          <w:tcPr>
            <w:tcW w:w="841" w:type="pct"/>
            <w:vAlign w:val="center"/>
          </w:tcPr>
          <w:p w14:paraId="2998AAA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34746C2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835" w:type="pct"/>
            <w:vAlign w:val="center"/>
          </w:tcPr>
          <w:p w14:paraId="4AAE45A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125EC36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46EEF04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2CA4AC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7FF6646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邻二甲苯</w:t>
            </w:r>
          </w:p>
        </w:tc>
        <w:tc>
          <w:tcPr>
            <w:tcW w:w="841" w:type="pct"/>
            <w:vAlign w:val="center"/>
          </w:tcPr>
          <w:p w14:paraId="0C79EF1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μg/kg</w:t>
            </w:r>
          </w:p>
        </w:tc>
        <w:tc>
          <w:tcPr>
            <w:tcW w:w="744" w:type="pct"/>
            <w:vAlign w:val="center"/>
          </w:tcPr>
          <w:p w14:paraId="09FC5B9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835" w:type="pct"/>
            <w:vAlign w:val="center"/>
          </w:tcPr>
          <w:p w14:paraId="488775E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2F552A4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18DCE63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537939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000" w:type="pct"/>
            <w:gridSpan w:val="6"/>
            <w:vAlign w:val="center"/>
          </w:tcPr>
          <w:p w14:paraId="583039D4">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半挥发性有机物（11种）</w:t>
            </w:r>
          </w:p>
        </w:tc>
      </w:tr>
      <w:tr w14:paraId="5358FC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252FFCB3">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硝基苯</w:t>
            </w:r>
          </w:p>
        </w:tc>
        <w:tc>
          <w:tcPr>
            <w:tcW w:w="841" w:type="pct"/>
            <w:vAlign w:val="center"/>
          </w:tcPr>
          <w:p w14:paraId="67C55796">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6CC37B54">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0.09</w:t>
            </w:r>
          </w:p>
        </w:tc>
        <w:tc>
          <w:tcPr>
            <w:tcW w:w="835" w:type="pct"/>
            <w:vAlign w:val="center"/>
          </w:tcPr>
          <w:p w14:paraId="2EEEEF0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4C32085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3C47429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03F0D6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7E8C8BAC">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苯胺</w:t>
            </w:r>
          </w:p>
        </w:tc>
        <w:tc>
          <w:tcPr>
            <w:tcW w:w="841" w:type="pct"/>
            <w:vAlign w:val="center"/>
          </w:tcPr>
          <w:p w14:paraId="6F9EEF6D">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062A46A7">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0.1</w:t>
            </w:r>
          </w:p>
        </w:tc>
        <w:tc>
          <w:tcPr>
            <w:tcW w:w="835" w:type="pct"/>
            <w:vAlign w:val="center"/>
          </w:tcPr>
          <w:p w14:paraId="32DA99E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64E2E8C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41BB35A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1E47C9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0EE947CF">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2-氯酚</w:t>
            </w:r>
          </w:p>
        </w:tc>
        <w:tc>
          <w:tcPr>
            <w:tcW w:w="841" w:type="pct"/>
            <w:vAlign w:val="center"/>
          </w:tcPr>
          <w:p w14:paraId="7D4865E4">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46C7591B">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0.06</w:t>
            </w:r>
          </w:p>
        </w:tc>
        <w:tc>
          <w:tcPr>
            <w:tcW w:w="835" w:type="pct"/>
            <w:vAlign w:val="center"/>
          </w:tcPr>
          <w:p w14:paraId="63172B0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5D1C146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4EFBA6E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50BA5E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792ED8FE">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苯并[a]蒽</w:t>
            </w:r>
          </w:p>
        </w:tc>
        <w:tc>
          <w:tcPr>
            <w:tcW w:w="841" w:type="pct"/>
            <w:vAlign w:val="center"/>
          </w:tcPr>
          <w:p w14:paraId="14023E8C">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37FB0B82">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0.1</w:t>
            </w:r>
          </w:p>
        </w:tc>
        <w:tc>
          <w:tcPr>
            <w:tcW w:w="835" w:type="pct"/>
            <w:vAlign w:val="center"/>
          </w:tcPr>
          <w:p w14:paraId="0231AFC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5548FA3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059F96C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625C1D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3C69E091">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苯并[a]芘</w:t>
            </w:r>
          </w:p>
        </w:tc>
        <w:tc>
          <w:tcPr>
            <w:tcW w:w="841" w:type="pct"/>
            <w:vAlign w:val="center"/>
          </w:tcPr>
          <w:p w14:paraId="3C823046">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2A8A7710">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0.1</w:t>
            </w:r>
          </w:p>
        </w:tc>
        <w:tc>
          <w:tcPr>
            <w:tcW w:w="835" w:type="pct"/>
            <w:vAlign w:val="center"/>
          </w:tcPr>
          <w:p w14:paraId="717B03B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4B77A0B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05BB0FE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505796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4F8D8A0A">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苯并[b]荧蒽</w:t>
            </w:r>
          </w:p>
        </w:tc>
        <w:tc>
          <w:tcPr>
            <w:tcW w:w="841" w:type="pct"/>
            <w:vAlign w:val="center"/>
          </w:tcPr>
          <w:p w14:paraId="5E129E96">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4C53DF9F">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0.2</w:t>
            </w:r>
          </w:p>
        </w:tc>
        <w:tc>
          <w:tcPr>
            <w:tcW w:w="835" w:type="pct"/>
            <w:vAlign w:val="center"/>
          </w:tcPr>
          <w:p w14:paraId="6FDCE62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6FBC95E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16E57A3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2CF24C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693F7A21">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苯并[k]荧蒽</w:t>
            </w:r>
          </w:p>
        </w:tc>
        <w:tc>
          <w:tcPr>
            <w:tcW w:w="841" w:type="pct"/>
            <w:vAlign w:val="center"/>
          </w:tcPr>
          <w:p w14:paraId="424EC43B">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74DDB973">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0.1</w:t>
            </w:r>
          </w:p>
        </w:tc>
        <w:tc>
          <w:tcPr>
            <w:tcW w:w="835" w:type="pct"/>
            <w:vAlign w:val="center"/>
          </w:tcPr>
          <w:p w14:paraId="6871BCC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14C699F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47C98F8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198513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3163EFE7">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䓛</w:t>
            </w:r>
          </w:p>
        </w:tc>
        <w:tc>
          <w:tcPr>
            <w:tcW w:w="841" w:type="pct"/>
            <w:vAlign w:val="center"/>
          </w:tcPr>
          <w:p w14:paraId="4B6F9651">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0DC06F52">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0.1</w:t>
            </w:r>
          </w:p>
        </w:tc>
        <w:tc>
          <w:tcPr>
            <w:tcW w:w="835" w:type="pct"/>
            <w:vAlign w:val="center"/>
          </w:tcPr>
          <w:p w14:paraId="1E60B50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79E1165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0749919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34AB31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63346F5F">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二苯并[a,h]蒽</w:t>
            </w:r>
          </w:p>
        </w:tc>
        <w:tc>
          <w:tcPr>
            <w:tcW w:w="841" w:type="pct"/>
            <w:vAlign w:val="center"/>
          </w:tcPr>
          <w:p w14:paraId="2A286A13">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11EF3320">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0.1</w:t>
            </w:r>
          </w:p>
        </w:tc>
        <w:tc>
          <w:tcPr>
            <w:tcW w:w="835" w:type="pct"/>
            <w:vAlign w:val="center"/>
          </w:tcPr>
          <w:p w14:paraId="5E7E4DD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2C85C86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3763180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284FCC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571EC5D6">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茚并[1,2,3-cd]芘</w:t>
            </w:r>
          </w:p>
        </w:tc>
        <w:tc>
          <w:tcPr>
            <w:tcW w:w="841" w:type="pct"/>
            <w:vAlign w:val="center"/>
          </w:tcPr>
          <w:p w14:paraId="221360C5">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25245A2F">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0.1</w:t>
            </w:r>
          </w:p>
        </w:tc>
        <w:tc>
          <w:tcPr>
            <w:tcW w:w="835" w:type="pct"/>
            <w:vAlign w:val="center"/>
          </w:tcPr>
          <w:p w14:paraId="347E201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6141590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464D848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333520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3" w:type="pct"/>
            <w:vAlign w:val="center"/>
          </w:tcPr>
          <w:p w14:paraId="7F35C441">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萘</w:t>
            </w:r>
          </w:p>
        </w:tc>
        <w:tc>
          <w:tcPr>
            <w:tcW w:w="841" w:type="pct"/>
            <w:vAlign w:val="center"/>
          </w:tcPr>
          <w:p w14:paraId="3B15B4D6">
            <w:pPr>
              <w:pStyle w:val="641"/>
              <w:adjustRightInd/>
              <w:spacing w:line="276"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mg/kg</w:t>
            </w:r>
          </w:p>
        </w:tc>
        <w:tc>
          <w:tcPr>
            <w:tcW w:w="744" w:type="pct"/>
            <w:vAlign w:val="center"/>
          </w:tcPr>
          <w:p w14:paraId="61D44348">
            <w:pPr>
              <w:autoSpaceDE w:val="0"/>
              <w:autoSpaceDN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0.09</w:t>
            </w:r>
          </w:p>
        </w:tc>
        <w:tc>
          <w:tcPr>
            <w:tcW w:w="835" w:type="pct"/>
            <w:vAlign w:val="center"/>
          </w:tcPr>
          <w:p w14:paraId="598FBB1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628" w:type="pct"/>
            <w:vAlign w:val="center"/>
          </w:tcPr>
          <w:p w14:paraId="2BFE375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c>
          <w:tcPr>
            <w:tcW w:w="597" w:type="pct"/>
            <w:vAlign w:val="center"/>
          </w:tcPr>
          <w:p w14:paraId="2684A33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ND</w:t>
            </w:r>
          </w:p>
        </w:tc>
      </w:tr>
      <w:tr w14:paraId="3EC8CD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000" w:type="pct"/>
            <w:gridSpan w:val="6"/>
            <w:vAlign w:val="center"/>
          </w:tcPr>
          <w:p w14:paraId="0AD8BF19">
            <w:pPr>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经纬度：T</w:t>
            </w:r>
            <w:r>
              <w:rPr>
                <w:rFonts w:hint="default" w:ascii="Times New Roman" w:hAnsi="Times New Roman" w:cs="Times New Roman"/>
                <w:color w:val="000000" w:themeColor="text1"/>
                <w:sz w:val="21"/>
                <w:szCs w:val="21"/>
                <w:vertAlign w:val="sub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：（E:116.591811；N:32.668012）；T</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：（E:116.591893；N:32.667694）；T</w:t>
            </w:r>
            <w:r>
              <w:rPr>
                <w:rFonts w:hint="eastAsia" w:cs="Times New Roman"/>
                <w:color w:val="000000" w:themeColor="text1"/>
                <w:sz w:val="21"/>
                <w:szCs w:val="21"/>
                <w:vertAlign w:val="subscript"/>
                <w:lang w:val="en-US" w:eastAsia="zh-CN"/>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w:t>
            </w:r>
            <w:r>
              <w:rPr>
                <w:color w:val="000000" w:themeColor="text1"/>
                <w:szCs w:val="21"/>
                <w14:textFill>
                  <w14:solidFill>
                    <w14:schemeClr w14:val="tx1"/>
                  </w14:solidFill>
                </w14:textFill>
              </w:rPr>
              <w:t>E:</w:t>
            </w:r>
            <w:r>
              <w:rPr>
                <w:rFonts w:hint="eastAsia"/>
                <w:color w:val="000000" w:themeColor="text1"/>
                <w:szCs w:val="21"/>
                <w14:textFill>
                  <w14:solidFill>
                    <w14:schemeClr w14:val="tx1"/>
                  </w14:solidFill>
                </w14:textFill>
              </w:rPr>
              <w:t>116.592590</w:t>
            </w:r>
            <w:r>
              <w:rPr>
                <w:color w:val="000000" w:themeColor="text1"/>
                <w:szCs w:val="21"/>
                <w14:textFill>
                  <w14:solidFill>
                    <w14:schemeClr w14:val="tx1"/>
                  </w14:solidFill>
                </w14:textFill>
              </w:rPr>
              <w:t>；N:</w:t>
            </w:r>
            <w:r>
              <w:rPr>
                <w:rFonts w:hint="eastAsia"/>
                <w:color w:val="000000" w:themeColor="text1"/>
                <w:szCs w:val="21"/>
                <w14:textFill>
                  <w14:solidFill>
                    <w14:schemeClr w14:val="tx1"/>
                  </w14:solidFill>
                </w14:textFill>
              </w:rPr>
              <w:t>32.667810</w:t>
            </w:r>
            <w:r>
              <w:rPr>
                <w:rFonts w:hint="default" w:ascii="Times New Roman" w:hAnsi="Times New Roman" w:cs="Times New Roman"/>
                <w:color w:val="000000" w:themeColor="text1"/>
                <w:sz w:val="21"/>
                <w:szCs w:val="21"/>
                <w14:textFill>
                  <w14:solidFill>
                    <w14:schemeClr w14:val="tx1"/>
                  </w14:solidFill>
                </w14:textFill>
              </w:rPr>
              <w:t>）。</w:t>
            </w:r>
          </w:p>
        </w:tc>
      </w:tr>
      <w:tr w14:paraId="4F364F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000" w:type="pct"/>
            <w:gridSpan w:val="6"/>
            <w:vAlign w:val="center"/>
          </w:tcPr>
          <w:p w14:paraId="4C811C4F">
            <w:pPr>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样品描述：T</w:t>
            </w:r>
            <w:r>
              <w:rPr>
                <w:rFonts w:hint="default" w:ascii="Times New Roman" w:hAnsi="Times New Roman" w:cs="Times New Roman"/>
                <w:color w:val="000000" w:themeColor="text1"/>
                <w:sz w:val="21"/>
                <w:szCs w:val="21"/>
                <w:vertAlign w:val="sub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：浅棕、干、砂壤土、无根系；T</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：浅棕、干、砂壤土、无根系；</w:t>
            </w:r>
            <w:r>
              <w:rPr>
                <w:color w:val="000000" w:themeColor="text1"/>
                <w:szCs w:val="21"/>
                <w14:textFill>
                  <w14:solidFill>
                    <w14:schemeClr w14:val="tx1"/>
                  </w14:solidFill>
                </w14:textFill>
              </w:rPr>
              <w:t>T</w:t>
            </w:r>
            <w:r>
              <w:rPr>
                <w:rFonts w:hint="eastAsia"/>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：浅棕、潮、砂壤土、少量根系</w:t>
            </w:r>
            <w:r>
              <w:rPr>
                <w:rFonts w:hint="default" w:ascii="Times New Roman" w:hAnsi="Times New Roman" w:cs="Times New Roman"/>
                <w:color w:val="000000" w:themeColor="text1"/>
                <w:sz w:val="21"/>
                <w:szCs w:val="21"/>
                <w14:textFill>
                  <w14:solidFill>
                    <w14:schemeClr w14:val="tx1"/>
                  </w14:solidFill>
                </w14:textFill>
              </w:rPr>
              <w:t>；</w:t>
            </w:r>
          </w:p>
        </w:tc>
      </w:tr>
      <w:tr w14:paraId="376C77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000" w:type="pct"/>
            <w:gridSpan w:val="6"/>
            <w:vAlign w:val="center"/>
          </w:tcPr>
          <w:p w14:paraId="49B5AE40">
            <w:pPr>
              <w:pStyle w:val="641"/>
              <w:adjustRightInd/>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备注：1、“ND”表示未检出。</w:t>
            </w:r>
          </w:p>
        </w:tc>
      </w:tr>
    </w:tbl>
    <w:p w14:paraId="42967F49">
      <w:pPr>
        <w:spacing w:line="360" w:lineRule="auto"/>
        <w:ind w:firstLine="472" w:firstLineChars="200"/>
        <w:rPr>
          <w:rFonts w:hint="default" w:ascii="Times New Roman" w:hAnsi="Times New Roman" w:cs="Times New Roman"/>
          <w:color w:val="000000" w:themeColor="text1"/>
          <w14:textFill>
            <w14:solidFill>
              <w14:schemeClr w14:val="tx1"/>
            </w14:solidFill>
          </w14:textFill>
        </w:rPr>
        <w:sectPr>
          <w:footerReference r:id="rId11"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000000" w:themeColor="text1"/>
          <w:sz w:val="24"/>
          <w:szCs w:val="24"/>
          <w14:textFill>
            <w14:solidFill>
              <w14:schemeClr w14:val="tx1"/>
            </w14:solidFill>
          </w14:textFill>
        </w:rPr>
        <w:t>根据上述监测结果，项目土壤</w:t>
      </w:r>
      <w:r>
        <w:rPr>
          <w:rFonts w:hint="eastAsia" w:cs="Times New Roman"/>
          <w:color w:val="000000" w:themeColor="text1"/>
          <w:sz w:val="24"/>
          <w:szCs w:val="24"/>
          <w:lang w:val="en-US" w:eastAsia="zh-CN"/>
          <w14:textFill>
            <w14:solidFill>
              <w14:schemeClr w14:val="tx1"/>
            </w14:solidFill>
          </w14:textFill>
        </w:rPr>
        <w:t>各</w:t>
      </w:r>
      <w:r>
        <w:rPr>
          <w:rFonts w:hint="default" w:ascii="Times New Roman" w:hAnsi="Times New Roman" w:cs="Times New Roman"/>
          <w:color w:val="000000" w:themeColor="text1"/>
          <w:sz w:val="24"/>
          <w:szCs w:val="24"/>
          <w14:textFill>
            <w14:solidFill>
              <w14:schemeClr w14:val="tx1"/>
            </w14:solidFill>
          </w14:textFill>
        </w:rPr>
        <w:t>监测点位满足《土壤环境质量建设用地土壤污染风险管控标准》中的第二类用地筛选值，因此，对人体健康的风险可以忽略。</w:t>
      </w:r>
    </w:p>
    <w:p w14:paraId="14675E51">
      <w:pPr>
        <w:pStyle w:val="2855"/>
        <w:rPr>
          <w:rFonts w:hint="default" w:ascii="Times New Roman" w:hAnsi="Times New Roman" w:eastAsia="黑体" w:cs="Times New Roman"/>
          <w:b w:val="0"/>
          <w:color w:val="000000" w:themeColor="text1"/>
          <w14:textFill>
            <w14:solidFill>
              <w14:schemeClr w14:val="tx1"/>
            </w14:solidFill>
          </w14:textFill>
        </w:rPr>
      </w:pPr>
      <w:bookmarkStart w:id="89" w:name="_Toc173837690"/>
      <w:bookmarkStart w:id="90" w:name="_Toc479085384"/>
      <w:bookmarkStart w:id="91" w:name="_Toc109135986"/>
      <w:r>
        <w:rPr>
          <w:rFonts w:hint="default" w:ascii="Times New Roman" w:hAnsi="Times New Roman" w:eastAsia="黑体" w:cs="Times New Roman"/>
          <w:b w:val="0"/>
          <w:color w:val="000000" w:themeColor="text1"/>
          <w14:textFill>
            <w14:solidFill>
              <w14:schemeClr w14:val="tx1"/>
            </w14:solidFill>
          </w14:textFill>
        </w:rPr>
        <w:t>5环境影响预测与评价</w:t>
      </w:r>
      <w:bookmarkEnd w:id="89"/>
      <w:bookmarkEnd w:id="90"/>
      <w:bookmarkEnd w:id="91"/>
    </w:p>
    <w:p w14:paraId="35A92B5A">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92" w:name="_Toc109135987"/>
      <w:bookmarkStart w:id="93" w:name="_Toc173837691"/>
      <w:r>
        <w:rPr>
          <w:rFonts w:hint="default" w:ascii="Times New Roman" w:hAnsi="Times New Roman" w:eastAsia="黑体" w:cs="Times New Roman"/>
          <w:b w:val="0"/>
          <w:color w:val="000000" w:themeColor="text1"/>
          <w14:textFill>
            <w14:solidFill>
              <w14:schemeClr w14:val="tx1"/>
            </w14:solidFill>
          </w14:textFill>
        </w:rPr>
        <w:t>5.1施工期环境影响分析</w:t>
      </w:r>
      <w:bookmarkEnd w:id="92"/>
      <w:bookmarkEnd w:id="93"/>
    </w:p>
    <w:p w14:paraId="5D92C03C">
      <w:pPr>
        <w:pStyle w:val="3952"/>
        <w:spacing w:before="156"/>
        <w:ind w:firstLine="480" w:firstLineChars="200"/>
        <w:rPr>
          <w:rFonts w:hint="default" w:ascii="Times New Roman" w:hAnsi="Times New Roman" w:eastAsia="宋体" w:cs="Times New Roman"/>
          <w:b w:val="0"/>
          <w:bCs/>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kern w:val="2"/>
          <w:sz w:val="24"/>
          <w:szCs w:val="28"/>
          <w:lang w:val="en-US" w:eastAsia="zh-CN" w:bidi="ar-SA"/>
          <w14:textFill>
            <w14:solidFill>
              <w14:schemeClr w14:val="tx1"/>
            </w14:solidFill>
          </w14:textFill>
        </w:rPr>
        <w:t>本项目利用</w:t>
      </w:r>
      <w:r>
        <w:rPr>
          <w:rFonts w:hint="default" w:ascii="Times New Roman" w:hAnsi="Times New Roman" w:cs="Times New Roman"/>
          <w:b w:val="0"/>
          <w:bCs/>
          <w:color w:val="000000" w:themeColor="text1"/>
          <w:spacing w:val="0"/>
          <w:kern w:val="2"/>
          <w:sz w:val="24"/>
          <w:szCs w:val="28"/>
          <w:lang w:val="en-US" w:eastAsia="zh-CN" w:bidi="ar-SA"/>
          <w14:textFill>
            <w14:solidFill>
              <w14:schemeClr w14:val="tx1"/>
            </w14:solidFill>
          </w14:textFill>
        </w:rPr>
        <w:t>租赁安徽振亿工程机械有限公司</w:t>
      </w:r>
      <w:r>
        <w:rPr>
          <w:rFonts w:hint="default" w:ascii="Times New Roman" w:hAnsi="Times New Roman" w:eastAsia="宋体" w:cs="Times New Roman"/>
          <w:b w:val="0"/>
          <w:bCs/>
          <w:color w:val="000000" w:themeColor="text1"/>
          <w:spacing w:val="0"/>
          <w:kern w:val="2"/>
          <w:sz w:val="24"/>
          <w:szCs w:val="28"/>
          <w:lang w:val="en-US" w:eastAsia="zh-CN" w:bidi="ar-SA"/>
          <w14:textFill>
            <w14:solidFill>
              <w14:schemeClr w14:val="tx1"/>
            </w14:solidFill>
          </w14:textFill>
        </w:rPr>
        <w:t>现有闲置厂房进行建设，施工期的主要工作是设备安装调试。施工期施工人员办公生活产生的生活污水依托厂区现有污水处理设施预处理后通过污水总排口排入市政污水管网；施工期设备安装、调试产生的噪声通过设备减振、厂房隔声等降噪措施降低噪声和振动污染。施工期持续时间短，对环境影响较小，不做过多评价。</w:t>
      </w:r>
      <w:bookmarkStart w:id="94" w:name="_Toc109135988"/>
      <w:bookmarkStart w:id="95" w:name="_Toc173837696"/>
      <w:bookmarkStart w:id="96" w:name="_Toc56419298"/>
      <w:bookmarkStart w:id="97" w:name="_Toc6498102"/>
      <w:bookmarkStart w:id="98" w:name="_Toc6655094"/>
      <w:bookmarkStart w:id="99" w:name="_Toc6999973"/>
    </w:p>
    <w:p w14:paraId="5FB3F868">
      <w:pPr>
        <w:pStyle w:val="3952"/>
        <w:spacing w:before="156"/>
        <w:rPr>
          <w:rFonts w:hint="default" w:ascii="Times New Roman" w:hAnsi="Times New Roman" w:eastAsia="黑体" w:cs="Times New Roman"/>
          <w:b w:val="0"/>
          <w:color w:val="000000" w:themeColor="text1"/>
          <w14:textFill>
            <w14:solidFill>
              <w14:schemeClr w14:val="tx1"/>
            </w14:solidFill>
          </w14:textFill>
        </w:rPr>
      </w:pPr>
      <w:r>
        <w:rPr>
          <w:rFonts w:hint="default" w:ascii="Times New Roman" w:hAnsi="Times New Roman" w:eastAsia="黑体" w:cs="Times New Roman"/>
          <w:b w:val="0"/>
          <w:color w:val="000000" w:themeColor="text1"/>
          <w14:textFill>
            <w14:solidFill>
              <w14:schemeClr w14:val="tx1"/>
            </w14:solidFill>
          </w14:textFill>
        </w:rPr>
        <w:t>5.2运营期大气环境影响分析</w:t>
      </w:r>
      <w:bookmarkEnd w:id="94"/>
      <w:bookmarkEnd w:id="95"/>
      <w:bookmarkEnd w:id="96"/>
    </w:p>
    <w:p w14:paraId="4FE5F5E3">
      <w:pPr>
        <w:pStyle w:val="3159"/>
        <w:rPr>
          <w:rFonts w:hint="default" w:ascii="Times New Roman" w:hAnsi="Times New Roman" w:eastAsia="黑体" w:cs="Times New Roman"/>
          <w:b w:val="0"/>
          <w:color w:val="000000" w:themeColor="text1"/>
          <w14:textFill>
            <w14:solidFill>
              <w14:schemeClr w14:val="tx1"/>
            </w14:solidFill>
          </w14:textFill>
        </w:rPr>
      </w:pPr>
      <w:bookmarkStart w:id="100" w:name="_Toc170562203"/>
      <w:bookmarkStart w:id="101" w:name="_Toc173837697"/>
      <w:bookmarkStart w:id="102" w:name="_Toc141627832"/>
      <w:r>
        <w:rPr>
          <w:rFonts w:hint="default" w:ascii="Times New Roman" w:hAnsi="Times New Roman" w:eastAsia="黑体" w:cs="Times New Roman"/>
          <w:b w:val="0"/>
          <w:color w:val="000000" w:themeColor="text1"/>
          <w14:textFill>
            <w14:solidFill>
              <w14:schemeClr w14:val="tx1"/>
            </w14:solidFill>
          </w14:textFill>
        </w:rPr>
        <w:t>5.2.1污染气象分析</w:t>
      </w:r>
      <w:bookmarkEnd w:id="100"/>
      <w:bookmarkEnd w:id="101"/>
      <w:bookmarkEnd w:id="102"/>
    </w:p>
    <w:bookmarkEnd w:id="97"/>
    <w:bookmarkEnd w:id="98"/>
    <w:bookmarkEnd w:id="99"/>
    <w:p w14:paraId="7B600871">
      <w:pPr>
        <w:pStyle w:val="251"/>
        <w:ind w:firstLine="482"/>
        <w:rPr>
          <w:rFonts w:hint="default" w:ascii="Times New Roman" w:hAnsi="Times New Roman" w:cs="Times New Roman"/>
          <w:b/>
          <w:color w:val="000000" w:themeColor="text1"/>
          <w14:textFill>
            <w14:solidFill>
              <w14:schemeClr w14:val="tx1"/>
            </w14:solidFill>
          </w14:textFill>
        </w:rPr>
      </w:pPr>
      <w:bookmarkStart w:id="103" w:name="_Toc4460"/>
      <w:bookmarkStart w:id="104" w:name="_Toc6655121"/>
      <w:bookmarkStart w:id="105" w:name="_Toc518752254"/>
      <w:bookmarkStart w:id="106" w:name="_Toc510599173"/>
      <w:bookmarkStart w:id="107" w:name="_Toc2247927"/>
      <w:bookmarkStart w:id="108" w:name="_Toc7000000"/>
      <w:bookmarkStart w:id="109" w:name="_Toc515367228"/>
      <w:bookmarkStart w:id="110" w:name="_Toc6498128"/>
      <w:r>
        <w:rPr>
          <w:rFonts w:hint="default" w:ascii="Times New Roman" w:hAnsi="Times New Roman" w:cs="Times New Roman"/>
          <w:b/>
          <w:color w:val="000000" w:themeColor="text1"/>
          <w14:textFill>
            <w14:solidFill>
              <w14:schemeClr w14:val="tx1"/>
            </w14:solidFill>
          </w14:textFill>
        </w:rPr>
        <w:t>1、气象概况</w:t>
      </w:r>
      <w:bookmarkEnd w:id="103"/>
    </w:p>
    <w:p w14:paraId="403C4605">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根据凤台气象站（58212）近二十年（2004-2023年）的气象资料统计，分析本地区污染气象。</w:t>
      </w:r>
      <w:r>
        <w:rPr>
          <w:rFonts w:hint="default" w:ascii="Times New Roman" w:hAnsi="Times New Roman" w:cs="Times New Roman"/>
          <w:color w:val="000000" w:themeColor="text1"/>
          <w:highlight w:val="yellow"/>
          <w14:textFill>
            <w14:solidFill>
              <w14:schemeClr w14:val="tx1"/>
            </w14:solidFill>
          </w14:textFill>
        </w:rPr>
        <w:t>凤台气象台站经度为116.764E，纬度为32.715N，地面海拔为23.1m</w:t>
      </w:r>
      <w:r>
        <w:rPr>
          <w:rFonts w:hint="default" w:ascii="Times New Roman" w:hAnsi="Times New Roman" w:cs="Times New Roman"/>
          <w:color w:val="000000" w:themeColor="text1"/>
          <w14:textFill>
            <w14:solidFill>
              <w14:schemeClr w14:val="tx1"/>
            </w14:solidFill>
          </w14:textFill>
        </w:rPr>
        <w:t>。根据凤台气象站2004-2023年统计资料，区域内的主要气候特征汇总见下表。</w:t>
      </w:r>
    </w:p>
    <w:p w14:paraId="2A602157">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表5.2.1区域长期气候资料统计一览表（2004-2023年）</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64"/>
        <w:gridCol w:w="2524"/>
      </w:tblGrid>
      <w:tr w14:paraId="5AC2C8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3641" w:type="pct"/>
            <w:vAlign w:val="center"/>
          </w:tcPr>
          <w:p w14:paraId="197FDC7D">
            <w:pPr>
              <w:widowControl/>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统计项目</w:t>
            </w:r>
          </w:p>
        </w:tc>
        <w:tc>
          <w:tcPr>
            <w:tcW w:w="1359" w:type="pct"/>
            <w:vAlign w:val="center"/>
          </w:tcPr>
          <w:p w14:paraId="4F0A0BDC">
            <w:pPr>
              <w:widowControl/>
              <w:spacing w:line="276" w:lineRule="auto"/>
              <w:jc w:val="center"/>
              <w:textAlignment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统计值</w:t>
            </w:r>
          </w:p>
        </w:tc>
      </w:tr>
      <w:tr w14:paraId="79D307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41" w:type="pct"/>
            <w:vAlign w:val="center"/>
          </w:tcPr>
          <w:p w14:paraId="32E7C587">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年平均风速</w:t>
            </w:r>
          </w:p>
        </w:tc>
        <w:tc>
          <w:tcPr>
            <w:tcW w:w="1359" w:type="pct"/>
            <w:vAlign w:val="center"/>
          </w:tcPr>
          <w:p w14:paraId="37AEF09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2.2m/s</w:t>
            </w:r>
          </w:p>
        </w:tc>
      </w:tr>
      <w:tr w14:paraId="1F851E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41" w:type="pct"/>
            <w:vAlign w:val="center"/>
          </w:tcPr>
          <w:p w14:paraId="3CC561ED">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年平均气压</w:t>
            </w:r>
          </w:p>
        </w:tc>
        <w:tc>
          <w:tcPr>
            <w:tcW w:w="1359" w:type="pct"/>
            <w:vAlign w:val="center"/>
          </w:tcPr>
          <w:p w14:paraId="4BC8430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1013.5hPa</w:t>
            </w:r>
          </w:p>
        </w:tc>
      </w:tr>
      <w:tr w14:paraId="2A3B18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41" w:type="pct"/>
            <w:vAlign w:val="center"/>
          </w:tcPr>
          <w:p w14:paraId="2887B2C2">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年平均气温</w:t>
            </w:r>
          </w:p>
        </w:tc>
        <w:tc>
          <w:tcPr>
            <w:tcW w:w="1359" w:type="pct"/>
            <w:vAlign w:val="center"/>
          </w:tcPr>
          <w:p w14:paraId="2703BF3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16.5℃</w:t>
            </w:r>
          </w:p>
        </w:tc>
      </w:tr>
      <w:tr w14:paraId="6F187F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41" w:type="pct"/>
            <w:vAlign w:val="center"/>
          </w:tcPr>
          <w:p w14:paraId="7B37908D">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极端最高气温</w:t>
            </w:r>
          </w:p>
        </w:tc>
        <w:tc>
          <w:tcPr>
            <w:tcW w:w="1359" w:type="pct"/>
            <w:vAlign w:val="center"/>
          </w:tcPr>
          <w:p w14:paraId="713222F2">
            <w:pPr>
              <w:spacing w:line="276" w:lineRule="auto"/>
              <w:jc w:val="center"/>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yellow"/>
                <w14:textFill>
                  <w14:solidFill>
                    <w14:schemeClr w14:val="tx1"/>
                  </w14:solidFill>
                </w14:textFill>
              </w:rPr>
              <w:t>39.1℃</w:t>
            </w:r>
          </w:p>
        </w:tc>
      </w:tr>
      <w:tr w14:paraId="28CF26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41" w:type="pct"/>
            <w:vAlign w:val="center"/>
          </w:tcPr>
          <w:p w14:paraId="4C9855B8">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极端最低气温</w:t>
            </w:r>
          </w:p>
        </w:tc>
        <w:tc>
          <w:tcPr>
            <w:tcW w:w="1359" w:type="pct"/>
            <w:vAlign w:val="center"/>
          </w:tcPr>
          <w:p w14:paraId="0A560B8F">
            <w:pPr>
              <w:spacing w:line="276" w:lineRule="auto"/>
              <w:jc w:val="center"/>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yellow"/>
                <w14:textFill>
                  <w14:solidFill>
                    <w14:schemeClr w14:val="tx1"/>
                  </w14:solidFill>
                </w14:textFill>
              </w:rPr>
              <w:t>-14.0℃</w:t>
            </w:r>
          </w:p>
        </w:tc>
      </w:tr>
      <w:tr w14:paraId="43DF69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41" w:type="pct"/>
            <w:vAlign w:val="center"/>
          </w:tcPr>
          <w:p w14:paraId="5F8CC32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年平均相对湿度</w:t>
            </w:r>
          </w:p>
        </w:tc>
        <w:tc>
          <w:tcPr>
            <w:tcW w:w="1359" w:type="pct"/>
            <w:vAlign w:val="center"/>
          </w:tcPr>
          <w:p w14:paraId="5E0EE05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71.4%</w:t>
            </w:r>
          </w:p>
        </w:tc>
      </w:tr>
      <w:tr w14:paraId="62C350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41" w:type="pct"/>
            <w:vAlign w:val="center"/>
          </w:tcPr>
          <w:p w14:paraId="7DC4B278">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年平均降水量</w:t>
            </w:r>
          </w:p>
        </w:tc>
        <w:tc>
          <w:tcPr>
            <w:tcW w:w="1359" w:type="pct"/>
            <w:vAlign w:val="center"/>
          </w:tcPr>
          <w:p w14:paraId="4770602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highlight w:val="yellow"/>
                <w14:textFill>
                  <w14:solidFill>
                    <w14:schemeClr w14:val="tx1"/>
                  </w14:solidFill>
                </w14:textFill>
              </w:rPr>
              <w:t>949.3mm</w:t>
            </w:r>
          </w:p>
        </w:tc>
      </w:tr>
      <w:tr w14:paraId="073F72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41" w:type="pct"/>
            <w:vAlign w:val="center"/>
          </w:tcPr>
          <w:p w14:paraId="3BDD63E9">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最大年降水量</w:t>
            </w:r>
          </w:p>
        </w:tc>
        <w:tc>
          <w:tcPr>
            <w:tcW w:w="1359" w:type="pct"/>
            <w:vAlign w:val="center"/>
          </w:tcPr>
          <w:p w14:paraId="6D20A1A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1324.9mm</w:t>
            </w:r>
          </w:p>
        </w:tc>
      </w:tr>
      <w:tr w14:paraId="301AEA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41" w:type="pct"/>
            <w:vAlign w:val="center"/>
          </w:tcPr>
          <w:p w14:paraId="03456CCC">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最小年降水量</w:t>
            </w:r>
          </w:p>
        </w:tc>
        <w:tc>
          <w:tcPr>
            <w:tcW w:w="1359" w:type="pct"/>
            <w:vAlign w:val="center"/>
          </w:tcPr>
          <w:p w14:paraId="16B685B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610.2mm</w:t>
            </w:r>
          </w:p>
        </w:tc>
      </w:tr>
      <w:tr w14:paraId="37FEF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41" w:type="pct"/>
            <w:vAlign w:val="center"/>
          </w:tcPr>
          <w:p w14:paraId="56D48AB8">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年日照时数</w:t>
            </w:r>
          </w:p>
        </w:tc>
        <w:tc>
          <w:tcPr>
            <w:tcW w:w="1359" w:type="pct"/>
            <w:vAlign w:val="center"/>
          </w:tcPr>
          <w:p w14:paraId="75FB607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1879.8h</w:t>
            </w:r>
          </w:p>
        </w:tc>
      </w:tr>
      <w:tr w14:paraId="5C4924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41" w:type="pct"/>
            <w:vAlign w:val="center"/>
          </w:tcPr>
          <w:p w14:paraId="6E2C6F01">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年最多风向</w:t>
            </w:r>
          </w:p>
        </w:tc>
        <w:tc>
          <w:tcPr>
            <w:tcW w:w="1359" w:type="pct"/>
            <w:vAlign w:val="center"/>
          </w:tcPr>
          <w:p w14:paraId="1555B4B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E</w:t>
            </w:r>
          </w:p>
        </w:tc>
      </w:tr>
      <w:tr w14:paraId="265568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41" w:type="pct"/>
            <w:vAlign w:val="center"/>
          </w:tcPr>
          <w:p w14:paraId="10491449">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年均静风频率</w:t>
            </w:r>
          </w:p>
        </w:tc>
        <w:tc>
          <w:tcPr>
            <w:tcW w:w="1359" w:type="pct"/>
            <w:vAlign w:val="center"/>
          </w:tcPr>
          <w:p w14:paraId="76AAAF3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3.8%</w:t>
            </w:r>
          </w:p>
        </w:tc>
      </w:tr>
    </w:tbl>
    <w:p w14:paraId="0972C027">
      <w:pPr>
        <w:spacing w:line="360" w:lineRule="auto"/>
        <w:ind w:firstLine="480"/>
        <w:rPr>
          <w:rFonts w:hint="default" w:ascii="Times New Roman" w:hAnsi="Times New Roman" w:cs="Times New Roman"/>
          <w:color w:val="000000" w:themeColor="text1"/>
          <w:spacing w:val="0"/>
          <w:sz w:val="24"/>
          <w:szCs w:val="28"/>
          <w14:textFill>
            <w14:solidFill>
              <w14:schemeClr w14:val="tx1"/>
            </w14:solidFill>
          </w14:textFill>
        </w:rPr>
      </w:pPr>
      <w:r>
        <w:rPr>
          <w:rFonts w:hint="default" w:ascii="Times New Roman" w:hAnsi="Times New Roman" w:cs="Times New Roman"/>
          <w:color w:val="000000" w:themeColor="text1"/>
          <w:spacing w:val="0"/>
          <w:sz w:val="24"/>
          <w:szCs w:val="28"/>
          <w14:textFill>
            <w14:solidFill>
              <w14:schemeClr w14:val="tx1"/>
            </w14:solidFill>
          </w14:textFill>
        </w:rPr>
        <w:t>（1）气温</w:t>
      </w:r>
    </w:p>
    <w:p w14:paraId="69E1BB21">
      <w:pPr>
        <w:spacing w:line="360" w:lineRule="auto"/>
        <w:ind w:firstLine="480"/>
        <w:rPr>
          <w:rFonts w:hint="default" w:ascii="Times New Roman" w:hAnsi="Times New Roman" w:cs="Times New Roman"/>
          <w:color w:val="000000" w:themeColor="text1"/>
          <w:spacing w:val="0"/>
          <w:sz w:val="24"/>
          <w:szCs w:val="28"/>
          <w14:textFill>
            <w14:solidFill>
              <w14:schemeClr w14:val="tx1"/>
            </w14:solidFill>
          </w14:textFill>
        </w:rPr>
      </w:pPr>
      <w:r>
        <w:rPr>
          <w:rFonts w:hint="default" w:ascii="Times New Roman" w:hAnsi="Times New Roman" w:cs="Times New Roman"/>
          <w:color w:val="000000" w:themeColor="text1"/>
          <w:spacing w:val="0"/>
          <w:sz w:val="24"/>
          <w:szCs w:val="28"/>
          <w14:textFill>
            <w14:solidFill>
              <w14:schemeClr w14:val="tx1"/>
            </w14:solidFill>
          </w14:textFill>
        </w:rPr>
        <w:t>淮南市凤台县1月份平均气温最低2.7℃，7月份平均气温最高28.3℃，年平均气温16.5℃。淮南市凤台县累年平均气温统计见下表。</w:t>
      </w:r>
    </w:p>
    <w:p w14:paraId="1AE56DE0">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表5.2-2淮南市凤台县2004-2023年平均气温的月变化</w:t>
      </w:r>
    </w:p>
    <w:tbl>
      <w:tblPr>
        <w:tblStyle w:val="8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0"/>
        <w:gridCol w:w="592"/>
        <w:gridCol w:w="683"/>
        <w:gridCol w:w="640"/>
        <w:gridCol w:w="649"/>
        <w:gridCol w:w="649"/>
        <w:gridCol w:w="649"/>
        <w:gridCol w:w="611"/>
        <w:gridCol w:w="567"/>
        <w:gridCol w:w="567"/>
        <w:gridCol w:w="709"/>
        <w:gridCol w:w="709"/>
        <w:gridCol w:w="735"/>
        <w:gridCol w:w="648"/>
      </w:tblGrid>
      <w:tr w14:paraId="09FA96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0" w:type="dxa"/>
            <w:vAlign w:val="center"/>
          </w:tcPr>
          <w:p w14:paraId="20C43EA1">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月份</w:t>
            </w:r>
          </w:p>
        </w:tc>
        <w:tc>
          <w:tcPr>
            <w:tcW w:w="592" w:type="dxa"/>
            <w:vAlign w:val="center"/>
          </w:tcPr>
          <w:p w14:paraId="129A061D">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1月</w:t>
            </w:r>
          </w:p>
        </w:tc>
        <w:tc>
          <w:tcPr>
            <w:tcW w:w="683" w:type="dxa"/>
            <w:vAlign w:val="center"/>
          </w:tcPr>
          <w:p w14:paraId="75F84DF7">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2月</w:t>
            </w:r>
          </w:p>
        </w:tc>
        <w:tc>
          <w:tcPr>
            <w:tcW w:w="640" w:type="dxa"/>
            <w:vAlign w:val="center"/>
          </w:tcPr>
          <w:p w14:paraId="56259F69">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3月</w:t>
            </w:r>
          </w:p>
        </w:tc>
        <w:tc>
          <w:tcPr>
            <w:tcW w:w="649" w:type="dxa"/>
            <w:vAlign w:val="center"/>
          </w:tcPr>
          <w:p w14:paraId="088DD743">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4月</w:t>
            </w:r>
          </w:p>
        </w:tc>
        <w:tc>
          <w:tcPr>
            <w:tcW w:w="649" w:type="dxa"/>
            <w:vAlign w:val="center"/>
          </w:tcPr>
          <w:p w14:paraId="03C59351">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5月</w:t>
            </w:r>
          </w:p>
        </w:tc>
        <w:tc>
          <w:tcPr>
            <w:tcW w:w="649" w:type="dxa"/>
            <w:vAlign w:val="center"/>
          </w:tcPr>
          <w:p w14:paraId="4C8D75CA">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6月</w:t>
            </w:r>
          </w:p>
        </w:tc>
        <w:tc>
          <w:tcPr>
            <w:tcW w:w="611" w:type="dxa"/>
            <w:vAlign w:val="center"/>
          </w:tcPr>
          <w:p w14:paraId="360AE819">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7月</w:t>
            </w:r>
          </w:p>
        </w:tc>
        <w:tc>
          <w:tcPr>
            <w:tcW w:w="567" w:type="dxa"/>
            <w:vAlign w:val="center"/>
          </w:tcPr>
          <w:p w14:paraId="7EE4EB4B">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8月</w:t>
            </w:r>
          </w:p>
        </w:tc>
        <w:tc>
          <w:tcPr>
            <w:tcW w:w="567" w:type="dxa"/>
            <w:vAlign w:val="center"/>
          </w:tcPr>
          <w:p w14:paraId="7569CBF0">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9月</w:t>
            </w:r>
          </w:p>
        </w:tc>
        <w:tc>
          <w:tcPr>
            <w:tcW w:w="709" w:type="dxa"/>
            <w:vAlign w:val="center"/>
          </w:tcPr>
          <w:p w14:paraId="5BCF3A46">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10月</w:t>
            </w:r>
          </w:p>
        </w:tc>
        <w:tc>
          <w:tcPr>
            <w:tcW w:w="709" w:type="dxa"/>
            <w:vAlign w:val="center"/>
          </w:tcPr>
          <w:p w14:paraId="732B2F98">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11月</w:t>
            </w:r>
          </w:p>
        </w:tc>
        <w:tc>
          <w:tcPr>
            <w:tcW w:w="735" w:type="dxa"/>
            <w:vAlign w:val="center"/>
          </w:tcPr>
          <w:p w14:paraId="72D27658">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12月</w:t>
            </w:r>
          </w:p>
        </w:tc>
        <w:tc>
          <w:tcPr>
            <w:tcW w:w="648" w:type="dxa"/>
            <w:vAlign w:val="center"/>
          </w:tcPr>
          <w:p w14:paraId="7A0A79A6">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全年</w:t>
            </w:r>
          </w:p>
        </w:tc>
      </w:tr>
      <w:tr w14:paraId="5A2F80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0" w:type="dxa"/>
            <w:vAlign w:val="center"/>
          </w:tcPr>
          <w:p w14:paraId="01FACCD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温度℃</w:t>
            </w:r>
          </w:p>
        </w:tc>
        <w:tc>
          <w:tcPr>
            <w:tcW w:w="592" w:type="dxa"/>
            <w:vAlign w:val="center"/>
          </w:tcPr>
          <w:p w14:paraId="7B90D7BA">
            <w:pPr>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2.7</w:t>
            </w:r>
          </w:p>
        </w:tc>
        <w:tc>
          <w:tcPr>
            <w:tcW w:w="683" w:type="dxa"/>
            <w:vAlign w:val="center"/>
          </w:tcPr>
          <w:p w14:paraId="558A531A">
            <w:pPr>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5.4</w:t>
            </w:r>
          </w:p>
        </w:tc>
        <w:tc>
          <w:tcPr>
            <w:tcW w:w="640" w:type="dxa"/>
            <w:vAlign w:val="center"/>
          </w:tcPr>
          <w:p w14:paraId="7ADBF95D">
            <w:pPr>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11.0</w:t>
            </w:r>
          </w:p>
        </w:tc>
        <w:tc>
          <w:tcPr>
            <w:tcW w:w="649" w:type="dxa"/>
            <w:vAlign w:val="center"/>
          </w:tcPr>
          <w:p w14:paraId="1D191CE0">
            <w:pPr>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16.9</w:t>
            </w:r>
          </w:p>
        </w:tc>
        <w:tc>
          <w:tcPr>
            <w:tcW w:w="649" w:type="dxa"/>
            <w:vAlign w:val="center"/>
          </w:tcPr>
          <w:p w14:paraId="45812AB5">
            <w:pPr>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22.3</w:t>
            </w:r>
          </w:p>
        </w:tc>
        <w:tc>
          <w:tcPr>
            <w:tcW w:w="649" w:type="dxa"/>
            <w:vAlign w:val="center"/>
          </w:tcPr>
          <w:p w14:paraId="664121A5">
            <w:pPr>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26.3</w:t>
            </w:r>
          </w:p>
        </w:tc>
        <w:tc>
          <w:tcPr>
            <w:tcW w:w="611" w:type="dxa"/>
            <w:vAlign w:val="center"/>
          </w:tcPr>
          <w:p w14:paraId="24A2DCA4">
            <w:pPr>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28.3</w:t>
            </w:r>
          </w:p>
        </w:tc>
        <w:tc>
          <w:tcPr>
            <w:tcW w:w="567" w:type="dxa"/>
            <w:vAlign w:val="center"/>
          </w:tcPr>
          <w:p w14:paraId="513AE90A">
            <w:pPr>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27.6</w:t>
            </w:r>
          </w:p>
        </w:tc>
        <w:tc>
          <w:tcPr>
            <w:tcW w:w="567" w:type="dxa"/>
            <w:vAlign w:val="center"/>
          </w:tcPr>
          <w:p w14:paraId="150DC8F7">
            <w:pPr>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23.1</w:t>
            </w:r>
          </w:p>
        </w:tc>
        <w:tc>
          <w:tcPr>
            <w:tcW w:w="709" w:type="dxa"/>
            <w:vAlign w:val="center"/>
          </w:tcPr>
          <w:p w14:paraId="12AC055C">
            <w:pPr>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17.8</w:t>
            </w:r>
          </w:p>
        </w:tc>
        <w:tc>
          <w:tcPr>
            <w:tcW w:w="709" w:type="dxa"/>
            <w:vAlign w:val="center"/>
          </w:tcPr>
          <w:p w14:paraId="76B95772">
            <w:pPr>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11.3</w:t>
            </w:r>
          </w:p>
        </w:tc>
        <w:tc>
          <w:tcPr>
            <w:tcW w:w="735" w:type="dxa"/>
            <w:vAlign w:val="center"/>
          </w:tcPr>
          <w:p w14:paraId="34A53DA4">
            <w:pPr>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4.6</w:t>
            </w:r>
          </w:p>
        </w:tc>
        <w:tc>
          <w:tcPr>
            <w:tcW w:w="648" w:type="dxa"/>
            <w:vAlign w:val="center"/>
          </w:tcPr>
          <w:p w14:paraId="13B10618">
            <w:pPr>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16.5</w:t>
            </w:r>
          </w:p>
        </w:tc>
      </w:tr>
    </w:tbl>
    <w:p w14:paraId="7D6629BB">
      <w:pPr>
        <w:spacing w:line="360" w:lineRule="auto"/>
        <w:ind w:firstLine="480"/>
        <w:rPr>
          <w:rFonts w:hint="default" w:ascii="Times New Roman" w:hAnsi="Times New Roman" w:cs="Times New Roman"/>
          <w:color w:val="000000" w:themeColor="text1"/>
          <w:spacing w:val="0"/>
          <w:sz w:val="24"/>
          <w:szCs w:val="28"/>
          <w14:textFill>
            <w14:solidFill>
              <w14:schemeClr w14:val="tx1"/>
            </w14:solidFill>
          </w14:textFill>
        </w:rPr>
      </w:pPr>
      <w:r>
        <w:rPr>
          <w:rFonts w:hint="default" w:ascii="Times New Roman" w:hAnsi="Times New Roman" w:cs="Times New Roman"/>
          <w:color w:val="000000" w:themeColor="text1"/>
          <w:spacing w:val="0"/>
          <w:sz w:val="24"/>
          <w:szCs w:val="28"/>
          <w14:textFill>
            <w14:solidFill>
              <w14:schemeClr w14:val="tx1"/>
            </w14:solidFill>
          </w14:textFill>
        </w:rPr>
        <w:t>（2）相对湿度</w:t>
      </w:r>
    </w:p>
    <w:p w14:paraId="6E23E399">
      <w:pPr>
        <w:spacing w:line="360" w:lineRule="auto"/>
        <w:ind w:firstLine="480"/>
        <w:rPr>
          <w:rFonts w:hint="default" w:ascii="Times New Roman" w:hAnsi="Times New Roman" w:cs="Times New Roman"/>
          <w:color w:val="000000" w:themeColor="text1"/>
          <w:spacing w:val="0"/>
          <w:sz w:val="24"/>
          <w:szCs w:val="28"/>
          <w14:textFill>
            <w14:solidFill>
              <w14:schemeClr w14:val="tx1"/>
            </w14:solidFill>
          </w14:textFill>
        </w:rPr>
      </w:pPr>
      <w:r>
        <w:rPr>
          <w:rFonts w:hint="default" w:ascii="Times New Roman" w:hAnsi="Times New Roman" w:cs="Times New Roman"/>
          <w:color w:val="000000" w:themeColor="text1"/>
          <w:spacing w:val="0"/>
          <w:sz w:val="24"/>
          <w:szCs w:val="28"/>
          <w14:textFill>
            <w14:solidFill>
              <w14:schemeClr w14:val="tx1"/>
            </w14:solidFill>
          </w14:textFill>
        </w:rPr>
        <w:t>淮南市凤台县年平均相对湿度为71.4%。淮南市凤台县累年平均相对湿度统计见下表。</w:t>
      </w:r>
    </w:p>
    <w:p w14:paraId="744DDAF6">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表5.2-3淮南市凤台县2004-2023年平均湿度的月变化</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3"/>
        <w:gridCol w:w="583"/>
        <w:gridCol w:w="671"/>
        <w:gridCol w:w="671"/>
        <w:gridCol w:w="669"/>
        <w:gridCol w:w="669"/>
        <w:gridCol w:w="669"/>
        <w:gridCol w:w="669"/>
        <w:gridCol w:w="669"/>
        <w:gridCol w:w="669"/>
        <w:gridCol w:w="669"/>
        <w:gridCol w:w="669"/>
        <w:gridCol w:w="669"/>
        <w:gridCol w:w="669"/>
      </w:tblGrid>
      <w:tr w14:paraId="0C765B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Align w:val="center"/>
          </w:tcPr>
          <w:p w14:paraId="5199BD2D">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月份</w:t>
            </w:r>
          </w:p>
        </w:tc>
        <w:tc>
          <w:tcPr>
            <w:tcW w:w="314" w:type="pct"/>
            <w:vAlign w:val="center"/>
          </w:tcPr>
          <w:p w14:paraId="0A1DA89B">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1月</w:t>
            </w:r>
          </w:p>
        </w:tc>
        <w:tc>
          <w:tcPr>
            <w:tcW w:w="361" w:type="pct"/>
            <w:vAlign w:val="center"/>
          </w:tcPr>
          <w:p w14:paraId="2B15446A">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2月</w:t>
            </w:r>
          </w:p>
        </w:tc>
        <w:tc>
          <w:tcPr>
            <w:tcW w:w="361" w:type="pct"/>
            <w:vAlign w:val="center"/>
          </w:tcPr>
          <w:p w14:paraId="079BED8B">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3月</w:t>
            </w:r>
          </w:p>
        </w:tc>
        <w:tc>
          <w:tcPr>
            <w:tcW w:w="360" w:type="pct"/>
            <w:vAlign w:val="center"/>
          </w:tcPr>
          <w:p w14:paraId="62E649BE">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4月</w:t>
            </w:r>
          </w:p>
        </w:tc>
        <w:tc>
          <w:tcPr>
            <w:tcW w:w="360" w:type="pct"/>
            <w:vAlign w:val="center"/>
          </w:tcPr>
          <w:p w14:paraId="68E7F982">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5月</w:t>
            </w:r>
          </w:p>
        </w:tc>
        <w:tc>
          <w:tcPr>
            <w:tcW w:w="360" w:type="pct"/>
            <w:vAlign w:val="center"/>
          </w:tcPr>
          <w:p w14:paraId="7E793C23">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6月</w:t>
            </w:r>
          </w:p>
        </w:tc>
        <w:tc>
          <w:tcPr>
            <w:tcW w:w="360" w:type="pct"/>
            <w:vAlign w:val="center"/>
          </w:tcPr>
          <w:p w14:paraId="15BE67DE">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7月</w:t>
            </w:r>
          </w:p>
        </w:tc>
        <w:tc>
          <w:tcPr>
            <w:tcW w:w="360" w:type="pct"/>
            <w:vAlign w:val="center"/>
          </w:tcPr>
          <w:p w14:paraId="0FC0B41E">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8月</w:t>
            </w:r>
          </w:p>
        </w:tc>
        <w:tc>
          <w:tcPr>
            <w:tcW w:w="360" w:type="pct"/>
            <w:vAlign w:val="center"/>
          </w:tcPr>
          <w:p w14:paraId="5E2A7365">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9月</w:t>
            </w:r>
          </w:p>
        </w:tc>
        <w:tc>
          <w:tcPr>
            <w:tcW w:w="360" w:type="pct"/>
            <w:vAlign w:val="center"/>
          </w:tcPr>
          <w:p w14:paraId="5F88CA83">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10月</w:t>
            </w:r>
          </w:p>
        </w:tc>
        <w:tc>
          <w:tcPr>
            <w:tcW w:w="360" w:type="pct"/>
            <w:vAlign w:val="center"/>
          </w:tcPr>
          <w:p w14:paraId="174E73FA">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11月</w:t>
            </w:r>
          </w:p>
        </w:tc>
        <w:tc>
          <w:tcPr>
            <w:tcW w:w="360" w:type="pct"/>
            <w:vAlign w:val="center"/>
          </w:tcPr>
          <w:p w14:paraId="27ABD9FF">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12月</w:t>
            </w:r>
          </w:p>
        </w:tc>
        <w:tc>
          <w:tcPr>
            <w:tcW w:w="360" w:type="pct"/>
            <w:vAlign w:val="center"/>
          </w:tcPr>
          <w:p w14:paraId="7A3E2E74">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全年</w:t>
            </w:r>
          </w:p>
        </w:tc>
      </w:tr>
      <w:tr w14:paraId="26AE64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2" w:type="pct"/>
            <w:vAlign w:val="center"/>
          </w:tcPr>
          <w:p w14:paraId="2EDDAD5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湿度%</w:t>
            </w:r>
          </w:p>
        </w:tc>
        <w:tc>
          <w:tcPr>
            <w:tcW w:w="314" w:type="pct"/>
            <w:vAlign w:val="center"/>
          </w:tcPr>
          <w:p w14:paraId="775279CC">
            <w:pPr>
              <w:adjustRightInd w:val="0"/>
              <w:snapToGrid w:val="0"/>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69.7</w:t>
            </w:r>
          </w:p>
        </w:tc>
        <w:tc>
          <w:tcPr>
            <w:tcW w:w="361" w:type="pct"/>
            <w:vAlign w:val="center"/>
          </w:tcPr>
          <w:p w14:paraId="0B9373D7">
            <w:pPr>
              <w:adjustRightInd w:val="0"/>
              <w:snapToGrid w:val="0"/>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70.3</w:t>
            </w:r>
          </w:p>
        </w:tc>
        <w:tc>
          <w:tcPr>
            <w:tcW w:w="361" w:type="pct"/>
            <w:vAlign w:val="center"/>
          </w:tcPr>
          <w:p w14:paraId="49633DF2">
            <w:pPr>
              <w:adjustRightInd w:val="0"/>
              <w:snapToGrid w:val="0"/>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65.2</w:t>
            </w:r>
          </w:p>
        </w:tc>
        <w:tc>
          <w:tcPr>
            <w:tcW w:w="360" w:type="pct"/>
            <w:vAlign w:val="center"/>
          </w:tcPr>
          <w:p w14:paraId="06AD931F">
            <w:pPr>
              <w:adjustRightInd w:val="0"/>
              <w:snapToGrid w:val="0"/>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66.4</w:t>
            </w:r>
          </w:p>
        </w:tc>
        <w:tc>
          <w:tcPr>
            <w:tcW w:w="360" w:type="pct"/>
            <w:vAlign w:val="center"/>
          </w:tcPr>
          <w:p w14:paraId="5D1CA298">
            <w:pPr>
              <w:adjustRightInd w:val="0"/>
              <w:snapToGrid w:val="0"/>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67.0</w:t>
            </w:r>
          </w:p>
        </w:tc>
        <w:tc>
          <w:tcPr>
            <w:tcW w:w="360" w:type="pct"/>
            <w:vAlign w:val="center"/>
          </w:tcPr>
          <w:p w14:paraId="547D50B3">
            <w:pPr>
              <w:adjustRightInd w:val="0"/>
              <w:snapToGrid w:val="0"/>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70.4</w:t>
            </w:r>
          </w:p>
        </w:tc>
        <w:tc>
          <w:tcPr>
            <w:tcW w:w="360" w:type="pct"/>
            <w:vAlign w:val="center"/>
          </w:tcPr>
          <w:p w14:paraId="38B6B158">
            <w:pPr>
              <w:adjustRightInd w:val="0"/>
              <w:snapToGrid w:val="0"/>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79.1</w:t>
            </w:r>
          </w:p>
        </w:tc>
        <w:tc>
          <w:tcPr>
            <w:tcW w:w="360" w:type="pct"/>
            <w:vAlign w:val="center"/>
          </w:tcPr>
          <w:p w14:paraId="4681AE78">
            <w:pPr>
              <w:adjustRightInd w:val="0"/>
              <w:snapToGrid w:val="0"/>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80.1</w:t>
            </w:r>
          </w:p>
        </w:tc>
        <w:tc>
          <w:tcPr>
            <w:tcW w:w="360" w:type="pct"/>
            <w:vAlign w:val="center"/>
          </w:tcPr>
          <w:p w14:paraId="347F87BC">
            <w:pPr>
              <w:adjustRightInd w:val="0"/>
              <w:snapToGrid w:val="0"/>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78.6</w:t>
            </w:r>
          </w:p>
        </w:tc>
        <w:tc>
          <w:tcPr>
            <w:tcW w:w="360" w:type="pct"/>
            <w:vAlign w:val="center"/>
          </w:tcPr>
          <w:p w14:paraId="71E93907">
            <w:pPr>
              <w:adjustRightInd w:val="0"/>
              <w:snapToGrid w:val="0"/>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71.3</w:t>
            </w:r>
          </w:p>
        </w:tc>
        <w:tc>
          <w:tcPr>
            <w:tcW w:w="360" w:type="pct"/>
            <w:vAlign w:val="center"/>
          </w:tcPr>
          <w:p w14:paraId="6949C853">
            <w:pPr>
              <w:adjustRightInd w:val="0"/>
              <w:snapToGrid w:val="0"/>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71.4</w:t>
            </w:r>
          </w:p>
        </w:tc>
        <w:tc>
          <w:tcPr>
            <w:tcW w:w="360" w:type="pct"/>
            <w:vAlign w:val="center"/>
          </w:tcPr>
          <w:p w14:paraId="53BC12F1">
            <w:pPr>
              <w:adjustRightInd w:val="0"/>
              <w:snapToGrid w:val="0"/>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67.1</w:t>
            </w:r>
          </w:p>
        </w:tc>
        <w:tc>
          <w:tcPr>
            <w:tcW w:w="360" w:type="pct"/>
            <w:vAlign w:val="center"/>
          </w:tcPr>
          <w:p w14:paraId="763C257D">
            <w:pPr>
              <w:adjustRightInd w:val="0"/>
              <w:snapToGrid w:val="0"/>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71.4</w:t>
            </w:r>
          </w:p>
        </w:tc>
      </w:tr>
    </w:tbl>
    <w:p w14:paraId="3E43B345">
      <w:pPr>
        <w:spacing w:line="360" w:lineRule="auto"/>
        <w:ind w:firstLine="480"/>
        <w:rPr>
          <w:rFonts w:hint="default" w:ascii="Times New Roman" w:hAnsi="Times New Roman" w:cs="Times New Roman"/>
          <w:color w:val="000000" w:themeColor="text1"/>
          <w:spacing w:val="0"/>
          <w:sz w:val="24"/>
          <w:szCs w:val="28"/>
          <w14:textFill>
            <w14:solidFill>
              <w14:schemeClr w14:val="tx1"/>
            </w14:solidFill>
          </w14:textFill>
        </w:rPr>
      </w:pPr>
      <w:r>
        <w:rPr>
          <w:rFonts w:hint="default" w:ascii="Times New Roman" w:hAnsi="Times New Roman" w:cs="Times New Roman"/>
          <w:color w:val="000000" w:themeColor="text1"/>
          <w:spacing w:val="0"/>
          <w:sz w:val="24"/>
          <w:szCs w:val="28"/>
          <w14:textFill>
            <w14:solidFill>
              <w14:schemeClr w14:val="tx1"/>
            </w14:solidFill>
          </w14:textFill>
        </w:rPr>
        <w:t>（3）降水</w:t>
      </w:r>
    </w:p>
    <w:p w14:paraId="6802590A">
      <w:pPr>
        <w:spacing w:line="360" w:lineRule="auto"/>
        <w:ind w:firstLine="480"/>
        <w:rPr>
          <w:rFonts w:hint="default" w:ascii="Times New Roman" w:hAnsi="Times New Roman" w:cs="Times New Roman"/>
          <w:color w:val="000000" w:themeColor="text1"/>
          <w:spacing w:val="0"/>
          <w:sz w:val="24"/>
          <w:szCs w:val="28"/>
          <w14:textFill>
            <w14:solidFill>
              <w14:schemeClr w14:val="tx1"/>
            </w14:solidFill>
          </w14:textFill>
        </w:rPr>
      </w:pPr>
      <w:r>
        <w:rPr>
          <w:rFonts w:hint="default" w:ascii="Times New Roman" w:hAnsi="Times New Roman" w:cs="Times New Roman"/>
          <w:color w:val="000000" w:themeColor="text1"/>
          <w:spacing w:val="0"/>
          <w:sz w:val="24"/>
          <w:szCs w:val="28"/>
          <w14:textFill>
            <w14:solidFill>
              <w14:schemeClr w14:val="tx1"/>
            </w14:solidFill>
          </w14:textFill>
        </w:rPr>
        <w:t>淮南市凤台县降水集中于夏季，1月份降水量最低为35.16mm，7月份降水量最高为212.2mm，全年降水量为1018.47mm。淮南市凤台县累年平均降水统计见下表。</w:t>
      </w:r>
    </w:p>
    <w:p w14:paraId="4B23A5FD">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表5.2-4淮南市凤台县2004-2023年平均降水的月变化</w:t>
      </w:r>
    </w:p>
    <w:tbl>
      <w:tblPr>
        <w:tblStyle w:val="8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5"/>
        <w:gridCol w:w="660"/>
        <w:gridCol w:w="660"/>
        <w:gridCol w:w="660"/>
        <w:gridCol w:w="660"/>
        <w:gridCol w:w="660"/>
        <w:gridCol w:w="660"/>
        <w:gridCol w:w="660"/>
        <w:gridCol w:w="660"/>
        <w:gridCol w:w="660"/>
        <w:gridCol w:w="660"/>
        <w:gridCol w:w="659"/>
        <w:gridCol w:w="659"/>
        <w:gridCol w:w="665"/>
      </w:tblGrid>
      <w:tr w14:paraId="30FA24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dxa"/>
            <w:vAlign w:val="center"/>
          </w:tcPr>
          <w:p w14:paraId="0C906F00">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月份</w:t>
            </w:r>
          </w:p>
        </w:tc>
        <w:tc>
          <w:tcPr>
            <w:tcW w:w="660" w:type="dxa"/>
            <w:vAlign w:val="center"/>
          </w:tcPr>
          <w:p w14:paraId="1AC3E38F">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1月</w:t>
            </w:r>
          </w:p>
        </w:tc>
        <w:tc>
          <w:tcPr>
            <w:tcW w:w="660" w:type="dxa"/>
            <w:vAlign w:val="center"/>
          </w:tcPr>
          <w:p w14:paraId="0A895F63">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2月</w:t>
            </w:r>
          </w:p>
        </w:tc>
        <w:tc>
          <w:tcPr>
            <w:tcW w:w="660" w:type="dxa"/>
            <w:vAlign w:val="center"/>
          </w:tcPr>
          <w:p w14:paraId="3BC576EA">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3月</w:t>
            </w:r>
          </w:p>
        </w:tc>
        <w:tc>
          <w:tcPr>
            <w:tcW w:w="660" w:type="dxa"/>
            <w:vAlign w:val="center"/>
          </w:tcPr>
          <w:p w14:paraId="00E23402">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4月</w:t>
            </w:r>
          </w:p>
        </w:tc>
        <w:tc>
          <w:tcPr>
            <w:tcW w:w="660" w:type="dxa"/>
            <w:vAlign w:val="center"/>
          </w:tcPr>
          <w:p w14:paraId="39A1FC92">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5月</w:t>
            </w:r>
          </w:p>
        </w:tc>
        <w:tc>
          <w:tcPr>
            <w:tcW w:w="660" w:type="dxa"/>
            <w:vAlign w:val="center"/>
          </w:tcPr>
          <w:p w14:paraId="7C8505EE">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6月</w:t>
            </w:r>
          </w:p>
        </w:tc>
        <w:tc>
          <w:tcPr>
            <w:tcW w:w="660" w:type="dxa"/>
            <w:vAlign w:val="center"/>
          </w:tcPr>
          <w:p w14:paraId="3973B472">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7月</w:t>
            </w:r>
          </w:p>
        </w:tc>
        <w:tc>
          <w:tcPr>
            <w:tcW w:w="660" w:type="dxa"/>
            <w:vAlign w:val="center"/>
          </w:tcPr>
          <w:p w14:paraId="3452B33F">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8月</w:t>
            </w:r>
          </w:p>
        </w:tc>
        <w:tc>
          <w:tcPr>
            <w:tcW w:w="660" w:type="dxa"/>
            <w:vAlign w:val="center"/>
          </w:tcPr>
          <w:p w14:paraId="66FBA488">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9月</w:t>
            </w:r>
          </w:p>
        </w:tc>
        <w:tc>
          <w:tcPr>
            <w:tcW w:w="660" w:type="dxa"/>
            <w:vAlign w:val="center"/>
          </w:tcPr>
          <w:p w14:paraId="7DCA514B">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10月</w:t>
            </w:r>
          </w:p>
        </w:tc>
        <w:tc>
          <w:tcPr>
            <w:tcW w:w="659" w:type="dxa"/>
            <w:vAlign w:val="center"/>
          </w:tcPr>
          <w:p w14:paraId="19783AF5">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11月</w:t>
            </w:r>
          </w:p>
        </w:tc>
        <w:tc>
          <w:tcPr>
            <w:tcW w:w="659" w:type="dxa"/>
            <w:vAlign w:val="center"/>
          </w:tcPr>
          <w:p w14:paraId="10EC3D4C">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12月</w:t>
            </w:r>
          </w:p>
        </w:tc>
        <w:tc>
          <w:tcPr>
            <w:tcW w:w="665" w:type="dxa"/>
            <w:vAlign w:val="center"/>
          </w:tcPr>
          <w:p w14:paraId="0B3A89D7">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全年</w:t>
            </w:r>
          </w:p>
        </w:tc>
      </w:tr>
      <w:tr w14:paraId="798D6A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dxa"/>
            <w:vAlign w:val="center"/>
          </w:tcPr>
          <w:p w14:paraId="581936D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降水量mm</w:t>
            </w:r>
          </w:p>
        </w:tc>
        <w:tc>
          <w:tcPr>
            <w:tcW w:w="660" w:type="dxa"/>
            <w:vAlign w:val="center"/>
          </w:tcPr>
          <w:p w14:paraId="04CCED5C">
            <w:pPr>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32.9</w:t>
            </w:r>
          </w:p>
        </w:tc>
        <w:tc>
          <w:tcPr>
            <w:tcW w:w="660" w:type="dxa"/>
            <w:vAlign w:val="center"/>
          </w:tcPr>
          <w:p w14:paraId="1C63ECFF">
            <w:pPr>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36.5</w:t>
            </w:r>
          </w:p>
        </w:tc>
        <w:tc>
          <w:tcPr>
            <w:tcW w:w="660" w:type="dxa"/>
            <w:vAlign w:val="center"/>
          </w:tcPr>
          <w:p w14:paraId="683F2BCA">
            <w:pPr>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51.0</w:t>
            </w:r>
          </w:p>
        </w:tc>
        <w:tc>
          <w:tcPr>
            <w:tcW w:w="660" w:type="dxa"/>
            <w:vAlign w:val="center"/>
          </w:tcPr>
          <w:p w14:paraId="3FB74681">
            <w:pPr>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56.8</w:t>
            </w:r>
          </w:p>
        </w:tc>
        <w:tc>
          <w:tcPr>
            <w:tcW w:w="660" w:type="dxa"/>
            <w:vAlign w:val="center"/>
          </w:tcPr>
          <w:p w14:paraId="5412F9A8">
            <w:pPr>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88.2</w:t>
            </w:r>
          </w:p>
        </w:tc>
        <w:tc>
          <w:tcPr>
            <w:tcW w:w="660" w:type="dxa"/>
            <w:vAlign w:val="center"/>
          </w:tcPr>
          <w:p w14:paraId="0E369998">
            <w:pPr>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144.3</w:t>
            </w:r>
          </w:p>
        </w:tc>
        <w:tc>
          <w:tcPr>
            <w:tcW w:w="660" w:type="dxa"/>
            <w:vAlign w:val="center"/>
          </w:tcPr>
          <w:p w14:paraId="66EE4EB6">
            <w:pPr>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215.3</w:t>
            </w:r>
          </w:p>
        </w:tc>
        <w:tc>
          <w:tcPr>
            <w:tcW w:w="660" w:type="dxa"/>
            <w:vAlign w:val="center"/>
          </w:tcPr>
          <w:p w14:paraId="2778A9CF">
            <w:pPr>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137.5</w:t>
            </w:r>
          </w:p>
        </w:tc>
        <w:tc>
          <w:tcPr>
            <w:tcW w:w="660" w:type="dxa"/>
            <w:vAlign w:val="center"/>
          </w:tcPr>
          <w:p w14:paraId="4317C8C6">
            <w:pPr>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78.5</w:t>
            </w:r>
          </w:p>
        </w:tc>
        <w:tc>
          <w:tcPr>
            <w:tcW w:w="660" w:type="dxa"/>
            <w:vAlign w:val="center"/>
          </w:tcPr>
          <w:p w14:paraId="7851DF4E">
            <w:pPr>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44.5</w:t>
            </w:r>
          </w:p>
        </w:tc>
        <w:tc>
          <w:tcPr>
            <w:tcW w:w="659" w:type="dxa"/>
            <w:vAlign w:val="center"/>
          </w:tcPr>
          <w:p w14:paraId="1D9480CB">
            <w:pPr>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42.8</w:t>
            </w:r>
          </w:p>
        </w:tc>
        <w:tc>
          <w:tcPr>
            <w:tcW w:w="659" w:type="dxa"/>
            <w:vAlign w:val="center"/>
          </w:tcPr>
          <w:p w14:paraId="14E4C723">
            <w:pPr>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21.0</w:t>
            </w:r>
          </w:p>
        </w:tc>
        <w:tc>
          <w:tcPr>
            <w:tcW w:w="665" w:type="dxa"/>
            <w:vAlign w:val="center"/>
          </w:tcPr>
          <w:p w14:paraId="06E83388">
            <w:pPr>
              <w:spacing w:line="276" w:lineRule="auto"/>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949.3</w:t>
            </w:r>
          </w:p>
        </w:tc>
      </w:tr>
    </w:tbl>
    <w:p w14:paraId="435BE612">
      <w:pPr>
        <w:spacing w:line="360" w:lineRule="auto"/>
        <w:ind w:firstLine="480"/>
        <w:rPr>
          <w:rFonts w:hint="default" w:ascii="Times New Roman" w:hAnsi="Times New Roman" w:cs="Times New Roman"/>
          <w:color w:val="000000" w:themeColor="text1"/>
          <w:spacing w:val="0"/>
          <w:sz w:val="24"/>
          <w:szCs w:val="28"/>
          <w14:textFill>
            <w14:solidFill>
              <w14:schemeClr w14:val="tx1"/>
            </w14:solidFill>
          </w14:textFill>
        </w:rPr>
      </w:pPr>
      <w:r>
        <w:rPr>
          <w:rFonts w:hint="default" w:ascii="Times New Roman" w:hAnsi="Times New Roman" w:cs="Times New Roman"/>
          <w:color w:val="000000" w:themeColor="text1"/>
          <w:spacing w:val="0"/>
          <w:sz w:val="24"/>
          <w:szCs w:val="28"/>
          <w14:textFill>
            <w14:solidFill>
              <w14:schemeClr w14:val="tx1"/>
            </w14:solidFill>
          </w14:textFill>
        </w:rPr>
        <w:t>（4）风速</w:t>
      </w:r>
    </w:p>
    <w:p w14:paraId="27BF5EFA">
      <w:pPr>
        <w:spacing w:line="360" w:lineRule="auto"/>
        <w:ind w:firstLine="480"/>
        <w:rPr>
          <w:rFonts w:hint="default" w:ascii="Times New Roman" w:hAnsi="Times New Roman" w:cs="Times New Roman"/>
          <w:color w:val="000000" w:themeColor="text1"/>
          <w:spacing w:val="0"/>
          <w:sz w:val="24"/>
          <w:szCs w:val="28"/>
          <w14:textFill>
            <w14:solidFill>
              <w14:schemeClr w14:val="tx1"/>
            </w14:solidFill>
          </w14:textFill>
        </w:rPr>
      </w:pPr>
      <w:r>
        <w:rPr>
          <w:rFonts w:hint="default" w:ascii="Times New Roman" w:hAnsi="Times New Roman" w:cs="Times New Roman"/>
          <w:color w:val="000000" w:themeColor="text1"/>
          <w:spacing w:val="0"/>
          <w:sz w:val="24"/>
          <w:szCs w:val="28"/>
          <w14:textFill>
            <w14:solidFill>
              <w14:schemeClr w14:val="tx1"/>
            </w14:solidFill>
          </w14:textFill>
        </w:rPr>
        <w:t>淮南市凤台县年平均风速2.2m/s，月平均风速3月份相对较大为2.6m/s，10月份相对较小为1.8m/s。淮南市凤台县累年平均风速统计见下表。</w:t>
      </w:r>
    </w:p>
    <w:p w14:paraId="7BA008B8">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表5.2-5淮南市凤台县2004-2023年平均风速的月变化</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8"/>
        <w:gridCol w:w="576"/>
        <w:gridCol w:w="714"/>
        <w:gridCol w:w="582"/>
        <w:gridCol w:w="584"/>
        <w:gridCol w:w="584"/>
        <w:gridCol w:w="582"/>
        <w:gridCol w:w="723"/>
        <w:gridCol w:w="723"/>
        <w:gridCol w:w="582"/>
        <w:gridCol w:w="656"/>
        <w:gridCol w:w="656"/>
        <w:gridCol w:w="656"/>
        <w:gridCol w:w="712"/>
      </w:tblGrid>
      <w:tr w14:paraId="552C16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Align w:val="center"/>
          </w:tcPr>
          <w:p w14:paraId="7B48FF6B">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月份</w:t>
            </w:r>
          </w:p>
        </w:tc>
        <w:tc>
          <w:tcPr>
            <w:tcW w:w="310" w:type="pct"/>
            <w:vAlign w:val="center"/>
          </w:tcPr>
          <w:p w14:paraId="0D02584F">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1月</w:t>
            </w:r>
          </w:p>
        </w:tc>
        <w:tc>
          <w:tcPr>
            <w:tcW w:w="384" w:type="pct"/>
            <w:vAlign w:val="center"/>
          </w:tcPr>
          <w:p w14:paraId="4AFFC242">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2月</w:t>
            </w:r>
          </w:p>
        </w:tc>
        <w:tc>
          <w:tcPr>
            <w:tcW w:w="313" w:type="pct"/>
            <w:vAlign w:val="center"/>
          </w:tcPr>
          <w:p w14:paraId="68BF5ED2">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3月</w:t>
            </w:r>
          </w:p>
        </w:tc>
        <w:tc>
          <w:tcPr>
            <w:tcW w:w="314" w:type="pct"/>
            <w:vAlign w:val="center"/>
          </w:tcPr>
          <w:p w14:paraId="3864AC86">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4月</w:t>
            </w:r>
          </w:p>
        </w:tc>
        <w:tc>
          <w:tcPr>
            <w:tcW w:w="314" w:type="pct"/>
            <w:vAlign w:val="center"/>
          </w:tcPr>
          <w:p w14:paraId="6955856B">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5月</w:t>
            </w:r>
          </w:p>
        </w:tc>
        <w:tc>
          <w:tcPr>
            <w:tcW w:w="313" w:type="pct"/>
            <w:vAlign w:val="center"/>
          </w:tcPr>
          <w:p w14:paraId="70CB1D74">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6月</w:t>
            </w:r>
          </w:p>
        </w:tc>
        <w:tc>
          <w:tcPr>
            <w:tcW w:w="389" w:type="pct"/>
            <w:vAlign w:val="center"/>
          </w:tcPr>
          <w:p w14:paraId="24E79E89">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7月</w:t>
            </w:r>
          </w:p>
        </w:tc>
        <w:tc>
          <w:tcPr>
            <w:tcW w:w="389" w:type="pct"/>
            <w:vAlign w:val="center"/>
          </w:tcPr>
          <w:p w14:paraId="208A6EBF">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8月</w:t>
            </w:r>
          </w:p>
        </w:tc>
        <w:tc>
          <w:tcPr>
            <w:tcW w:w="313" w:type="pct"/>
            <w:vAlign w:val="center"/>
          </w:tcPr>
          <w:p w14:paraId="2AA36408">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9月</w:t>
            </w:r>
          </w:p>
        </w:tc>
        <w:tc>
          <w:tcPr>
            <w:tcW w:w="353" w:type="pct"/>
            <w:vAlign w:val="center"/>
          </w:tcPr>
          <w:p w14:paraId="5AAE00FB">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10月</w:t>
            </w:r>
          </w:p>
        </w:tc>
        <w:tc>
          <w:tcPr>
            <w:tcW w:w="353" w:type="pct"/>
            <w:vAlign w:val="center"/>
          </w:tcPr>
          <w:p w14:paraId="0EEC3123">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11月</w:t>
            </w:r>
          </w:p>
        </w:tc>
        <w:tc>
          <w:tcPr>
            <w:tcW w:w="353" w:type="pct"/>
            <w:vAlign w:val="center"/>
          </w:tcPr>
          <w:p w14:paraId="291C488A">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12月</w:t>
            </w:r>
          </w:p>
        </w:tc>
        <w:tc>
          <w:tcPr>
            <w:tcW w:w="383" w:type="pct"/>
            <w:vAlign w:val="center"/>
          </w:tcPr>
          <w:p w14:paraId="6EEC4E7E">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全年</w:t>
            </w:r>
          </w:p>
        </w:tc>
      </w:tr>
      <w:tr w14:paraId="340D3E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Align w:val="center"/>
          </w:tcPr>
          <w:p w14:paraId="1C5D5A1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风速m/s</w:t>
            </w:r>
          </w:p>
        </w:tc>
        <w:tc>
          <w:tcPr>
            <w:tcW w:w="310" w:type="pct"/>
            <w:vAlign w:val="center"/>
          </w:tcPr>
          <w:p w14:paraId="0676C62E">
            <w:pPr>
              <w:adjustRightInd w:val="0"/>
              <w:snapToGri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2.2</w:t>
            </w:r>
          </w:p>
        </w:tc>
        <w:tc>
          <w:tcPr>
            <w:tcW w:w="384" w:type="pct"/>
            <w:vAlign w:val="center"/>
          </w:tcPr>
          <w:p w14:paraId="4C15CEEC">
            <w:pPr>
              <w:adjustRightInd w:val="0"/>
              <w:snapToGri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w:t>
            </w:r>
          </w:p>
        </w:tc>
        <w:tc>
          <w:tcPr>
            <w:tcW w:w="313" w:type="pct"/>
            <w:vAlign w:val="center"/>
          </w:tcPr>
          <w:p w14:paraId="1457DF5F">
            <w:pPr>
              <w:adjustRightInd w:val="0"/>
              <w:snapToGri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2.6</w:t>
            </w:r>
          </w:p>
        </w:tc>
        <w:tc>
          <w:tcPr>
            <w:tcW w:w="314" w:type="pct"/>
            <w:vAlign w:val="center"/>
          </w:tcPr>
          <w:p w14:paraId="1E68A0BF">
            <w:pPr>
              <w:adjustRightInd w:val="0"/>
              <w:snapToGri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w:t>
            </w:r>
          </w:p>
        </w:tc>
        <w:tc>
          <w:tcPr>
            <w:tcW w:w="314" w:type="pct"/>
            <w:vAlign w:val="center"/>
          </w:tcPr>
          <w:p w14:paraId="7C914128">
            <w:pPr>
              <w:adjustRightInd w:val="0"/>
              <w:snapToGri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2.4</w:t>
            </w:r>
          </w:p>
        </w:tc>
        <w:tc>
          <w:tcPr>
            <w:tcW w:w="313" w:type="pct"/>
            <w:vAlign w:val="center"/>
          </w:tcPr>
          <w:p w14:paraId="5BE66605">
            <w:pPr>
              <w:adjustRightInd w:val="0"/>
              <w:snapToGri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2.3</w:t>
            </w:r>
          </w:p>
        </w:tc>
        <w:tc>
          <w:tcPr>
            <w:tcW w:w="389" w:type="pct"/>
            <w:vAlign w:val="center"/>
          </w:tcPr>
          <w:p w14:paraId="3EC52991">
            <w:pPr>
              <w:adjustRightInd w:val="0"/>
              <w:snapToGri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2.2</w:t>
            </w:r>
          </w:p>
        </w:tc>
        <w:tc>
          <w:tcPr>
            <w:tcW w:w="389" w:type="pct"/>
            <w:vAlign w:val="center"/>
          </w:tcPr>
          <w:p w14:paraId="51B9D73E">
            <w:pPr>
              <w:adjustRightInd w:val="0"/>
              <w:snapToGri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2.1</w:t>
            </w:r>
          </w:p>
        </w:tc>
        <w:tc>
          <w:tcPr>
            <w:tcW w:w="313" w:type="pct"/>
            <w:vAlign w:val="center"/>
          </w:tcPr>
          <w:p w14:paraId="4D3CF3AB">
            <w:pPr>
              <w:adjustRightInd w:val="0"/>
              <w:snapToGri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1.9</w:t>
            </w:r>
          </w:p>
        </w:tc>
        <w:tc>
          <w:tcPr>
            <w:tcW w:w="353" w:type="pct"/>
            <w:vAlign w:val="center"/>
          </w:tcPr>
          <w:p w14:paraId="34506DFB">
            <w:pPr>
              <w:adjustRightInd w:val="0"/>
              <w:snapToGri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1.8</w:t>
            </w:r>
          </w:p>
        </w:tc>
        <w:tc>
          <w:tcPr>
            <w:tcW w:w="353" w:type="pct"/>
            <w:vAlign w:val="center"/>
          </w:tcPr>
          <w:p w14:paraId="67538331">
            <w:pPr>
              <w:adjustRightInd w:val="0"/>
              <w:snapToGri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2.1</w:t>
            </w:r>
          </w:p>
        </w:tc>
        <w:tc>
          <w:tcPr>
            <w:tcW w:w="353" w:type="pct"/>
            <w:vAlign w:val="center"/>
          </w:tcPr>
          <w:p w14:paraId="109E25F7">
            <w:pPr>
              <w:adjustRightInd w:val="0"/>
              <w:snapToGri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2.1</w:t>
            </w:r>
          </w:p>
        </w:tc>
        <w:tc>
          <w:tcPr>
            <w:tcW w:w="383" w:type="pct"/>
            <w:vAlign w:val="center"/>
          </w:tcPr>
          <w:p w14:paraId="1CF441BD">
            <w:pPr>
              <w:adjustRightInd w:val="0"/>
              <w:snapToGri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2.2</w:t>
            </w:r>
          </w:p>
        </w:tc>
      </w:tr>
    </w:tbl>
    <w:p w14:paraId="0B7CFFBF">
      <w:pPr>
        <w:spacing w:line="360" w:lineRule="auto"/>
        <w:ind w:firstLine="480"/>
        <w:rPr>
          <w:rFonts w:hint="default" w:ascii="Times New Roman" w:hAnsi="Times New Roman" w:cs="Times New Roman"/>
          <w:color w:val="000000" w:themeColor="text1"/>
          <w:spacing w:val="0"/>
          <w:sz w:val="24"/>
          <w:szCs w:val="28"/>
          <w14:textFill>
            <w14:solidFill>
              <w14:schemeClr w14:val="tx1"/>
            </w14:solidFill>
          </w14:textFill>
        </w:rPr>
      </w:pPr>
      <w:r>
        <w:rPr>
          <w:rFonts w:hint="default" w:ascii="Times New Roman" w:hAnsi="Times New Roman" w:cs="Times New Roman"/>
          <w:color w:val="000000" w:themeColor="text1"/>
          <w:spacing w:val="0"/>
          <w:sz w:val="24"/>
          <w:szCs w:val="28"/>
          <w14:textFill>
            <w14:solidFill>
              <w14:schemeClr w14:val="tx1"/>
            </w14:solidFill>
          </w14:textFill>
        </w:rPr>
        <w:t>（5）风频</w:t>
      </w:r>
    </w:p>
    <w:p w14:paraId="7DDE3C8B">
      <w:pPr>
        <w:spacing w:line="360" w:lineRule="auto"/>
        <w:ind w:firstLine="480"/>
        <w:rPr>
          <w:rFonts w:hint="default" w:ascii="Times New Roman" w:hAnsi="Times New Roman" w:cs="Times New Roman"/>
          <w:color w:val="000000" w:themeColor="text1"/>
          <w:spacing w:val="0"/>
          <w:sz w:val="24"/>
          <w:szCs w:val="28"/>
          <w14:textFill>
            <w14:solidFill>
              <w14:schemeClr w14:val="tx1"/>
            </w14:solidFill>
          </w14:textFill>
        </w:rPr>
        <w:sectPr>
          <w:footerReference r:id="rId12" w:type="default"/>
          <w:pgSz w:w="11906" w:h="16838"/>
          <w:pgMar w:top="1440" w:right="1417" w:bottom="1440" w:left="1417" w:header="851" w:footer="992" w:gutter="0"/>
          <w:pgBorders>
            <w:top w:val="none" w:sz="0" w:space="0"/>
            <w:left w:val="none" w:sz="0" w:space="0"/>
            <w:bottom w:val="none" w:sz="0" w:space="0"/>
            <w:right w:val="none" w:sz="0" w:space="0"/>
          </w:pgBorders>
          <w:pgNumType w:fmt="decimal"/>
          <w:cols w:space="720" w:num="1"/>
          <w:docGrid w:type="lines" w:linePitch="326" w:charSpace="0"/>
        </w:sectPr>
      </w:pPr>
      <w:r>
        <w:rPr>
          <w:rFonts w:hint="default" w:ascii="Times New Roman" w:hAnsi="Times New Roman" w:cs="Times New Roman"/>
          <w:color w:val="000000" w:themeColor="text1"/>
          <w:spacing w:val="0"/>
          <w:sz w:val="24"/>
          <w:szCs w:val="28"/>
          <w14:textFill>
            <w14:solidFill>
              <w14:schemeClr w14:val="tx1"/>
            </w14:solidFill>
          </w14:textFill>
        </w:rPr>
        <w:t>淮南市凤台县累年风频最多的是E，频率为13.8%；其次是ESE，频率为8.3%，SW、NW最少，频率为4.4%。淮南市凤台县累年风频统计见下表和风频玫瑰图见下图。</w:t>
      </w:r>
    </w:p>
    <w:p w14:paraId="28BE103A">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表5.2-6淮南市凤台县2004-2023年平均风频的月变化(%)</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6"/>
        <w:gridCol w:w="709"/>
        <w:gridCol w:w="802"/>
        <w:gridCol w:w="709"/>
        <w:gridCol w:w="788"/>
        <w:gridCol w:w="833"/>
        <w:gridCol w:w="833"/>
        <w:gridCol w:w="709"/>
        <w:gridCol w:w="717"/>
        <w:gridCol w:w="709"/>
        <w:gridCol w:w="802"/>
        <w:gridCol w:w="709"/>
        <w:gridCol w:w="918"/>
        <w:gridCol w:w="709"/>
        <w:gridCol w:w="961"/>
        <w:gridCol w:w="709"/>
        <w:gridCol w:w="890"/>
        <w:gridCol w:w="831"/>
      </w:tblGrid>
      <w:tr w14:paraId="267EE8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14:paraId="5FEC815C">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月份</w:t>
            </w:r>
          </w:p>
        </w:tc>
        <w:tc>
          <w:tcPr>
            <w:tcW w:w="250" w:type="pct"/>
            <w:vAlign w:val="center"/>
          </w:tcPr>
          <w:p w14:paraId="5926880D">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N</w:t>
            </w:r>
          </w:p>
        </w:tc>
        <w:tc>
          <w:tcPr>
            <w:tcW w:w="283" w:type="pct"/>
            <w:vAlign w:val="center"/>
          </w:tcPr>
          <w:p w14:paraId="6E55014C">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NNE</w:t>
            </w:r>
          </w:p>
        </w:tc>
        <w:tc>
          <w:tcPr>
            <w:tcW w:w="250" w:type="pct"/>
            <w:vAlign w:val="center"/>
          </w:tcPr>
          <w:p w14:paraId="7CCF8AA0">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NE</w:t>
            </w:r>
          </w:p>
        </w:tc>
        <w:tc>
          <w:tcPr>
            <w:tcW w:w="278" w:type="pct"/>
            <w:vAlign w:val="center"/>
          </w:tcPr>
          <w:p w14:paraId="08441DC3">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ENE</w:t>
            </w:r>
          </w:p>
        </w:tc>
        <w:tc>
          <w:tcPr>
            <w:tcW w:w="294" w:type="pct"/>
            <w:vAlign w:val="center"/>
          </w:tcPr>
          <w:p w14:paraId="06667C7F">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E</w:t>
            </w:r>
          </w:p>
        </w:tc>
        <w:tc>
          <w:tcPr>
            <w:tcW w:w="294" w:type="pct"/>
            <w:vAlign w:val="center"/>
          </w:tcPr>
          <w:p w14:paraId="4B437214">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ESE</w:t>
            </w:r>
          </w:p>
        </w:tc>
        <w:tc>
          <w:tcPr>
            <w:tcW w:w="250" w:type="pct"/>
            <w:vAlign w:val="center"/>
          </w:tcPr>
          <w:p w14:paraId="216DC09E">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SE</w:t>
            </w:r>
          </w:p>
        </w:tc>
        <w:tc>
          <w:tcPr>
            <w:tcW w:w="253" w:type="pct"/>
            <w:vAlign w:val="center"/>
          </w:tcPr>
          <w:p w14:paraId="5261C50A">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SSE</w:t>
            </w:r>
          </w:p>
        </w:tc>
        <w:tc>
          <w:tcPr>
            <w:tcW w:w="250" w:type="pct"/>
            <w:vAlign w:val="center"/>
          </w:tcPr>
          <w:p w14:paraId="6AC32F7A">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S</w:t>
            </w:r>
          </w:p>
        </w:tc>
        <w:tc>
          <w:tcPr>
            <w:tcW w:w="283" w:type="pct"/>
            <w:vAlign w:val="center"/>
          </w:tcPr>
          <w:p w14:paraId="226D0960">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SSW</w:t>
            </w:r>
          </w:p>
        </w:tc>
        <w:tc>
          <w:tcPr>
            <w:tcW w:w="250" w:type="pct"/>
            <w:vAlign w:val="center"/>
          </w:tcPr>
          <w:p w14:paraId="6786965C">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SW</w:t>
            </w:r>
          </w:p>
        </w:tc>
        <w:tc>
          <w:tcPr>
            <w:tcW w:w="324" w:type="pct"/>
            <w:vAlign w:val="center"/>
          </w:tcPr>
          <w:p w14:paraId="08D0DA68">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WSW</w:t>
            </w:r>
          </w:p>
        </w:tc>
        <w:tc>
          <w:tcPr>
            <w:tcW w:w="250" w:type="pct"/>
            <w:vAlign w:val="center"/>
          </w:tcPr>
          <w:p w14:paraId="43DCEBA2">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W</w:t>
            </w:r>
          </w:p>
        </w:tc>
        <w:tc>
          <w:tcPr>
            <w:tcW w:w="339" w:type="pct"/>
            <w:vAlign w:val="center"/>
          </w:tcPr>
          <w:p w14:paraId="4D187F63">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WNW</w:t>
            </w:r>
          </w:p>
        </w:tc>
        <w:tc>
          <w:tcPr>
            <w:tcW w:w="250" w:type="pct"/>
            <w:vAlign w:val="center"/>
          </w:tcPr>
          <w:p w14:paraId="4B8AB0DD">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NW</w:t>
            </w:r>
          </w:p>
        </w:tc>
        <w:tc>
          <w:tcPr>
            <w:tcW w:w="314" w:type="pct"/>
            <w:vAlign w:val="center"/>
          </w:tcPr>
          <w:p w14:paraId="44B9BA5F">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NNW</w:t>
            </w:r>
          </w:p>
        </w:tc>
        <w:tc>
          <w:tcPr>
            <w:tcW w:w="293" w:type="pct"/>
            <w:vAlign w:val="center"/>
          </w:tcPr>
          <w:p w14:paraId="7FF271FF">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C</w:t>
            </w:r>
          </w:p>
        </w:tc>
      </w:tr>
      <w:tr w14:paraId="2A67BA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14:paraId="2C2080A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1月</w:t>
            </w:r>
          </w:p>
        </w:tc>
        <w:tc>
          <w:tcPr>
            <w:tcW w:w="250" w:type="pct"/>
            <w:vAlign w:val="center"/>
          </w:tcPr>
          <w:p w14:paraId="403A61C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83" w:type="pct"/>
            <w:vAlign w:val="center"/>
          </w:tcPr>
          <w:p w14:paraId="7BAB18F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50" w:type="pct"/>
            <w:vAlign w:val="center"/>
          </w:tcPr>
          <w:p w14:paraId="5F696A0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278" w:type="pct"/>
            <w:vAlign w:val="center"/>
          </w:tcPr>
          <w:p w14:paraId="252E3E7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294" w:type="pct"/>
            <w:vAlign w:val="center"/>
          </w:tcPr>
          <w:p w14:paraId="29FD1A6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13</w:t>
            </w:r>
          </w:p>
        </w:tc>
        <w:tc>
          <w:tcPr>
            <w:tcW w:w="294" w:type="pct"/>
            <w:vAlign w:val="center"/>
          </w:tcPr>
          <w:p w14:paraId="58B82DE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250" w:type="pct"/>
            <w:vAlign w:val="center"/>
          </w:tcPr>
          <w:p w14:paraId="08885F6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3" w:type="pct"/>
            <w:vAlign w:val="center"/>
          </w:tcPr>
          <w:p w14:paraId="141BC09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250" w:type="pct"/>
            <w:vAlign w:val="center"/>
          </w:tcPr>
          <w:p w14:paraId="4806FFD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83" w:type="pct"/>
            <w:vAlign w:val="center"/>
          </w:tcPr>
          <w:p w14:paraId="4EBB557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6FB94D2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324" w:type="pct"/>
            <w:vAlign w:val="center"/>
          </w:tcPr>
          <w:p w14:paraId="3816B17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3CEBEE8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339" w:type="pct"/>
            <w:vAlign w:val="center"/>
          </w:tcPr>
          <w:p w14:paraId="0EA5FBC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0" w:type="pct"/>
            <w:vAlign w:val="center"/>
          </w:tcPr>
          <w:p w14:paraId="0AC3BBF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314" w:type="pct"/>
            <w:vAlign w:val="center"/>
          </w:tcPr>
          <w:p w14:paraId="6E87E18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93" w:type="pct"/>
            <w:vAlign w:val="center"/>
          </w:tcPr>
          <w:p w14:paraId="3EBB4ED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r>
      <w:tr w14:paraId="7A34E1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14:paraId="3A793BB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2月</w:t>
            </w:r>
          </w:p>
        </w:tc>
        <w:tc>
          <w:tcPr>
            <w:tcW w:w="250" w:type="pct"/>
            <w:vAlign w:val="center"/>
          </w:tcPr>
          <w:p w14:paraId="1A95227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83" w:type="pct"/>
            <w:vAlign w:val="center"/>
          </w:tcPr>
          <w:p w14:paraId="7BFD93D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0" w:type="pct"/>
            <w:vAlign w:val="center"/>
          </w:tcPr>
          <w:p w14:paraId="02D4E2B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278" w:type="pct"/>
            <w:vAlign w:val="center"/>
          </w:tcPr>
          <w:p w14:paraId="7D3E632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294" w:type="pct"/>
            <w:vAlign w:val="center"/>
          </w:tcPr>
          <w:p w14:paraId="3D33026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16</w:t>
            </w:r>
          </w:p>
        </w:tc>
        <w:tc>
          <w:tcPr>
            <w:tcW w:w="294" w:type="pct"/>
            <w:vAlign w:val="center"/>
          </w:tcPr>
          <w:p w14:paraId="5F47535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c>
          <w:tcPr>
            <w:tcW w:w="250" w:type="pct"/>
            <w:vAlign w:val="center"/>
          </w:tcPr>
          <w:p w14:paraId="106DE9B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253" w:type="pct"/>
            <w:vAlign w:val="center"/>
          </w:tcPr>
          <w:p w14:paraId="3A4B5AF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3571759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83" w:type="pct"/>
            <w:vAlign w:val="center"/>
          </w:tcPr>
          <w:p w14:paraId="32BC152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1AFD665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324" w:type="pct"/>
            <w:vAlign w:val="center"/>
          </w:tcPr>
          <w:p w14:paraId="610381E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250" w:type="pct"/>
            <w:vAlign w:val="center"/>
          </w:tcPr>
          <w:p w14:paraId="4E4D95F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339" w:type="pct"/>
            <w:vAlign w:val="center"/>
          </w:tcPr>
          <w:p w14:paraId="3B7AFE9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250" w:type="pct"/>
            <w:vAlign w:val="center"/>
          </w:tcPr>
          <w:p w14:paraId="20DDF46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314" w:type="pct"/>
            <w:vAlign w:val="center"/>
          </w:tcPr>
          <w:p w14:paraId="133E5F0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93" w:type="pct"/>
            <w:vAlign w:val="center"/>
          </w:tcPr>
          <w:p w14:paraId="55161D8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r>
      <w:tr w14:paraId="2B7D5F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14:paraId="6F3F394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3月</w:t>
            </w:r>
          </w:p>
        </w:tc>
        <w:tc>
          <w:tcPr>
            <w:tcW w:w="250" w:type="pct"/>
            <w:vAlign w:val="center"/>
          </w:tcPr>
          <w:p w14:paraId="3B92277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83" w:type="pct"/>
            <w:vAlign w:val="center"/>
          </w:tcPr>
          <w:p w14:paraId="344922E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19B9720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78" w:type="pct"/>
            <w:vAlign w:val="center"/>
          </w:tcPr>
          <w:p w14:paraId="3C969AC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c>
          <w:tcPr>
            <w:tcW w:w="294" w:type="pct"/>
            <w:vAlign w:val="center"/>
          </w:tcPr>
          <w:p w14:paraId="6116315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c>
          <w:tcPr>
            <w:tcW w:w="294" w:type="pct"/>
            <w:vAlign w:val="center"/>
          </w:tcPr>
          <w:p w14:paraId="358A805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w:t>
            </w:r>
          </w:p>
        </w:tc>
        <w:tc>
          <w:tcPr>
            <w:tcW w:w="250" w:type="pct"/>
            <w:vAlign w:val="center"/>
          </w:tcPr>
          <w:p w14:paraId="7F4C0E2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253" w:type="pct"/>
            <w:vAlign w:val="center"/>
          </w:tcPr>
          <w:p w14:paraId="672B0F0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50" w:type="pct"/>
            <w:vAlign w:val="center"/>
          </w:tcPr>
          <w:p w14:paraId="66F2330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83" w:type="pct"/>
            <w:vAlign w:val="center"/>
          </w:tcPr>
          <w:p w14:paraId="2308842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50" w:type="pct"/>
            <w:vAlign w:val="center"/>
          </w:tcPr>
          <w:p w14:paraId="35F728A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324" w:type="pct"/>
            <w:vAlign w:val="center"/>
          </w:tcPr>
          <w:p w14:paraId="644AADB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0E1A3C0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339" w:type="pct"/>
            <w:vAlign w:val="center"/>
          </w:tcPr>
          <w:p w14:paraId="72A7656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38E3145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314" w:type="pct"/>
            <w:vAlign w:val="center"/>
          </w:tcPr>
          <w:p w14:paraId="40DC58C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93" w:type="pct"/>
            <w:vAlign w:val="center"/>
          </w:tcPr>
          <w:p w14:paraId="518E363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r>
      <w:tr w14:paraId="48AE77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14:paraId="317BDD4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4月</w:t>
            </w:r>
          </w:p>
        </w:tc>
        <w:tc>
          <w:tcPr>
            <w:tcW w:w="250" w:type="pct"/>
            <w:vAlign w:val="center"/>
          </w:tcPr>
          <w:p w14:paraId="60BB694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83" w:type="pct"/>
            <w:vAlign w:val="center"/>
          </w:tcPr>
          <w:p w14:paraId="5BF18DB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1494667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78" w:type="pct"/>
            <w:vAlign w:val="center"/>
          </w:tcPr>
          <w:p w14:paraId="20D8754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w:t>
            </w:r>
          </w:p>
        </w:tc>
        <w:tc>
          <w:tcPr>
            <w:tcW w:w="294" w:type="pct"/>
            <w:vAlign w:val="center"/>
          </w:tcPr>
          <w:p w14:paraId="1200D96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294" w:type="pct"/>
            <w:vAlign w:val="center"/>
          </w:tcPr>
          <w:p w14:paraId="4FCDE6B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w:t>
            </w:r>
          </w:p>
        </w:tc>
        <w:tc>
          <w:tcPr>
            <w:tcW w:w="250" w:type="pct"/>
            <w:vAlign w:val="center"/>
          </w:tcPr>
          <w:p w14:paraId="3A70C22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253" w:type="pct"/>
            <w:vAlign w:val="center"/>
          </w:tcPr>
          <w:p w14:paraId="5342471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50" w:type="pct"/>
            <w:vAlign w:val="center"/>
          </w:tcPr>
          <w:p w14:paraId="1B9143C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283" w:type="pct"/>
            <w:vAlign w:val="center"/>
          </w:tcPr>
          <w:p w14:paraId="0022F2F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250" w:type="pct"/>
            <w:vAlign w:val="center"/>
          </w:tcPr>
          <w:p w14:paraId="3D8C49B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324" w:type="pct"/>
            <w:vAlign w:val="center"/>
          </w:tcPr>
          <w:p w14:paraId="15E176B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23A0DF0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339" w:type="pct"/>
            <w:vAlign w:val="center"/>
          </w:tcPr>
          <w:p w14:paraId="3E007A0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0" w:type="pct"/>
            <w:vAlign w:val="center"/>
          </w:tcPr>
          <w:p w14:paraId="1AB88B1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314" w:type="pct"/>
            <w:vAlign w:val="center"/>
          </w:tcPr>
          <w:p w14:paraId="099085E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93" w:type="pct"/>
            <w:vAlign w:val="center"/>
          </w:tcPr>
          <w:p w14:paraId="3E720AF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r>
      <w:tr w14:paraId="102869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14:paraId="23BADD7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5月</w:t>
            </w:r>
          </w:p>
        </w:tc>
        <w:tc>
          <w:tcPr>
            <w:tcW w:w="250" w:type="pct"/>
            <w:vAlign w:val="center"/>
          </w:tcPr>
          <w:p w14:paraId="0830727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83" w:type="pct"/>
            <w:vAlign w:val="center"/>
          </w:tcPr>
          <w:p w14:paraId="2E27358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250" w:type="pct"/>
            <w:vAlign w:val="center"/>
          </w:tcPr>
          <w:p w14:paraId="3F7C614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78" w:type="pct"/>
            <w:vAlign w:val="center"/>
          </w:tcPr>
          <w:p w14:paraId="7E0122B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294" w:type="pct"/>
            <w:vAlign w:val="center"/>
          </w:tcPr>
          <w:p w14:paraId="513F766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w:t>
            </w:r>
          </w:p>
        </w:tc>
        <w:tc>
          <w:tcPr>
            <w:tcW w:w="294" w:type="pct"/>
            <w:vAlign w:val="center"/>
          </w:tcPr>
          <w:p w14:paraId="42559B2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c>
          <w:tcPr>
            <w:tcW w:w="250" w:type="pct"/>
            <w:vAlign w:val="center"/>
          </w:tcPr>
          <w:p w14:paraId="2877F9A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253" w:type="pct"/>
            <w:vAlign w:val="center"/>
          </w:tcPr>
          <w:p w14:paraId="077D32B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250" w:type="pct"/>
            <w:vAlign w:val="center"/>
          </w:tcPr>
          <w:p w14:paraId="708F1E2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283" w:type="pct"/>
            <w:vAlign w:val="center"/>
          </w:tcPr>
          <w:p w14:paraId="23186B0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250" w:type="pct"/>
            <w:vAlign w:val="center"/>
          </w:tcPr>
          <w:p w14:paraId="1530C5D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324" w:type="pct"/>
            <w:vAlign w:val="center"/>
          </w:tcPr>
          <w:p w14:paraId="6A1EA95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0" w:type="pct"/>
            <w:vAlign w:val="center"/>
          </w:tcPr>
          <w:p w14:paraId="0B71FCA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339" w:type="pct"/>
            <w:vAlign w:val="center"/>
          </w:tcPr>
          <w:p w14:paraId="37E0214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45DDEDB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314" w:type="pct"/>
            <w:vAlign w:val="center"/>
          </w:tcPr>
          <w:p w14:paraId="22BDD6B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93" w:type="pct"/>
            <w:vAlign w:val="center"/>
          </w:tcPr>
          <w:p w14:paraId="2E57F88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r>
      <w:tr w14:paraId="286C80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14:paraId="585607F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6月</w:t>
            </w:r>
          </w:p>
        </w:tc>
        <w:tc>
          <w:tcPr>
            <w:tcW w:w="250" w:type="pct"/>
            <w:vAlign w:val="center"/>
          </w:tcPr>
          <w:p w14:paraId="11E313B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283" w:type="pct"/>
            <w:vAlign w:val="center"/>
          </w:tcPr>
          <w:p w14:paraId="2CE5328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250" w:type="pct"/>
            <w:vAlign w:val="center"/>
          </w:tcPr>
          <w:p w14:paraId="74115AA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278" w:type="pct"/>
            <w:vAlign w:val="center"/>
          </w:tcPr>
          <w:p w14:paraId="22E42A4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294" w:type="pct"/>
            <w:vAlign w:val="center"/>
          </w:tcPr>
          <w:p w14:paraId="6505C38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14</w:t>
            </w:r>
          </w:p>
        </w:tc>
        <w:tc>
          <w:tcPr>
            <w:tcW w:w="294" w:type="pct"/>
            <w:vAlign w:val="center"/>
          </w:tcPr>
          <w:p w14:paraId="13E7614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w:t>
            </w:r>
          </w:p>
        </w:tc>
        <w:tc>
          <w:tcPr>
            <w:tcW w:w="250" w:type="pct"/>
            <w:vAlign w:val="center"/>
          </w:tcPr>
          <w:p w14:paraId="19AD0C6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13</w:t>
            </w:r>
          </w:p>
        </w:tc>
        <w:tc>
          <w:tcPr>
            <w:tcW w:w="253" w:type="pct"/>
            <w:vAlign w:val="center"/>
          </w:tcPr>
          <w:p w14:paraId="0481575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250" w:type="pct"/>
            <w:vAlign w:val="center"/>
          </w:tcPr>
          <w:p w14:paraId="1724843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283" w:type="pct"/>
            <w:vAlign w:val="center"/>
          </w:tcPr>
          <w:p w14:paraId="4FEBB07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250" w:type="pct"/>
            <w:vAlign w:val="center"/>
          </w:tcPr>
          <w:p w14:paraId="5468B40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324" w:type="pct"/>
            <w:vAlign w:val="center"/>
          </w:tcPr>
          <w:p w14:paraId="48A6BEE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0" w:type="pct"/>
            <w:vAlign w:val="center"/>
          </w:tcPr>
          <w:p w14:paraId="2DD96B1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339" w:type="pct"/>
            <w:vAlign w:val="center"/>
          </w:tcPr>
          <w:p w14:paraId="4A5E362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250" w:type="pct"/>
            <w:vAlign w:val="center"/>
          </w:tcPr>
          <w:p w14:paraId="019C4CF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314" w:type="pct"/>
            <w:vAlign w:val="center"/>
          </w:tcPr>
          <w:p w14:paraId="73D4804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293" w:type="pct"/>
            <w:vAlign w:val="center"/>
          </w:tcPr>
          <w:p w14:paraId="5048F6D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r>
      <w:tr w14:paraId="26275F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14:paraId="756857A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7月</w:t>
            </w:r>
          </w:p>
        </w:tc>
        <w:tc>
          <w:tcPr>
            <w:tcW w:w="250" w:type="pct"/>
            <w:vAlign w:val="center"/>
          </w:tcPr>
          <w:p w14:paraId="4797BE7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283" w:type="pct"/>
            <w:vAlign w:val="center"/>
          </w:tcPr>
          <w:p w14:paraId="42BF9E1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250" w:type="pct"/>
            <w:vAlign w:val="center"/>
          </w:tcPr>
          <w:p w14:paraId="375A531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78" w:type="pct"/>
            <w:vAlign w:val="center"/>
          </w:tcPr>
          <w:p w14:paraId="241023F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w:t>
            </w:r>
          </w:p>
        </w:tc>
        <w:tc>
          <w:tcPr>
            <w:tcW w:w="294" w:type="pct"/>
            <w:vAlign w:val="center"/>
          </w:tcPr>
          <w:p w14:paraId="4A81A34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294" w:type="pct"/>
            <w:vAlign w:val="center"/>
          </w:tcPr>
          <w:p w14:paraId="53F194A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250" w:type="pct"/>
            <w:vAlign w:val="center"/>
          </w:tcPr>
          <w:p w14:paraId="3A99797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w:t>
            </w:r>
          </w:p>
        </w:tc>
        <w:tc>
          <w:tcPr>
            <w:tcW w:w="253" w:type="pct"/>
            <w:vAlign w:val="center"/>
          </w:tcPr>
          <w:p w14:paraId="7258EDC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250" w:type="pct"/>
            <w:vAlign w:val="center"/>
          </w:tcPr>
          <w:p w14:paraId="0B6437D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w:t>
            </w:r>
          </w:p>
        </w:tc>
        <w:tc>
          <w:tcPr>
            <w:tcW w:w="283" w:type="pct"/>
            <w:vAlign w:val="center"/>
          </w:tcPr>
          <w:p w14:paraId="1100FA9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250" w:type="pct"/>
            <w:vAlign w:val="center"/>
          </w:tcPr>
          <w:p w14:paraId="629A837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324" w:type="pct"/>
            <w:vAlign w:val="center"/>
          </w:tcPr>
          <w:p w14:paraId="20F4D3C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0" w:type="pct"/>
            <w:vAlign w:val="center"/>
          </w:tcPr>
          <w:p w14:paraId="4A5506B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339" w:type="pct"/>
            <w:vAlign w:val="center"/>
          </w:tcPr>
          <w:p w14:paraId="34FB272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24892BB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314" w:type="pct"/>
            <w:vAlign w:val="center"/>
          </w:tcPr>
          <w:p w14:paraId="746AFE6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293" w:type="pct"/>
            <w:vAlign w:val="center"/>
          </w:tcPr>
          <w:p w14:paraId="22AB3E5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r>
      <w:tr w14:paraId="5E17C6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14:paraId="29170DB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8月</w:t>
            </w:r>
          </w:p>
        </w:tc>
        <w:tc>
          <w:tcPr>
            <w:tcW w:w="250" w:type="pct"/>
            <w:vAlign w:val="center"/>
          </w:tcPr>
          <w:p w14:paraId="021E92F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83" w:type="pct"/>
            <w:vAlign w:val="center"/>
          </w:tcPr>
          <w:p w14:paraId="7B49002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50" w:type="pct"/>
            <w:vAlign w:val="center"/>
          </w:tcPr>
          <w:p w14:paraId="729CF1C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278" w:type="pct"/>
            <w:vAlign w:val="center"/>
          </w:tcPr>
          <w:p w14:paraId="5232688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14</w:t>
            </w:r>
          </w:p>
        </w:tc>
        <w:tc>
          <w:tcPr>
            <w:tcW w:w="294" w:type="pct"/>
            <w:vAlign w:val="center"/>
          </w:tcPr>
          <w:p w14:paraId="598410F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16</w:t>
            </w:r>
          </w:p>
        </w:tc>
        <w:tc>
          <w:tcPr>
            <w:tcW w:w="294" w:type="pct"/>
            <w:vAlign w:val="center"/>
          </w:tcPr>
          <w:p w14:paraId="52C6DE4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50" w:type="pct"/>
            <w:vAlign w:val="center"/>
          </w:tcPr>
          <w:p w14:paraId="5EC3B22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3" w:type="pct"/>
            <w:vAlign w:val="center"/>
          </w:tcPr>
          <w:p w14:paraId="3CAF6F2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0" w:type="pct"/>
            <w:vAlign w:val="center"/>
          </w:tcPr>
          <w:p w14:paraId="5CBC125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83" w:type="pct"/>
            <w:vAlign w:val="center"/>
          </w:tcPr>
          <w:p w14:paraId="3606D6C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4119A28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324" w:type="pct"/>
            <w:vAlign w:val="center"/>
          </w:tcPr>
          <w:p w14:paraId="2D042CA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250" w:type="pct"/>
            <w:vAlign w:val="center"/>
          </w:tcPr>
          <w:p w14:paraId="4642502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339" w:type="pct"/>
            <w:vAlign w:val="center"/>
          </w:tcPr>
          <w:p w14:paraId="74BB65E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0" w:type="pct"/>
            <w:vAlign w:val="center"/>
          </w:tcPr>
          <w:p w14:paraId="5C7A102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314" w:type="pct"/>
            <w:vAlign w:val="center"/>
          </w:tcPr>
          <w:p w14:paraId="7C58FA3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93" w:type="pct"/>
            <w:vAlign w:val="center"/>
          </w:tcPr>
          <w:p w14:paraId="177777D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r>
      <w:tr w14:paraId="2A8380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14:paraId="6162B78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9月</w:t>
            </w:r>
          </w:p>
        </w:tc>
        <w:tc>
          <w:tcPr>
            <w:tcW w:w="250" w:type="pct"/>
            <w:vAlign w:val="center"/>
          </w:tcPr>
          <w:p w14:paraId="65CF17D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83" w:type="pct"/>
            <w:vAlign w:val="center"/>
          </w:tcPr>
          <w:p w14:paraId="00DEB39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50" w:type="pct"/>
            <w:vAlign w:val="center"/>
          </w:tcPr>
          <w:p w14:paraId="5095C3B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w:t>
            </w:r>
          </w:p>
        </w:tc>
        <w:tc>
          <w:tcPr>
            <w:tcW w:w="278" w:type="pct"/>
            <w:vAlign w:val="center"/>
          </w:tcPr>
          <w:p w14:paraId="31EF215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c>
          <w:tcPr>
            <w:tcW w:w="294" w:type="pct"/>
            <w:vAlign w:val="center"/>
          </w:tcPr>
          <w:p w14:paraId="4171408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18</w:t>
            </w:r>
          </w:p>
        </w:tc>
        <w:tc>
          <w:tcPr>
            <w:tcW w:w="294" w:type="pct"/>
            <w:vAlign w:val="center"/>
          </w:tcPr>
          <w:p w14:paraId="7EF0EE4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250" w:type="pct"/>
            <w:vAlign w:val="center"/>
          </w:tcPr>
          <w:p w14:paraId="19E416D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3" w:type="pct"/>
            <w:vAlign w:val="center"/>
          </w:tcPr>
          <w:p w14:paraId="25091AB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250" w:type="pct"/>
            <w:vAlign w:val="center"/>
          </w:tcPr>
          <w:p w14:paraId="4BC3504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283" w:type="pct"/>
            <w:vAlign w:val="center"/>
          </w:tcPr>
          <w:p w14:paraId="73A2C1B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250" w:type="pct"/>
            <w:vAlign w:val="center"/>
          </w:tcPr>
          <w:p w14:paraId="0D1B556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324" w:type="pct"/>
            <w:vAlign w:val="center"/>
          </w:tcPr>
          <w:p w14:paraId="4A79FF1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250" w:type="pct"/>
            <w:vAlign w:val="center"/>
          </w:tcPr>
          <w:p w14:paraId="62DBCEF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339" w:type="pct"/>
            <w:vAlign w:val="center"/>
          </w:tcPr>
          <w:p w14:paraId="58A06F7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44E584D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314" w:type="pct"/>
            <w:vAlign w:val="center"/>
          </w:tcPr>
          <w:p w14:paraId="21A0985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93" w:type="pct"/>
            <w:vAlign w:val="center"/>
          </w:tcPr>
          <w:p w14:paraId="60E99B9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r>
      <w:tr w14:paraId="4ED75D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14:paraId="16667D9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10月</w:t>
            </w:r>
          </w:p>
        </w:tc>
        <w:tc>
          <w:tcPr>
            <w:tcW w:w="250" w:type="pct"/>
            <w:vAlign w:val="center"/>
          </w:tcPr>
          <w:p w14:paraId="489AC88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83" w:type="pct"/>
            <w:vAlign w:val="center"/>
          </w:tcPr>
          <w:p w14:paraId="0B4018F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50" w:type="pct"/>
            <w:vAlign w:val="center"/>
          </w:tcPr>
          <w:p w14:paraId="44E77AC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278" w:type="pct"/>
            <w:vAlign w:val="center"/>
          </w:tcPr>
          <w:p w14:paraId="0F4B3EF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294" w:type="pct"/>
            <w:vAlign w:val="center"/>
          </w:tcPr>
          <w:p w14:paraId="187962F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16</w:t>
            </w:r>
          </w:p>
        </w:tc>
        <w:tc>
          <w:tcPr>
            <w:tcW w:w="294" w:type="pct"/>
            <w:vAlign w:val="center"/>
          </w:tcPr>
          <w:p w14:paraId="645F83A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250" w:type="pct"/>
            <w:vAlign w:val="center"/>
          </w:tcPr>
          <w:p w14:paraId="6CC0D45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53" w:type="pct"/>
            <w:vAlign w:val="center"/>
          </w:tcPr>
          <w:p w14:paraId="48DC630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250" w:type="pct"/>
            <w:vAlign w:val="center"/>
          </w:tcPr>
          <w:p w14:paraId="73BD02A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283" w:type="pct"/>
            <w:vAlign w:val="center"/>
          </w:tcPr>
          <w:p w14:paraId="40448F1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250" w:type="pct"/>
            <w:vAlign w:val="center"/>
          </w:tcPr>
          <w:p w14:paraId="6B74DA4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324" w:type="pct"/>
            <w:vAlign w:val="center"/>
          </w:tcPr>
          <w:p w14:paraId="7CDF69B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250" w:type="pct"/>
            <w:vAlign w:val="center"/>
          </w:tcPr>
          <w:p w14:paraId="1264C42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339" w:type="pct"/>
            <w:vAlign w:val="center"/>
          </w:tcPr>
          <w:p w14:paraId="0A457BE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35C6FB1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314" w:type="pct"/>
            <w:vAlign w:val="center"/>
          </w:tcPr>
          <w:p w14:paraId="749B29C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93" w:type="pct"/>
            <w:vAlign w:val="center"/>
          </w:tcPr>
          <w:p w14:paraId="19FBDDA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r>
      <w:tr w14:paraId="3303CE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14:paraId="29D4FB2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11月</w:t>
            </w:r>
          </w:p>
        </w:tc>
        <w:tc>
          <w:tcPr>
            <w:tcW w:w="250" w:type="pct"/>
            <w:vAlign w:val="center"/>
          </w:tcPr>
          <w:p w14:paraId="5427159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83" w:type="pct"/>
            <w:vAlign w:val="center"/>
          </w:tcPr>
          <w:p w14:paraId="3E1650E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50" w:type="pct"/>
            <w:vAlign w:val="center"/>
          </w:tcPr>
          <w:p w14:paraId="4C2AF4F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78" w:type="pct"/>
            <w:vAlign w:val="center"/>
          </w:tcPr>
          <w:p w14:paraId="6D9924E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w:t>
            </w:r>
          </w:p>
        </w:tc>
        <w:tc>
          <w:tcPr>
            <w:tcW w:w="294" w:type="pct"/>
            <w:vAlign w:val="center"/>
          </w:tcPr>
          <w:p w14:paraId="15F5156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294" w:type="pct"/>
            <w:vAlign w:val="center"/>
          </w:tcPr>
          <w:p w14:paraId="773781E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250" w:type="pct"/>
            <w:vAlign w:val="center"/>
          </w:tcPr>
          <w:p w14:paraId="134790D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53" w:type="pct"/>
            <w:vAlign w:val="center"/>
          </w:tcPr>
          <w:p w14:paraId="79C59CB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044799E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83" w:type="pct"/>
            <w:vAlign w:val="center"/>
          </w:tcPr>
          <w:p w14:paraId="2DFD5A2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0AD44ED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324" w:type="pct"/>
            <w:vAlign w:val="center"/>
          </w:tcPr>
          <w:p w14:paraId="6524778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651F351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339" w:type="pct"/>
            <w:vAlign w:val="center"/>
          </w:tcPr>
          <w:p w14:paraId="518C124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0" w:type="pct"/>
            <w:vAlign w:val="center"/>
          </w:tcPr>
          <w:p w14:paraId="05EE1AC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314" w:type="pct"/>
            <w:vAlign w:val="center"/>
          </w:tcPr>
          <w:p w14:paraId="0852677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93" w:type="pct"/>
            <w:vAlign w:val="center"/>
          </w:tcPr>
          <w:p w14:paraId="1840BFA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r>
      <w:tr w14:paraId="76BA5B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14:paraId="05E3068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12月</w:t>
            </w:r>
          </w:p>
        </w:tc>
        <w:tc>
          <w:tcPr>
            <w:tcW w:w="250" w:type="pct"/>
            <w:vAlign w:val="center"/>
          </w:tcPr>
          <w:p w14:paraId="0D2BC6F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83" w:type="pct"/>
            <w:vAlign w:val="center"/>
          </w:tcPr>
          <w:p w14:paraId="1C188A1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0" w:type="pct"/>
            <w:vAlign w:val="center"/>
          </w:tcPr>
          <w:p w14:paraId="7A5A442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78" w:type="pct"/>
            <w:vAlign w:val="center"/>
          </w:tcPr>
          <w:p w14:paraId="0F31880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w:t>
            </w:r>
          </w:p>
        </w:tc>
        <w:tc>
          <w:tcPr>
            <w:tcW w:w="294" w:type="pct"/>
            <w:vAlign w:val="center"/>
          </w:tcPr>
          <w:p w14:paraId="178EF51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w:t>
            </w:r>
          </w:p>
        </w:tc>
        <w:tc>
          <w:tcPr>
            <w:tcW w:w="294" w:type="pct"/>
            <w:vAlign w:val="center"/>
          </w:tcPr>
          <w:p w14:paraId="02363D5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0" w:type="pct"/>
            <w:vAlign w:val="center"/>
          </w:tcPr>
          <w:p w14:paraId="7840C40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3" w:type="pct"/>
            <w:vAlign w:val="center"/>
          </w:tcPr>
          <w:p w14:paraId="4C137CF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7009508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83" w:type="pct"/>
            <w:vAlign w:val="center"/>
          </w:tcPr>
          <w:p w14:paraId="17617B5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0" w:type="pct"/>
            <w:vAlign w:val="center"/>
          </w:tcPr>
          <w:p w14:paraId="563028C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324" w:type="pct"/>
            <w:vAlign w:val="center"/>
          </w:tcPr>
          <w:p w14:paraId="5570730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2BA3462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339" w:type="pct"/>
            <w:vAlign w:val="center"/>
          </w:tcPr>
          <w:p w14:paraId="11B9559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50" w:type="pct"/>
            <w:vAlign w:val="center"/>
          </w:tcPr>
          <w:p w14:paraId="2D65811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314" w:type="pct"/>
            <w:vAlign w:val="center"/>
          </w:tcPr>
          <w:p w14:paraId="6224051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293" w:type="pct"/>
            <w:vAlign w:val="center"/>
          </w:tcPr>
          <w:p w14:paraId="3A22820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r>
      <w:tr w14:paraId="638B78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5" w:type="pct"/>
            <w:vAlign w:val="center"/>
          </w:tcPr>
          <w:p w14:paraId="543DAB0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全年</w:t>
            </w:r>
          </w:p>
        </w:tc>
        <w:tc>
          <w:tcPr>
            <w:tcW w:w="250" w:type="pct"/>
            <w:vAlign w:val="center"/>
          </w:tcPr>
          <w:p w14:paraId="59C94C7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83" w:type="pct"/>
            <w:vAlign w:val="center"/>
          </w:tcPr>
          <w:p w14:paraId="57DAC55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250" w:type="pct"/>
            <w:vAlign w:val="center"/>
          </w:tcPr>
          <w:p w14:paraId="6B057D1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278" w:type="pct"/>
            <w:vAlign w:val="center"/>
          </w:tcPr>
          <w:p w14:paraId="3CA24E9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12</w:t>
            </w:r>
          </w:p>
        </w:tc>
        <w:tc>
          <w:tcPr>
            <w:tcW w:w="294" w:type="pct"/>
            <w:vAlign w:val="center"/>
          </w:tcPr>
          <w:p w14:paraId="3F19C30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13</w:t>
            </w:r>
          </w:p>
        </w:tc>
        <w:tc>
          <w:tcPr>
            <w:tcW w:w="294" w:type="pct"/>
            <w:vAlign w:val="center"/>
          </w:tcPr>
          <w:p w14:paraId="4806A74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250" w:type="pct"/>
            <w:vAlign w:val="center"/>
          </w:tcPr>
          <w:p w14:paraId="7CEAABB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3" w:type="pct"/>
            <w:vAlign w:val="center"/>
          </w:tcPr>
          <w:p w14:paraId="5972D19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250" w:type="pct"/>
            <w:vAlign w:val="center"/>
          </w:tcPr>
          <w:p w14:paraId="065C036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83" w:type="pct"/>
            <w:vAlign w:val="center"/>
          </w:tcPr>
          <w:p w14:paraId="117FA2D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2B45B25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324" w:type="pct"/>
            <w:vAlign w:val="center"/>
          </w:tcPr>
          <w:p w14:paraId="3C96A0C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250" w:type="pct"/>
            <w:vAlign w:val="center"/>
          </w:tcPr>
          <w:p w14:paraId="693D3BA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339" w:type="pct"/>
            <w:vAlign w:val="center"/>
          </w:tcPr>
          <w:p w14:paraId="1A9E11E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50" w:type="pct"/>
            <w:vAlign w:val="center"/>
          </w:tcPr>
          <w:p w14:paraId="18C3691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314" w:type="pct"/>
            <w:vAlign w:val="center"/>
          </w:tcPr>
          <w:p w14:paraId="48B5C9E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293" w:type="pct"/>
            <w:vAlign w:val="center"/>
          </w:tcPr>
          <w:p w14:paraId="0358A3B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r>
    </w:tbl>
    <w:p w14:paraId="3EE04255">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89"/>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261"/>
        <w:gridCol w:w="4261"/>
      </w:tblGrid>
      <w:tr w14:paraId="783EB73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530" w:type="dxa"/>
          </w:tcPr>
          <w:p w14:paraId="47EE7442">
            <w:pPr>
              <w:adjustRightInd w:val="0"/>
              <w:snapToGrid w:val="0"/>
              <w:jc w:val="center"/>
              <w:rPr>
                <w:rFonts w:hint="default" w:ascii="Times New Roman" w:hAnsi="Times New Roman" w:eastAsia="黑体" w:cs="Times New Roman"/>
                <w:color w:val="000000" w:themeColor="text1"/>
                <w:sz w:val="24"/>
                <w:szCs w:val="24"/>
                <w14:textFill>
                  <w14:solidFill>
                    <w14:schemeClr w14:val="tx1"/>
                  </w14:solidFill>
                </w14:textFill>
              </w:rPr>
            </w:pPr>
            <w:bookmarkStart w:id="111" w:name="_Toc141627833"/>
            <w:r>
              <w:rPr>
                <w:rFonts w:hint="default" w:ascii="Times New Roman" w:hAnsi="Times New Roman" w:cs="Times New Roman"/>
                <w:color w:val="000000" w:themeColor="text1"/>
                <w14:textFill>
                  <w14:solidFill>
                    <w14:schemeClr w14:val="tx1"/>
                  </w14:solidFill>
                </w14:textFill>
              </w:rPr>
              <w:drawing>
                <wp:inline distT="0" distB="0" distL="0" distR="0">
                  <wp:extent cx="2159635" cy="2159635"/>
                  <wp:effectExtent l="0" t="0" r="0" b="0"/>
                  <wp:docPr id="95599634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349" name="Picture 28"/>
                          <pic:cNvPicPr>
                            <a:picLocks noChangeAspect="1"/>
                          </pic:cNvPicPr>
                        </pic:nvPicPr>
                        <pic:blipFill>
                          <a:blip r:embed="rId50" cstate="print"/>
                          <a:stretch>
                            <a:fillRect/>
                          </a:stretch>
                        </pic:blipFill>
                        <pic:spPr>
                          <a:xfrm>
                            <a:off x="0" y="0"/>
                            <a:ext cx="2160000" cy="2160000"/>
                          </a:xfrm>
                          <a:prstGeom prst="rect">
                            <a:avLst/>
                          </a:prstGeom>
                        </pic:spPr>
                      </pic:pic>
                    </a:graphicData>
                  </a:graphic>
                </wp:inline>
              </w:drawing>
            </w:r>
          </w:p>
        </w:tc>
        <w:tc>
          <w:tcPr>
            <w:tcW w:w="4530" w:type="dxa"/>
          </w:tcPr>
          <w:p w14:paraId="682E6E37">
            <w:pPr>
              <w:adjustRightInd w:val="0"/>
              <w:snapToGrid w:val="0"/>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0" distR="0">
                  <wp:extent cx="2159635" cy="2159635"/>
                  <wp:effectExtent l="0" t="0" r="0" b="0"/>
                  <wp:docPr id="9559963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350" name="Picture 29"/>
                          <pic:cNvPicPr>
                            <a:picLocks noChangeAspect="1"/>
                          </pic:cNvPicPr>
                        </pic:nvPicPr>
                        <pic:blipFill>
                          <a:blip r:embed="rId51" cstate="print"/>
                          <a:stretch>
                            <a:fillRect/>
                          </a:stretch>
                        </pic:blipFill>
                        <pic:spPr>
                          <a:xfrm>
                            <a:off x="0" y="0"/>
                            <a:ext cx="2160000" cy="2160000"/>
                          </a:xfrm>
                          <a:prstGeom prst="rect">
                            <a:avLst/>
                          </a:prstGeom>
                        </pic:spPr>
                      </pic:pic>
                    </a:graphicData>
                  </a:graphic>
                </wp:inline>
              </w:drawing>
            </w:r>
          </w:p>
        </w:tc>
      </w:tr>
      <w:tr w14:paraId="3117775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530" w:type="dxa"/>
          </w:tcPr>
          <w:p w14:paraId="2372BD02">
            <w:pPr>
              <w:adjustRightInd w:val="0"/>
              <w:snapToGrid w:val="0"/>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0" distR="0">
                  <wp:extent cx="2159635" cy="2159635"/>
                  <wp:effectExtent l="0" t="0" r="0" b="0"/>
                  <wp:docPr id="9559963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351" name="Picture 30"/>
                          <pic:cNvPicPr>
                            <a:picLocks noChangeAspect="1"/>
                          </pic:cNvPicPr>
                        </pic:nvPicPr>
                        <pic:blipFill>
                          <a:blip r:embed="rId52" cstate="print"/>
                          <a:stretch>
                            <a:fillRect/>
                          </a:stretch>
                        </pic:blipFill>
                        <pic:spPr>
                          <a:xfrm>
                            <a:off x="0" y="0"/>
                            <a:ext cx="2160000" cy="2160000"/>
                          </a:xfrm>
                          <a:prstGeom prst="rect">
                            <a:avLst/>
                          </a:prstGeom>
                        </pic:spPr>
                      </pic:pic>
                    </a:graphicData>
                  </a:graphic>
                </wp:inline>
              </w:drawing>
            </w:r>
          </w:p>
        </w:tc>
        <w:tc>
          <w:tcPr>
            <w:tcW w:w="4530" w:type="dxa"/>
          </w:tcPr>
          <w:p w14:paraId="7137D0B9">
            <w:pPr>
              <w:adjustRightInd w:val="0"/>
              <w:snapToGrid w:val="0"/>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0" distR="0">
                  <wp:extent cx="2159635" cy="2159635"/>
                  <wp:effectExtent l="0" t="0" r="0" b="0"/>
                  <wp:docPr id="9559963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352" name="Picture 31"/>
                          <pic:cNvPicPr>
                            <a:picLocks noChangeAspect="1"/>
                          </pic:cNvPicPr>
                        </pic:nvPicPr>
                        <pic:blipFill>
                          <a:blip r:embed="rId53" cstate="print"/>
                          <a:stretch>
                            <a:fillRect/>
                          </a:stretch>
                        </pic:blipFill>
                        <pic:spPr>
                          <a:xfrm>
                            <a:off x="0" y="0"/>
                            <a:ext cx="2160000" cy="2160000"/>
                          </a:xfrm>
                          <a:prstGeom prst="rect">
                            <a:avLst/>
                          </a:prstGeom>
                        </pic:spPr>
                      </pic:pic>
                    </a:graphicData>
                  </a:graphic>
                </wp:inline>
              </w:drawing>
            </w:r>
          </w:p>
        </w:tc>
      </w:tr>
      <w:tr w14:paraId="52B2D03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530" w:type="dxa"/>
          </w:tcPr>
          <w:p w14:paraId="2BFD6961">
            <w:pPr>
              <w:adjustRightInd w:val="0"/>
              <w:snapToGrid w:val="0"/>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0" distR="0">
                  <wp:extent cx="2159635" cy="2159635"/>
                  <wp:effectExtent l="0" t="0" r="0" b="0"/>
                  <wp:docPr id="9559963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353" name="Picture 32"/>
                          <pic:cNvPicPr>
                            <a:picLocks noChangeAspect="1"/>
                          </pic:cNvPicPr>
                        </pic:nvPicPr>
                        <pic:blipFill>
                          <a:blip r:embed="rId54" cstate="print"/>
                          <a:stretch>
                            <a:fillRect/>
                          </a:stretch>
                        </pic:blipFill>
                        <pic:spPr>
                          <a:xfrm>
                            <a:off x="0" y="0"/>
                            <a:ext cx="2160000" cy="2160000"/>
                          </a:xfrm>
                          <a:prstGeom prst="rect">
                            <a:avLst/>
                          </a:prstGeom>
                        </pic:spPr>
                      </pic:pic>
                    </a:graphicData>
                  </a:graphic>
                </wp:inline>
              </w:drawing>
            </w:r>
          </w:p>
        </w:tc>
        <w:tc>
          <w:tcPr>
            <w:tcW w:w="4530" w:type="dxa"/>
          </w:tcPr>
          <w:p w14:paraId="14102C82">
            <w:pPr>
              <w:adjustRightInd w:val="0"/>
              <w:snapToGrid w:val="0"/>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0" distR="0">
                  <wp:extent cx="2159635" cy="2159635"/>
                  <wp:effectExtent l="0" t="0" r="0" b="0"/>
                  <wp:docPr id="9559963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354" name="Picture 33"/>
                          <pic:cNvPicPr>
                            <a:picLocks noChangeAspect="1"/>
                          </pic:cNvPicPr>
                        </pic:nvPicPr>
                        <pic:blipFill>
                          <a:blip r:embed="rId55" cstate="print"/>
                          <a:stretch>
                            <a:fillRect/>
                          </a:stretch>
                        </pic:blipFill>
                        <pic:spPr>
                          <a:xfrm>
                            <a:off x="0" y="0"/>
                            <a:ext cx="2160000" cy="2160000"/>
                          </a:xfrm>
                          <a:prstGeom prst="rect">
                            <a:avLst/>
                          </a:prstGeom>
                        </pic:spPr>
                      </pic:pic>
                    </a:graphicData>
                  </a:graphic>
                </wp:inline>
              </w:drawing>
            </w:r>
          </w:p>
        </w:tc>
      </w:tr>
      <w:tr w14:paraId="5E703F2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530" w:type="dxa"/>
          </w:tcPr>
          <w:p w14:paraId="5E42A900">
            <w:pPr>
              <w:adjustRightInd w:val="0"/>
              <w:snapToGrid w:val="0"/>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0" distR="0">
                  <wp:extent cx="2159635" cy="2159635"/>
                  <wp:effectExtent l="0" t="0" r="0" b="0"/>
                  <wp:docPr id="95599635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355" name="Picture 34"/>
                          <pic:cNvPicPr>
                            <a:picLocks noChangeAspect="1"/>
                          </pic:cNvPicPr>
                        </pic:nvPicPr>
                        <pic:blipFill>
                          <a:blip r:embed="rId56" cstate="print"/>
                          <a:stretch>
                            <a:fillRect/>
                          </a:stretch>
                        </pic:blipFill>
                        <pic:spPr>
                          <a:xfrm>
                            <a:off x="0" y="0"/>
                            <a:ext cx="2160000" cy="2160000"/>
                          </a:xfrm>
                          <a:prstGeom prst="rect">
                            <a:avLst/>
                          </a:prstGeom>
                        </pic:spPr>
                      </pic:pic>
                    </a:graphicData>
                  </a:graphic>
                </wp:inline>
              </w:drawing>
            </w:r>
          </w:p>
        </w:tc>
        <w:tc>
          <w:tcPr>
            <w:tcW w:w="4530" w:type="dxa"/>
          </w:tcPr>
          <w:p w14:paraId="37602981">
            <w:pPr>
              <w:adjustRightInd w:val="0"/>
              <w:snapToGrid w:val="0"/>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0" distR="0">
                  <wp:extent cx="2159635" cy="2159635"/>
                  <wp:effectExtent l="0" t="0" r="0" b="0"/>
                  <wp:docPr id="95599635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356" name="Picture 35"/>
                          <pic:cNvPicPr>
                            <a:picLocks noChangeAspect="1"/>
                          </pic:cNvPicPr>
                        </pic:nvPicPr>
                        <pic:blipFill>
                          <a:blip r:embed="rId57" cstate="print"/>
                          <a:stretch>
                            <a:fillRect/>
                          </a:stretch>
                        </pic:blipFill>
                        <pic:spPr>
                          <a:xfrm>
                            <a:off x="0" y="0"/>
                            <a:ext cx="2160000" cy="2160000"/>
                          </a:xfrm>
                          <a:prstGeom prst="rect">
                            <a:avLst/>
                          </a:prstGeom>
                        </pic:spPr>
                      </pic:pic>
                    </a:graphicData>
                  </a:graphic>
                </wp:inline>
              </w:drawing>
            </w:r>
          </w:p>
        </w:tc>
      </w:tr>
      <w:tr w14:paraId="0960664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530" w:type="dxa"/>
          </w:tcPr>
          <w:p w14:paraId="5FBA87D2">
            <w:pPr>
              <w:adjustRightInd w:val="0"/>
              <w:snapToGrid w:val="0"/>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0" distR="0">
                  <wp:extent cx="2159635" cy="2159635"/>
                  <wp:effectExtent l="0" t="0" r="0" b="0"/>
                  <wp:docPr id="95599635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357" name="Picture 36"/>
                          <pic:cNvPicPr>
                            <a:picLocks noChangeAspect="1"/>
                          </pic:cNvPicPr>
                        </pic:nvPicPr>
                        <pic:blipFill>
                          <a:blip r:embed="rId58" cstate="print"/>
                          <a:stretch>
                            <a:fillRect/>
                          </a:stretch>
                        </pic:blipFill>
                        <pic:spPr>
                          <a:xfrm>
                            <a:off x="0" y="0"/>
                            <a:ext cx="2160000" cy="2160000"/>
                          </a:xfrm>
                          <a:prstGeom prst="rect">
                            <a:avLst/>
                          </a:prstGeom>
                        </pic:spPr>
                      </pic:pic>
                    </a:graphicData>
                  </a:graphic>
                </wp:inline>
              </w:drawing>
            </w:r>
          </w:p>
        </w:tc>
        <w:tc>
          <w:tcPr>
            <w:tcW w:w="4530" w:type="dxa"/>
          </w:tcPr>
          <w:p w14:paraId="7FE0E562">
            <w:pPr>
              <w:adjustRightInd w:val="0"/>
              <w:snapToGrid w:val="0"/>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0" distR="0">
                  <wp:extent cx="2159635" cy="2159635"/>
                  <wp:effectExtent l="0" t="0" r="0" b="0"/>
                  <wp:docPr id="95599635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358" name="Picture 37"/>
                          <pic:cNvPicPr>
                            <a:picLocks noChangeAspect="1"/>
                          </pic:cNvPicPr>
                        </pic:nvPicPr>
                        <pic:blipFill>
                          <a:blip r:embed="rId59" cstate="print"/>
                          <a:stretch>
                            <a:fillRect/>
                          </a:stretch>
                        </pic:blipFill>
                        <pic:spPr>
                          <a:xfrm>
                            <a:off x="0" y="0"/>
                            <a:ext cx="2160000" cy="2160000"/>
                          </a:xfrm>
                          <a:prstGeom prst="rect">
                            <a:avLst/>
                          </a:prstGeom>
                        </pic:spPr>
                      </pic:pic>
                    </a:graphicData>
                  </a:graphic>
                </wp:inline>
              </w:drawing>
            </w:r>
          </w:p>
        </w:tc>
      </w:tr>
      <w:tr w14:paraId="511CD08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530" w:type="dxa"/>
          </w:tcPr>
          <w:p w14:paraId="58C04124">
            <w:pPr>
              <w:adjustRightInd w:val="0"/>
              <w:snapToGrid w:val="0"/>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0" distR="0">
                  <wp:extent cx="2159635" cy="2159635"/>
                  <wp:effectExtent l="0" t="0" r="0" b="0"/>
                  <wp:docPr id="95599635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359" name="Picture 38"/>
                          <pic:cNvPicPr>
                            <a:picLocks noChangeAspect="1"/>
                          </pic:cNvPicPr>
                        </pic:nvPicPr>
                        <pic:blipFill>
                          <a:blip r:embed="rId60" cstate="print"/>
                          <a:stretch>
                            <a:fillRect/>
                          </a:stretch>
                        </pic:blipFill>
                        <pic:spPr>
                          <a:xfrm>
                            <a:off x="0" y="0"/>
                            <a:ext cx="2160000" cy="2160000"/>
                          </a:xfrm>
                          <a:prstGeom prst="rect">
                            <a:avLst/>
                          </a:prstGeom>
                        </pic:spPr>
                      </pic:pic>
                    </a:graphicData>
                  </a:graphic>
                </wp:inline>
              </w:drawing>
            </w:r>
          </w:p>
        </w:tc>
        <w:tc>
          <w:tcPr>
            <w:tcW w:w="4530" w:type="dxa"/>
          </w:tcPr>
          <w:p w14:paraId="6D0DAC6B">
            <w:pPr>
              <w:adjustRightInd w:val="0"/>
              <w:snapToGrid w:val="0"/>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0" distR="0">
                  <wp:extent cx="2159635" cy="2159635"/>
                  <wp:effectExtent l="0" t="0" r="0" b="0"/>
                  <wp:docPr id="95599636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360" name="Picture 39"/>
                          <pic:cNvPicPr>
                            <a:picLocks noChangeAspect="1"/>
                          </pic:cNvPicPr>
                        </pic:nvPicPr>
                        <pic:blipFill>
                          <a:blip r:embed="rId61" cstate="print"/>
                          <a:stretch>
                            <a:fillRect/>
                          </a:stretch>
                        </pic:blipFill>
                        <pic:spPr>
                          <a:xfrm>
                            <a:off x="0" y="0"/>
                            <a:ext cx="2160000" cy="2160000"/>
                          </a:xfrm>
                          <a:prstGeom prst="rect">
                            <a:avLst/>
                          </a:prstGeom>
                        </pic:spPr>
                      </pic:pic>
                    </a:graphicData>
                  </a:graphic>
                </wp:inline>
              </w:drawing>
            </w:r>
          </w:p>
        </w:tc>
      </w:tr>
    </w:tbl>
    <w:p w14:paraId="2D7A4C27">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图5.2-1淮南市凤台县2004-2023年平均风向频率玫瑰图</w:t>
      </w:r>
    </w:p>
    <w:p w14:paraId="55FE9BD4">
      <w:pPr>
        <w:spacing w:line="360" w:lineRule="auto"/>
        <w:ind w:firstLine="480" w:firstLineChars="200"/>
        <w:rPr>
          <w:rFonts w:hint="default" w:ascii="Times New Roman" w:hAnsi="Times New Roman" w:cs="Times New Roman"/>
          <w:color w:val="000000" w:themeColor="text1"/>
          <w:spacing w:val="0"/>
          <w:sz w:val="24"/>
          <w14:textFill>
            <w14:solidFill>
              <w14:schemeClr w14:val="tx1"/>
            </w14:solidFill>
          </w14:textFill>
        </w:rPr>
      </w:pPr>
      <w:r>
        <w:rPr>
          <w:rFonts w:hint="default" w:ascii="Times New Roman" w:hAnsi="Times New Roman" w:cs="Times New Roman"/>
          <w:color w:val="000000" w:themeColor="text1"/>
          <w:spacing w:val="0"/>
          <w:sz w:val="24"/>
          <w14:textFill>
            <w14:solidFill>
              <w14:schemeClr w14:val="tx1"/>
            </w14:solidFill>
          </w14:textFill>
        </w:rPr>
        <w:t>2、评价基准年气象资料分析</w:t>
      </w:r>
    </w:p>
    <w:p w14:paraId="485E475A">
      <w:pPr>
        <w:spacing w:line="360" w:lineRule="auto"/>
        <w:ind w:firstLine="480" w:firstLineChars="200"/>
        <w:rPr>
          <w:rFonts w:hint="default" w:ascii="Times New Roman" w:hAnsi="Times New Roman" w:cs="Times New Roman"/>
          <w:color w:val="000000" w:themeColor="text1"/>
          <w:spacing w:val="0"/>
          <w:sz w:val="24"/>
          <w14:textFill>
            <w14:solidFill>
              <w14:schemeClr w14:val="tx1"/>
            </w14:solidFill>
          </w14:textFill>
        </w:rPr>
      </w:pPr>
      <w:r>
        <w:rPr>
          <w:rFonts w:hint="default" w:ascii="Times New Roman" w:hAnsi="Times New Roman" w:cs="Times New Roman"/>
          <w:color w:val="000000" w:themeColor="text1"/>
          <w:spacing w:val="0"/>
          <w:sz w:val="24"/>
          <w14:textFill>
            <w14:solidFill>
              <w14:schemeClr w14:val="tx1"/>
            </w14:solidFill>
          </w14:textFill>
        </w:rPr>
        <w:t>本项目的大气环境影响评价等级为</w:t>
      </w:r>
      <w:r>
        <w:rPr>
          <w:rFonts w:hint="eastAsia" w:cs="Times New Roman"/>
          <w:color w:val="000000" w:themeColor="text1"/>
          <w:spacing w:val="0"/>
          <w:sz w:val="24"/>
          <w:lang w:val="en-US" w:eastAsia="zh-CN"/>
          <w14:textFill>
            <w14:solidFill>
              <w14:schemeClr w14:val="tx1"/>
            </w14:solidFill>
          </w14:textFill>
        </w:rPr>
        <w:t>二</w:t>
      </w:r>
      <w:r>
        <w:rPr>
          <w:rFonts w:hint="default" w:ascii="Times New Roman" w:hAnsi="Times New Roman" w:cs="Times New Roman"/>
          <w:color w:val="000000" w:themeColor="text1"/>
          <w:spacing w:val="0"/>
          <w:sz w:val="24"/>
          <w14:textFill>
            <w14:solidFill>
              <w14:schemeClr w14:val="tx1"/>
            </w14:solidFill>
          </w14:textFill>
        </w:rPr>
        <w:t>级，为厂址为中心、边长5km的矩形区域，大气环境影响预测评价时需要近三年中的一年的地面常规气象数据和高空气象数据作为基准年气象进行影响评价。本次评价采用凤台气象站2023年的地面站（站点编号：58212）逐时气象数据和网格号（23198）高空气象站点的高空模拟气象数据。</w:t>
      </w:r>
    </w:p>
    <w:p w14:paraId="371F5C41">
      <w:pPr>
        <w:spacing w:line="360" w:lineRule="auto"/>
        <w:ind w:firstLine="480" w:firstLineChars="200"/>
        <w:rPr>
          <w:rFonts w:hint="default" w:ascii="Times New Roman" w:hAnsi="Times New Roman" w:cs="Times New Roman"/>
          <w:color w:val="000000" w:themeColor="text1"/>
          <w:spacing w:val="0"/>
          <w:sz w:val="24"/>
          <w14:textFill>
            <w14:solidFill>
              <w14:schemeClr w14:val="tx1"/>
            </w14:solidFill>
          </w14:textFill>
        </w:rPr>
      </w:pPr>
      <w:r>
        <w:rPr>
          <w:rFonts w:hint="default" w:ascii="Times New Roman" w:hAnsi="Times New Roman" w:cs="Times New Roman"/>
          <w:color w:val="000000" w:themeColor="text1"/>
          <w:spacing w:val="0"/>
          <w:sz w:val="24"/>
          <w14:textFill>
            <w14:solidFill>
              <w14:schemeClr w14:val="tx1"/>
            </w14:solidFill>
          </w14:textFill>
        </w:rPr>
        <w:t>（1）气象站概况</w:t>
      </w:r>
    </w:p>
    <w:p w14:paraId="2AC06CFC">
      <w:pPr>
        <w:spacing w:line="360" w:lineRule="auto"/>
        <w:ind w:firstLine="480" w:firstLineChars="200"/>
        <w:rPr>
          <w:rFonts w:hint="default" w:ascii="Times New Roman" w:hAnsi="Times New Roman" w:cs="Times New Roman"/>
          <w:color w:val="000000" w:themeColor="text1"/>
          <w:spacing w:val="0"/>
          <w:sz w:val="24"/>
          <w14:textFill>
            <w14:solidFill>
              <w14:schemeClr w14:val="tx1"/>
            </w14:solidFill>
          </w14:textFill>
        </w:rPr>
      </w:pPr>
      <w:r>
        <w:rPr>
          <w:rFonts w:hint="default" w:ascii="Times New Roman" w:hAnsi="Times New Roman" w:cs="Times New Roman"/>
          <w:color w:val="000000" w:themeColor="text1"/>
          <w:spacing w:val="0"/>
          <w:sz w:val="24"/>
          <w14:textFill>
            <w14:solidFill>
              <w14:schemeClr w14:val="tx1"/>
            </w14:solidFill>
          </w14:textFill>
        </w:rPr>
        <w:t>凤台气象站（站点编号：58212）气象站位于安徽省凤台县，地理坐标为东经116.764度，北纬32.715度，海拔高度23.1米。凤台气象站距项目16.2km，拥有长期的气象观测资料，以下资料根据2004-2023年气象数据统计分析；高空模拟气象数据采用的是网格号（23198）高空气象站点资料，地理坐标东经116.634度，北纬32.806度。</w:t>
      </w:r>
    </w:p>
    <w:p w14:paraId="34312CFE">
      <w:pPr>
        <w:spacing w:line="360" w:lineRule="auto"/>
        <w:ind w:firstLine="480" w:firstLineChars="200"/>
        <w:rPr>
          <w:rFonts w:hint="default" w:ascii="Times New Roman" w:hAnsi="Times New Roman" w:cs="Times New Roman"/>
          <w:color w:val="000000" w:themeColor="text1"/>
          <w:spacing w:val="0"/>
          <w:sz w:val="24"/>
          <w14:textFill>
            <w14:solidFill>
              <w14:schemeClr w14:val="tx1"/>
            </w14:solidFill>
          </w14:textFill>
        </w:rPr>
      </w:pPr>
      <w:r>
        <w:rPr>
          <w:rFonts w:hint="default" w:ascii="Times New Roman" w:hAnsi="Times New Roman" w:cs="Times New Roman"/>
          <w:color w:val="000000" w:themeColor="text1"/>
          <w:spacing w:val="0"/>
          <w:sz w:val="24"/>
          <w14:textFill>
            <w14:solidFill>
              <w14:schemeClr w14:val="tx1"/>
            </w14:solidFill>
          </w14:textFill>
        </w:rPr>
        <w:t>（2）基准年月季年风频变化统计</w:t>
      </w:r>
    </w:p>
    <w:p w14:paraId="59020362">
      <w:pPr>
        <w:spacing w:line="360" w:lineRule="auto"/>
        <w:ind w:firstLine="480" w:firstLineChars="200"/>
        <w:rPr>
          <w:rFonts w:hint="default" w:ascii="Times New Roman" w:hAnsi="Times New Roman" w:cs="Times New Roman"/>
          <w:color w:val="000000" w:themeColor="text1"/>
          <w:spacing w:val="0"/>
          <w:sz w:val="24"/>
          <w14:textFill>
            <w14:solidFill>
              <w14:schemeClr w14:val="tx1"/>
            </w14:solidFill>
          </w14:textFill>
        </w:rPr>
      </w:pPr>
      <w:r>
        <w:rPr>
          <w:rFonts w:hint="default" w:ascii="Times New Roman" w:hAnsi="Times New Roman" w:cs="Times New Roman"/>
          <w:color w:val="000000" w:themeColor="text1"/>
          <w:spacing w:val="0"/>
          <w:sz w:val="24"/>
          <w14:textFill>
            <w14:solidFill>
              <w14:schemeClr w14:val="tx1"/>
            </w14:solidFill>
          </w14:textFill>
        </w:rPr>
        <w:t>根据对2023年凤台气象站的地面站逐时气象数据的统计分析可知，项目评价区域的基准年的月、季、年风玫瑰如下图所示：</w:t>
      </w:r>
    </w:p>
    <w:p w14:paraId="772503CE">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drawing>
          <wp:inline distT="0" distB="0" distL="0" distR="0">
            <wp:extent cx="2879725" cy="2967990"/>
            <wp:effectExtent l="19050" t="19050" r="15600" b="22235"/>
            <wp:docPr id="95599636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361" name="图片 30"/>
                    <pic:cNvPicPr>
                      <a:picLocks noChangeAspect="1" noChangeArrowheads="1"/>
                    </pic:cNvPicPr>
                  </pic:nvPicPr>
                  <pic:blipFill>
                    <a:blip r:embed="rId62" cstate="print"/>
                    <a:srcRect/>
                    <a:stretch>
                      <a:fillRect/>
                    </a:stretch>
                  </pic:blipFill>
                  <pic:spPr>
                    <a:xfrm>
                      <a:off x="0" y="0"/>
                      <a:ext cx="2880000" cy="2968615"/>
                    </a:xfrm>
                    <a:prstGeom prst="rect">
                      <a:avLst/>
                    </a:prstGeom>
                    <a:noFill/>
                    <a:ln w="19050">
                      <a:solidFill>
                        <a:schemeClr val="tx1"/>
                      </a:solidFill>
                      <a:miter lim="800000"/>
                      <a:headEnd/>
                      <a:tailEnd/>
                    </a:ln>
                  </pic:spPr>
                </pic:pic>
              </a:graphicData>
            </a:graphic>
          </wp:inline>
        </w:drawing>
      </w:r>
    </w:p>
    <w:p w14:paraId="535E32FF">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图5.2-2凤台评价基准年风向玫瑰图（静风频率0.37%）</w:t>
      </w:r>
    </w:p>
    <w:p w14:paraId="360008AA">
      <w:pPr>
        <w:spacing w:line="360" w:lineRule="auto"/>
        <w:ind w:firstLine="480" w:firstLineChars="200"/>
        <w:rPr>
          <w:rFonts w:hint="default" w:ascii="Times New Roman" w:hAnsi="Times New Roman" w:cs="Times New Roman"/>
          <w:color w:val="000000" w:themeColor="text1"/>
          <w:spacing w:val="0"/>
          <w:kern w:val="2"/>
          <w:sz w:val="24"/>
          <w:szCs w:val="28"/>
          <w14:textFill>
            <w14:solidFill>
              <w14:schemeClr w14:val="tx1"/>
            </w14:solidFill>
          </w14:textFill>
        </w:rPr>
      </w:pPr>
      <w:r>
        <w:rPr>
          <w:rFonts w:hint="default" w:ascii="Times New Roman" w:hAnsi="Times New Roman" w:cs="Times New Roman"/>
          <w:color w:val="000000" w:themeColor="text1"/>
          <w:spacing w:val="0"/>
          <w:kern w:val="2"/>
          <w:sz w:val="24"/>
          <w:szCs w:val="28"/>
          <w14:textFill>
            <w14:solidFill>
              <w14:schemeClr w14:val="tx1"/>
            </w14:solidFill>
          </w14:textFill>
        </w:rPr>
        <w:t>各月风向频率玫瑰图如下：</w:t>
      </w:r>
    </w:p>
    <w:p w14:paraId="4B969289">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drawing>
          <wp:inline distT="0" distB="0" distL="0" distR="0">
            <wp:extent cx="5153025" cy="7362825"/>
            <wp:effectExtent l="19050" t="19050" r="28575" b="28575"/>
            <wp:docPr id="95599636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362" name="图片 33"/>
                    <pic:cNvPicPr>
                      <a:picLocks noChangeAspect="1" noChangeArrowheads="1"/>
                    </pic:cNvPicPr>
                  </pic:nvPicPr>
                  <pic:blipFill>
                    <a:blip r:embed="rId63" cstate="print"/>
                    <a:srcRect/>
                    <a:stretch>
                      <a:fillRect/>
                    </a:stretch>
                  </pic:blipFill>
                  <pic:spPr>
                    <a:xfrm>
                      <a:off x="0" y="0"/>
                      <a:ext cx="5153025" cy="7362825"/>
                    </a:xfrm>
                    <a:prstGeom prst="rect">
                      <a:avLst/>
                    </a:prstGeom>
                    <a:noFill/>
                    <a:ln w="19050">
                      <a:solidFill>
                        <a:schemeClr val="tx1"/>
                      </a:solidFill>
                      <a:miter lim="800000"/>
                      <a:headEnd/>
                      <a:tailEnd/>
                    </a:ln>
                  </pic:spPr>
                </pic:pic>
              </a:graphicData>
            </a:graphic>
          </wp:inline>
        </w:drawing>
      </w:r>
    </w:p>
    <w:p w14:paraId="2A57ED6C">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图5.2-3凤台评价基准年风向玫瑰图</w:t>
      </w:r>
    </w:p>
    <w:p w14:paraId="54051D91">
      <w:pPr>
        <w:spacing w:line="360" w:lineRule="auto"/>
        <w:ind w:firstLine="472" w:firstLineChars="200"/>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由上图可知，凤台县近20年全年主导风均为E风，2023年全年主导风向也为E风，这与当地20年气象统计资料具有较好的一致性。</w:t>
      </w:r>
    </w:p>
    <w:p w14:paraId="1753BFD2">
      <w:pPr>
        <w:pStyle w:val="3159"/>
        <w:rPr>
          <w:rFonts w:hint="default" w:ascii="Times New Roman" w:hAnsi="Times New Roman" w:eastAsia="黑体" w:cs="Times New Roman"/>
          <w:b w:val="0"/>
          <w:color w:val="000000" w:themeColor="text1"/>
          <w14:textFill>
            <w14:solidFill>
              <w14:schemeClr w14:val="tx1"/>
            </w14:solidFill>
          </w14:textFill>
        </w:rPr>
      </w:pPr>
      <w:bookmarkStart w:id="112" w:name="_Toc170562204"/>
      <w:bookmarkStart w:id="113" w:name="_Toc173837698"/>
      <w:r>
        <w:rPr>
          <w:rFonts w:hint="default" w:ascii="Times New Roman" w:hAnsi="Times New Roman" w:eastAsia="黑体" w:cs="Times New Roman"/>
          <w:b w:val="0"/>
          <w:color w:val="000000" w:themeColor="text1"/>
          <w14:textFill>
            <w14:solidFill>
              <w14:schemeClr w14:val="tx1"/>
            </w14:solidFill>
          </w14:textFill>
        </w:rPr>
        <w:t>5.2.2大气环境影响</w:t>
      </w:r>
      <w:bookmarkEnd w:id="111"/>
      <w:bookmarkEnd w:id="112"/>
      <w:r>
        <w:rPr>
          <w:rFonts w:hint="default" w:ascii="Times New Roman" w:hAnsi="Times New Roman" w:eastAsia="黑体" w:cs="Times New Roman"/>
          <w:b w:val="0"/>
          <w:color w:val="000000" w:themeColor="text1"/>
          <w14:textFill>
            <w14:solidFill>
              <w14:schemeClr w14:val="tx1"/>
            </w14:solidFill>
          </w14:textFill>
        </w:rPr>
        <w:t>预测评价</w:t>
      </w:r>
      <w:bookmarkEnd w:id="113"/>
    </w:p>
    <w:p w14:paraId="5EB3A9D3">
      <w:pPr>
        <w:spacing w:before="78" w:line="223" w:lineRule="auto"/>
        <w:outlineLvl w:val="4"/>
        <w:rPr>
          <w:rFonts w:hint="default" w:ascii="Times New Roman" w:hAnsi="Times New Roman" w:eastAsia="黑体" w:cs="Times New Roman"/>
          <w:b w:val="0"/>
          <w:bCs w:val="0"/>
          <w:color w:val="000000" w:themeColor="text1"/>
          <w:sz w:val="24"/>
          <w:szCs w:val="24"/>
          <w14:textFill>
            <w14:solidFill>
              <w14:schemeClr w14:val="tx1"/>
            </w14:solidFill>
          </w14:textFill>
        </w:rPr>
      </w:pPr>
      <w:bookmarkStart w:id="114" w:name="_Toc173837702"/>
      <w: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t>5.2.2.1</w:t>
      </w:r>
      <w:r>
        <w:rPr>
          <w:rFonts w:hint="default" w:ascii="Times New Roman" w:hAnsi="Times New Roman" w:eastAsia="黑体" w:cs="Times New Roman"/>
          <w:b w:val="0"/>
          <w:bCs w:val="0"/>
          <w:color w:val="000000" w:themeColor="text1"/>
          <w:spacing w:val="43"/>
          <w:sz w:val="24"/>
          <w:szCs w:val="24"/>
          <w14:textFill>
            <w14:solidFill>
              <w14:schemeClr w14:val="tx1"/>
            </w14:solidFill>
          </w14:textFill>
        </w:rPr>
        <w:t xml:space="preserve"> </w:t>
      </w:r>
      <w: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t>大气环境影响预测分析</w:t>
      </w:r>
    </w:p>
    <w:p w14:paraId="0CF030AC">
      <w:pPr>
        <w:spacing w:before="206" w:line="218" w:lineRule="auto"/>
        <w:ind w:left="535"/>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3"/>
          <w:sz w:val="24"/>
          <w:szCs w:val="24"/>
          <w14:textFill>
            <w14:solidFill>
              <w14:schemeClr w14:val="tx1"/>
            </w14:solidFill>
          </w14:textFill>
        </w:rPr>
        <w:t>（</w:t>
      </w:r>
      <w:r>
        <w:rPr>
          <w:rFonts w:hint="default" w:ascii="Times New Roman" w:hAnsi="Times New Roman" w:eastAsia="Times New Roman" w:cs="Times New Roman"/>
          <w:color w:val="000000" w:themeColor="text1"/>
          <w:spacing w:val="-3"/>
          <w:sz w:val="24"/>
          <w:szCs w:val="24"/>
          <w14:textFill>
            <w14:solidFill>
              <w14:schemeClr w14:val="tx1"/>
            </w14:solidFill>
          </w14:textFill>
        </w:rPr>
        <w:t>1</w:t>
      </w:r>
      <w:r>
        <w:rPr>
          <w:rFonts w:hint="default" w:ascii="Times New Roman" w:hAnsi="Times New Roman" w:eastAsia="宋体" w:cs="Times New Roman"/>
          <w:color w:val="000000" w:themeColor="text1"/>
          <w:spacing w:val="-3"/>
          <w:sz w:val="24"/>
          <w:szCs w:val="24"/>
          <w14:textFill>
            <w14:solidFill>
              <w14:schemeClr w14:val="tx1"/>
            </w14:solidFill>
          </w14:textFill>
        </w:rPr>
        <w:t>）评价因子</w:t>
      </w:r>
    </w:p>
    <w:p w14:paraId="49B75F9E">
      <w:pPr>
        <w:spacing w:before="146" w:line="226"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t>表</w:t>
      </w:r>
      <w:r>
        <w:rPr>
          <w:rFonts w:hint="default" w:ascii="Times New Roman" w:hAnsi="Times New Roman" w:eastAsia="黑体" w:cs="Times New Roman"/>
          <w:b w:val="0"/>
          <w:bCs w:val="0"/>
          <w:color w:val="000000" w:themeColor="text1"/>
          <w:spacing w:val="-25"/>
          <w:sz w:val="24"/>
          <w:szCs w:val="24"/>
          <w14:textFill>
            <w14:solidFill>
              <w14:schemeClr w14:val="tx1"/>
            </w14:solidFill>
          </w14:textFill>
        </w:rPr>
        <w:t xml:space="preserve"> </w:t>
      </w:r>
      <w: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t>5.2-</w:t>
      </w:r>
      <w:r>
        <w:rPr>
          <w:rFonts w:hint="default" w:ascii="Times New Roman" w:hAnsi="Times New Roman" w:eastAsia="黑体" w:cs="Times New Roman"/>
          <w:b w:val="0"/>
          <w:bCs w:val="0"/>
          <w:color w:val="000000" w:themeColor="text1"/>
          <w:spacing w:val="5"/>
          <w:sz w:val="24"/>
          <w:szCs w:val="24"/>
          <w:lang w:val="en-US" w:eastAsia="zh-CN"/>
          <w14:textFill>
            <w14:solidFill>
              <w14:schemeClr w14:val="tx1"/>
            </w14:solidFill>
          </w14:textFill>
        </w:rPr>
        <w:t>7</w:t>
      </w:r>
      <w: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t xml:space="preserve">  评价因子和评价标准表</w:t>
      </w:r>
    </w:p>
    <w:tbl>
      <w:tblPr>
        <w:tblStyle w:val="4092"/>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637"/>
        <w:gridCol w:w="1914"/>
        <w:gridCol w:w="4753"/>
      </w:tblGrid>
      <w:tr w14:paraId="279EB1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86" w:type="pct"/>
            <w:tcBorders>
              <w:top w:val="single" w:color="000000" w:sz="10" w:space="0"/>
              <w:left w:val="nil"/>
            </w:tcBorders>
            <w:vAlign w:val="center"/>
          </w:tcPr>
          <w:p w14:paraId="7AB29324">
            <w:pPr>
              <w:spacing w:before="66" w:line="240" w:lineRule="auto"/>
              <w:jc w:val="center"/>
              <w:rPr>
                <w:rFonts w:hint="default" w:ascii="Times New Roman" w:hAnsi="Times New Roman" w:eastAsia="宋体" w:cs="Times New Roman"/>
                <w:color w:val="000000" w:themeColor="text1"/>
                <w:sz w:val="20"/>
                <w:szCs w:val="20"/>
                <w14:textFill>
                  <w14:solidFill>
                    <w14:schemeClr w14:val="tx1"/>
                  </w14:solidFill>
                </w14:textFill>
              </w:rPr>
            </w:pPr>
            <w:r>
              <w:rPr>
                <w:rFonts w:hint="default" w:ascii="Times New Roman" w:hAnsi="Times New Roman" w:eastAsia="宋体" w:cs="Times New Roman"/>
                <w:color w:val="000000" w:themeColor="text1"/>
                <w:spacing w:val="7"/>
                <w:sz w:val="20"/>
                <w:szCs w:val="20"/>
                <w14:textFill>
                  <w14:solidFill>
                    <w14:schemeClr w14:val="tx1"/>
                  </w14:solidFill>
                </w14:textFill>
              </w:rPr>
              <w:t>评价因子</w:t>
            </w:r>
          </w:p>
        </w:tc>
        <w:tc>
          <w:tcPr>
            <w:tcW w:w="1152" w:type="pct"/>
            <w:tcBorders>
              <w:top w:val="single" w:color="000000" w:sz="10" w:space="0"/>
            </w:tcBorders>
            <w:vAlign w:val="center"/>
          </w:tcPr>
          <w:p w14:paraId="59EDFD32">
            <w:pPr>
              <w:spacing w:before="65" w:line="240" w:lineRule="auto"/>
              <w:jc w:val="center"/>
              <w:rPr>
                <w:rFonts w:hint="default" w:ascii="Times New Roman" w:hAnsi="Times New Roman" w:eastAsia="宋体" w:cs="Times New Roman"/>
                <w:color w:val="000000" w:themeColor="text1"/>
                <w:sz w:val="20"/>
                <w:szCs w:val="20"/>
                <w14:textFill>
                  <w14:solidFill>
                    <w14:schemeClr w14:val="tx1"/>
                  </w14:solidFill>
                </w14:textFill>
              </w:rPr>
            </w:pPr>
            <w:r>
              <w:rPr>
                <w:rFonts w:hint="default" w:ascii="Times New Roman" w:hAnsi="Times New Roman" w:eastAsia="宋体" w:cs="Times New Roman"/>
                <w:color w:val="000000" w:themeColor="text1"/>
                <w:spacing w:val="5"/>
                <w:sz w:val="20"/>
                <w:szCs w:val="20"/>
                <w14:textFill>
                  <w14:solidFill>
                    <w14:schemeClr w14:val="tx1"/>
                  </w14:solidFill>
                </w14:textFill>
              </w:rPr>
              <w:t>采用标准值 (</w:t>
            </w:r>
            <w:r>
              <w:rPr>
                <w:rFonts w:hint="default" w:ascii="Times New Roman" w:hAnsi="Times New Roman" w:eastAsia="Times New Roman" w:cs="Times New Roman"/>
                <w:color w:val="000000" w:themeColor="text1"/>
                <w:spacing w:val="5"/>
                <w:sz w:val="20"/>
                <w:szCs w:val="20"/>
                <w14:textFill>
                  <w14:solidFill>
                    <w14:schemeClr w14:val="tx1"/>
                  </w14:solidFill>
                </w14:textFill>
              </w:rPr>
              <w:t>μg/m</w:t>
            </w:r>
            <w:r>
              <w:rPr>
                <w:rFonts w:hint="default" w:ascii="Times New Roman" w:hAnsi="Times New Roman" w:eastAsia="Times New Roman" w:cs="Times New Roman"/>
                <w:color w:val="000000" w:themeColor="text1"/>
                <w:spacing w:val="5"/>
                <w:position w:val="6"/>
                <w:sz w:val="13"/>
                <w:szCs w:val="13"/>
                <w14:textFill>
                  <w14:solidFill>
                    <w14:schemeClr w14:val="tx1"/>
                  </w14:solidFill>
                </w14:textFill>
              </w:rPr>
              <w:t>3</w:t>
            </w:r>
            <w:r>
              <w:rPr>
                <w:rFonts w:hint="default" w:ascii="Times New Roman" w:hAnsi="Times New Roman" w:eastAsia="宋体" w:cs="Times New Roman"/>
                <w:color w:val="000000" w:themeColor="text1"/>
                <w:spacing w:val="5"/>
                <w:sz w:val="20"/>
                <w:szCs w:val="20"/>
                <w14:textFill>
                  <w14:solidFill>
                    <w14:schemeClr w14:val="tx1"/>
                  </w14:solidFill>
                </w14:textFill>
              </w:rPr>
              <w:t>）</w:t>
            </w:r>
          </w:p>
        </w:tc>
        <w:tc>
          <w:tcPr>
            <w:tcW w:w="2861" w:type="pct"/>
            <w:tcBorders>
              <w:top w:val="single" w:color="000000" w:sz="10" w:space="0"/>
              <w:right w:val="nil"/>
            </w:tcBorders>
            <w:vAlign w:val="center"/>
          </w:tcPr>
          <w:p w14:paraId="5094BD40">
            <w:pPr>
              <w:spacing w:before="65" w:line="240" w:lineRule="auto"/>
              <w:jc w:val="center"/>
              <w:rPr>
                <w:rFonts w:hint="default" w:ascii="Times New Roman" w:hAnsi="Times New Roman" w:eastAsia="宋体" w:cs="Times New Roman"/>
                <w:color w:val="000000" w:themeColor="text1"/>
                <w:sz w:val="20"/>
                <w:szCs w:val="20"/>
                <w14:textFill>
                  <w14:solidFill>
                    <w14:schemeClr w14:val="tx1"/>
                  </w14:solidFill>
                </w14:textFill>
              </w:rPr>
            </w:pPr>
            <w:r>
              <w:rPr>
                <w:rFonts w:hint="default" w:ascii="Times New Roman" w:hAnsi="Times New Roman" w:eastAsia="宋体" w:cs="Times New Roman"/>
                <w:color w:val="000000" w:themeColor="text1"/>
                <w:spacing w:val="7"/>
                <w:sz w:val="20"/>
                <w:szCs w:val="20"/>
                <w14:textFill>
                  <w14:solidFill>
                    <w14:schemeClr w14:val="tx1"/>
                  </w14:solidFill>
                </w14:textFill>
              </w:rPr>
              <w:t>标准来源</w:t>
            </w:r>
          </w:p>
        </w:tc>
      </w:tr>
      <w:tr w14:paraId="63B82C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86" w:type="pct"/>
            <w:tcBorders>
              <w:left w:val="nil"/>
            </w:tcBorders>
            <w:vAlign w:val="center"/>
          </w:tcPr>
          <w:p w14:paraId="498BDE51">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1152" w:type="pct"/>
            <w:vAlign w:val="center"/>
          </w:tcPr>
          <w:p w14:paraId="630C41C4">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2000</w:t>
            </w:r>
          </w:p>
        </w:tc>
        <w:tc>
          <w:tcPr>
            <w:tcW w:w="2861" w:type="pct"/>
            <w:tcBorders>
              <w:right w:val="nil"/>
            </w:tcBorders>
            <w:vAlign w:val="center"/>
          </w:tcPr>
          <w:p w14:paraId="6C43B3CF">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参照执行《大气污染物综合排放标准详解》中确定值</w:t>
            </w:r>
          </w:p>
        </w:tc>
      </w:tr>
      <w:tr w14:paraId="451CAB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86" w:type="pct"/>
            <w:tcBorders>
              <w:left w:val="nil"/>
            </w:tcBorders>
            <w:vAlign w:val="center"/>
          </w:tcPr>
          <w:p w14:paraId="7CDDF6BB">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TSP</w:t>
            </w:r>
          </w:p>
        </w:tc>
        <w:tc>
          <w:tcPr>
            <w:tcW w:w="1152" w:type="pct"/>
            <w:vAlign w:val="center"/>
          </w:tcPr>
          <w:p w14:paraId="0B4817D6">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300</w:t>
            </w:r>
          </w:p>
        </w:tc>
        <w:tc>
          <w:tcPr>
            <w:tcW w:w="2861" w:type="pct"/>
            <w:vMerge w:val="restart"/>
            <w:tcBorders>
              <w:bottom w:val="nil"/>
              <w:right w:val="nil"/>
            </w:tcBorders>
            <w:vAlign w:val="center"/>
          </w:tcPr>
          <w:p w14:paraId="4246E31C">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《环境空气质量标准》（GB3095-2012）二级标准</w:t>
            </w:r>
          </w:p>
        </w:tc>
      </w:tr>
      <w:tr w14:paraId="0811C2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86" w:type="pct"/>
            <w:tcBorders>
              <w:left w:val="nil"/>
            </w:tcBorders>
            <w:vAlign w:val="center"/>
          </w:tcPr>
          <w:p w14:paraId="378EB668">
            <w:pPr>
              <w:spacing w:line="240"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PM</w:t>
            </w:r>
            <w:r>
              <w:rPr>
                <w:rFonts w:hint="default" w:ascii="Times New Roman" w:hAnsi="Times New Roman" w:cs="Times New Roman"/>
                <w:color w:val="000000" w:themeColor="text1"/>
                <w:sz w:val="21"/>
                <w:szCs w:val="21"/>
                <w:vertAlign w:val="subscript"/>
                <w:lang w:val="en-US" w:eastAsia="zh-CN"/>
                <w14:textFill>
                  <w14:solidFill>
                    <w14:schemeClr w14:val="tx1"/>
                  </w14:solidFill>
                </w14:textFill>
              </w:rPr>
              <w:t>10</w:t>
            </w:r>
          </w:p>
        </w:tc>
        <w:tc>
          <w:tcPr>
            <w:tcW w:w="1152" w:type="pct"/>
            <w:vAlign w:val="center"/>
          </w:tcPr>
          <w:p w14:paraId="06B1BC16">
            <w:pPr>
              <w:spacing w:line="240"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150</w:t>
            </w:r>
          </w:p>
        </w:tc>
        <w:tc>
          <w:tcPr>
            <w:tcW w:w="2861" w:type="pct"/>
            <w:vMerge w:val="continue"/>
            <w:tcBorders>
              <w:top w:val="nil"/>
              <w:bottom w:val="nil"/>
              <w:right w:val="nil"/>
            </w:tcBorders>
            <w:vAlign w:val="center"/>
          </w:tcPr>
          <w:p w14:paraId="04884CD3">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5A69E2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86" w:type="pct"/>
            <w:tcBorders>
              <w:left w:val="nil"/>
            </w:tcBorders>
            <w:vAlign w:val="center"/>
          </w:tcPr>
          <w:p w14:paraId="5B4FFBEE">
            <w:pPr>
              <w:spacing w:line="240"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PM</w:t>
            </w:r>
            <w:r>
              <w:rPr>
                <w:rFonts w:hint="default" w:ascii="Times New Roman" w:hAnsi="Times New Roman" w:cs="Times New Roman"/>
                <w:color w:val="000000" w:themeColor="text1"/>
                <w:sz w:val="21"/>
                <w:szCs w:val="21"/>
                <w:vertAlign w:val="subscript"/>
                <w:lang w:val="en-US" w:eastAsia="zh-CN"/>
                <w14:textFill>
                  <w14:solidFill>
                    <w14:schemeClr w14:val="tx1"/>
                  </w14:solidFill>
                </w14:textFill>
              </w:rPr>
              <w:t>2.5</w:t>
            </w:r>
          </w:p>
        </w:tc>
        <w:tc>
          <w:tcPr>
            <w:tcW w:w="1152" w:type="pct"/>
            <w:vAlign w:val="center"/>
          </w:tcPr>
          <w:p w14:paraId="7D0E2E5B">
            <w:pPr>
              <w:spacing w:line="240"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75</w:t>
            </w:r>
          </w:p>
        </w:tc>
        <w:tc>
          <w:tcPr>
            <w:tcW w:w="2861" w:type="pct"/>
            <w:vMerge w:val="continue"/>
            <w:tcBorders>
              <w:top w:val="nil"/>
              <w:right w:val="nil"/>
            </w:tcBorders>
            <w:vAlign w:val="center"/>
          </w:tcPr>
          <w:p w14:paraId="543823EC">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2640A7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jc w:val="center"/>
        </w:trPr>
        <w:tc>
          <w:tcPr>
            <w:tcW w:w="986" w:type="pct"/>
            <w:tcBorders>
              <w:left w:val="nil"/>
            </w:tcBorders>
            <w:vAlign w:val="center"/>
          </w:tcPr>
          <w:p w14:paraId="3114F621">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p>
        </w:tc>
        <w:tc>
          <w:tcPr>
            <w:tcW w:w="1152" w:type="pct"/>
            <w:vAlign w:val="center"/>
          </w:tcPr>
          <w:p w14:paraId="76E68131">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200</w:t>
            </w:r>
          </w:p>
        </w:tc>
        <w:tc>
          <w:tcPr>
            <w:tcW w:w="2861" w:type="pct"/>
            <w:vMerge w:val="restart"/>
            <w:tcBorders>
              <w:bottom w:val="nil"/>
              <w:right w:val="nil"/>
            </w:tcBorders>
            <w:vAlign w:val="center"/>
          </w:tcPr>
          <w:p w14:paraId="51D4EFFA">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《环境影响评价技术导则大气环境》（HJ2.2-2018）附录D 中其他污染物空气质量浓度参考限值标准</w:t>
            </w:r>
          </w:p>
        </w:tc>
      </w:tr>
      <w:tr w14:paraId="70B472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986" w:type="pct"/>
            <w:tcBorders>
              <w:left w:val="nil"/>
              <w:bottom w:val="single" w:color="000000" w:sz="10" w:space="0"/>
            </w:tcBorders>
            <w:vAlign w:val="center"/>
          </w:tcPr>
          <w:p w14:paraId="683BCA7D">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w:t>
            </w:r>
            <w:r>
              <w:rPr>
                <w:rFonts w:hint="default" w:ascii="Times New Roman" w:hAnsi="Times New Roman" w:cs="Times New Roman"/>
                <w:color w:val="000000" w:themeColor="text1"/>
                <w:sz w:val="21"/>
                <w:szCs w:val="21"/>
                <w:vertAlign w:val="sub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S</w:t>
            </w:r>
          </w:p>
        </w:tc>
        <w:tc>
          <w:tcPr>
            <w:tcW w:w="1152" w:type="pct"/>
            <w:tcBorders>
              <w:bottom w:val="single" w:color="000000" w:sz="10" w:space="0"/>
            </w:tcBorders>
            <w:vAlign w:val="center"/>
          </w:tcPr>
          <w:p w14:paraId="244EFCAE">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c>
          <w:tcPr>
            <w:tcW w:w="2861" w:type="pct"/>
            <w:vMerge w:val="continue"/>
            <w:tcBorders>
              <w:top w:val="nil"/>
              <w:bottom w:val="single" w:color="000000" w:sz="10" w:space="0"/>
              <w:right w:val="nil"/>
            </w:tcBorders>
            <w:vAlign w:val="center"/>
          </w:tcPr>
          <w:p w14:paraId="58CB18D4">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r>
    </w:tbl>
    <w:p w14:paraId="26F48CD6">
      <w:pPr>
        <w:spacing w:before="63" w:line="226" w:lineRule="auto"/>
        <w:jc w:val="center"/>
        <w:rPr>
          <w:rFonts w:hint="default" w:ascii="Times New Roman" w:hAnsi="Times New Roman" w:eastAsia="黑体" w:cs="Times New Roman"/>
          <w:b w:val="0"/>
          <w:bCs w:val="0"/>
          <w:color w:val="000000" w:themeColor="text1"/>
          <w:sz w:val="24"/>
          <w:szCs w:val="24"/>
          <w14:textFill>
            <w14:solidFill>
              <w14:schemeClr w14:val="tx1"/>
            </w14:solidFill>
          </w14:textFill>
        </w:rPr>
      </w:pPr>
      <w: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t>表</w:t>
      </w:r>
      <w:r>
        <w:rPr>
          <w:rFonts w:hint="default" w:ascii="Times New Roman" w:hAnsi="Times New Roman" w:eastAsia="黑体" w:cs="Times New Roman"/>
          <w:b w:val="0"/>
          <w:bCs w:val="0"/>
          <w:color w:val="000000" w:themeColor="text1"/>
          <w:spacing w:val="-39"/>
          <w:sz w:val="24"/>
          <w:szCs w:val="24"/>
          <w14:textFill>
            <w14:solidFill>
              <w14:schemeClr w14:val="tx1"/>
            </w14:solidFill>
          </w14:textFill>
        </w:rPr>
        <w:t xml:space="preserve"> </w:t>
      </w:r>
      <w: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t>5.2-</w:t>
      </w:r>
      <w:r>
        <w:rPr>
          <w:rFonts w:hint="default" w:ascii="Times New Roman" w:hAnsi="Times New Roman" w:eastAsia="黑体" w:cs="Times New Roman"/>
          <w:b w:val="0"/>
          <w:bCs w:val="0"/>
          <w:color w:val="000000" w:themeColor="text1"/>
          <w:spacing w:val="5"/>
          <w:sz w:val="24"/>
          <w:szCs w:val="24"/>
          <w:lang w:val="en-US" w:eastAsia="zh-CN"/>
          <w14:textFill>
            <w14:solidFill>
              <w14:schemeClr w14:val="tx1"/>
            </w14:solidFill>
          </w14:textFill>
        </w:rPr>
        <w:t>8</w:t>
      </w:r>
      <w: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t xml:space="preserve">  估算模型参数表</w:t>
      </w:r>
    </w:p>
    <w:tbl>
      <w:tblPr>
        <w:tblStyle w:val="8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99"/>
        <w:gridCol w:w="2652"/>
        <w:gridCol w:w="3569"/>
      </w:tblGrid>
      <w:tr w14:paraId="394D3E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05" w:type="pct"/>
            <w:gridSpan w:val="2"/>
            <w:vAlign w:val="center"/>
          </w:tcPr>
          <w:p w14:paraId="0D55DD6B">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参数</w:t>
            </w:r>
          </w:p>
        </w:tc>
        <w:tc>
          <w:tcPr>
            <w:tcW w:w="2094" w:type="pct"/>
            <w:vAlign w:val="center"/>
          </w:tcPr>
          <w:p w14:paraId="10C2C7A4">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取值</w:t>
            </w:r>
          </w:p>
        </w:tc>
      </w:tr>
      <w:tr w14:paraId="3D8BD2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9" w:type="pct"/>
            <w:vMerge w:val="restart"/>
            <w:vAlign w:val="center"/>
          </w:tcPr>
          <w:p w14:paraId="0921C76A">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城市农村/选项</w:t>
            </w:r>
          </w:p>
        </w:tc>
        <w:tc>
          <w:tcPr>
            <w:tcW w:w="1556" w:type="pct"/>
            <w:vAlign w:val="center"/>
          </w:tcPr>
          <w:p w14:paraId="3D01120E">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城市/农村</w:t>
            </w:r>
          </w:p>
        </w:tc>
        <w:tc>
          <w:tcPr>
            <w:tcW w:w="2094" w:type="pct"/>
            <w:vAlign w:val="center"/>
          </w:tcPr>
          <w:p w14:paraId="172C382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农村</w:t>
            </w:r>
          </w:p>
        </w:tc>
      </w:tr>
      <w:tr w14:paraId="1A160D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9" w:type="pct"/>
            <w:vMerge w:val="continue"/>
            <w:vAlign w:val="center"/>
          </w:tcPr>
          <w:p w14:paraId="788998CA">
            <w:pPr>
              <w:widowControl/>
              <w:spacing w:line="276" w:lineRule="auto"/>
              <w:jc w:val="left"/>
              <w:rPr>
                <w:rFonts w:hint="default" w:ascii="Times New Roman" w:hAnsi="Times New Roman" w:cs="Times New Roman"/>
                <w:color w:val="000000" w:themeColor="text1"/>
                <w:kern w:val="2"/>
                <w:sz w:val="21"/>
                <w:szCs w:val="21"/>
                <w14:textFill>
                  <w14:solidFill>
                    <w14:schemeClr w14:val="tx1"/>
                  </w14:solidFill>
                </w14:textFill>
              </w:rPr>
            </w:pPr>
          </w:p>
        </w:tc>
        <w:tc>
          <w:tcPr>
            <w:tcW w:w="1556" w:type="pct"/>
            <w:vAlign w:val="center"/>
          </w:tcPr>
          <w:p w14:paraId="48A0DA2A">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人口数(城市人口数)</w:t>
            </w:r>
          </w:p>
        </w:tc>
        <w:tc>
          <w:tcPr>
            <w:tcW w:w="2094" w:type="pct"/>
            <w:vAlign w:val="center"/>
          </w:tcPr>
          <w:p w14:paraId="6A62EF0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29EBDB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05" w:type="pct"/>
            <w:gridSpan w:val="2"/>
            <w:vAlign w:val="center"/>
          </w:tcPr>
          <w:p w14:paraId="396A655F">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最高环境温度/℃</w:t>
            </w:r>
          </w:p>
        </w:tc>
        <w:tc>
          <w:tcPr>
            <w:tcW w:w="2094" w:type="pct"/>
            <w:vAlign w:val="center"/>
          </w:tcPr>
          <w:p w14:paraId="11209E1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39.1</w:t>
            </w:r>
          </w:p>
        </w:tc>
      </w:tr>
      <w:tr w14:paraId="259551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05" w:type="pct"/>
            <w:gridSpan w:val="2"/>
            <w:vAlign w:val="center"/>
          </w:tcPr>
          <w:p w14:paraId="319B9BE3">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最低环境温度/℃</w:t>
            </w:r>
          </w:p>
        </w:tc>
        <w:tc>
          <w:tcPr>
            <w:tcW w:w="2094" w:type="pct"/>
            <w:vAlign w:val="center"/>
          </w:tcPr>
          <w:p w14:paraId="4A0D0E7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-14</w:t>
            </w:r>
          </w:p>
        </w:tc>
      </w:tr>
      <w:tr w14:paraId="670B44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05" w:type="pct"/>
            <w:gridSpan w:val="2"/>
            <w:vAlign w:val="center"/>
          </w:tcPr>
          <w:p w14:paraId="740A441D">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土地利用类型</w:t>
            </w:r>
          </w:p>
        </w:tc>
        <w:tc>
          <w:tcPr>
            <w:tcW w:w="2094" w:type="pct"/>
            <w:vAlign w:val="center"/>
          </w:tcPr>
          <w:p w14:paraId="763CCFC8">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农用地</w:t>
            </w:r>
          </w:p>
        </w:tc>
      </w:tr>
      <w:tr w14:paraId="65BAA7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05" w:type="pct"/>
            <w:gridSpan w:val="2"/>
            <w:vAlign w:val="center"/>
          </w:tcPr>
          <w:p w14:paraId="4C649DD0">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区域湿度条件</w:t>
            </w:r>
          </w:p>
        </w:tc>
        <w:tc>
          <w:tcPr>
            <w:tcW w:w="2094" w:type="pct"/>
            <w:vAlign w:val="center"/>
          </w:tcPr>
          <w:p w14:paraId="0C6A1410">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eastAsia" w:cs="Times New Roman"/>
                <w:color w:val="000000" w:themeColor="text1"/>
                <w:kern w:val="2"/>
                <w:sz w:val="21"/>
                <w:szCs w:val="21"/>
                <w:lang w:eastAsia="zh-CN"/>
                <w14:textFill>
                  <w14:solidFill>
                    <w14:schemeClr w14:val="tx1"/>
                  </w14:solidFill>
                </w14:textFill>
              </w:rPr>
              <w:t>中等湿度</w:t>
            </w:r>
          </w:p>
        </w:tc>
      </w:tr>
      <w:tr w14:paraId="2A06F4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9" w:type="pct"/>
            <w:vMerge w:val="restart"/>
            <w:vAlign w:val="center"/>
          </w:tcPr>
          <w:p w14:paraId="6B3DE0ED">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是否考虑地形</w:t>
            </w:r>
          </w:p>
        </w:tc>
        <w:tc>
          <w:tcPr>
            <w:tcW w:w="1556" w:type="pct"/>
            <w:vAlign w:val="center"/>
          </w:tcPr>
          <w:p w14:paraId="4AF868BE">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考虑地形</w:t>
            </w:r>
          </w:p>
        </w:tc>
        <w:tc>
          <w:tcPr>
            <w:tcW w:w="2094" w:type="pct"/>
            <w:vAlign w:val="center"/>
          </w:tcPr>
          <w:p w14:paraId="31F74526">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■是□否</w:t>
            </w:r>
          </w:p>
        </w:tc>
      </w:tr>
      <w:tr w14:paraId="2DBA97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9" w:type="pct"/>
            <w:vMerge w:val="continue"/>
            <w:vAlign w:val="center"/>
          </w:tcPr>
          <w:p w14:paraId="69AA1750">
            <w:pPr>
              <w:widowControl/>
              <w:spacing w:line="276" w:lineRule="auto"/>
              <w:jc w:val="left"/>
              <w:rPr>
                <w:rFonts w:hint="default" w:ascii="Times New Roman" w:hAnsi="Times New Roman" w:cs="Times New Roman"/>
                <w:color w:val="000000" w:themeColor="text1"/>
                <w:kern w:val="2"/>
                <w:sz w:val="21"/>
                <w:szCs w:val="21"/>
                <w14:textFill>
                  <w14:solidFill>
                    <w14:schemeClr w14:val="tx1"/>
                  </w14:solidFill>
                </w14:textFill>
              </w:rPr>
            </w:pPr>
          </w:p>
        </w:tc>
        <w:tc>
          <w:tcPr>
            <w:tcW w:w="1556" w:type="pct"/>
            <w:vAlign w:val="center"/>
          </w:tcPr>
          <w:p w14:paraId="433324C8">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地形数据分辨率(m)</w:t>
            </w:r>
          </w:p>
        </w:tc>
        <w:tc>
          <w:tcPr>
            <w:tcW w:w="2094" w:type="pct"/>
            <w:vAlign w:val="center"/>
          </w:tcPr>
          <w:p w14:paraId="0DDF5FDB">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90</w:t>
            </w:r>
          </w:p>
        </w:tc>
      </w:tr>
      <w:tr w14:paraId="4A1CC4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9" w:type="pct"/>
            <w:vMerge w:val="restart"/>
            <w:vAlign w:val="center"/>
          </w:tcPr>
          <w:p w14:paraId="6318B153">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是否考虑岸线熏烟</w:t>
            </w:r>
          </w:p>
        </w:tc>
        <w:tc>
          <w:tcPr>
            <w:tcW w:w="1556" w:type="pct"/>
            <w:vAlign w:val="center"/>
          </w:tcPr>
          <w:p w14:paraId="6C51BDD3">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考虑岸线熏烟</w:t>
            </w:r>
          </w:p>
        </w:tc>
        <w:tc>
          <w:tcPr>
            <w:tcW w:w="2094" w:type="pct"/>
            <w:vAlign w:val="center"/>
          </w:tcPr>
          <w:p w14:paraId="183F1FF8">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□是■否</w:t>
            </w:r>
          </w:p>
        </w:tc>
      </w:tr>
      <w:tr w14:paraId="445A83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9" w:type="pct"/>
            <w:vMerge w:val="continue"/>
            <w:vAlign w:val="center"/>
          </w:tcPr>
          <w:p w14:paraId="633C9F23">
            <w:pPr>
              <w:widowControl/>
              <w:spacing w:line="276" w:lineRule="auto"/>
              <w:jc w:val="left"/>
              <w:rPr>
                <w:rFonts w:hint="default" w:ascii="Times New Roman" w:hAnsi="Times New Roman" w:cs="Times New Roman"/>
                <w:color w:val="000000" w:themeColor="text1"/>
                <w:kern w:val="2"/>
                <w:sz w:val="21"/>
                <w:szCs w:val="21"/>
                <w14:textFill>
                  <w14:solidFill>
                    <w14:schemeClr w14:val="tx1"/>
                  </w14:solidFill>
                </w14:textFill>
              </w:rPr>
            </w:pPr>
          </w:p>
        </w:tc>
        <w:tc>
          <w:tcPr>
            <w:tcW w:w="1556" w:type="pct"/>
            <w:vAlign w:val="center"/>
          </w:tcPr>
          <w:p w14:paraId="137E6D8F">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岸线距离/km</w:t>
            </w:r>
          </w:p>
        </w:tc>
        <w:tc>
          <w:tcPr>
            <w:tcW w:w="2094" w:type="pct"/>
            <w:vAlign w:val="center"/>
          </w:tcPr>
          <w:p w14:paraId="73A647D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546CE3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9" w:type="pct"/>
            <w:vMerge w:val="continue"/>
            <w:vAlign w:val="center"/>
          </w:tcPr>
          <w:p w14:paraId="5FEAB888">
            <w:pPr>
              <w:widowControl/>
              <w:spacing w:line="276" w:lineRule="auto"/>
              <w:jc w:val="left"/>
              <w:rPr>
                <w:rFonts w:hint="default" w:ascii="Times New Roman" w:hAnsi="Times New Roman" w:cs="Times New Roman"/>
                <w:color w:val="000000" w:themeColor="text1"/>
                <w:kern w:val="2"/>
                <w:sz w:val="21"/>
                <w:szCs w:val="21"/>
                <w14:textFill>
                  <w14:solidFill>
                    <w14:schemeClr w14:val="tx1"/>
                  </w14:solidFill>
                </w14:textFill>
              </w:rPr>
            </w:pPr>
          </w:p>
        </w:tc>
        <w:tc>
          <w:tcPr>
            <w:tcW w:w="1556" w:type="pct"/>
            <w:vAlign w:val="center"/>
          </w:tcPr>
          <w:p w14:paraId="6CB3E6D3">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岸线方向/</w:t>
            </w:r>
            <w:r>
              <w:rPr>
                <w:rFonts w:hint="default" w:ascii="Times New Roman" w:hAnsi="Times New Roman" w:cs="Times New Roman"/>
                <w:color w:val="000000" w:themeColor="text1"/>
                <w:kern w:val="2"/>
                <w:sz w:val="21"/>
                <w:szCs w:val="21"/>
                <w:vertAlign w:val="superscript"/>
                <w14:textFill>
                  <w14:solidFill>
                    <w14:schemeClr w14:val="tx1"/>
                  </w14:solidFill>
                </w14:textFill>
              </w:rPr>
              <w:t>o</w:t>
            </w:r>
          </w:p>
        </w:tc>
        <w:tc>
          <w:tcPr>
            <w:tcW w:w="2094" w:type="pct"/>
            <w:vAlign w:val="center"/>
          </w:tcPr>
          <w:p w14:paraId="57743DC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bl>
    <w:p w14:paraId="24F7AA53">
      <w:pPr>
        <w:numPr>
          <w:ilvl w:val="0"/>
          <w:numId w:val="0"/>
        </w:numPr>
        <w:spacing w:before="132" w:line="360" w:lineRule="auto"/>
        <w:ind w:firstLine="472" w:firstLineChars="20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预测源强</w:t>
      </w:r>
    </w:p>
    <w:p w14:paraId="37CDA9F1">
      <w:pPr>
        <w:numPr>
          <w:ilvl w:val="0"/>
          <w:numId w:val="0"/>
        </w:numPr>
        <w:spacing w:before="132" w:line="360" w:lineRule="auto"/>
        <w:ind w:firstLine="472" w:firstLineChars="20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本项目的大气污染物有组织排放污染源强见表5.2-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9</w:t>
      </w:r>
      <w:r>
        <w:rPr>
          <w:rFonts w:hint="default" w:ascii="Times New Roman" w:hAnsi="Times New Roman" w:eastAsia="宋体" w:cs="Times New Roman"/>
          <w:color w:val="000000" w:themeColor="text1"/>
          <w:sz w:val="24"/>
          <w:szCs w:val="24"/>
          <w14:textFill>
            <w14:solidFill>
              <w14:schemeClr w14:val="tx1"/>
            </w14:solidFill>
          </w14:textFill>
        </w:rPr>
        <w:t>；无组织排放污染源参数见表5.2-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14:textFill>
            <w14:solidFill>
              <w14:schemeClr w14:val="tx1"/>
            </w14:solidFill>
          </w14:textFill>
        </w:rPr>
        <w:t>。</w:t>
      </w:r>
    </w:p>
    <w:p w14:paraId="26F6E4D5">
      <w:pPr>
        <w:spacing w:before="65" w:line="227" w:lineRule="auto"/>
        <w:jc w:val="center"/>
        <w:rPr>
          <w:rFonts w:hint="default" w:ascii="Times New Roman" w:hAnsi="Times New Roman" w:eastAsia="黑体" w:cs="Times New Roman"/>
          <w:b w:val="0"/>
          <w:bCs w:val="0"/>
          <w:color w:val="000000" w:themeColor="text1"/>
          <w:sz w:val="24"/>
          <w:szCs w:val="24"/>
          <w14:textFill>
            <w14:solidFill>
              <w14:schemeClr w14:val="tx1"/>
            </w14:solidFill>
          </w14:textFill>
        </w:rPr>
      </w:pPr>
      <w: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t>表</w:t>
      </w:r>
      <w:r>
        <w:rPr>
          <w:rFonts w:hint="default" w:ascii="Times New Roman" w:hAnsi="Times New Roman" w:eastAsia="黑体" w:cs="Times New Roman"/>
          <w:b w:val="0"/>
          <w:bCs w:val="0"/>
          <w:color w:val="000000" w:themeColor="text1"/>
          <w:spacing w:val="-23"/>
          <w:sz w:val="24"/>
          <w:szCs w:val="24"/>
          <w14:textFill>
            <w14:solidFill>
              <w14:schemeClr w14:val="tx1"/>
            </w14:solidFill>
          </w14:textFill>
        </w:rPr>
        <w:t xml:space="preserve"> </w:t>
      </w:r>
      <w: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t>5.2-</w:t>
      </w:r>
      <w:r>
        <w:rPr>
          <w:rFonts w:hint="default" w:ascii="Times New Roman" w:hAnsi="Times New Roman" w:eastAsia="黑体" w:cs="Times New Roman"/>
          <w:b w:val="0"/>
          <w:bCs w:val="0"/>
          <w:color w:val="000000" w:themeColor="text1"/>
          <w:spacing w:val="5"/>
          <w:sz w:val="24"/>
          <w:szCs w:val="24"/>
          <w:lang w:val="en-US" w:eastAsia="zh-CN"/>
          <w14:textFill>
            <w14:solidFill>
              <w14:schemeClr w14:val="tx1"/>
            </w14:solidFill>
          </w14:textFill>
        </w:rPr>
        <w:t xml:space="preserve">9  </w:t>
      </w:r>
      <w: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t>本项目有组织点源排放源强</w:t>
      </w:r>
    </w:p>
    <w:tbl>
      <w:tblPr>
        <w:tblStyle w:val="4092"/>
        <w:tblW w:w="4995" w:type="pct"/>
        <w:tblInd w:w="0" w:type="dxa"/>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363"/>
        <w:gridCol w:w="614"/>
        <w:gridCol w:w="869"/>
        <w:gridCol w:w="555"/>
        <w:gridCol w:w="716"/>
        <w:gridCol w:w="978"/>
        <w:gridCol w:w="914"/>
        <w:gridCol w:w="1131"/>
        <w:gridCol w:w="701"/>
        <w:gridCol w:w="701"/>
        <w:gridCol w:w="756"/>
      </w:tblGrid>
      <w:tr w14:paraId="14F9769F">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18" w:type="pct"/>
            <w:vMerge w:val="restart"/>
            <w:tcBorders>
              <w:tl2br w:val="nil"/>
              <w:tr2bl w:val="nil"/>
            </w:tcBorders>
            <w:textDirection w:val="tbRlV"/>
            <w:vAlign w:val="center"/>
          </w:tcPr>
          <w:p w14:paraId="25380380">
            <w:pPr>
              <w:spacing w:line="276" w:lineRule="auto"/>
              <w:ind w:left="0" w:leftChars="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 别</w:t>
            </w:r>
          </w:p>
        </w:tc>
        <w:tc>
          <w:tcPr>
            <w:tcW w:w="369" w:type="pct"/>
            <w:vMerge w:val="restart"/>
            <w:tcBorders>
              <w:tl2br w:val="nil"/>
              <w:tr2bl w:val="nil"/>
            </w:tcBorders>
            <w:vAlign w:val="center"/>
          </w:tcPr>
          <w:p w14:paraId="44842CD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 染 源</w:t>
            </w:r>
          </w:p>
        </w:tc>
        <w:tc>
          <w:tcPr>
            <w:tcW w:w="858" w:type="pct"/>
            <w:gridSpan w:val="2"/>
            <w:vMerge w:val="restart"/>
            <w:tcBorders>
              <w:tl2br w:val="nil"/>
              <w:tr2bl w:val="nil"/>
            </w:tcBorders>
            <w:vAlign w:val="center"/>
          </w:tcPr>
          <w:p w14:paraId="7893974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名称</w:t>
            </w:r>
          </w:p>
        </w:tc>
        <w:tc>
          <w:tcPr>
            <w:tcW w:w="431" w:type="pct"/>
            <w:vMerge w:val="restart"/>
            <w:tcBorders>
              <w:tl2br w:val="nil"/>
              <w:tr2bl w:val="nil"/>
            </w:tcBorders>
            <w:vAlign w:val="center"/>
          </w:tcPr>
          <w:p w14:paraId="4494E3B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废气量（m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/h）</w:t>
            </w:r>
          </w:p>
        </w:tc>
        <w:tc>
          <w:tcPr>
            <w:tcW w:w="1821" w:type="pct"/>
            <w:gridSpan w:val="3"/>
            <w:tcBorders>
              <w:tl2br w:val="nil"/>
              <w:tr2bl w:val="nil"/>
            </w:tcBorders>
            <w:vAlign w:val="center"/>
          </w:tcPr>
          <w:p w14:paraId="207DD92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污染物排放源强</w:t>
            </w:r>
          </w:p>
        </w:tc>
        <w:tc>
          <w:tcPr>
            <w:tcW w:w="1300" w:type="pct"/>
            <w:gridSpan w:val="3"/>
            <w:tcBorders>
              <w:tl2br w:val="nil"/>
              <w:tr2bl w:val="nil"/>
            </w:tcBorders>
            <w:vAlign w:val="center"/>
          </w:tcPr>
          <w:p w14:paraId="58204DE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排放特征</w:t>
            </w:r>
          </w:p>
        </w:tc>
      </w:tr>
      <w:tr w14:paraId="1F2B26F7">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18" w:type="pct"/>
            <w:vMerge w:val="continue"/>
            <w:tcBorders>
              <w:tl2br w:val="nil"/>
              <w:tr2bl w:val="nil"/>
            </w:tcBorders>
            <w:textDirection w:val="tbRlV"/>
            <w:vAlign w:val="center"/>
          </w:tcPr>
          <w:p w14:paraId="436521D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69" w:type="pct"/>
            <w:vMerge w:val="continue"/>
            <w:tcBorders>
              <w:tl2br w:val="nil"/>
              <w:tr2bl w:val="nil"/>
            </w:tcBorders>
            <w:textDirection w:val="tbRlV"/>
            <w:vAlign w:val="center"/>
          </w:tcPr>
          <w:p w14:paraId="3905745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58" w:type="pct"/>
            <w:gridSpan w:val="2"/>
            <w:vMerge w:val="continue"/>
            <w:tcBorders>
              <w:tl2br w:val="nil"/>
              <w:tr2bl w:val="nil"/>
            </w:tcBorders>
            <w:vAlign w:val="center"/>
          </w:tcPr>
          <w:p w14:paraId="0CDB7E5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31" w:type="pct"/>
            <w:vMerge w:val="continue"/>
            <w:tcBorders>
              <w:tl2br w:val="nil"/>
              <w:tr2bl w:val="nil"/>
            </w:tcBorders>
            <w:vAlign w:val="center"/>
          </w:tcPr>
          <w:p w14:paraId="4A8FEB0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89" w:type="pct"/>
            <w:tcBorders>
              <w:tl2br w:val="nil"/>
              <w:tr2bl w:val="nil"/>
            </w:tcBorders>
            <w:vAlign w:val="center"/>
          </w:tcPr>
          <w:p w14:paraId="09E320C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浓度 （mg/m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w:t>
            </w:r>
          </w:p>
        </w:tc>
        <w:tc>
          <w:tcPr>
            <w:tcW w:w="550" w:type="pct"/>
            <w:tcBorders>
              <w:tl2br w:val="nil"/>
              <w:tr2bl w:val="nil"/>
            </w:tcBorders>
            <w:vAlign w:val="center"/>
          </w:tcPr>
          <w:p w14:paraId="3432001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速率（kg/h）</w:t>
            </w:r>
          </w:p>
        </w:tc>
        <w:tc>
          <w:tcPr>
            <w:tcW w:w="681" w:type="pct"/>
            <w:tcBorders>
              <w:tl2br w:val="nil"/>
              <w:tr2bl w:val="nil"/>
            </w:tcBorders>
            <w:vAlign w:val="center"/>
          </w:tcPr>
          <w:p w14:paraId="6C0FF81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排放量（t/a）</w:t>
            </w:r>
          </w:p>
        </w:tc>
        <w:tc>
          <w:tcPr>
            <w:tcW w:w="422" w:type="pct"/>
            <w:tcBorders>
              <w:tl2br w:val="nil"/>
              <w:tr2bl w:val="nil"/>
            </w:tcBorders>
            <w:vAlign w:val="center"/>
          </w:tcPr>
          <w:p w14:paraId="4B4A432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高度（m）</w:t>
            </w:r>
          </w:p>
        </w:tc>
        <w:tc>
          <w:tcPr>
            <w:tcW w:w="422" w:type="pct"/>
            <w:tcBorders>
              <w:tl2br w:val="nil"/>
              <w:tr2bl w:val="nil"/>
            </w:tcBorders>
            <w:vAlign w:val="center"/>
          </w:tcPr>
          <w:p w14:paraId="402926C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内径（m）</w:t>
            </w:r>
          </w:p>
        </w:tc>
        <w:tc>
          <w:tcPr>
            <w:tcW w:w="455" w:type="pct"/>
            <w:tcBorders>
              <w:tl2br w:val="nil"/>
              <w:tr2bl w:val="nil"/>
            </w:tcBorders>
            <w:vAlign w:val="center"/>
          </w:tcPr>
          <w:p w14:paraId="0356BA5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温度(℃)</w:t>
            </w:r>
          </w:p>
        </w:tc>
      </w:tr>
      <w:tr w14:paraId="58A81C39">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18" w:type="pct"/>
            <w:vMerge w:val="restart"/>
            <w:tcBorders>
              <w:tl2br w:val="nil"/>
              <w:tr2bl w:val="nil"/>
            </w:tcBorders>
            <w:textDirection w:val="tbRlV"/>
            <w:vAlign w:val="center"/>
          </w:tcPr>
          <w:p w14:paraId="3D0AD3B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有组织</w:t>
            </w:r>
          </w:p>
        </w:tc>
        <w:tc>
          <w:tcPr>
            <w:tcW w:w="369" w:type="pct"/>
            <w:vMerge w:val="restart"/>
            <w:tcBorders>
              <w:tl2br w:val="nil"/>
              <w:tr2bl w:val="nil"/>
            </w:tcBorders>
            <w:vAlign w:val="center"/>
          </w:tcPr>
          <w:p w14:paraId="5BC9DC33">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DA001</w:t>
            </w:r>
          </w:p>
        </w:tc>
        <w:tc>
          <w:tcPr>
            <w:tcW w:w="523" w:type="pct"/>
            <w:tcBorders>
              <w:tl2br w:val="nil"/>
              <w:tr2bl w:val="nil"/>
            </w:tcBorders>
            <w:vAlign w:val="center"/>
          </w:tcPr>
          <w:p w14:paraId="41BDCDA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PET改性粒子熔融挤出</w:t>
            </w:r>
          </w:p>
        </w:tc>
        <w:tc>
          <w:tcPr>
            <w:tcW w:w="334" w:type="pct"/>
            <w:vMerge w:val="restart"/>
            <w:tcBorders>
              <w:tl2br w:val="nil"/>
              <w:tr2bl w:val="nil"/>
            </w:tcBorders>
            <w:textDirection w:val="tbRlV"/>
            <w:vAlign w:val="center"/>
          </w:tcPr>
          <w:p w14:paraId="65CBC8C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 甲 烷 总 烃</w:t>
            </w:r>
          </w:p>
        </w:tc>
        <w:tc>
          <w:tcPr>
            <w:tcW w:w="431" w:type="pct"/>
            <w:vMerge w:val="restart"/>
            <w:tcBorders>
              <w:tl2br w:val="nil"/>
              <w:tr2bl w:val="nil"/>
            </w:tcBorders>
            <w:vAlign w:val="center"/>
          </w:tcPr>
          <w:p w14:paraId="1144CCD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000</w:t>
            </w:r>
          </w:p>
        </w:tc>
        <w:tc>
          <w:tcPr>
            <w:tcW w:w="978" w:type="dxa"/>
            <w:tcBorders>
              <w:tl2br w:val="nil"/>
              <w:tr2bl w:val="nil"/>
            </w:tcBorders>
            <w:vAlign w:val="center"/>
          </w:tcPr>
          <w:p w14:paraId="698D5D1E">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3.458</w:t>
            </w:r>
          </w:p>
        </w:tc>
        <w:tc>
          <w:tcPr>
            <w:tcW w:w="914" w:type="dxa"/>
            <w:tcBorders>
              <w:tl2br w:val="nil"/>
              <w:tr2bl w:val="nil"/>
            </w:tcBorders>
            <w:vAlign w:val="center"/>
          </w:tcPr>
          <w:p w14:paraId="5D75EBE3">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017</w:t>
            </w:r>
          </w:p>
        </w:tc>
        <w:tc>
          <w:tcPr>
            <w:tcW w:w="1131" w:type="dxa"/>
            <w:tcBorders>
              <w:tl2br w:val="nil"/>
              <w:tr2bl w:val="nil"/>
            </w:tcBorders>
            <w:vAlign w:val="center"/>
          </w:tcPr>
          <w:p w14:paraId="69495A61">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083</w:t>
            </w:r>
          </w:p>
        </w:tc>
        <w:tc>
          <w:tcPr>
            <w:tcW w:w="422" w:type="pct"/>
            <w:vMerge w:val="restart"/>
            <w:tcBorders>
              <w:tl2br w:val="nil"/>
              <w:tr2bl w:val="nil"/>
            </w:tcBorders>
            <w:vAlign w:val="center"/>
          </w:tcPr>
          <w:p w14:paraId="0F3941F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c>
          <w:tcPr>
            <w:tcW w:w="422" w:type="pct"/>
            <w:vMerge w:val="restart"/>
            <w:tcBorders>
              <w:tl2br w:val="nil"/>
              <w:tr2bl w:val="nil"/>
            </w:tcBorders>
            <w:vAlign w:val="center"/>
          </w:tcPr>
          <w:p w14:paraId="4A9EA10F">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4</w:t>
            </w:r>
          </w:p>
        </w:tc>
        <w:tc>
          <w:tcPr>
            <w:tcW w:w="455" w:type="pct"/>
            <w:vMerge w:val="restart"/>
            <w:tcBorders>
              <w:tl2br w:val="nil"/>
              <w:tr2bl w:val="nil"/>
            </w:tcBorders>
            <w:vAlign w:val="center"/>
          </w:tcPr>
          <w:p w14:paraId="4128B16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w:t>
            </w:r>
          </w:p>
        </w:tc>
      </w:tr>
      <w:tr w14:paraId="34EC3FD0">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18" w:type="pct"/>
            <w:vMerge w:val="continue"/>
            <w:tcBorders>
              <w:tl2br w:val="nil"/>
              <w:tr2bl w:val="nil"/>
            </w:tcBorders>
            <w:textDirection w:val="tbRlV"/>
            <w:vAlign w:val="center"/>
          </w:tcPr>
          <w:p w14:paraId="4188AD6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69" w:type="pct"/>
            <w:vMerge w:val="continue"/>
            <w:tcBorders>
              <w:tl2br w:val="nil"/>
              <w:tr2bl w:val="nil"/>
            </w:tcBorders>
            <w:vAlign w:val="center"/>
          </w:tcPr>
          <w:p w14:paraId="74776B6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23" w:type="pct"/>
            <w:tcBorders>
              <w:tl2br w:val="nil"/>
              <w:tr2bl w:val="nil"/>
            </w:tcBorders>
            <w:vAlign w:val="center"/>
          </w:tcPr>
          <w:p w14:paraId="776E955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废</w:t>
            </w:r>
            <w:r>
              <w:rPr>
                <w:rFonts w:hint="default" w:ascii="Times New Roman" w:hAnsi="Times New Roman" w:cs="Times New Roman"/>
                <w:color w:val="000000" w:themeColor="text1"/>
                <w:sz w:val="21"/>
                <w:szCs w:val="21"/>
                <w:lang w:val="en-US" w:eastAsia="zh-CN"/>
                <w14:textFill>
                  <w14:solidFill>
                    <w14:schemeClr w14:val="tx1"/>
                  </w14:solidFill>
                </w14:textFill>
              </w:rPr>
              <w:t>标签纸</w:t>
            </w:r>
            <w:r>
              <w:rPr>
                <w:rFonts w:hint="eastAsia" w:cs="Times New Roman"/>
                <w:color w:val="000000" w:themeColor="text1"/>
                <w:sz w:val="21"/>
                <w:szCs w:val="21"/>
                <w:lang w:val="en-US" w:eastAsia="zh-CN"/>
                <w14:textFill>
                  <w14:solidFill>
                    <w14:schemeClr w14:val="tx1"/>
                  </w14:solidFill>
                </w14:textFill>
              </w:rPr>
              <w:t>高温分选</w:t>
            </w:r>
          </w:p>
        </w:tc>
        <w:tc>
          <w:tcPr>
            <w:tcW w:w="334" w:type="pct"/>
            <w:vMerge w:val="continue"/>
            <w:tcBorders>
              <w:tl2br w:val="nil"/>
              <w:tr2bl w:val="nil"/>
            </w:tcBorders>
            <w:textDirection w:val="tbRlV"/>
            <w:vAlign w:val="center"/>
          </w:tcPr>
          <w:p w14:paraId="1789627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31" w:type="pct"/>
            <w:vMerge w:val="continue"/>
            <w:tcBorders>
              <w:tl2br w:val="nil"/>
              <w:tr2bl w:val="nil"/>
            </w:tcBorders>
            <w:vAlign w:val="center"/>
          </w:tcPr>
          <w:p w14:paraId="083A72A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978" w:type="dxa"/>
            <w:tcBorders>
              <w:tl2br w:val="nil"/>
              <w:tr2bl w:val="nil"/>
            </w:tcBorders>
            <w:vAlign w:val="center"/>
          </w:tcPr>
          <w:p w14:paraId="1367E8FB">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2.758</w:t>
            </w:r>
          </w:p>
        </w:tc>
        <w:tc>
          <w:tcPr>
            <w:tcW w:w="914" w:type="dxa"/>
            <w:tcBorders>
              <w:tl2br w:val="nil"/>
              <w:tr2bl w:val="nil"/>
            </w:tcBorders>
            <w:vAlign w:val="center"/>
          </w:tcPr>
          <w:p w14:paraId="0F6E90D9">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0.01</w:t>
            </w:r>
            <w:r>
              <w:rPr>
                <w:rFonts w:hint="eastAsia" w:cs="Times New Roman"/>
                <w:color w:val="000000" w:themeColor="text1"/>
                <w:sz w:val="21"/>
                <w:szCs w:val="21"/>
                <w:lang w:val="en-US" w:eastAsia="zh-CN"/>
                <w14:textFill>
                  <w14:solidFill>
                    <w14:schemeClr w14:val="tx1"/>
                  </w14:solidFill>
                </w14:textFill>
              </w:rPr>
              <w:t>4</w:t>
            </w:r>
          </w:p>
        </w:tc>
        <w:tc>
          <w:tcPr>
            <w:tcW w:w="1131" w:type="dxa"/>
            <w:tcBorders>
              <w:tl2br w:val="nil"/>
              <w:tr2bl w:val="nil"/>
            </w:tcBorders>
            <w:vAlign w:val="center"/>
          </w:tcPr>
          <w:p w14:paraId="272571EB">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0.066</w:t>
            </w:r>
          </w:p>
        </w:tc>
        <w:tc>
          <w:tcPr>
            <w:tcW w:w="422" w:type="pct"/>
            <w:vMerge w:val="continue"/>
            <w:tcBorders>
              <w:tl2br w:val="nil"/>
              <w:tr2bl w:val="nil"/>
            </w:tcBorders>
            <w:vAlign w:val="center"/>
          </w:tcPr>
          <w:p w14:paraId="56B736D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2" w:type="pct"/>
            <w:vMerge w:val="continue"/>
            <w:tcBorders>
              <w:tl2br w:val="nil"/>
              <w:tr2bl w:val="nil"/>
            </w:tcBorders>
            <w:vAlign w:val="center"/>
          </w:tcPr>
          <w:p w14:paraId="3C35A80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55" w:type="pct"/>
            <w:vMerge w:val="continue"/>
            <w:tcBorders>
              <w:tl2br w:val="nil"/>
              <w:tr2bl w:val="nil"/>
            </w:tcBorders>
            <w:vAlign w:val="center"/>
          </w:tcPr>
          <w:p w14:paraId="04C5606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5BC286F9">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18" w:type="pct"/>
            <w:vMerge w:val="continue"/>
            <w:tcBorders>
              <w:tl2br w:val="nil"/>
              <w:tr2bl w:val="nil"/>
            </w:tcBorders>
            <w:textDirection w:val="tbRlV"/>
            <w:vAlign w:val="center"/>
          </w:tcPr>
          <w:p w14:paraId="4576E94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69" w:type="pct"/>
            <w:vMerge w:val="restart"/>
            <w:tcBorders>
              <w:tl2br w:val="nil"/>
              <w:tr2bl w:val="nil"/>
            </w:tcBorders>
            <w:vAlign w:val="center"/>
          </w:tcPr>
          <w:p w14:paraId="247E5625">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DA002</w:t>
            </w:r>
          </w:p>
        </w:tc>
        <w:tc>
          <w:tcPr>
            <w:tcW w:w="523" w:type="pct"/>
            <w:tcBorders>
              <w:tl2br w:val="nil"/>
              <w:tr2bl w:val="nil"/>
            </w:tcBorders>
            <w:vAlign w:val="center"/>
          </w:tcPr>
          <w:p w14:paraId="2893068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拆包</w:t>
            </w:r>
          </w:p>
        </w:tc>
        <w:tc>
          <w:tcPr>
            <w:tcW w:w="334" w:type="pct"/>
            <w:vMerge w:val="restart"/>
            <w:tcBorders>
              <w:tl2br w:val="nil"/>
              <w:tr2bl w:val="nil"/>
            </w:tcBorders>
            <w:textDirection w:val="tbRlV"/>
            <w:vAlign w:val="center"/>
          </w:tcPr>
          <w:p w14:paraId="6A1B809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粉 尘</w:t>
            </w:r>
          </w:p>
        </w:tc>
        <w:tc>
          <w:tcPr>
            <w:tcW w:w="431" w:type="pct"/>
            <w:vMerge w:val="restart"/>
            <w:tcBorders>
              <w:tl2br w:val="nil"/>
              <w:tr2bl w:val="nil"/>
            </w:tcBorders>
            <w:vAlign w:val="center"/>
          </w:tcPr>
          <w:p w14:paraId="5F66D15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55</w:t>
            </w:r>
            <w:r>
              <w:rPr>
                <w:rFonts w:hint="default" w:ascii="Times New Roman" w:hAnsi="Times New Roman" w:cs="Times New Roman"/>
                <w:color w:val="000000" w:themeColor="text1"/>
                <w:sz w:val="21"/>
                <w:szCs w:val="21"/>
                <w14:textFill>
                  <w14:solidFill>
                    <w14:schemeClr w14:val="tx1"/>
                  </w14:solidFill>
                </w14:textFill>
              </w:rPr>
              <w:t>00</w:t>
            </w:r>
          </w:p>
        </w:tc>
        <w:tc>
          <w:tcPr>
            <w:tcW w:w="978" w:type="dxa"/>
            <w:tcBorders>
              <w:tl2br w:val="nil"/>
              <w:tr2bl w:val="nil"/>
            </w:tcBorders>
            <w:vAlign w:val="center"/>
          </w:tcPr>
          <w:p w14:paraId="4209F6E9">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3.856</w:t>
            </w:r>
          </w:p>
        </w:tc>
        <w:tc>
          <w:tcPr>
            <w:tcW w:w="914" w:type="dxa"/>
            <w:tcBorders>
              <w:tl2br w:val="nil"/>
              <w:tr2bl w:val="nil"/>
            </w:tcBorders>
            <w:vAlign w:val="center"/>
          </w:tcPr>
          <w:p w14:paraId="453CAC9F">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21</w:t>
            </w:r>
          </w:p>
        </w:tc>
        <w:tc>
          <w:tcPr>
            <w:tcW w:w="1131" w:type="dxa"/>
            <w:tcBorders>
              <w:tl2br w:val="nil"/>
              <w:tr2bl w:val="nil"/>
            </w:tcBorders>
            <w:vAlign w:val="center"/>
          </w:tcPr>
          <w:p w14:paraId="35A9A363">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0.102</w:t>
            </w:r>
          </w:p>
        </w:tc>
        <w:tc>
          <w:tcPr>
            <w:tcW w:w="422" w:type="pct"/>
            <w:vMerge w:val="restart"/>
            <w:tcBorders>
              <w:tl2br w:val="nil"/>
              <w:tr2bl w:val="nil"/>
            </w:tcBorders>
            <w:vAlign w:val="center"/>
          </w:tcPr>
          <w:p w14:paraId="663F078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c>
          <w:tcPr>
            <w:tcW w:w="422" w:type="pct"/>
            <w:vMerge w:val="restart"/>
            <w:tcBorders>
              <w:tl2br w:val="nil"/>
              <w:tr2bl w:val="nil"/>
            </w:tcBorders>
            <w:vAlign w:val="center"/>
          </w:tcPr>
          <w:p w14:paraId="12BFBC6E">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4</w:t>
            </w:r>
          </w:p>
        </w:tc>
        <w:tc>
          <w:tcPr>
            <w:tcW w:w="455" w:type="pct"/>
            <w:vMerge w:val="restart"/>
            <w:tcBorders>
              <w:tl2br w:val="nil"/>
              <w:tr2bl w:val="nil"/>
            </w:tcBorders>
            <w:vAlign w:val="center"/>
          </w:tcPr>
          <w:p w14:paraId="2C53F80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w:t>
            </w:r>
          </w:p>
        </w:tc>
      </w:tr>
      <w:tr w14:paraId="0E024E95">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18" w:type="pct"/>
            <w:vMerge w:val="continue"/>
            <w:tcBorders>
              <w:tl2br w:val="nil"/>
              <w:tr2bl w:val="nil"/>
            </w:tcBorders>
            <w:textDirection w:val="tbRlV"/>
            <w:vAlign w:val="center"/>
          </w:tcPr>
          <w:p w14:paraId="0F7E162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69" w:type="pct"/>
            <w:vMerge w:val="continue"/>
            <w:tcBorders>
              <w:tl2br w:val="nil"/>
              <w:tr2bl w:val="nil"/>
            </w:tcBorders>
            <w:vAlign w:val="center"/>
          </w:tcPr>
          <w:p w14:paraId="1540D13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23" w:type="pct"/>
            <w:tcBorders>
              <w:tl2br w:val="nil"/>
              <w:tr2bl w:val="nil"/>
            </w:tcBorders>
            <w:vAlign w:val="center"/>
          </w:tcPr>
          <w:p w14:paraId="2247F619">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磨粉</w:t>
            </w:r>
          </w:p>
        </w:tc>
        <w:tc>
          <w:tcPr>
            <w:tcW w:w="334" w:type="pct"/>
            <w:vMerge w:val="continue"/>
            <w:tcBorders>
              <w:tl2br w:val="nil"/>
              <w:tr2bl w:val="nil"/>
            </w:tcBorders>
            <w:textDirection w:val="tbRlV"/>
            <w:vAlign w:val="center"/>
          </w:tcPr>
          <w:p w14:paraId="139180B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31" w:type="pct"/>
            <w:vMerge w:val="continue"/>
            <w:tcBorders>
              <w:tl2br w:val="nil"/>
              <w:tr2bl w:val="nil"/>
            </w:tcBorders>
            <w:vAlign w:val="center"/>
          </w:tcPr>
          <w:p w14:paraId="4869756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978" w:type="dxa"/>
            <w:tcBorders>
              <w:tl2br w:val="nil"/>
              <w:tr2bl w:val="nil"/>
            </w:tcBorders>
            <w:vAlign w:val="center"/>
          </w:tcPr>
          <w:p w14:paraId="75A3021A">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796</w:t>
            </w:r>
          </w:p>
        </w:tc>
        <w:tc>
          <w:tcPr>
            <w:tcW w:w="914" w:type="dxa"/>
            <w:tcBorders>
              <w:tl2br w:val="nil"/>
              <w:tr2bl w:val="nil"/>
            </w:tcBorders>
            <w:vAlign w:val="center"/>
          </w:tcPr>
          <w:p w14:paraId="583FEDDF">
            <w:pPr>
              <w:pStyle w:val="1114"/>
              <w:adjustRightInd/>
              <w:spacing w:before="0" w:after="0" w:line="27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04</w:t>
            </w:r>
          </w:p>
        </w:tc>
        <w:tc>
          <w:tcPr>
            <w:tcW w:w="1131" w:type="dxa"/>
            <w:tcBorders>
              <w:tl2br w:val="nil"/>
              <w:tr2bl w:val="nil"/>
            </w:tcBorders>
            <w:vAlign w:val="center"/>
          </w:tcPr>
          <w:p w14:paraId="38613885">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0.021</w:t>
            </w:r>
          </w:p>
        </w:tc>
        <w:tc>
          <w:tcPr>
            <w:tcW w:w="422" w:type="pct"/>
            <w:vMerge w:val="continue"/>
            <w:tcBorders>
              <w:tl2br w:val="nil"/>
              <w:tr2bl w:val="nil"/>
            </w:tcBorders>
            <w:vAlign w:val="center"/>
          </w:tcPr>
          <w:p w14:paraId="056E469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2" w:type="pct"/>
            <w:vMerge w:val="continue"/>
            <w:tcBorders>
              <w:tl2br w:val="nil"/>
              <w:tr2bl w:val="nil"/>
            </w:tcBorders>
            <w:vAlign w:val="center"/>
          </w:tcPr>
          <w:p w14:paraId="3CE4638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55" w:type="pct"/>
            <w:vMerge w:val="continue"/>
            <w:tcBorders>
              <w:tl2br w:val="nil"/>
              <w:tr2bl w:val="nil"/>
            </w:tcBorders>
            <w:vAlign w:val="center"/>
          </w:tcPr>
          <w:p w14:paraId="70BB83F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1B98E16B">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18" w:type="pct"/>
            <w:vMerge w:val="continue"/>
            <w:tcBorders>
              <w:tl2br w:val="nil"/>
              <w:tr2bl w:val="nil"/>
            </w:tcBorders>
            <w:textDirection w:val="tbRlV"/>
            <w:vAlign w:val="center"/>
          </w:tcPr>
          <w:p w14:paraId="6251632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69" w:type="pct"/>
            <w:vMerge w:val="restart"/>
            <w:tcBorders>
              <w:tl2br w:val="nil"/>
              <w:tr2bl w:val="nil"/>
            </w:tcBorders>
            <w:vAlign w:val="center"/>
          </w:tcPr>
          <w:p w14:paraId="3EFB0B7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DA003</w:t>
            </w:r>
          </w:p>
        </w:tc>
        <w:tc>
          <w:tcPr>
            <w:tcW w:w="523" w:type="pct"/>
            <w:vMerge w:val="restart"/>
            <w:tcBorders>
              <w:tl2br w:val="nil"/>
              <w:tr2bl w:val="nil"/>
            </w:tcBorders>
            <w:vAlign w:val="center"/>
          </w:tcPr>
          <w:p w14:paraId="144783CC">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污水站</w:t>
            </w:r>
          </w:p>
        </w:tc>
        <w:tc>
          <w:tcPr>
            <w:tcW w:w="334" w:type="pct"/>
            <w:tcBorders>
              <w:tl2br w:val="nil"/>
              <w:tr2bl w:val="nil"/>
            </w:tcBorders>
            <w:vAlign w:val="center"/>
          </w:tcPr>
          <w:p w14:paraId="3339646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NH</w:t>
            </w:r>
            <w:r>
              <w:rPr>
                <w:rFonts w:hint="default" w:ascii="Times New Roman" w:hAnsi="Times New Roman" w:cs="Times New Roman"/>
                <w:color w:val="000000" w:themeColor="text1"/>
                <w:sz w:val="21"/>
                <w:szCs w:val="21"/>
                <w:vertAlign w:val="subscript"/>
                <w:lang w:val="en-US" w:eastAsia="zh-CN"/>
                <w14:textFill>
                  <w14:solidFill>
                    <w14:schemeClr w14:val="tx1"/>
                  </w14:solidFill>
                </w14:textFill>
              </w:rPr>
              <w:t>3</w:t>
            </w:r>
          </w:p>
        </w:tc>
        <w:tc>
          <w:tcPr>
            <w:tcW w:w="431" w:type="pct"/>
            <w:vMerge w:val="restart"/>
            <w:tcBorders>
              <w:tl2br w:val="nil"/>
              <w:tr2bl w:val="nil"/>
            </w:tcBorders>
            <w:vAlign w:val="center"/>
          </w:tcPr>
          <w:p w14:paraId="03BB300C">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cs="Times New Roman"/>
                <w:color w:val="000000" w:themeColor="text1"/>
                <w:sz w:val="21"/>
                <w:szCs w:val="21"/>
                <w:lang w:val="en-US" w:eastAsia="zh-CN"/>
                <w14:textFill>
                  <w14:solidFill>
                    <w14:schemeClr w14:val="tx1"/>
                  </w14:solidFill>
                </w14:textFill>
              </w:rPr>
              <w:t>000</w:t>
            </w:r>
          </w:p>
        </w:tc>
        <w:tc>
          <w:tcPr>
            <w:tcW w:w="978" w:type="dxa"/>
            <w:tcBorders>
              <w:tl2br w:val="nil"/>
              <w:tr2bl w:val="nil"/>
            </w:tcBorders>
            <w:vAlign w:val="center"/>
          </w:tcPr>
          <w:p w14:paraId="70F1DF96">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1.118</w:t>
            </w:r>
          </w:p>
        </w:tc>
        <w:tc>
          <w:tcPr>
            <w:tcW w:w="914" w:type="dxa"/>
            <w:tcBorders>
              <w:tl2br w:val="nil"/>
              <w:tr2bl w:val="nil"/>
            </w:tcBorders>
            <w:vAlign w:val="center"/>
          </w:tcPr>
          <w:p w14:paraId="2AF5300A">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335</w:t>
            </w:r>
          </w:p>
        </w:tc>
        <w:tc>
          <w:tcPr>
            <w:tcW w:w="1131" w:type="dxa"/>
            <w:tcBorders>
              <w:tl2br w:val="nil"/>
              <w:tr2bl w:val="nil"/>
            </w:tcBorders>
            <w:vAlign w:val="center"/>
          </w:tcPr>
          <w:p w14:paraId="0560951B">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161</w:t>
            </w:r>
          </w:p>
        </w:tc>
        <w:tc>
          <w:tcPr>
            <w:tcW w:w="422" w:type="pct"/>
            <w:vMerge w:val="restart"/>
            <w:tcBorders>
              <w:tl2br w:val="nil"/>
              <w:tr2bl w:val="nil"/>
            </w:tcBorders>
            <w:shd w:val="clear" w:color="auto" w:fill="auto"/>
            <w:vAlign w:val="center"/>
          </w:tcPr>
          <w:p w14:paraId="43D40601">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c>
          <w:tcPr>
            <w:tcW w:w="422" w:type="pct"/>
            <w:vMerge w:val="restart"/>
            <w:tcBorders>
              <w:tl2br w:val="nil"/>
              <w:tr2bl w:val="nil"/>
            </w:tcBorders>
            <w:shd w:val="clear" w:color="auto" w:fill="auto"/>
            <w:vAlign w:val="center"/>
          </w:tcPr>
          <w:p w14:paraId="218479A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455" w:type="pct"/>
            <w:vMerge w:val="restart"/>
            <w:tcBorders>
              <w:tl2br w:val="nil"/>
              <w:tr2bl w:val="nil"/>
            </w:tcBorders>
            <w:shd w:val="clear" w:color="auto" w:fill="auto"/>
            <w:vAlign w:val="center"/>
          </w:tcPr>
          <w:p w14:paraId="1699223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w:t>
            </w:r>
          </w:p>
        </w:tc>
      </w:tr>
      <w:tr w14:paraId="0EBC449C">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18" w:type="pct"/>
            <w:vMerge w:val="continue"/>
            <w:tcBorders>
              <w:tl2br w:val="nil"/>
              <w:tr2bl w:val="nil"/>
            </w:tcBorders>
            <w:textDirection w:val="tbRlV"/>
            <w:vAlign w:val="center"/>
          </w:tcPr>
          <w:p w14:paraId="42611BF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69" w:type="pct"/>
            <w:vMerge w:val="continue"/>
            <w:tcBorders>
              <w:tl2br w:val="nil"/>
              <w:tr2bl w:val="nil"/>
            </w:tcBorders>
            <w:vAlign w:val="center"/>
          </w:tcPr>
          <w:p w14:paraId="7DB95B8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23" w:type="pct"/>
            <w:vMerge w:val="continue"/>
            <w:tcBorders>
              <w:tl2br w:val="nil"/>
              <w:tr2bl w:val="nil"/>
            </w:tcBorders>
            <w:vAlign w:val="center"/>
          </w:tcPr>
          <w:p w14:paraId="542B4EFB">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c>
          <w:tcPr>
            <w:tcW w:w="334" w:type="pct"/>
            <w:tcBorders>
              <w:tl2br w:val="nil"/>
              <w:tr2bl w:val="nil"/>
            </w:tcBorders>
            <w:vAlign w:val="center"/>
          </w:tcPr>
          <w:p w14:paraId="0F601313">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H</w:t>
            </w:r>
            <w:r>
              <w:rPr>
                <w:rFonts w:hint="default" w:ascii="Times New Roman" w:hAnsi="Times New Roman" w:cs="Times New Roman"/>
                <w:color w:val="000000" w:themeColor="text1"/>
                <w:sz w:val="21"/>
                <w:szCs w:val="21"/>
                <w:vertAlign w:val="subscript"/>
                <w:lang w:val="en-US" w:eastAsia="zh-CN"/>
                <w14:textFill>
                  <w14:solidFill>
                    <w14:schemeClr w14:val="tx1"/>
                  </w14:solidFill>
                </w14:textFill>
              </w:rPr>
              <w:t>2</w:t>
            </w:r>
            <w:r>
              <w:rPr>
                <w:rFonts w:hint="default" w:ascii="Times New Roman" w:hAnsi="Times New Roman" w:cs="Times New Roman"/>
                <w:color w:val="000000" w:themeColor="text1"/>
                <w:sz w:val="21"/>
                <w:szCs w:val="21"/>
                <w:lang w:val="en-US" w:eastAsia="zh-CN"/>
                <w14:textFill>
                  <w14:solidFill>
                    <w14:schemeClr w14:val="tx1"/>
                  </w14:solidFill>
                </w14:textFill>
              </w:rPr>
              <w:t>S</w:t>
            </w:r>
          </w:p>
        </w:tc>
        <w:tc>
          <w:tcPr>
            <w:tcW w:w="431" w:type="pct"/>
            <w:vMerge w:val="continue"/>
            <w:tcBorders>
              <w:tl2br w:val="nil"/>
              <w:tr2bl w:val="nil"/>
            </w:tcBorders>
            <w:vAlign w:val="center"/>
          </w:tcPr>
          <w:p w14:paraId="456BCF8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978" w:type="dxa"/>
            <w:tcBorders>
              <w:tl2br w:val="nil"/>
              <w:tr2bl w:val="nil"/>
            </w:tcBorders>
            <w:vAlign w:val="center"/>
          </w:tcPr>
          <w:p w14:paraId="118B7CEF">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431</w:t>
            </w:r>
          </w:p>
        </w:tc>
        <w:tc>
          <w:tcPr>
            <w:tcW w:w="914" w:type="dxa"/>
            <w:tcBorders>
              <w:tl2br w:val="nil"/>
              <w:tr2bl w:val="nil"/>
            </w:tcBorders>
            <w:vAlign w:val="center"/>
          </w:tcPr>
          <w:p w14:paraId="07157015">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0.000</w:t>
            </w:r>
            <w:r>
              <w:rPr>
                <w:rFonts w:hint="eastAsia" w:cs="Times New Roman"/>
                <w:color w:val="000000" w:themeColor="text1"/>
                <w:sz w:val="21"/>
                <w:szCs w:val="21"/>
                <w:lang w:val="en-US" w:eastAsia="zh-CN"/>
                <w14:textFill>
                  <w14:solidFill>
                    <w14:schemeClr w14:val="tx1"/>
                  </w14:solidFill>
                </w14:textFill>
              </w:rPr>
              <w:t>13</w:t>
            </w:r>
          </w:p>
        </w:tc>
        <w:tc>
          <w:tcPr>
            <w:tcW w:w="1131" w:type="dxa"/>
            <w:tcBorders>
              <w:tl2br w:val="nil"/>
              <w:tr2bl w:val="nil"/>
            </w:tcBorders>
            <w:vAlign w:val="center"/>
          </w:tcPr>
          <w:p w14:paraId="60DF40F2">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0.000</w:t>
            </w:r>
            <w:r>
              <w:rPr>
                <w:rFonts w:hint="eastAsia" w:cs="Times New Roman"/>
                <w:color w:val="000000" w:themeColor="text1"/>
                <w:sz w:val="21"/>
                <w:szCs w:val="21"/>
                <w:lang w:val="en-US" w:eastAsia="zh-CN"/>
                <w14:textFill>
                  <w14:solidFill>
                    <w14:schemeClr w14:val="tx1"/>
                  </w14:solidFill>
                </w14:textFill>
              </w:rPr>
              <w:t>62</w:t>
            </w:r>
          </w:p>
        </w:tc>
        <w:tc>
          <w:tcPr>
            <w:tcW w:w="422" w:type="pct"/>
            <w:vMerge w:val="continue"/>
            <w:tcBorders>
              <w:tl2br w:val="nil"/>
              <w:tr2bl w:val="nil"/>
            </w:tcBorders>
            <w:vAlign w:val="center"/>
          </w:tcPr>
          <w:p w14:paraId="1D0F991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2" w:type="pct"/>
            <w:vMerge w:val="continue"/>
            <w:tcBorders>
              <w:tl2br w:val="nil"/>
              <w:tr2bl w:val="nil"/>
            </w:tcBorders>
            <w:vAlign w:val="center"/>
          </w:tcPr>
          <w:p w14:paraId="37622B9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55" w:type="pct"/>
            <w:vMerge w:val="continue"/>
            <w:tcBorders>
              <w:tl2br w:val="nil"/>
              <w:tr2bl w:val="nil"/>
            </w:tcBorders>
            <w:vAlign w:val="center"/>
          </w:tcPr>
          <w:p w14:paraId="2F67CB9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4F1F9AC0">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18" w:type="pct"/>
            <w:vMerge w:val="restart"/>
            <w:tcBorders>
              <w:tl2br w:val="nil"/>
              <w:tr2bl w:val="nil"/>
            </w:tcBorders>
            <w:textDirection w:val="tbRlV"/>
            <w:vAlign w:val="center"/>
          </w:tcPr>
          <w:p w14:paraId="2EBE8E6C">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合计</w:t>
            </w:r>
          </w:p>
        </w:tc>
        <w:tc>
          <w:tcPr>
            <w:tcW w:w="369" w:type="pct"/>
            <w:tcBorders>
              <w:tl2br w:val="nil"/>
              <w:tr2bl w:val="nil"/>
            </w:tcBorders>
            <w:vAlign w:val="center"/>
          </w:tcPr>
          <w:p w14:paraId="41042E21">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DA001</w:t>
            </w:r>
          </w:p>
        </w:tc>
        <w:tc>
          <w:tcPr>
            <w:tcW w:w="858" w:type="pct"/>
            <w:gridSpan w:val="2"/>
            <w:tcBorders>
              <w:tl2br w:val="nil"/>
              <w:tr2bl w:val="nil"/>
            </w:tcBorders>
            <w:vAlign w:val="center"/>
          </w:tcPr>
          <w:p w14:paraId="2FD208B6">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非甲烷总烃</w:t>
            </w:r>
          </w:p>
        </w:tc>
        <w:tc>
          <w:tcPr>
            <w:tcW w:w="431" w:type="pct"/>
            <w:tcBorders>
              <w:tl2br w:val="nil"/>
              <w:tr2bl w:val="nil"/>
            </w:tcBorders>
            <w:vAlign w:val="center"/>
          </w:tcPr>
          <w:p w14:paraId="50822E1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000</w:t>
            </w:r>
          </w:p>
        </w:tc>
        <w:tc>
          <w:tcPr>
            <w:tcW w:w="978" w:type="dxa"/>
            <w:tcBorders>
              <w:tl2br w:val="nil"/>
              <w:tr2bl w:val="nil"/>
            </w:tcBorders>
            <w:vAlign w:val="center"/>
          </w:tcPr>
          <w:p w14:paraId="31D0EE8F">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6.216</w:t>
            </w:r>
          </w:p>
        </w:tc>
        <w:tc>
          <w:tcPr>
            <w:tcW w:w="914" w:type="dxa"/>
            <w:tcBorders>
              <w:tl2br w:val="nil"/>
              <w:tr2bl w:val="nil"/>
            </w:tcBorders>
            <w:vAlign w:val="center"/>
          </w:tcPr>
          <w:p w14:paraId="1C086999">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0.031</w:t>
            </w:r>
          </w:p>
        </w:tc>
        <w:tc>
          <w:tcPr>
            <w:tcW w:w="1131" w:type="dxa"/>
            <w:tcBorders>
              <w:tl2br w:val="nil"/>
              <w:tr2bl w:val="nil"/>
            </w:tcBorders>
            <w:vAlign w:val="center"/>
          </w:tcPr>
          <w:p w14:paraId="26C186E7">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0.149</w:t>
            </w:r>
          </w:p>
        </w:tc>
        <w:tc>
          <w:tcPr>
            <w:tcW w:w="422" w:type="pct"/>
            <w:tcBorders>
              <w:tl2br w:val="nil"/>
              <w:tr2bl w:val="nil"/>
            </w:tcBorders>
            <w:shd w:val="clear" w:color="auto" w:fill="auto"/>
            <w:vAlign w:val="center"/>
          </w:tcPr>
          <w:p w14:paraId="344CDA90">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c>
          <w:tcPr>
            <w:tcW w:w="422" w:type="pct"/>
            <w:tcBorders>
              <w:tl2br w:val="nil"/>
              <w:tr2bl w:val="nil"/>
            </w:tcBorders>
            <w:shd w:val="clear" w:color="auto" w:fill="auto"/>
            <w:vAlign w:val="center"/>
          </w:tcPr>
          <w:p w14:paraId="3F242C3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4</w:t>
            </w:r>
          </w:p>
        </w:tc>
        <w:tc>
          <w:tcPr>
            <w:tcW w:w="455" w:type="pct"/>
            <w:tcBorders>
              <w:tl2br w:val="nil"/>
              <w:tr2bl w:val="nil"/>
            </w:tcBorders>
            <w:shd w:val="clear" w:color="auto" w:fill="auto"/>
            <w:vAlign w:val="center"/>
          </w:tcPr>
          <w:p w14:paraId="4271619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w:t>
            </w:r>
          </w:p>
        </w:tc>
      </w:tr>
      <w:tr w14:paraId="157EA67B">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18" w:type="pct"/>
            <w:vMerge w:val="continue"/>
            <w:tcBorders>
              <w:tl2br w:val="nil"/>
              <w:tr2bl w:val="nil"/>
            </w:tcBorders>
            <w:textDirection w:val="tbRlV"/>
            <w:vAlign w:val="center"/>
          </w:tcPr>
          <w:p w14:paraId="523C464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69" w:type="pct"/>
            <w:tcBorders>
              <w:tl2br w:val="nil"/>
              <w:tr2bl w:val="nil"/>
            </w:tcBorders>
            <w:vAlign w:val="center"/>
          </w:tcPr>
          <w:p w14:paraId="1F8A4576">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DA002</w:t>
            </w:r>
          </w:p>
        </w:tc>
        <w:tc>
          <w:tcPr>
            <w:tcW w:w="858" w:type="pct"/>
            <w:gridSpan w:val="2"/>
            <w:tcBorders>
              <w:tl2br w:val="nil"/>
              <w:tr2bl w:val="nil"/>
            </w:tcBorders>
            <w:vAlign w:val="center"/>
          </w:tcPr>
          <w:p w14:paraId="21A862C8">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粉尘</w:t>
            </w:r>
          </w:p>
        </w:tc>
        <w:tc>
          <w:tcPr>
            <w:tcW w:w="431" w:type="pct"/>
            <w:tcBorders>
              <w:tl2br w:val="nil"/>
              <w:tr2bl w:val="nil"/>
            </w:tcBorders>
            <w:vAlign w:val="center"/>
          </w:tcPr>
          <w:p w14:paraId="2231CC4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55</w:t>
            </w:r>
            <w:r>
              <w:rPr>
                <w:rFonts w:hint="default" w:ascii="Times New Roman" w:hAnsi="Times New Roman" w:cs="Times New Roman"/>
                <w:color w:val="000000" w:themeColor="text1"/>
                <w:sz w:val="21"/>
                <w:szCs w:val="21"/>
                <w14:textFill>
                  <w14:solidFill>
                    <w14:schemeClr w14:val="tx1"/>
                  </w14:solidFill>
                </w14:textFill>
              </w:rPr>
              <w:t>00</w:t>
            </w:r>
          </w:p>
        </w:tc>
        <w:tc>
          <w:tcPr>
            <w:tcW w:w="978" w:type="dxa"/>
            <w:tcBorders>
              <w:tl2br w:val="nil"/>
              <w:tr2bl w:val="nil"/>
            </w:tcBorders>
            <w:vAlign w:val="center"/>
          </w:tcPr>
          <w:p w14:paraId="746FD966">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4.652</w:t>
            </w:r>
          </w:p>
        </w:tc>
        <w:tc>
          <w:tcPr>
            <w:tcW w:w="914" w:type="dxa"/>
            <w:tcBorders>
              <w:tl2br w:val="nil"/>
              <w:tr2bl w:val="nil"/>
            </w:tcBorders>
            <w:vAlign w:val="center"/>
          </w:tcPr>
          <w:p w14:paraId="31458C70">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0.026</w:t>
            </w:r>
          </w:p>
        </w:tc>
        <w:tc>
          <w:tcPr>
            <w:tcW w:w="1131" w:type="dxa"/>
            <w:tcBorders>
              <w:tl2br w:val="nil"/>
              <w:tr2bl w:val="nil"/>
            </w:tcBorders>
            <w:vAlign w:val="center"/>
          </w:tcPr>
          <w:p w14:paraId="27CB4C91">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0.123</w:t>
            </w:r>
          </w:p>
        </w:tc>
        <w:tc>
          <w:tcPr>
            <w:tcW w:w="422" w:type="pct"/>
            <w:tcBorders>
              <w:tl2br w:val="nil"/>
              <w:tr2bl w:val="nil"/>
            </w:tcBorders>
            <w:vAlign w:val="center"/>
          </w:tcPr>
          <w:p w14:paraId="37C9673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c>
          <w:tcPr>
            <w:tcW w:w="422" w:type="pct"/>
            <w:tcBorders>
              <w:tl2br w:val="nil"/>
              <w:tr2bl w:val="nil"/>
            </w:tcBorders>
            <w:vAlign w:val="center"/>
          </w:tcPr>
          <w:p w14:paraId="603954C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4</w:t>
            </w:r>
          </w:p>
        </w:tc>
        <w:tc>
          <w:tcPr>
            <w:tcW w:w="455" w:type="pct"/>
            <w:tcBorders>
              <w:tl2br w:val="nil"/>
              <w:tr2bl w:val="nil"/>
            </w:tcBorders>
            <w:vAlign w:val="center"/>
          </w:tcPr>
          <w:p w14:paraId="0EB8F69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w:t>
            </w:r>
          </w:p>
        </w:tc>
      </w:tr>
      <w:tr w14:paraId="1D72AEC4">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18" w:type="pct"/>
            <w:vMerge w:val="continue"/>
            <w:tcBorders>
              <w:tl2br w:val="nil"/>
              <w:tr2bl w:val="nil"/>
            </w:tcBorders>
            <w:textDirection w:val="tbRlV"/>
            <w:vAlign w:val="center"/>
          </w:tcPr>
          <w:p w14:paraId="7F6FA3B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69" w:type="pct"/>
            <w:vMerge w:val="restart"/>
            <w:tcBorders>
              <w:tl2br w:val="nil"/>
              <w:tr2bl w:val="nil"/>
            </w:tcBorders>
            <w:vAlign w:val="center"/>
          </w:tcPr>
          <w:p w14:paraId="3B28E97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DA003</w:t>
            </w:r>
          </w:p>
        </w:tc>
        <w:tc>
          <w:tcPr>
            <w:tcW w:w="1424" w:type="dxa"/>
            <w:gridSpan w:val="2"/>
            <w:tcBorders>
              <w:tl2br w:val="nil"/>
              <w:tr2bl w:val="nil"/>
            </w:tcBorders>
            <w:vAlign w:val="center"/>
          </w:tcPr>
          <w:p w14:paraId="4965396F">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NH</w:t>
            </w:r>
            <w:r>
              <w:rPr>
                <w:rFonts w:hint="default" w:ascii="Times New Roman" w:hAnsi="Times New Roman" w:cs="Times New Roman"/>
                <w:color w:val="000000" w:themeColor="text1"/>
                <w:sz w:val="21"/>
                <w:szCs w:val="21"/>
                <w:vertAlign w:val="subscript"/>
                <w:lang w:val="en-US" w:eastAsia="zh-CN"/>
                <w14:textFill>
                  <w14:solidFill>
                    <w14:schemeClr w14:val="tx1"/>
                  </w14:solidFill>
                </w14:textFill>
              </w:rPr>
              <w:t>3</w:t>
            </w:r>
          </w:p>
        </w:tc>
        <w:tc>
          <w:tcPr>
            <w:tcW w:w="431" w:type="pct"/>
            <w:vMerge w:val="restart"/>
            <w:tcBorders>
              <w:tl2br w:val="nil"/>
              <w:tr2bl w:val="nil"/>
            </w:tcBorders>
            <w:vAlign w:val="center"/>
          </w:tcPr>
          <w:p w14:paraId="31C99AC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cs="Times New Roman"/>
                <w:color w:val="000000" w:themeColor="text1"/>
                <w:sz w:val="21"/>
                <w:szCs w:val="21"/>
                <w:lang w:val="en-US" w:eastAsia="zh-CN"/>
                <w14:textFill>
                  <w14:solidFill>
                    <w14:schemeClr w14:val="tx1"/>
                  </w14:solidFill>
                </w14:textFill>
              </w:rPr>
              <w:t>000</w:t>
            </w:r>
          </w:p>
        </w:tc>
        <w:tc>
          <w:tcPr>
            <w:tcW w:w="978" w:type="dxa"/>
            <w:tcBorders>
              <w:tl2br w:val="nil"/>
              <w:tr2bl w:val="nil"/>
            </w:tcBorders>
            <w:shd w:val="clear" w:color="auto" w:fill="auto"/>
            <w:vAlign w:val="center"/>
          </w:tcPr>
          <w:p w14:paraId="7A5363E8">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1.882</w:t>
            </w:r>
          </w:p>
        </w:tc>
        <w:tc>
          <w:tcPr>
            <w:tcW w:w="914" w:type="dxa"/>
            <w:tcBorders>
              <w:tl2br w:val="nil"/>
              <w:tr2bl w:val="nil"/>
            </w:tcBorders>
            <w:shd w:val="clear" w:color="auto" w:fill="auto"/>
            <w:vAlign w:val="center"/>
          </w:tcPr>
          <w:p w14:paraId="7FD92494">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565</w:t>
            </w:r>
          </w:p>
        </w:tc>
        <w:tc>
          <w:tcPr>
            <w:tcW w:w="1131" w:type="dxa"/>
            <w:tcBorders>
              <w:tl2br w:val="nil"/>
              <w:tr2bl w:val="nil"/>
            </w:tcBorders>
            <w:shd w:val="clear" w:color="auto" w:fill="auto"/>
            <w:vAlign w:val="center"/>
          </w:tcPr>
          <w:p w14:paraId="36541CDD">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271</w:t>
            </w:r>
          </w:p>
        </w:tc>
        <w:tc>
          <w:tcPr>
            <w:tcW w:w="422" w:type="pct"/>
            <w:vMerge w:val="restart"/>
            <w:tcBorders>
              <w:tl2br w:val="nil"/>
              <w:tr2bl w:val="nil"/>
            </w:tcBorders>
            <w:vAlign w:val="center"/>
          </w:tcPr>
          <w:p w14:paraId="62E6E24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w:t>
            </w:r>
          </w:p>
        </w:tc>
        <w:tc>
          <w:tcPr>
            <w:tcW w:w="422" w:type="pct"/>
            <w:vMerge w:val="restart"/>
            <w:tcBorders>
              <w:tl2br w:val="nil"/>
              <w:tr2bl w:val="nil"/>
            </w:tcBorders>
            <w:vAlign w:val="center"/>
          </w:tcPr>
          <w:p w14:paraId="0294081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455" w:type="pct"/>
            <w:vMerge w:val="restart"/>
            <w:tcBorders>
              <w:tl2br w:val="nil"/>
              <w:tr2bl w:val="nil"/>
            </w:tcBorders>
            <w:vAlign w:val="center"/>
          </w:tcPr>
          <w:p w14:paraId="3D29E2E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w:t>
            </w:r>
          </w:p>
        </w:tc>
      </w:tr>
      <w:tr w14:paraId="7973756A">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18" w:type="pct"/>
            <w:vMerge w:val="continue"/>
            <w:tcBorders>
              <w:tl2br w:val="nil"/>
              <w:tr2bl w:val="nil"/>
            </w:tcBorders>
            <w:textDirection w:val="tbRlV"/>
            <w:vAlign w:val="center"/>
          </w:tcPr>
          <w:p w14:paraId="7F0C049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69" w:type="pct"/>
            <w:vMerge w:val="continue"/>
            <w:tcBorders>
              <w:tl2br w:val="nil"/>
              <w:tr2bl w:val="nil"/>
            </w:tcBorders>
            <w:vAlign w:val="center"/>
          </w:tcPr>
          <w:p w14:paraId="406A13C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424" w:type="dxa"/>
            <w:gridSpan w:val="2"/>
            <w:tcBorders>
              <w:tl2br w:val="nil"/>
              <w:tr2bl w:val="nil"/>
            </w:tcBorders>
            <w:vAlign w:val="center"/>
          </w:tcPr>
          <w:p w14:paraId="5A00538E">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H</w:t>
            </w:r>
            <w:r>
              <w:rPr>
                <w:rFonts w:hint="default" w:ascii="Times New Roman" w:hAnsi="Times New Roman" w:cs="Times New Roman"/>
                <w:color w:val="000000" w:themeColor="text1"/>
                <w:sz w:val="21"/>
                <w:szCs w:val="21"/>
                <w:vertAlign w:val="subscript"/>
                <w:lang w:val="en-US" w:eastAsia="zh-CN"/>
                <w14:textFill>
                  <w14:solidFill>
                    <w14:schemeClr w14:val="tx1"/>
                  </w14:solidFill>
                </w14:textFill>
              </w:rPr>
              <w:t>2</w:t>
            </w:r>
            <w:r>
              <w:rPr>
                <w:rFonts w:hint="default" w:ascii="Times New Roman" w:hAnsi="Times New Roman" w:cs="Times New Roman"/>
                <w:color w:val="000000" w:themeColor="text1"/>
                <w:sz w:val="21"/>
                <w:szCs w:val="21"/>
                <w:lang w:val="en-US" w:eastAsia="zh-CN"/>
                <w14:textFill>
                  <w14:solidFill>
                    <w14:schemeClr w14:val="tx1"/>
                  </w14:solidFill>
                </w14:textFill>
              </w:rPr>
              <w:t>S</w:t>
            </w:r>
          </w:p>
        </w:tc>
        <w:tc>
          <w:tcPr>
            <w:tcW w:w="431" w:type="pct"/>
            <w:vMerge w:val="continue"/>
            <w:tcBorders>
              <w:tl2br w:val="nil"/>
              <w:tr2bl w:val="nil"/>
            </w:tcBorders>
            <w:vAlign w:val="center"/>
          </w:tcPr>
          <w:p w14:paraId="1187956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978" w:type="dxa"/>
            <w:tcBorders>
              <w:tl2br w:val="nil"/>
              <w:tr2bl w:val="nil"/>
            </w:tcBorders>
            <w:shd w:val="clear" w:color="auto" w:fill="auto"/>
            <w:vAlign w:val="center"/>
          </w:tcPr>
          <w:p w14:paraId="335CD7F7">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729</w:t>
            </w:r>
          </w:p>
        </w:tc>
        <w:tc>
          <w:tcPr>
            <w:tcW w:w="914" w:type="dxa"/>
            <w:tcBorders>
              <w:tl2br w:val="nil"/>
              <w:tr2bl w:val="nil"/>
            </w:tcBorders>
            <w:shd w:val="clear" w:color="auto" w:fill="auto"/>
            <w:vAlign w:val="center"/>
          </w:tcPr>
          <w:p w14:paraId="5F5642DC">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0.000</w:t>
            </w:r>
            <w:r>
              <w:rPr>
                <w:rFonts w:hint="eastAsia" w:cs="Times New Roman"/>
                <w:color w:val="000000" w:themeColor="text1"/>
                <w:sz w:val="21"/>
                <w:szCs w:val="21"/>
                <w:lang w:val="en-US" w:eastAsia="zh-CN"/>
                <w14:textFill>
                  <w14:solidFill>
                    <w14:schemeClr w14:val="tx1"/>
                  </w14:solidFill>
                </w14:textFill>
              </w:rPr>
              <w:t>22</w:t>
            </w:r>
          </w:p>
        </w:tc>
        <w:tc>
          <w:tcPr>
            <w:tcW w:w="1131" w:type="dxa"/>
            <w:tcBorders>
              <w:tl2br w:val="nil"/>
              <w:tr2bl w:val="nil"/>
            </w:tcBorders>
            <w:shd w:val="clear" w:color="auto" w:fill="auto"/>
            <w:vAlign w:val="center"/>
          </w:tcPr>
          <w:p w14:paraId="07B6FE7D">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11</w:t>
            </w:r>
          </w:p>
        </w:tc>
        <w:tc>
          <w:tcPr>
            <w:tcW w:w="422" w:type="pct"/>
            <w:vMerge w:val="continue"/>
            <w:tcBorders>
              <w:tl2br w:val="nil"/>
              <w:tr2bl w:val="nil"/>
            </w:tcBorders>
            <w:vAlign w:val="center"/>
          </w:tcPr>
          <w:p w14:paraId="0228BDB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22" w:type="pct"/>
            <w:vMerge w:val="continue"/>
            <w:tcBorders>
              <w:tl2br w:val="nil"/>
              <w:tr2bl w:val="nil"/>
            </w:tcBorders>
            <w:vAlign w:val="center"/>
          </w:tcPr>
          <w:p w14:paraId="39406BD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55" w:type="pct"/>
            <w:vMerge w:val="continue"/>
            <w:tcBorders>
              <w:tl2br w:val="nil"/>
              <w:tr2bl w:val="nil"/>
            </w:tcBorders>
            <w:vAlign w:val="center"/>
          </w:tcPr>
          <w:p w14:paraId="431DB03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bl>
    <w:p w14:paraId="0BBD91D3">
      <w:pPr>
        <w:spacing w:before="63" w:line="228" w:lineRule="auto"/>
        <w:jc w:val="center"/>
        <w:rPr>
          <w:rFonts w:hint="default" w:ascii="Times New Roman" w:hAnsi="Times New Roman" w:eastAsia="黑体" w:cs="Times New Roman"/>
          <w:b w:val="0"/>
          <w:bCs w:val="0"/>
          <w:color w:val="000000" w:themeColor="text1"/>
          <w:sz w:val="24"/>
          <w:szCs w:val="24"/>
          <w14:textFill>
            <w14:solidFill>
              <w14:schemeClr w14:val="tx1"/>
            </w14:solidFill>
          </w14:textFill>
        </w:rPr>
      </w:pPr>
      <w: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t>表</w:t>
      </w:r>
      <w:r>
        <w:rPr>
          <w:rFonts w:hint="default" w:ascii="Times New Roman" w:hAnsi="Times New Roman" w:eastAsia="黑体" w:cs="Times New Roman"/>
          <w:b w:val="0"/>
          <w:bCs w:val="0"/>
          <w:color w:val="000000" w:themeColor="text1"/>
          <w:spacing w:val="-38"/>
          <w:sz w:val="24"/>
          <w:szCs w:val="24"/>
          <w14:textFill>
            <w14:solidFill>
              <w14:schemeClr w14:val="tx1"/>
            </w14:solidFill>
          </w14:textFill>
        </w:rPr>
        <w:t xml:space="preserve"> </w:t>
      </w:r>
      <w: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t>5.2-</w:t>
      </w:r>
      <w:r>
        <w:rPr>
          <w:rFonts w:hint="default" w:ascii="Times New Roman" w:hAnsi="Times New Roman" w:eastAsia="黑体" w:cs="Times New Roman"/>
          <w:b w:val="0"/>
          <w:bCs w:val="0"/>
          <w:color w:val="000000" w:themeColor="text1"/>
          <w:spacing w:val="5"/>
          <w:sz w:val="24"/>
          <w:szCs w:val="24"/>
          <w:lang w:val="en-US" w:eastAsia="zh-CN"/>
          <w14:textFill>
            <w14:solidFill>
              <w14:schemeClr w14:val="tx1"/>
            </w14:solidFill>
          </w14:textFill>
        </w:rPr>
        <w:t xml:space="preserve">10  </w:t>
      </w:r>
      <w: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t>无组织排放污染</w:t>
      </w:r>
      <w: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t>源强</w:t>
      </w:r>
    </w:p>
    <w:tbl>
      <w:tblPr>
        <w:tblStyle w:val="4092"/>
        <w:tblW w:w="0" w:type="auto"/>
        <w:jc w:val="center"/>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819"/>
        <w:gridCol w:w="1118"/>
        <w:gridCol w:w="1181"/>
        <w:gridCol w:w="1280"/>
        <w:gridCol w:w="1280"/>
        <w:gridCol w:w="1147"/>
        <w:gridCol w:w="1481"/>
      </w:tblGrid>
      <w:tr w14:paraId="37139D58">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819" w:type="dxa"/>
            <w:vMerge w:val="restart"/>
            <w:tcBorders>
              <w:tl2br w:val="nil"/>
              <w:tr2bl w:val="nil"/>
            </w:tcBorders>
            <w:vAlign w:val="center"/>
          </w:tcPr>
          <w:p w14:paraId="6DC30830">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污染源</w:t>
            </w:r>
          </w:p>
        </w:tc>
        <w:tc>
          <w:tcPr>
            <w:tcW w:w="1118" w:type="dxa"/>
            <w:vMerge w:val="restart"/>
            <w:tcBorders>
              <w:tl2br w:val="nil"/>
              <w:tr2bl w:val="nil"/>
            </w:tcBorders>
            <w:vAlign w:val="center"/>
          </w:tcPr>
          <w:p w14:paraId="460D5ACC">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污染物名称</w:t>
            </w:r>
          </w:p>
        </w:tc>
        <w:tc>
          <w:tcPr>
            <w:tcW w:w="1181" w:type="dxa"/>
            <w:vMerge w:val="restart"/>
            <w:tcBorders>
              <w:tl2br w:val="nil"/>
              <w:tr2bl w:val="nil"/>
            </w:tcBorders>
            <w:vAlign w:val="center"/>
          </w:tcPr>
          <w:p w14:paraId="4C6BE9AA">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面源有效高度（m）</w:t>
            </w:r>
          </w:p>
        </w:tc>
        <w:tc>
          <w:tcPr>
            <w:tcW w:w="0" w:type="auto"/>
            <w:gridSpan w:val="4"/>
            <w:tcBorders>
              <w:tl2br w:val="nil"/>
              <w:tr2bl w:val="nil"/>
            </w:tcBorders>
            <w:vAlign w:val="center"/>
          </w:tcPr>
          <w:p w14:paraId="69F32100">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排放源</w:t>
            </w:r>
          </w:p>
        </w:tc>
      </w:tr>
      <w:tr w14:paraId="1F78E680">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819" w:type="dxa"/>
            <w:vMerge w:val="continue"/>
            <w:tcBorders>
              <w:tl2br w:val="nil"/>
              <w:tr2bl w:val="nil"/>
            </w:tcBorders>
            <w:vAlign w:val="center"/>
          </w:tcPr>
          <w:p w14:paraId="25780C12">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1118" w:type="dxa"/>
            <w:vMerge w:val="continue"/>
            <w:tcBorders>
              <w:tl2br w:val="nil"/>
              <w:tr2bl w:val="nil"/>
            </w:tcBorders>
            <w:vAlign w:val="center"/>
          </w:tcPr>
          <w:p w14:paraId="709CBBDA">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1181" w:type="dxa"/>
            <w:vMerge w:val="continue"/>
            <w:tcBorders>
              <w:tl2br w:val="nil"/>
              <w:tr2bl w:val="nil"/>
            </w:tcBorders>
            <w:vAlign w:val="center"/>
          </w:tcPr>
          <w:p w14:paraId="54B202C0">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0" w:type="auto"/>
            <w:tcBorders>
              <w:tl2br w:val="nil"/>
              <w:tr2bl w:val="nil"/>
            </w:tcBorders>
            <w:vAlign w:val="center"/>
          </w:tcPr>
          <w:p w14:paraId="374E5999">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面源长度（m）</w:t>
            </w:r>
          </w:p>
        </w:tc>
        <w:tc>
          <w:tcPr>
            <w:tcW w:w="0" w:type="auto"/>
            <w:tcBorders>
              <w:tl2br w:val="nil"/>
              <w:tr2bl w:val="nil"/>
            </w:tcBorders>
            <w:vAlign w:val="center"/>
          </w:tcPr>
          <w:p w14:paraId="53E541F3">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面源宽度（m）</w:t>
            </w:r>
          </w:p>
        </w:tc>
        <w:tc>
          <w:tcPr>
            <w:tcW w:w="0" w:type="auto"/>
            <w:tcBorders>
              <w:tl2br w:val="nil"/>
              <w:tr2bl w:val="nil"/>
            </w:tcBorders>
            <w:vAlign w:val="center"/>
          </w:tcPr>
          <w:p w14:paraId="4B52F4AA">
            <w:pPr>
              <w:widowControl/>
              <w:spacing w:line="240" w:lineRule="auto"/>
              <w:jc w:val="center"/>
              <w:textAlignment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排放量（</w:t>
            </w:r>
            <w:r>
              <w:rPr>
                <w:rFonts w:hint="default" w:ascii="Times New Roman" w:hAnsi="Times New Roman" w:cs="Times New Roman"/>
                <w:color w:val="000000" w:themeColor="text1"/>
                <w:sz w:val="21"/>
                <w:szCs w:val="21"/>
                <w:lang w:val="en-US" w:eastAsia="zh-CN"/>
                <w14:textFill>
                  <w14:solidFill>
                    <w14:schemeClr w14:val="tx1"/>
                  </w14:solidFill>
                </w14:textFill>
              </w:rPr>
              <w:t>t/a</w:t>
            </w:r>
            <w:r>
              <w:rPr>
                <w:rFonts w:hint="default" w:ascii="Times New Roman" w:hAnsi="Times New Roman" w:cs="Times New Roman"/>
                <w:color w:val="000000" w:themeColor="text1"/>
                <w:sz w:val="21"/>
                <w:szCs w:val="21"/>
                <w:lang w:eastAsia="zh-CN"/>
                <w14:textFill>
                  <w14:solidFill>
                    <w14:schemeClr w14:val="tx1"/>
                  </w14:solidFill>
                </w14:textFill>
              </w:rPr>
              <w:t>）</w:t>
            </w:r>
          </w:p>
        </w:tc>
        <w:tc>
          <w:tcPr>
            <w:tcW w:w="0" w:type="auto"/>
            <w:tcBorders>
              <w:tl2br w:val="nil"/>
              <w:tr2bl w:val="nil"/>
            </w:tcBorders>
            <w:vAlign w:val="center"/>
          </w:tcPr>
          <w:p w14:paraId="4CF399A3">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排放速率</w:t>
            </w:r>
            <w:r>
              <w:rPr>
                <w:rFonts w:hint="default" w:ascii="Times New Roman" w:hAnsi="Times New Roman" w:cs="Times New Roman"/>
                <w:color w:val="000000" w:themeColor="text1"/>
                <w:sz w:val="21"/>
                <w:szCs w:val="21"/>
                <w14:textFill>
                  <w14:solidFill>
                    <w14:schemeClr w14:val="tx1"/>
                  </w14:solidFill>
                </w14:textFill>
              </w:rPr>
              <w:t>（kg/h）</w:t>
            </w:r>
          </w:p>
        </w:tc>
      </w:tr>
      <w:tr w14:paraId="24906C58">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819" w:type="dxa"/>
            <w:tcBorders>
              <w:tl2br w:val="nil"/>
              <w:tr2bl w:val="nil"/>
            </w:tcBorders>
            <w:vAlign w:val="center"/>
          </w:tcPr>
          <w:p w14:paraId="0DEF0A62">
            <w:pPr>
              <w:widowControl/>
              <w:spacing w:line="240" w:lineRule="auto"/>
              <w:jc w:val="center"/>
              <w:textAlignment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1#厂房</w:t>
            </w:r>
          </w:p>
        </w:tc>
        <w:tc>
          <w:tcPr>
            <w:tcW w:w="1118" w:type="dxa"/>
            <w:tcBorders>
              <w:tl2br w:val="nil"/>
              <w:tr2bl w:val="nil"/>
            </w:tcBorders>
            <w:vAlign w:val="center"/>
          </w:tcPr>
          <w:p w14:paraId="5FB384AB">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1181" w:type="dxa"/>
            <w:tcBorders>
              <w:tl2br w:val="nil"/>
              <w:tr2bl w:val="nil"/>
            </w:tcBorders>
            <w:vAlign w:val="center"/>
          </w:tcPr>
          <w:p w14:paraId="46007CAA">
            <w:pPr>
              <w:widowControl/>
              <w:spacing w:line="240" w:lineRule="auto"/>
              <w:jc w:val="center"/>
              <w:textAlignment w:val="center"/>
              <w:rPr>
                <w:rFonts w:hint="default" w:ascii="Times New Roman" w:hAnsi="Times New Roman" w:eastAsia="宋体" w:cs="Times New Roman"/>
                <w:color w:val="000000" w:themeColor="text1"/>
                <w:sz w:val="21"/>
                <w:szCs w:val="21"/>
                <w:highlight w:val="yellow"/>
                <w:lang w:eastAsia="zh-CN"/>
                <w14:textFill>
                  <w14:solidFill>
                    <w14:schemeClr w14:val="tx1"/>
                  </w14:solidFill>
                </w14:textFill>
              </w:rPr>
            </w:pPr>
            <w:r>
              <w:rPr>
                <w:rFonts w:hint="default" w:ascii="Times New Roman" w:hAnsi="Times New Roman" w:cs="Times New Roman"/>
                <w:color w:val="000000" w:themeColor="text1"/>
                <w:sz w:val="21"/>
                <w:szCs w:val="21"/>
                <w:highlight w:val="yellow"/>
                <w14:textFill>
                  <w14:solidFill>
                    <w14:schemeClr w14:val="tx1"/>
                  </w14:solidFill>
                </w14:textFill>
              </w:rPr>
              <w:t>1</w:t>
            </w:r>
            <w:r>
              <w:rPr>
                <w:rFonts w:hint="default" w:ascii="Times New Roman" w:hAnsi="Times New Roman" w:cs="Times New Roman"/>
                <w:color w:val="000000" w:themeColor="text1"/>
                <w:sz w:val="21"/>
                <w:szCs w:val="21"/>
                <w:highlight w:val="yellow"/>
                <w:lang w:val="en-US" w:eastAsia="zh-CN"/>
                <w14:textFill>
                  <w14:solidFill>
                    <w14:schemeClr w14:val="tx1"/>
                  </w14:solidFill>
                </w14:textFill>
              </w:rPr>
              <w:t>2</w:t>
            </w:r>
          </w:p>
        </w:tc>
        <w:tc>
          <w:tcPr>
            <w:tcW w:w="0" w:type="auto"/>
            <w:tcBorders>
              <w:tl2br w:val="nil"/>
              <w:tr2bl w:val="nil"/>
            </w:tcBorders>
            <w:vAlign w:val="center"/>
          </w:tcPr>
          <w:p w14:paraId="1D783FFC">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default" w:ascii="Times New Roman" w:hAnsi="Times New Roman" w:cs="Times New Roman"/>
                <w:color w:val="000000" w:themeColor="text1"/>
                <w:sz w:val="21"/>
                <w:szCs w:val="21"/>
                <w:lang w:val="en-US" w:eastAsia="zh-CN"/>
                <w14:textFill>
                  <w14:solidFill>
                    <w14:schemeClr w14:val="tx1"/>
                  </w14:solidFill>
                </w14:textFill>
              </w:rPr>
              <w:t>1</w:t>
            </w:r>
            <w:r>
              <w:rPr>
                <w:rFonts w:hint="default" w:ascii="Times New Roman" w:hAnsi="Times New Roman" w:cs="Times New Roman"/>
                <w:color w:val="000000" w:themeColor="text1"/>
                <w:sz w:val="21"/>
                <w:szCs w:val="21"/>
                <w14:textFill>
                  <w14:solidFill>
                    <w14:schemeClr w14:val="tx1"/>
                  </w14:solidFill>
                </w14:textFill>
              </w:rPr>
              <w:t>6</w:t>
            </w:r>
          </w:p>
        </w:tc>
        <w:tc>
          <w:tcPr>
            <w:tcW w:w="0" w:type="auto"/>
            <w:tcBorders>
              <w:tl2br w:val="nil"/>
              <w:tr2bl w:val="nil"/>
            </w:tcBorders>
            <w:vAlign w:val="center"/>
          </w:tcPr>
          <w:p w14:paraId="1428CC9F">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52.5</w:t>
            </w:r>
          </w:p>
        </w:tc>
        <w:tc>
          <w:tcPr>
            <w:tcW w:w="1147" w:type="dxa"/>
            <w:tcBorders>
              <w:tl2br w:val="nil"/>
              <w:tr2bl w:val="nil"/>
            </w:tcBorders>
            <w:vAlign w:val="center"/>
          </w:tcPr>
          <w:p w14:paraId="5C78C7E6">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val="en-US" w:eastAsia="zh-CN"/>
                <w14:textFill>
                  <w14:solidFill>
                    <w14:schemeClr w14:val="tx1"/>
                  </w14:solidFill>
                </w14:textFill>
              </w:rPr>
              <w:t>0.</w:t>
            </w:r>
            <w:r>
              <w:rPr>
                <w:rFonts w:hint="eastAsia" w:cs="Times New Roman"/>
                <w:color w:val="000000" w:themeColor="text1"/>
                <w:spacing w:val="0"/>
                <w:sz w:val="21"/>
                <w:szCs w:val="21"/>
                <w:lang w:val="en-US" w:eastAsia="zh-CN"/>
                <w14:textFill>
                  <w14:solidFill>
                    <w14:schemeClr w14:val="tx1"/>
                  </w14:solidFill>
                </w14:textFill>
              </w:rPr>
              <w:t>02</w:t>
            </w:r>
          </w:p>
        </w:tc>
        <w:tc>
          <w:tcPr>
            <w:tcW w:w="1481" w:type="dxa"/>
            <w:tcBorders>
              <w:tl2br w:val="nil"/>
              <w:tr2bl w:val="nil"/>
            </w:tcBorders>
            <w:vAlign w:val="center"/>
          </w:tcPr>
          <w:p w14:paraId="766139D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0.0</w:t>
            </w:r>
            <w:r>
              <w:rPr>
                <w:rFonts w:hint="eastAsia" w:cs="Times New Roman"/>
                <w:color w:val="000000" w:themeColor="text1"/>
                <w:spacing w:val="0"/>
                <w:sz w:val="21"/>
                <w:szCs w:val="21"/>
                <w:lang w:val="en-US" w:eastAsia="zh-CN"/>
                <w14:textFill>
                  <w14:solidFill>
                    <w14:schemeClr w14:val="tx1"/>
                  </w14:solidFill>
                </w14:textFill>
              </w:rPr>
              <w:t>42</w:t>
            </w:r>
          </w:p>
        </w:tc>
      </w:tr>
      <w:tr w14:paraId="11372D1B">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819" w:type="dxa"/>
            <w:vMerge w:val="restart"/>
            <w:tcBorders>
              <w:tl2br w:val="nil"/>
              <w:tr2bl w:val="nil"/>
            </w:tcBorders>
            <w:vAlign w:val="center"/>
          </w:tcPr>
          <w:p w14:paraId="663BC125">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2#厂房</w:t>
            </w:r>
          </w:p>
        </w:tc>
        <w:tc>
          <w:tcPr>
            <w:tcW w:w="1118" w:type="dxa"/>
            <w:tcBorders>
              <w:tl2br w:val="nil"/>
              <w:tr2bl w:val="nil"/>
            </w:tcBorders>
            <w:shd w:val="clear" w:color="auto" w:fill="auto"/>
            <w:vAlign w:val="center"/>
          </w:tcPr>
          <w:p w14:paraId="1377C8B2">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pacing w:val="0"/>
                <w:sz w:val="21"/>
                <w:szCs w:val="21"/>
                <w:lang w:val="zh-CN"/>
                <w14:textFill>
                  <w14:solidFill>
                    <w14:schemeClr w14:val="tx1"/>
                  </w14:solidFill>
                </w14:textFill>
              </w:rPr>
              <w:t>颗粒物</w:t>
            </w:r>
          </w:p>
        </w:tc>
        <w:tc>
          <w:tcPr>
            <w:tcW w:w="1181" w:type="dxa"/>
            <w:vMerge w:val="restart"/>
            <w:tcBorders>
              <w:tl2br w:val="nil"/>
              <w:tr2bl w:val="nil"/>
            </w:tcBorders>
            <w:vAlign w:val="center"/>
          </w:tcPr>
          <w:p w14:paraId="6E4A0CBB">
            <w:pPr>
              <w:widowControl/>
              <w:spacing w:line="240" w:lineRule="auto"/>
              <w:jc w:val="center"/>
              <w:textAlignment w:val="center"/>
              <w:rPr>
                <w:rFonts w:hint="default" w:ascii="Times New Roman" w:hAnsi="Times New Roman" w:eastAsia="宋体" w:cs="Times New Roman"/>
                <w:color w:val="000000" w:themeColor="text1"/>
                <w:sz w:val="21"/>
                <w:szCs w:val="21"/>
                <w:highlight w:val="yellow"/>
                <w:lang w:eastAsia="zh-CN"/>
                <w14:textFill>
                  <w14:solidFill>
                    <w14:schemeClr w14:val="tx1"/>
                  </w14:solidFill>
                </w14:textFill>
              </w:rPr>
            </w:pPr>
            <w:r>
              <w:rPr>
                <w:rFonts w:hint="default" w:ascii="Times New Roman" w:hAnsi="Times New Roman" w:cs="Times New Roman"/>
                <w:color w:val="000000" w:themeColor="text1"/>
                <w:sz w:val="21"/>
                <w:szCs w:val="21"/>
                <w:highlight w:val="yellow"/>
                <w14:textFill>
                  <w14:solidFill>
                    <w14:schemeClr w14:val="tx1"/>
                  </w14:solidFill>
                </w14:textFill>
              </w:rPr>
              <w:t>1</w:t>
            </w:r>
            <w:r>
              <w:rPr>
                <w:rFonts w:hint="default" w:ascii="Times New Roman" w:hAnsi="Times New Roman" w:cs="Times New Roman"/>
                <w:color w:val="000000" w:themeColor="text1"/>
                <w:sz w:val="21"/>
                <w:szCs w:val="21"/>
                <w:highlight w:val="yellow"/>
                <w:lang w:val="en-US" w:eastAsia="zh-CN"/>
                <w14:textFill>
                  <w14:solidFill>
                    <w14:schemeClr w14:val="tx1"/>
                  </w14:solidFill>
                </w14:textFill>
              </w:rPr>
              <w:t>2</w:t>
            </w:r>
          </w:p>
        </w:tc>
        <w:tc>
          <w:tcPr>
            <w:tcW w:w="0" w:type="auto"/>
            <w:vMerge w:val="restart"/>
            <w:tcBorders>
              <w:tl2br w:val="nil"/>
              <w:tr2bl w:val="nil"/>
            </w:tcBorders>
            <w:vAlign w:val="center"/>
          </w:tcPr>
          <w:p w14:paraId="3D3A7DD7">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default" w:ascii="Times New Roman" w:hAnsi="Times New Roman" w:cs="Times New Roman"/>
                <w:color w:val="000000" w:themeColor="text1"/>
                <w:sz w:val="21"/>
                <w:szCs w:val="21"/>
                <w:lang w:val="en-US" w:eastAsia="zh-CN"/>
                <w14:textFill>
                  <w14:solidFill>
                    <w14:schemeClr w14:val="tx1"/>
                  </w14:solidFill>
                </w14:textFill>
              </w:rPr>
              <w:t>21</w:t>
            </w:r>
          </w:p>
        </w:tc>
        <w:tc>
          <w:tcPr>
            <w:tcW w:w="0" w:type="auto"/>
            <w:vMerge w:val="restart"/>
            <w:tcBorders>
              <w:tl2br w:val="nil"/>
              <w:tr2bl w:val="nil"/>
            </w:tcBorders>
            <w:vAlign w:val="center"/>
          </w:tcPr>
          <w:p w14:paraId="42A7357B">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55</w:t>
            </w:r>
          </w:p>
        </w:tc>
        <w:tc>
          <w:tcPr>
            <w:tcW w:w="1147" w:type="dxa"/>
            <w:tcBorders>
              <w:tl2br w:val="nil"/>
              <w:tr2bl w:val="nil"/>
            </w:tcBorders>
            <w:vAlign w:val="center"/>
          </w:tcPr>
          <w:p w14:paraId="5B251396">
            <w:pPr>
              <w:spacing w:line="276" w:lineRule="auto"/>
              <w:jc w:val="center"/>
              <w:rPr>
                <w:rFonts w:hint="default" w:ascii="Times New Roman" w:hAnsi="Times New Roman" w:cs="Times New Roman"/>
                <w:color w:val="000000" w:themeColor="text1"/>
                <w:spacing w:val="0"/>
                <w:sz w:val="21"/>
                <w:szCs w:val="21"/>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646</w:t>
            </w:r>
          </w:p>
        </w:tc>
        <w:tc>
          <w:tcPr>
            <w:tcW w:w="1481" w:type="dxa"/>
            <w:tcBorders>
              <w:tl2br w:val="nil"/>
              <w:tr2bl w:val="nil"/>
            </w:tcBorders>
            <w:vAlign w:val="center"/>
          </w:tcPr>
          <w:p w14:paraId="7184207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val="en-US" w:eastAsia="zh-CN"/>
                <w14:textFill>
                  <w14:solidFill>
                    <w14:schemeClr w14:val="tx1"/>
                  </w14:solidFill>
                </w14:textFill>
              </w:rPr>
              <w:t>0.108</w:t>
            </w:r>
          </w:p>
        </w:tc>
      </w:tr>
      <w:tr w14:paraId="6F637C82">
        <w:tblPrEx>
          <w:tblBorders>
            <w:top w:val="single" w:color="000000" w:sz="10" w:space="0"/>
            <w:left w:val="none" w:color="auto" w:sz="0" w:space="0"/>
            <w:bottom w:val="single" w:color="000000" w:sz="10"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819" w:type="dxa"/>
            <w:vMerge w:val="continue"/>
            <w:tcBorders>
              <w:tl2br w:val="nil"/>
              <w:tr2bl w:val="nil"/>
            </w:tcBorders>
            <w:vAlign w:val="center"/>
          </w:tcPr>
          <w:p w14:paraId="3EBD1BFB">
            <w:pPr>
              <w:widowControl/>
              <w:spacing w:line="240" w:lineRule="auto"/>
              <w:jc w:val="center"/>
              <w:textAlignment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c>
          <w:tcPr>
            <w:tcW w:w="1118" w:type="dxa"/>
            <w:tcBorders>
              <w:tl2br w:val="nil"/>
              <w:tr2bl w:val="nil"/>
            </w:tcBorders>
            <w:shd w:val="clear" w:color="auto" w:fill="auto"/>
            <w:vAlign w:val="center"/>
          </w:tcPr>
          <w:p w14:paraId="6063F087">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pacing w:val="0"/>
                <w:sz w:val="21"/>
                <w:szCs w:val="21"/>
                <w:lang w:val="zh-CN"/>
                <w14:textFill>
                  <w14:solidFill>
                    <w14:schemeClr w14:val="tx1"/>
                  </w14:solidFill>
                </w14:textFill>
              </w:rPr>
              <w:t>非甲烷总烃</w:t>
            </w:r>
          </w:p>
        </w:tc>
        <w:tc>
          <w:tcPr>
            <w:tcW w:w="1181" w:type="dxa"/>
            <w:vMerge w:val="continue"/>
            <w:tcBorders>
              <w:tl2br w:val="nil"/>
              <w:tr2bl w:val="nil"/>
            </w:tcBorders>
            <w:vAlign w:val="center"/>
          </w:tcPr>
          <w:p w14:paraId="503D7F0E">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vAlign w:val="center"/>
          </w:tcPr>
          <w:p w14:paraId="69958EDD">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0" w:type="auto"/>
            <w:vMerge w:val="continue"/>
            <w:tcBorders>
              <w:tl2br w:val="nil"/>
              <w:tr2bl w:val="nil"/>
            </w:tcBorders>
            <w:vAlign w:val="center"/>
          </w:tcPr>
          <w:p w14:paraId="25288F5A">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1147" w:type="dxa"/>
            <w:tcBorders>
              <w:tl2br w:val="nil"/>
              <w:tr2bl w:val="nil"/>
            </w:tcBorders>
            <w:vAlign w:val="center"/>
          </w:tcPr>
          <w:p w14:paraId="2E6F2D37">
            <w:pPr>
              <w:spacing w:line="276" w:lineRule="auto"/>
              <w:jc w:val="center"/>
              <w:rPr>
                <w:rFonts w:hint="default" w:ascii="Times New Roman" w:hAnsi="Times New Roman" w:cs="Times New Roman"/>
                <w:color w:val="000000" w:themeColor="text1"/>
                <w:spacing w:val="0"/>
                <w:sz w:val="21"/>
                <w:szCs w:val="21"/>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0.0</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73</w:t>
            </w:r>
          </w:p>
        </w:tc>
        <w:tc>
          <w:tcPr>
            <w:tcW w:w="1481" w:type="dxa"/>
            <w:tcBorders>
              <w:tl2br w:val="nil"/>
              <w:tr2bl w:val="nil"/>
            </w:tcBorders>
            <w:vAlign w:val="center"/>
          </w:tcPr>
          <w:p w14:paraId="2B2303C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val="en-US" w:eastAsia="zh-CN"/>
                <w14:textFill>
                  <w14:solidFill>
                    <w14:schemeClr w14:val="tx1"/>
                  </w14:solidFill>
                </w14:textFill>
              </w:rPr>
              <w:t>0.012</w:t>
            </w:r>
          </w:p>
        </w:tc>
      </w:tr>
    </w:tbl>
    <w:p w14:paraId="5B2F28CB">
      <w:pPr>
        <w:numPr>
          <w:ilvl w:val="0"/>
          <w:numId w:val="0"/>
        </w:numPr>
        <w:spacing w:before="130" w:line="360" w:lineRule="auto"/>
        <w:ind w:firstLine="468" w:firstLineChars="200"/>
        <w:rPr>
          <w:rFonts w:hint="default" w:ascii="Times New Roman" w:hAnsi="Times New Roman" w:eastAsia="宋体" w:cs="Times New Roman"/>
          <w:color w:val="000000" w:themeColor="text1"/>
          <w:spacing w:val="-3"/>
          <w:sz w:val="24"/>
          <w:szCs w:val="24"/>
          <w14:textFill>
            <w14:solidFill>
              <w14:schemeClr w14:val="tx1"/>
            </w14:solidFill>
          </w14:textFill>
        </w:rPr>
      </w:pPr>
      <w:r>
        <w:rPr>
          <w:rFonts w:hint="default" w:ascii="Times New Roman" w:hAnsi="Times New Roman" w:cs="Times New Roman"/>
          <w:color w:val="000000" w:themeColor="text1"/>
          <w:spacing w:val="-3"/>
          <w:sz w:val="24"/>
          <w:szCs w:val="24"/>
          <w:lang w:eastAsia="zh-CN"/>
          <w14:textFill>
            <w14:solidFill>
              <w14:schemeClr w14:val="tx1"/>
            </w14:solidFill>
          </w14:textFill>
        </w:rPr>
        <w:t>（</w:t>
      </w:r>
      <w:r>
        <w:rPr>
          <w:rFonts w:hint="default" w:ascii="Times New Roman" w:hAnsi="Times New Roman" w:cs="Times New Roman"/>
          <w:color w:val="000000" w:themeColor="text1"/>
          <w:spacing w:val="-3"/>
          <w:sz w:val="24"/>
          <w:szCs w:val="24"/>
          <w:lang w:val="en-US" w:eastAsia="zh-CN"/>
          <w14:textFill>
            <w14:solidFill>
              <w14:schemeClr w14:val="tx1"/>
            </w14:solidFill>
          </w14:textFill>
        </w:rPr>
        <w:t>3</w:t>
      </w:r>
      <w:r>
        <w:rPr>
          <w:rFonts w:hint="default" w:ascii="Times New Roman" w:hAnsi="Times New Roman" w:cs="Times New Roman"/>
          <w:color w:val="000000" w:themeColor="text1"/>
          <w:spacing w:val="-3"/>
          <w:sz w:val="24"/>
          <w:szCs w:val="24"/>
          <w:lang w:eastAsia="zh-CN"/>
          <w14:textFill>
            <w14:solidFill>
              <w14:schemeClr w14:val="tx1"/>
            </w14:solidFill>
          </w14:textFill>
        </w:rPr>
        <w:t>）</w:t>
      </w:r>
      <w:r>
        <w:rPr>
          <w:rFonts w:hint="default" w:ascii="Times New Roman" w:hAnsi="Times New Roman" w:eastAsia="宋体" w:cs="Times New Roman"/>
          <w:color w:val="000000" w:themeColor="text1"/>
          <w:spacing w:val="-3"/>
          <w:sz w:val="24"/>
          <w:szCs w:val="24"/>
          <w14:textFill>
            <w14:solidFill>
              <w14:schemeClr w14:val="tx1"/>
            </w14:solidFill>
          </w14:textFill>
        </w:rPr>
        <w:t>评价等级的判定</w:t>
      </w:r>
    </w:p>
    <w:p w14:paraId="335251F5">
      <w:pPr>
        <w:numPr>
          <w:ilvl w:val="0"/>
          <w:numId w:val="0"/>
        </w:numPr>
        <w:spacing w:before="130" w:line="360" w:lineRule="auto"/>
        <w:ind w:firstLine="488"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2"/>
          <w:sz w:val="24"/>
          <w:szCs w:val="24"/>
          <w14:textFill>
            <w14:solidFill>
              <w14:schemeClr w14:val="tx1"/>
            </w14:solidFill>
          </w14:textFill>
        </w:rPr>
        <w:t>根据《环境影响评价技术导则 大气环境》（</w:t>
      </w:r>
      <w:r>
        <w:rPr>
          <w:rFonts w:hint="default" w:ascii="Times New Roman" w:hAnsi="Times New Roman" w:eastAsia="Times New Roman" w:cs="Times New Roman"/>
          <w:color w:val="000000" w:themeColor="text1"/>
          <w:sz w:val="24"/>
          <w:szCs w:val="24"/>
          <w14:textFill>
            <w14:solidFill>
              <w14:schemeClr w14:val="tx1"/>
            </w14:solidFill>
          </w14:textFill>
        </w:rPr>
        <w:t>HJ</w:t>
      </w:r>
      <w:r>
        <w:rPr>
          <w:rFonts w:hint="default" w:ascii="Times New Roman" w:hAnsi="Times New Roman" w:eastAsia="Times New Roman" w:cs="Times New Roman"/>
          <w:color w:val="000000" w:themeColor="text1"/>
          <w:spacing w:val="2"/>
          <w:sz w:val="24"/>
          <w:szCs w:val="24"/>
          <w14:textFill>
            <w14:solidFill>
              <w14:schemeClr w14:val="tx1"/>
            </w14:solidFill>
          </w14:textFill>
        </w:rPr>
        <w:t>2.2-20</w:t>
      </w:r>
      <w:r>
        <w:rPr>
          <w:rFonts w:hint="default" w:ascii="Times New Roman" w:hAnsi="Times New Roman" w:eastAsia="Times New Roman" w:cs="Times New Roman"/>
          <w:color w:val="000000" w:themeColor="text1"/>
          <w:spacing w:val="1"/>
          <w:sz w:val="24"/>
          <w:szCs w:val="24"/>
          <w14:textFill>
            <w14:solidFill>
              <w14:schemeClr w14:val="tx1"/>
            </w14:solidFill>
          </w14:textFill>
        </w:rPr>
        <w:t>18</w:t>
      </w:r>
      <w:r>
        <w:rPr>
          <w:rFonts w:hint="default" w:ascii="Times New Roman" w:hAnsi="Times New Roman" w:eastAsia="宋体" w:cs="Times New Roman"/>
          <w:color w:val="000000" w:themeColor="text1"/>
          <w:spacing w:val="1"/>
          <w:sz w:val="24"/>
          <w:szCs w:val="24"/>
          <w14:textFill>
            <w14:solidFill>
              <w14:schemeClr w14:val="tx1"/>
            </w14:solidFill>
          </w14:textFill>
        </w:rPr>
        <w:t>）的规定，采用推荐模式</w:t>
      </w:r>
      <w:r>
        <w:rPr>
          <w:rFonts w:hint="default" w:ascii="Times New Roman" w:hAnsi="Times New Roman" w:eastAsia="宋体" w:cs="Times New Roman"/>
          <w:color w:val="000000" w:themeColor="text1"/>
          <w:spacing w:val="-3"/>
          <w:sz w:val="24"/>
          <w:szCs w:val="24"/>
          <w14:textFill>
            <w14:solidFill>
              <w14:schemeClr w14:val="tx1"/>
            </w14:solidFill>
          </w14:textFill>
        </w:rPr>
        <w:t>中的估算模型</w:t>
      </w:r>
      <w:r>
        <w:rPr>
          <w:rFonts w:hint="default" w:ascii="Times New Roman" w:hAnsi="Times New Roman" w:eastAsia="宋体" w:cs="Times New Roman"/>
          <w:color w:val="000000" w:themeColor="text1"/>
          <w:spacing w:val="-58"/>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pacing w:val="-3"/>
          <w:sz w:val="24"/>
          <w:szCs w:val="24"/>
          <w14:textFill>
            <w14:solidFill>
              <w14:schemeClr w14:val="tx1"/>
            </w14:solidFill>
          </w14:textFill>
        </w:rPr>
        <w:t>AERSCREEN</w:t>
      </w:r>
      <w:r>
        <w:rPr>
          <w:rFonts w:hint="default" w:ascii="Times New Roman" w:hAnsi="Times New Roman" w:eastAsia="宋体" w:cs="Times New Roman"/>
          <w:color w:val="000000" w:themeColor="text1"/>
          <w:spacing w:val="-3"/>
          <w:sz w:val="24"/>
          <w:szCs w:val="24"/>
          <w14:textFill>
            <w14:solidFill>
              <w14:schemeClr w14:val="tx1"/>
            </w14:solidFill>
          </w14:textFill>
        </w:rPr>
        <w:t>对污染物的最大地面占标率</w:t>
      </w:r>
      <w:r>
        <w:rPr>
          <w:rFonts w:hint="default" w:ascii="Times New Roman" w:hAnsi="Times New Roman" w:eastAsia="宋体" w:cs="Times New Roman"/>
          <w:color w:val="000000" w:themeColor="text1"/>
          <w:spacing w:val="-56"/>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pacing w:val="-3"/>
          <w:sz w:val="24"/>
          <w:szCs w:val="24"/>
          <w14:textFill>
            <w14:solidFill>
              <w14:schemeClr w14:val="tx1"/>
            </w14:solidFill>
          </w14:textFill>
        </w:rPr>
        <w:t>Pi</w:t>
      </w:r>
      <w:r>
        <w:rPr>
          <w:rFonts w:hint="default" w:ascii="Times New Roman" w:hAnsi="Times New Roman" w:eastAsia="宋体" w:cs="Times New Roman"/>
          <w:color w:val="000000" w:themeColor="text1"/>
          <w:spacing w:val="-3"/>
          <w:sz w:val="24"/>
          <w:szCs w:val="24"/>
          <w14:textFill>
            <w14:solidFill>
              <w14:schemeClr w14:val="tx1"/>
            </w14:solidFill>
          </w14:textFill>
        </w:rPr>
        <w:t>（第</w:t>
      </w:r>
      <w:r>
        <w:rPr>
          <w:rFonts w:hint="default" w:ascii="Times New Roman" w:hAnsi="Times New Roman" w:eastAsia="宋体" w:cs="Times New Roman"/>
          <w:color w:val="000000" w:themeColor="text1"/>
          <w:spacing w:val="-53"/>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pacing w:val="-3"/>
          <w:sz w:val="24"/>
          <w:szCs w:val="24"/>
          <w14:textFill>
            <w14:solidFill>
              <w14:schemeClr w14:val="tx1"/>
            </w14:solidFill>
          </w14:textFill>
        </w:rPr>
        <w:t>i</w:t>
      </w:r>
      <w:r>
        <w:rPr>
          <w:rFonts w:hint="default" w:ascii="Times New Roman" w:hAnsi="Times New Roman" w:eastAsia="宋体" w:cs="Times New Roman"/>
          <w:color w:val="000000" w:themeColor="text1"/>
          <w:spacing w:val="-3"/>
          <w:sz w:val="24"/>
          <w:szCs w:val="24"/>
          <w14:textFill>
            <w14:solidFill>
              <w14:schemeClr w14:val="tx1"/>
            </w14:solidFill>
          </w14:textFill>
        </w:rPr>
        <w:t>个污染物）</w:t>
      </w:r>
      <w:r>
        <w:rPr>
          <w:rFonts w:hint="default" w:ascii="Times New Roman" w:hAnsi="Times New Roman" w:eastAsia="宋体" w:cs="Times New Roman"/>
          <w:color w:val="000000" w:themeColor="text1"/>
          <w:spacing w:val="-4"/>
          <w:sz w:val="24"/>
          <w:szCs w:val="24"/>
          <w14:textFill>
            <w14:solidFill>
              <w14:schemeClr w14:val="tx1"/>
            </w14:solidFill>
          </w14:textFill>
        </w:rPr>
        <w:t>及第</w:t>
      </w:r>
      <w:r>
        <w:rPr>
          <w:rFonts w:hint="default" w:ascii="Times New Roman" w:hAnsi="Times New Roman" w:eastAsia="宋体" w:cs="Times New Roman"/>
          <w:color w:val="000000" w:themeColor="text1"/>
          <w:spacing w:val="-53"/>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pacing w:val="-4"/>
          <w:sz w:val="24"/>
          <w:szCs w:val="24"/>
          <w14:textFill>
            <w14:solidFill>
              <w14:schemeClr w14:val="tx1"/>
            </w14:solidFill>
          </w14:textFill>
        </w:rPr>
        <w:t>i</w:t>
      </w:r>
      <w:r>
        <w:rPr>
          <w:rFonts w:hint="default" w:ascii="Times New Roman" w:hAnsi="Times New Roman" w:eastAsia="宋体" w:cs="Times New Roman"/>
          <w:color w:val="000000" w:themeColor="text1"/>
          <w:spacing w:val="-4"/>
          <w:sz w:val="24"/>
          <w:szCs w:val="24"/>
          <w14:textFill>
            <w14:solidFill>
              <w14:schemeClr w14:val="tx1"/>
            </w14:solidFill>
          </w14:textFill>
        </w:rPr>
        <w:t>个污染物的地面浓度达标准限值</w:t>
      </w:r>
      <w:r>
        <w:rPr>
          <w:rFonts w:hint="default" w:ascii="Times New Roman" w:hAnsi="Times New Roman" w:eastAsia="Times New Roman" w:cs="Times New Roman"/>
          <w:color w:val="000000" w:themeColor="text1"/>
          <w:spacing w:val="-4"/>
          <w:sz w:val="24"/>
          <w:szCs w:val="24"/>
          <w14:textFill>
            <w14:solidFill>
              <w14:schemeClr w14:val="tx1"/>
            </w14:solidFill>
          </w14:textFill>
        </w:rPr>
        <w:t>10%</w:t>
      </w:r>
      <w:r>
        <w:rPr>
          <w:rFonts w:hint="default" w:ascii="Times New Roman" w:hAnsi="Times New Roman" w:eastAsia="宋体" w:cs="Times New Roman"/>
          <w:color w:val="000000" w:themeColor="text1"/>
          <w:spacing w:val="-4"/>
          <w:sz w:val="24"/>
          <w:szCs w:val="24"/>
          <w14:textFill>
            <w14:solidFill>
              <w14:schemeClr w14:val="tx1"/>
            </w14:solidFill>
          </w14:textFill>
        </w:rPr>
        <w:t>时所对应的最远距离</w:t>
      </w:r>
      <w:r>
        <w:rPr>
          <w:rFonts w:hint="default" w:ascii="Times New Roman" w:hAnsi="Times New Roman" w:eastAsia="宋体" w:cs="Times New Roman"/>
          <w:color w:val="000000" w:themeColor="text1"/>
          <w:spacing w:val="-58"/>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pacing w:val="-4"/>
          <w:sz w:val="24"/>
          <w:szCs w:val="24"/>
          <w14:textFill>
            <w14:solidFill>
              <w14:schemeClr w14:val="tx1"/>
            </w14:solidFill>
          </w14:textFill>
        </w:rPr>
        <w:t>D</w:t>
      </w:r>
      <w:r>
        <w:rPr>
          <w:rFonts w:hint="default" w:ascii="Times New Roman" w:hAnsi="Times New Roman" w:eastAsia="Times New Roman" w:cs="Times New Roman"/>
          <w:color w:val="000000" w:themeColor="text1"/>
          <w:spacing w:val="-4"/>
          <w:position w:val="-1"/>
          <w:sz w:val="15"/>
          <w:szCs w:val="15"/>
          <w14:textFill>
            <w14:solidFill>
              <w14:schemeClr w14:val="tx1"/>
            </w14:solidFill>
          </w14:textFill>
        </w:rPr>
        <w:t>10%</w:t>
      </w:r>
      <w:r>
        <w:rPr>
          <w:rFonts w:hint="default" w:ascii="Times New Roman" w:hAnsi="Times New Roman" w:eastAsia="宋体" w:cs="Times New Roman"/>
          <w:color w:val="000000" w:themeColor="text1"/>
          <w:spacing w:val="-4"/>
          <w:sz w:val="24"/>
          <w:szCs w:val="24"/>
          <w14:textFill>
            <w14:solidFill>
              <w14:schemeClr w14:val="tx1"/>
            </w14:solidFill>
          </w14:textFill>
        </w:rPr>
        <w:t>进行计算。其中</w:t>
      </w:r>
      <w:r>
        <w:rPr>
          <w:rFonts w:hint="default" w:ascii="Times New Roman" w:hAnsi="Times New Roman" w:eastAsia="Times New Roman" w:cs="Times New Roman"/>
          <w:color w:val="000000" w:themeColor="text1"/>
          <w:spacing w:val="-4"/>
          <w:sz w:val="24"/>
          <w:szCs w:val="24"/>
          <w14:textFill>
            <w14:solidFill>
              <w14:schemeClr w14:val="tx1"/>
            </w14:solidFill>
          </w14:textFill>
        </w:rPr>
        <w:t>Pi</w:t>
      </w:r>
      <w:r>
        <w:rPr>
          <w:rFonts w:hint="default" w:ascii="Times New Roman" w:hAnsi="Times New Roman" w:eastAsia="宋体" w:cs="Times New Roman"/>
          <w:color w:val="000000" w:themeColor="text1"/>
          <w:spacing w:val="-4"/>
          <w:sz w:val="24"/>
          <w:szCs w:val="24"/>
          <w14:textFill>
            <w14:solidFill>
              <w14:schemeClr w14:val="tx1"/>
            </w14:solidFill>
          </w14:textFill>
        </w:rPr>
        <w:t>定义如下：</w:t>
      </w:r>
    </w:p>
    <w:p w14:paraId="78725CD3">
      <w:pPr>
        <w:spacing w:line="540" w:lineRule="exact"/>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position w:val="-11"/>
          <w14:textFill>
            <w14:solidFill>
              <w14:schemeClr w14:val="tx1"/>
            </w14:solidFill>
          </w14:textFill>
        </w:rPr>
        <w:drawing>
          <wp:inline distT="0" distB="0" distL="0" distR="0">
            <wp:extent cx="1008380" cy="342265"/>
            <wp:effectExtent l="0" t="0" r="1270" b="635"/>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64"/>
                    <a:stretch>
                      <a:fillRect/>
                    </a:stretch>
                  </pic:blipFill>
                  <pic:spPr>
                    <a:xfrm>
                      <a:off x="0" y="0"/>
                      <a:ext cx="1008520" cy="342368"/>
                    </a:xfrm>
                    <a:prstGeom prst="rect">
                      <a:avLst/>
                    </a:prstGeom>
                  </pic:spPr>
                </pic:pic>
              </a:graphicData>
            </a:graphic>
          </wp:inline>
        </w:drawing>
      </w:r>
    </w:p>
    <w:p w14:paraId="40D7D9DD">
      <w:pPr>
        <w:pStyle w:val="34"/>
        <w:spacing w:line="268" w:lineRule="auto"/>
        <w:rPr>
          <w:rFonts w:hint="default" w:ascii="Times New Roman" w:hAnsi="Times New Roman" w:cs="Times New Roman"/>
          <w:color w:val="000000" w:themeColor="text1"/>
          <w14:textFill>
            <w14:solidFill>
              <w14:schemeClr w14:val="tx1"/>
            </w14:solidFill>
          </w14:textFill>
        </w:rPr>
      </w:pPr>
    </w:p>
    <w:p w14:paraId="77BAE693">
      <w:pPr>
        <w:spacing w:before="78" w:line="219" w:lineRule="auto"/>
        <w:ind w:left="6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1"/>
          <w:sz w:val="24"/>
          <w:szCs w:val="24"/>
          <w14:textFill>
            <w14:solidFill>
              <w14:schemeClr w14:val="tx1"/>
            </w14:solidFill>
          </w14:textFill>
        </w:rPr>
        <w:t xml:space="preserve">式中： </w:t>
      </w:r>
      <w:r>
        <w:rPr>
          <w:rFonts w:hint="default" w:ascii="Times New Roman" w:hAnsi="Times New Roman" w:eastAsia="Times New Roman" w:cs="Times New Roman"/>
          <w:color w:val="000000" w:themeColor="text1"/>
          <w:spacing w:val="-1"/>
          <w:sz w:val="24"/>
          <w:szCs w:val="24"/>
          <w14:textFill>
            <w14:solidFill>
              <w14:schemeClr w14:val="tx1"/>
            </w14:solidFill>
          </w14:textFill>
        </w:rPr>
        <w:t>P</w:t>
      </w:r>
      <w:r>
        <w:rPr>
          <w:rFonts w:hint="default" w:ascii="Times New Roman" w:hAnsi="Times New Roman" w:eastAsia="Times New Roman" w:cs="Times New Roman"/>
          <w:color w:val="000000" w:themeColor="text1"/>
          <w:spacing w:val="-1"/>
          <w:position w:val="-1"/>
          <w:sz w:val="15"/>
          <w:szCs w:val="15"/>
          <w14:textFill>
            <w14:solidFill>
              <w14:schemeClr w14:val="tx1"/>
            </w14:solidFill>
          </w14:textFill>
        </w:rPr>
        <w:t>i</w:t>
      </w:r>
      <w:r>
        <w:rPr>
          <w:rFonts w:hint="default" w:ascii="Times New Roman" w:hAnsi="Times New Roman" w:eastAsia="Times New Roman" w:cs="Times New Roman"/>
          <w:color w:val="000000" w:themeColor="text1"/>
          <w:spacing w:val="-1"/>
          <w:sz w:val="24"/>
          <w:szCs w:val="24"/>
          <w14:textFill>
            <w14:solidFill>
              <w14:schemeClr w14:val="tx1"/>
            </w14:solidFill>
          </w14:textFill>
        </w:rPr>
        <w:t>—</w:t>
      </w:r>
      <w:r>
        <w:rPr>
          <w:rFonts w:hint="default" w:ascii="Times New Roman" w:hAnsi="Times New Roman" w:eastAsia="宋体" w:cs="Times New Roman"/>
          <w:color w:val="000000" w:themeColor="text1"/>
          <w:spacing w:val="-1"/>
          <w:sz w:val="24"/>
          <w:szCs w:val="24"/>
          <w14:textFill>
            <w14:solidFill>
              <w14:schemeClr w14:val="tx1"/>
            </w14:solidFill>
          </w14:textFill>
        </w:rPr>
        <w:t>第</w:t>
      </w:r>
      <w:r>
        <w:rPr>
          <w:rFonts w:hint="default" w:ascii="Times New Roman" w:hAnsi="Times New Roman" w:eastAsia="宋体" w:cs="Times New Roman"/>
          <w:color w:val="000000" w:themeColor="text1"/>
          <w:spacing w:val="-47"/>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pacing w:val="-1"/>
          <w:sz w:val="24"/>
          <w:szCs w:val="24"/>
          <w14:textFill>
            <w14:solidFill>
              <w14:schemeClr w14:val="tx1"/>
            </w14:solidFill>
          </w14:textFill>
        </w:rPr>
        <w:t>i</w:t>
      </w:r>
      <w:r>
        <w:rPr>
          <w:rFonts w:hint="default" w:ascii="Times New Roman" w:hAnsi="Times New Roman" w:eastAsia="宋体" w:cs="Times New Roman"/>
          <w:color w:val="000000" w:themeColor="text1"/>
          <w:spacing w:val="-1"/>
          <w:sz w:val="24"/>
          <w:szCs w:val="24"/>
          <w14:textFill>
            <w14:solidFill>
              <w14:schemeClr w14:val="tx1"/>
            </w14:solidFill>
          </w14:textFill>
        </w:rPr>
        <w:t>个污染物的最大地面浓度占标率，</w:t>
      </w:r>
      <w:r>
        <w:rPr>
          <w:rFonts w:hint="default" w:ascii="Times New Roman" w:hAnsi="Times New Roman" w:eastAsia="Times New Roman" w:cs="Times New Roman"/>
          <w:color w:val="000000" w:themeColor="text1"/>
          <w:spacing w:val="-1"/>
          <w:sz w:val="24"/>
          <w:szCs w:val="24"/>
          <w14:textFill>
            <w14:solidFill>
              <w14:schemeClr w14:val="tx1"/>
            </w14:solidFill>
          </w14:textFill>
        </w:rPr>
        <w:t>%</w:t>
      </w:r>
      <w:r>
        <w:rPr>
          <w:rFonts w:hint="default" w:ascii="Times New Roman" w:hAnsi="Times New Roman" w:eastAsia="宋体" w:cs="Times New Roman"/>
          <w:color w:val="000000" w:themeColor="text1"/>
          <w:spacing w:val="-1"/>
          <w:sz w:val="24"/>
          <w:szCs w:val="24"/>
          <w14:textFill>
            <w14:solidFill>
              <w14:schemeClr w14:val="tx1"/>
            </w14:solidFill>
          </w14:textFill>
        </w:rPr>
        <w:t>；</w:t>
      </w:r>
    </w:p>
    <w:p w14:paraId="4F498F04">
      <w:pPr>
        <w:spacing w:before="213" w:line="212" w:lineRule="auto"/>
        <w:ind w:firstLine="1416" w:firstLineChars="6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14:textFill>
            <w14:solidFill>
              <w14:schemeClr w14:val="tx1"/>
            </w14:solidFill>
          </w14:textFill>
        </w:rPr>
        <w:t>C</w:t>
      </w:r>
      <w:r>
        <w:rPr>
          <w:rFonts w:hint="default" w:ascii="Times New Roman" w:hAnsi="Times New Roman" w:eastAsia="Times New Roman" w:cs="Times New Roman"/>
          <w:color w:val="000000" w:themeColor="text1"/>
          <w:sz w:val="15"/>
          <w:szCs w:val="15"/>
          <w14:textFill>
            <w14:solidFill>
              <w14:schemeClr w14:val="tx1"/>
            </w14:solidFill>
          </w14:textFill>
        </w:rPr>
        <w:t>i</w:t>
      </w:r>
      <w:r>
        <w:rPr>
          <w:rFonts w:hint="default" w:ascii="Times New Roman" w:hAnsi="Times New Roman" w:eastAsia="Times New Roman"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采用估算模式计算出的第</w:t>
      </w:r>
      <w:r>
        <w:rPr>
          <w:rFonts w:hint="default" w:ascii="Times New Roman" w:hAnsi="Times New Roman" w:eastAsia="Times New Roman" w:cs="Times New Roman"/>
          <w:color w:val="000000" w:themeColor="text1"/>
          <w:sz w:val="24"/>
          <w:szCs w:val="24"/>
          <w14:textFill>
            <w14:solidFill>
              <w14:schemeClr w14:val="tx1"/>
            </w14:solidFill>
          </w14:textFill>
        </w:rPr>
        <w:t>i</w:t>
      </w:r>
      <w:r>
        <w:rPr>
          <w:rFonts w:hint="default" w:ascii="Times New Roman" w:hAnsi="Times New Roman" w:eastAsia="宋体" w:cs="Times New Roman"/>
          <w:color w:val="000000" w:themeColor="text1"/>
          <w:sz w:val="24"/>
          <w:szCs w:val="24"/>
          <w14:textFill>
            <w14:solidFill>
              <w14:schemeClr w14:val="tx1"/>
            </w14:solidFill>
          </w14:textFill>
        </w:rPr>
        <w:t>个污染物的最大地面浓度，</w:t>
      </w:r>
      <w:r>
        <w:rPr>
          <w:rFonts w:hint="default" w:ascii="Times New Roman" w:hAnsi="Times New Roman" w:eastAsia="Times New Roman" w:cs="Times New Roman"/>
          <w:color w:val="000000" w:themeColor="text1"/>
          <w:sz w:val="24"/>
          <w:szCs w:val="24"/>
          <w14:textFill>
            <w14:solidFill>
              <w14:schemeClr w14:val="tx1"/>
            </w14:solidFill>
          </w14:textFill>
        </w:rPr>
        <w:t>mg/m</w:t>
      </w:r>
      <w:r>
        <w:rPr>
          <w:rFonts w:hint="default" w:ascii="Times New Roman" w:hAnsi="Times New Roman" w:eastAsia="Times New Roman" w:cs="Times New Roman"/>
          <w:color w:val="000000" w:themeColor="text1"/>
          <w:position w:val="8"/>
          <w:sz w:val="15"/>
          <w:szCs w:val="15"/>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w:t>
      </w:r>
    </w:p>
    <w:p w14:paraId="0DB68B9F">
      <w:pPr>
        <w:spacing w:before="224" w:line="210" w:lineRule="auto"/>
        <w:ind w:firstLine="1416" w:firstLineChars="6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Times New Roman" w:cs="Times New Roman"/>
          <w:color w:val="000000" w:themeColor="text1"/>
          <w:sz w:val="24"/>
          <w:szCs w:val="24"/>
          <w14:textFill>
            <w14:solidFill>
              <w14:schemeClr w14:val="tx1"/>
            </w14:solidFill>
          </w14:textFill>
        </w:rPr>
        <w:t>C</w:t>
      </w:r>
      <w:r>
        <w:rPr>
          <w:rFonts w:hint="default" w:ascii="Times New Roman" w:hAnsi="Times New Roman" w:eastAsia="Times New Roman" w:cs="Times New Roman"/>
          <w:color w:val="000000" w:themeColor="text1"/>
          <w:position w:val="-1"/>
          <w:sz w:val="15"/>
          <w:szCs w:val="15"/>
          <w14:textFill>
            <w14:solidFill>
              <w14:schemeClr w14:val="tx1"/>
            </w14:solidFill>
          </w14:textFill>
        </w:rPr>
        <w:t>0i</w:t>
      </w:r>
      <w:r>
        <w:rPr>
          <w:rFonts w:hint="default" w:ascii="Times New Roman" w:hAnsi="Times New Roman" w:eastAsia="Times New Roman"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第</w:t>
      </w:r>
      <w:r>
        <w:rPr>
          <w:rFonts w:hint="default" w:ascii="Times New Roman" w:hAnsi="Times New Roman" w:eastAsia="Times New Roman" w:cs="Times New Roman"/>
          <w:color w:val="000000" w:themeColor="text1"/>
          <w:sz w:val="24"/>
          <w:szCs w:val="24"/>
          <w14:textFill>
            <w14:solidFill>
              <w14:schemeClr w14:val="tx1"/>
            </w14:solidFill>
          </w14:textFill>
        </w:rPr>
        <w:t>i</w:t>
      </w:r>
      <w:r>
        <w:rPr>
          <w:rFonts w:hint="default" w:ascii="Times New Roman" w:hAnsi="Times New Roman" w:eastAsia="宋体" w:cs="Times New Roman"/>
          <w:color w:val="000000" w:themeColor="text1"/>
          <w:sz w:val="24"/>
          <w:szCs w:val="24"/>
          <w14:textFill>
            <w14:solidFill>
              <w14:schemeClr w14:val="tx1"/>
            </w14:solidFill>
          </w14:textFill>
        </w:rPr>
        <w:t>个污染物的环境空气质量标准，</w:t>
      </w:r>
      <w:r>
        <w:rPr>
          <w:rFonts w:hint="default" w:ascii="Times New Roman" w:hAnsi="Times New Roman" w:eastAsia="Times New Roman" w:cs="Times New Roman"/>
          <w:color w:val="000000" w:themeColor="text1"/>
          <w:spacing w:val="-1"/>
          <w:sz w:val="24"/>
          <w:szCs w:val="24"/>
          <w14:textFill>
            <w14:solidFill>
              <w14:schemeClr w14:val="tx1"/>
            </w14:solidFill>
          </w14:textFill>
        </w:rPr>
        <w:t>mg/m</w:t>
      </w:r>
      <w:r>
        <w:rPr>
          <w:rFonts w:hint="default" w:ascii="Times New Roman" w:hAnsi="Times New Roman" w:eastAsia="Times New Roman" w:cs="Times New Roman"/>
          <w:color w:val="000000" w:themeColor="text1"/>
          <w:spacing w:val="-1"/>
          <w:position w:val="8"/>
          <w:sz w:val="15"/>
          <w:szCs w:val="15"/>
          <w14:textFill>
            <w14:solidFill>
              <w14:schemeClr w14:val="tx1"/>
            </w14:solidFill>
          </w14:textFill>
        </w:rPr>
        <w:t>3</w:t>
      </w:r>
      <w:r>
        <w:rPr>
          <w:rFonts w:hint="default" w:ascii="Times New Roman" w:hAnsi="Times New Roman" w:eastAsia="宋体" w:cs="Times New Roman"/>
          <w:color w:val="000000" w:themeColor="text1"/>
          <w:spacing w:val="-1"/>
          <w:sz w:val="24"/>
          <w:szCs w:val="24"/>
          <w14:textFill>
            <w14:solidFill>
              <w14:schemeClr w14:val="tx1"/>
            </w14:solidFill>
          </w14:textFill>
        </w:rPr>
        <w:t>。</w:t>
      </w:r>
    </w:p>
    <w:p w14:paraId="1BB68D2A">
      <w:pPr>
        <w:spacing w:before="154" w:line="226" w:lineRule="auto"/>
        <w:jc w:val="center"/>
        <w:rPr>
          <w:rFonts w:hint="default" w:ascii="Times New Roman" w:hAnsi="Times New Roman" w:eastAsia="黑体" w:cs="Times New Roman"/>
          <w:b w:val="0"/>
          <w:bCs w:val="0"/>
          <w:color w:val="000000" w:themeColor="text1"/>
          <w:sz w:val="24"/>
          <w:szCs w:val="24"/>
          <w14:textFill>
            <w14:solidFill>
              <w14:schemeClr w14:val="tx1"/>
            </w14:solidFill>
          </w14:textFill>
        </w:rPr>
      </w:pPr>
      <w: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t>表</w:t>
      </w:r>
      <w:r>
        <w:rPr>
          <w:rFonts w:hint="default" w:ascii="Times New Roman" w:hAnsi="Times New Roman" w:eastAsia="黑体" w:cs="Times New Roman"/>
          <w:b w:val="0"/>
          <w:bCs w:val="0"/>
          <w:color w:val="000000" w:themeColor="text1"/>
          <w:spacing w:val="-32"/>
          <w:sz w:val="24"/>
          <w:szCs w:val="24"/>
          <w14:textFill>
            <w14:solidFill>
              <w14:schemeClr w14:val="tx1"/>
            </w14:solidFill>
          </w14:textFill>
        </w:rPr>
        <w:t xml:space="preserve"> </w:t>
      </w:r>
      <w: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t>5.2-</w:t>
      </w:r>
      <w:r>
        <w:rPr>
          <w:rFonts w:hint="default" w:ascii="Times New Roman" w:hAnsi="Times New Roman" w:eastAsia="黑体" w:cs="Times New Roman"/>
          <w:b w:val="0"/>
          <w:bCs w:val="0"/>
          <w:color w:val="000000" w:themeColor="text1"/>
          <w:spacing w:val="4"/>
          <w:sz w:val="24"/>
          <w:szCs w:val="24"/>
          <w:lang w:val="en-US" w:eastAsia="zh-CN"/>
          <w14:textFill>
            <w14:solidFill>
              <w14:schemeClr w14:val="tx1"/>
            </w14:solidFill>
          </w14:textFill>
        </w:rPr>
        <w:t xml:space="preserve">11  </w:t>
      </w:r>
      <w: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t>评价工作等级</w:t>
      </w:r>
    </w:p>
    <w:tbl>
      <w:tblPr>
        <w:tblStyle w:val="4092"/>
        <w:tblW w:w="4999"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560"/>
        <w:gridCol w:w="6744"/>
      </w:tblGrid>
      <w:tr w14:paraId="2B919E9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55" w:hRule="atLeast"/>
          <w:jc w:val="center"/>
        </w:trPr>
        <w:tc>
          <w:tcPr>
            <w:tcW w:w="939" w:type="pct"/>
            <w:tcBorders>
              <w:tl2br w:val="nil"/>
              <w:tr2bl w:val="nil"/>
            </w:tcBorders>
            <w:vAlign w:val="center"/>
          </w:tcPr>
          <w:p w14:paraId="171D72F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评价工作等级</w:t>
            </w:r>
          </w:p>
        </w:tc>
        <w:tc>
          <w:tcPr>
            <w:tcW w:w="4060" w:type="pct"/>
            <w:tcBorders>
              <w:tl2br w:val="nil"/>
              <w:tr2bl w:val="nil"/>
            </w:tcBorders>
            <w:vAlign w:val="center"/>
          </w:tcPr>
          <w:p w14:paraId="13353D3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评价工作分级判据</w:t>
            </w:r>
          </w:p>
        </w:tc>
      </w:tr>
      <w:tr w14:paraId="3088CDD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51" w:hRule="atLeast"/>
          <w:jc w:val="center"/>
        </w:trPr>
        <w:tc>
          <w:tcPr>
            <w:tcW w:w="939" w:type="pct"/>
            <w:tcBorders>
              <w:tl2br w:val="nil"/>
              <w:tr2bl w:val="nil"/>
            </w:tcBorders>
            <w:vAlign w:val="center"/>
          </w:tcPr>
          <w:p w14:paraId="4485A02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一级</w:t>
            </w:r>
          </w:p>
        </w:tc>
        <w:tc>
          <w:tcPr>
            <w:tcW w:w="4060" w:type="pct"/>
            <w:tcBorders>
              <w:tl2br w:val="nil"/>
              <w:tr2bl w:val="nil"/>
            </w:tcBorders>
            <w:vAlign w:val="center"/>
          </w:tcPr>
          <w:p w14:paraId="109599E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Pmax≥10%</w:t>
            </w:r>
          </w:p>
        </w:tc>
      </w:tr>
      <w:tr w14:paraId="65F4542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51" w:hRule="atLeast"/>
          <w:jc w:val="center"/>
        </w:trPr>
        <w:tc>
          <w:tcPr>
            <w:tcW w:w="939" w:type="pct"/>
            <w:tcBorders>
              <w:tl2br w:val="nil"/>
              <w:tr2bl w:val="nil"/>
            </w:tcBorders>
            <w:vAlign w:val="center"/>
          </w:tcPr>
          <w:p w14:paraId="5F06B99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二级</w:t>
            </w:r>
          </w:p>
        </w:tc>
        <w:tc>
          <w:tcPr>
            <w:tcW w:w="4060" w:type="pct"/>
            <w:tcBorders>
              <w:tl2br w:val="nil"/>
              <w:tr2bl w:val="nil"/>
            </w:tcBorders>
            <w:vAlign w:val="center"/>
          </w:tcPr>
          <w:p w14:paraId="1DC4073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1%≤Pmax&lt;10%</w:t>
            </w:r>
          </w:p>
        </w:tc>
      </w:tr>
      <w:tr w14:paraId="6768AE4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4" w:hRule="atLeast"/>
          <w:jc w:val="center"/>
        </w:trPr>
        <w:tc>
          <w:tcPr>
            <w:tcW w:w="939" w:type="pct"/>
            <w:tcBorders>
              <w:tl2br w:val="nil"/>
              <w:tr2bl w:val="nil"/>
            </w:tcBorders>
            <w:vAlign w:val="center"/>
          </w:tcPr>
          <w:p w14:paraId="2F8F5D4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三级</w:t>
            </w:r>
          </w:p>
        </w:tc>
        <w:tc>
          <w:tcPr>
            <w:tcW w:w="4060" w:type="pct"/>
            <w:tcBorders>
              <w:tl2br w:val="nil"/>
              <w:tr2bl w:val="nil"/>
            </w:tcBorders>
            <w:vAlign w:val="center"/>
          </w:tcPr>
          <w:p w14:paraId="7751594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Pmax&lt;1%</w:t>
            </w:r>
          </w:p>
        </w:tc>
      </w:tr>
    </w:tbl>
    <w:p w14:paraId="4B06CF80">
      <w:pPr>
        <w:spacing w:before="129" w:line="218" w:lineRule="auto"/>
        <w:ind w:firstLine="468"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3"/>
          <w:sz w:val="24"/>
          <w:szCs w:val="24"/>
          <w14:textFill>
            <w14:solidFill>
              <w14:schemeClr w14:val="tx1"/>
            </w14:solidFill>
          </w14:textFill>
        </w:rPr>
        <w:t>（</w:t>
      </w:r>
      <w:r>
        <w:rPr>
          <w:rFonts w:hint="default" w:ascii="Times New Roman" w:hAnsi="Times New Roman" w:eastAsia="Times New Roman" w:cs="Times New Roman"/>
          <w:color w:val="000000" w:themeColor="text1"/>
          <w:spacing w:val="-3"/>
          <w:sz w:val="24"/>
          <w:szCs w:val="24"/>
          <w14:textFill>
            <w14:solidFill>
              <w14:schemeClr w14:val="tx1"/>
            </w14:solidFill>
          </w14:textFill>
        </w:rPr>
        <w:t>4</w:t>
      </w:r>
      <w:r>
        <w:rPr>
          <w:rFonts w:hint="default" w:ascii="Times New Roman" w:hAnsi="Times New Roman" w:eastAsia="宋体" w:cs="Times New Roman"/>
          <w:color w:val="000000" w:themeColor="text1"/>
          <w:spacing w:val="-3"/>
          <w:sz w:val="24"/>
          <w:szCs w:val="24"/>
          <w14:textFill>
            <w14:solidFill>
              <w14:schemeClr w14:val="tx1"/>
            </w14:solidFill>
          </w14:textFill>
        </w:rPr>
        <w:t>）评价结果</w:t>
      </w:r>
    </w:p>
    <w:p w14:paraId="03CFAB07">
      <w:pPr>
        <w:spacing w:before="215" w:line="219" w:lineRule="auto"/>
        <w:ind w:left="596"/>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1"/>
          <w:sz w:val="24"/>
          <w:szCs w:val="24"/>
          <w14:textFill>
            <w14:solidFill>
              <w14:schemeClr w14:val="tx1"/>
            </w14:solidFill>
          </w14:textFill>
        </w:rPr>
        <w:t>本项目大气预测结果如下：</w:t>
      </w:r>
    </w:p>
    <w:p w14:paraId="13C9A416">
      <w:pPr>
        <w:spacing w:before="154" w:line="226" w:lineRule="auto"/>
        <w:jc w:val="cente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pPr>
      <w: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t>表5.2-</w:t>
      </w:r>
      <w:r>
        <w:rPr>
          <w:rFonts w:hint="default" w:ascii="Times New Roman" w:hAnsi="Times New Roman" w:eastAsia="黑体" w:cs="Times New Roman"/>
          <w:b w:val="0"/>
          <w:bCs w:val="0"/>
          <w:color w:val="000000" w:themeColor="text1"/>
          <w:spacing w:val="4"/>
          <w:sz w:val="24"/>
          <w:szCs w:val="24"/>
          <w:lang w:val="en-US" w:eastAsia="zh-CN"/>
          <w14:textFill>
            <w14:solidFill>
              <w14:schemeClr w14:val="tx1"/>
            </w14:solidFill>
          </w14:textFill>
        </w:rPr>
        <w:t xml:space="preserve">12  </w:t>
      </w:r>
      <w: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t>大气环境影响评价工作等级判别</w:t>
      </w:r>
    </w:p>
    <w:tbl>
      <w:tblPr>
        <w:tblStyle w:val="89"/>
        <w:tblW w:w="4994"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62"/>
        <w:gridCol w:w="961"/>
        <w:gridCol w:w="1547"/>
        <w:gridCol w:w="1562"/>
        <w:gridCol w:w="962"/>
        <w:gridCol w:w="1257"/>
        <w:gridCol w:w="1261"/>
      </w:tblGrid>
      <w:tr w14:paraId="69F49A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65" w:type="pct"/>
            <w:tcBorders>
              <w:tl2br w:val="nil"/>
              <w:tr2bl w:val="nil"/>
            </w:tcBorders>
            <w:vAlign w:val="center"/>
          </w:tcPr>
          <w:p w14:paraId="591221F2">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类型</w:t>
            </w:r>
          </w:p>
        </w:tc>
        <w:tc>
          <w:tcPr>
            <w:tcW w:w="564" w:type="pct"/>
            <w:tcBorders>
              <w:tl2br w:val="nil"/>
              <w:tr2bl w:val="nil"/>
            </w:tcBorders>
            <w:vAlign w:val="center"/>
          </w:tcPr>
          <w:p w14:paraId="2B8E0674">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污染源</w:t>
            </w:r>
          </w:p>
        </w:tc>
        <w:tc>
          <w:tcPr>
            <w:tcW w:w="908" w:type="pct"/>
            <w:tcBorders>
              <w:tl2br w:val="nil"/>
              <w:tr2bl w:val="nil"/>
            </w:tcBorders>
            <w:vAlign w:val="center"/>
          </w:tcPr>
          <w:p w14:paraId="5FA9C933">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污染物名称</w:t>
            </w:r>
          </w:p>
        </w:tc>
        <w:tc>
          <w:tcPr>
            <w:tcW w:w="917" w:type="pct"/>
            <w:tcBorders>
              <w:tl2br w:val="nil"/>
              <w:tr2bl w:val="nil"/>
            </w:tcBorders>
            <w:vAlign w:val="center"/>
          </w:tcPr>
          <w:p w14:paraId="672B96B3">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最大1h地面空气质量浓度（ug/m</w:t>
            </w:r>
            <w:r>
              <w:rPr>
                <w:rFonts w:hint="default" w:ascii="Times New Roman" w:hAnsi="Times New Roman" w:eastAsia="宋体" w:cs="Times New Roman"/>
                <w:b/>
                <w:bCs/>
                <w:color w:val="000000" w:themeColor="text1"/>
                <w:vertAlign w:val="superscript"/>
                <w14:textFill>
                  <w14:solidFill>
                    <w14:schemeClr w14:val="tx1"/>
                  </w14:solidFill>
                </w14:textFill>
              </w:rPr>
              <w:t>3</w:t>
            </w:r>
            <w:r>
              <w:rPr>
                <w:rFonts w:hint="default" w:ascii="Times New Roman" w:hAnsi="Times New Roman" w:eastAsia="宋体" w:cs="Times New Roman"/>
                <w:b/>
                <w:bCs/>
                <w:color w:val="000000" w:themeColor="text1"/>
                <w14:textFill>
                  <w14:solidFill>
                    <w14:schemeClr w14:val="tx1"/>
                  </w14:solidFill>
                </w14:textFill>
              </w:rPr>
              <w:t>）</w:t>
            </w:r>
          </w:p>
        </w:tc>
        <w:tc>
          <w:tcPr>
            <w:tcW w:w="565" w:type="pct"/>
            <w:tcBorders>
              <w:tl2br w:val="nil"/>
              <w:tr2bl w:val="nil"/>
            </w:tcBorders>
            <w:vAlign w:val="center"/>
          </w:tcPr>
          <w:p w14:paraId="4F0F897E">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Pmax(%)</w:t>
            </w:r>
          </w:p>
        </w:tc>
        <w:tc>
          <w:tcPr>
            <w:tcW w:w="738" w:type="pct"/>
            <w:tcBorders>
              <w:tl2br w:val="nil"/>
              <w:tr2bl w:val="nil"/>
            </w:tcBorders>
            <w:vAlign w:val="center"/>
          </w:tcPr>
          <w:p w14:paraId="224D6436">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D</w:t>
            </w:r>
            <w:r>
              <w:rPr>
                <w:rFonts w:hint="default" w:ascii="Times New Roman" w:hAnsi="Times New Roman" w:eastAsia="宋体" w:cs="Times New Roman"/>
                <w:b/>
                <w:bCs/>
                <w:color w:val="000000" w:themeColor="text1"/>
                <w:vertAlign w:val="subscript"/>
                <w14:textFill>
                  <w14:solidFill>
                    <w14:schemeClr w14:val="tx1"/>
                  </w14:solidFill>
                </w14:textFill>
              </w:rPr>
              <w:t>10%(</w:t>
            </w:r>
            <w:r>
              <w:rPr>
                <w:rFonts w:hint="default" w:ascii="Times New Roman" w:hAnsi="Times New Roman" w:eastAsia="宋体" w:cs="Times New Roman"/>
                <w:b/>
                <w:bCs/>
                <w:color w:val="000000" w:themeColor="text1"/>
                <w14:textFill>
                  <w14:solidFill>
                    <w14:schemeClr w14:val="tx1"/>
                  </w14:solidFill>
                </w14:textFill>
              </w:rPr>
              <w:t>m)</w:t>
            </w:r>
          </w:p>
        </w:tc>
        <w:tc>
          <w:tcPr>
            <w:tcW w:w="740" w:type="pct"/>
            <w:tcBorders>
              <w:tl2br w:val="nil"/>
              <w:tr2bl w:val="nil"/>
            </w:tcBorders>
            <w:vAlign w:val="center"/>
          </w:tcPr>
          <w:p w14:paraId="7DCCF3B6">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评价等级</w:t>
            </w:r>
          </w:p>
        </w:tc>
      </w:tr>
      <w:tr w14:paraId="03FD7E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65" w:type="pct"/>
            <w:vMerge w:val="restart"/>
            <w:tcBorders>
              <w:tl2br w:val="nil"/>
              <w:tr2bl w:val="nil"/>
            </w:tcBorders>
            <w:vAlign w:val="center"/>
          </w:tcPr>
          <w:p w14:paraId="33AA3968">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点源</w:t>
            </w:r>
          </w:p>
        </w:tc>
        <w:tc>
          <w:tcPr>
            <w:tcW w:w="564" w:type="pct"/>
            <w:tcBorders>
              <w:tl2br w:val="nil"/>
              <w:tr2bl w:val="nil"/>
            </w:tcBorders>
            <w:vAlign w:val="center"/>
          </w:tcPr>
          <w:p w14:paraId="53013827">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bCs/>
                <w:color w:val="000000" w:themeColor="text1"/>
                <w14:textFill>
                  <w14:solidFill>
                    <w14:schemeClr w14:val="tx1"/>
                  </w14:solidFill>
                </w14:textFill>
              </w:rPr>
            </w:pPr>
            <w:r>
              <w:rPr>
                <w:rFonts w:hint="default" w:ascii="Times New Roman" w:hAnsi="Times New Roman" w:eastAsiaTheme="minorEastAsia"/>
                <w:bCs/>
                <w:color w:val="000000" w:themeColor="text1"/>
                <w14:textFill>
                  <w14:solidFill>
                    <w14:schemeClr w14:val="tx1"/>
                  </w14:solidFill>
                </w14:textFill>
              </w:rPr>
              <w:t>DA001</w:t>
            </w:r>
          </w:p>
        </w:tc>
        <w:tc>
          <w:tcPr>
            <w:tcW w:w="908" w:type="pct"/>
            <w:tcBorders>
              <w:tl2br w:val="nil"/>
              <w:tr2bl w:val="nil"/>
            </w:tcBorders>
            <w:vAlign w:val="center"/>
          </w:tcPr>
          <w:p w14:paraId="2C0E52F7">
            <w:pPr>
              <w:pStyle w:val="251"/>
              <w:spacing w:line="276" w:lineRule="auto"/>
              <w:ind w:firstLine="0" w:firstLineChars="0"/>
              <w:jc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917" w:type="pct"/>
            <w:tcBorders>
              <w:tl2br w:val="nil"/>
              <w:tr2bl w:val="nil"/>
            </w:tcBorders>
            <w:shd w:val="clear" w:color="auto" w:fill="auto"/>
            <w:vAlign w:val="center"/>
          </w:tcPr>
          <w:p w14:paraId="2AA43514">
            <w:pPr>
              <w:widowControl/>
              <w:jc w:val="center"/>
              <w:rPr>
                <w:rFonts w:hint="default" w:ascii="Times New Roman" w:hAnsi="Times New Roman" w:eastAsia="宋体" w:cs="Times New Roman"/>
                <w:color w:val="000000" w:themeColor="text1"/>
                <w:spacing w:val="-2"/>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9.64×10</w:t>
            </w:r>
            <w:r>
              <w:rPr>
                <w:rFonts w:hint="eastAsia" w:cs="Times New Roman"/>
                <w:color w:val="000000" w:themeColor="text1"/>
                <w:kern w:val="2"/>
                <w:sz w:val="21"/>
                <w:szCs w:val="21"/>
                <w:vertAlign w:val="superscript"/>
                <w:lang w:val="en-US" w:eastAsia="zh-CN"/>
                <w14:textFill>
                  <w14:solidFill>
                    <w14:schemeClr w14:val="tx1"/>
                  </w14:solidFill>
                </w14:textFill>
              </w:rPr>
              <w:t>-3</w:t>
            </w:r>
          </w:p>
        </w:tc>
        <w:tc>
          <w:tcPr>
            <w:tcW w:w="565" w:type="pct"/>
            <w:tcBorders>
              <w:tl2br w:val="nil"/>
              <w:tr2bl w:val="nil"/>
            </w:tcBorders>
            <w:shd w:val="clear" w:color="auto" w:fill="auto"/>
            <w:vAlign w:val="center"/>
          </w:tcPr>
          <w:p w14:paraId="455DF0C0">
            <w:pPr>
              <w:widowControl/>
              <w:jc w:val="center"/>
              <w:rPr>
                <w:rFonts w:hint="default" w:ascii="Times New Roman" w:hAnsi="Times New Roman" w:eastAsia="宋体" w:cs="Times New Roman"/>
                <w:color w:val="000000" w:themeColor="text1"/>
                <w:spacing w:val="-2"/>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0.48</w:t>
            </w:r>
          </w:p>
        </w:tc>
        <w:tc>
          <w:tcPr>
            <w:tcW w:w="738" w:type="pct"/>
            <w:tcBorders>
              <w:tl2br w:val="nil"/>
              <w:tr2bl w:val="nil"/>
            </w:tcBorders>
            <w:vAlign w:val="center"/>
          </w:tcPr>
          <w:p w14:paraId="38D82E39">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w:t>
            </w:r>
          </w:p>
        </w:tc>
        <w:tc>
          <w:tcPr>
            <w:tcW w:w="740" w:type="pct"/>
            <w:tcBorders>
              <w:tl2br w:val="nil"/>
              <w:tr2bl w:val="nil"/>
            </w:tcBorders>
            <w:vAlign w:val="center"/>
          </w:tcPr>
          <w:p w14:paraId="73B595A8">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三级</w:t>
            </w:r>
          </w:p>
        </w:tc>
      </w:tr>
      <w:tr w14:paraId="2A244B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65" w:type="pct"/>
            <w:vMerge w:val="continue"/>
            <w:tcBorders>
              <w:tl2br w:val="nil"/>
              <w:tr2bl w:val="nil"/>
            </w:tcBorders>
            <w:vAlign w:val="center"/>
          </w:tcPr>
          <w:p w14:paraId="1776B911">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p>
        </w:tc>
        <w:tc>
          <w:tcPr>
            <w:tcW w:w="564" w:type="pct"/>
            <w:vMerge w:val="restart"/>
            <w:tcBorders>
              <w:tl2br w:val="nil"/>
              <w:tr2bl w:val="nil"/>
            </w:tcBorders>
            <w:vAlign w:val="center"/>
          </w:tcPr>
          <w:p w14:paraId="598BB2F2">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bCs/>
                <w:color w:val="000000" w:themeColor="text1"/>
                <w14:textFill>
                  <w14:solidFill>
                    <w14:schemeClr w14:val="tx1"/>
                  </w14:solidFill>
                </w14:textFill>
              </w:rPr>
              <w:t>DA002</w:t>
            </w:r>
          </w:p>
        </w:tc>
        <w:tc>
          <w:tcPr>
            <w:tcW w:w="908" w:type="pct"/>
            <w:tcBorders>
              <w:tl2br w:val="nil"/>
              <w:tr2bl w:val="nil"/>
            </w:tcBorders>
            <w:vAlign w:val="center"/>
          </w:tcPr>
          <w:p w14:paraId="0DB0AB89">
            <w:pPr>
              <w:spacing w:line="276" w:lineRule="auto"/>
              <w:jc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10</w:t>
            </w:r>
          </w:p>
        </w:tc>
        <w:tc>
          <w:tcPr>
            <w:tcW w:w="917" w:type="pct"/>
            <w:tcBorders>
              <w:tl2br w:val="nil"/>
              <w:tr2bl w:val="nil"/>
            </w:tcBorders>
            <w:shd w:val="clear" w:color="auto" w:fill="auto"/>
            <w:vAlign w:val="center"/>
          </w:tcPr>
          <w:p w14:paraId="14DEE88D">
            <w:pPr>
              <w:widowControl/>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1.62×10</w:t>
            </w:r>
            <w:r>
              <w:rPr>
                <w:rFonts w:hint="eastAsia" w:cs="Times New Roman"/>
                <w:color w:val="000000" w:themeColor="text1"/>
                <w:kern w:val="2"/>
                <w:sz w:val="21"/>
                <w:szCs w:val="21"/>
                <w:vertAlign w:val="superscript"/>
                <w:lang w:val="en-US" w:eastAsia="zh-CN"/>
                <w14:textFill>
                  <w14:solidFill>
                    <w14:schemeClr w14:val="tx1"/>
                  </w14:solidFill>
                </w14:textFill>
              </w:rPr>
              <w:t>-3</w:t>
            </w:r>
          </w:p>
        </w:tc>
        <w:tc>
          <w:tcPr>
            <w:tcW w:w="565" w:type="pct"/>
            <w:tcBorders>
              <w:tl2br w:val="nil"/>
              <w:tr2bl w:val="nil"/>
            </w:tcBorders>
            <w:shd w:val="clear" w:color="auto" w:fill="auto"/>
            <w:vAlign w:val="center"/>
          </w:tcPr>
          <w:p w14:paraId="62DC9704">
            <w:pPr>
              <w:widowControl/>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36</w:t>
            </w:r>
          </w:p>
        </w:tc>
        <w:tc>
          <w:tcPr>
            <w:tcW w:w="738" w:type="pct"/>
            <w:tcBorders>
              <w:tl2br w:val="nil"/>
              <w:tr2bl w:val="nil"/>
            </w:tcBorders>
            <w:shd w:val="clear" w:color="auto" w:fill="auto"/>
            <w:vAlign w:val="center"/>
          </w:tcPr>
          <w:p w14:paraId="591344CB">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w:t>
            </w:r>
          </w:p>
        </w:tc>
        <w:tc>
          <w:tcPr>
            <w:tcW w:w="740" w:type="pct"/>
            <w:tcBorders>
              <w:tl2br w:val="nil"/>
              <w:tr2bl w:val="nil"/>
            </w:tcBorders>
            <w:shd w:val="clear" w:color="auto" w:fill="auto"/>
            <w:vAlign w:val="center"/>
          </w:tcPr>
          <w:p w14:paraId="158E1E2D">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三级</w:t>
            </w:r>
          </w:p>
        </w:tc>
      </w:tr>
      <w:tr w14:paraId="12BC6E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65" w:type="pct"/>
            <w:vMerge w:val="continue"/>
            <w:tcBorders>
              <w:tl2br w:val="nil"/>
              <w:tr2bl w:val="nil"/>
            </w:tcBorders>
            <w:vAlign w:val="center"/>
          </w:tcPr>
          <w:p w14:paraId="611FF0B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p>
        </w:tc>
        <w:tc>
          <w:tcPr>
            <w:tcW w:w="564" w:type="pct"/>
            <w:vMerge w:val="continue"/>
            <w:tcBorders>
              <w:tl2br w:val="nil"/>
              <w:tr2bl w:val="nil"/>
            </w:tcBorders>
            <w:vAlign w:val="center"/>
          </w:tcPr>
          <w:p w14:paraId="4B2DCBC1">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p>
        </w:tc>
        <w:tc>
          <w:tcPr>
            <w:tcW w:w="908" w:type="pct"/>
            <w:tcBorders>
              <w:tl2br w:val="nil"/>
              <w:tr2bl w:val="nil"/>
            </w:tcBorders>
            <w:vAlign w:val="center"/>
          </w:tcPr>
          <w:p w14:paraId="2622DA8E">
            <w:pPr>
              <w:spacing w:line="276" w:lineRule="auto"/>
              <w:jc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2.5</w:t>
            </w:r>
          </w:p>
        </w:tc>
        <w:tc>
          <w:tcPr>
            <w:tcW w:w="917" w:type="pct"/>
            <w:tcBorders>
              <w:tl2br w:val="nil"/>
              <w:tr2bl w:val="nil"/>
            </w:tcBorders>
            <w:shd w:val="clear" w:color="auto" w:fill="auto"/>
            <w:vAlign w:val="center"/>
          </w:tcPr>
          <w:p w14:paraId="4A79523A">
            <w:pPr>
              <w:widowControl/>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8.10×10</w:t>
            </w:r>
            <w:r>
              <w:rPr>
                <w:rFonts w:hint="eastAsia" w:cs="Times New Roman"/>
                <w:color w:val="000000" w:themeColor="text1"/>
                <w:kern w:val="2"/>
                <w:sz w:val="21"/>
                <w:szCs w:val="21"/>
                <w:vertAlign w:val="superscript"/>
                <w:lang w:val="en-US" w:eastAsia="zh-CN"/>
                <w14:textFill>
                  <w14:solidFill>
                    <w14:schemeClr w14:val="tx1"/>
                  </w14:solidFill>
                </w14:textFill>
              </w:rPr>
              <w:t>-4</w:t>
            </w:r>
          </w:p>
        </w:tc>
        <w:tc>
          <w:tcPr>
            <w:tcW w:w="565" w:type="pct"/>
            <w:tcBorders>
              <w:tl2br w:val="nil"/>
              <w:tr2bl w:val="nil"/>
            </w:tcBorders>
            <w:shd w:val="clear" w:color="auto" w:fill="auto"/>
            <w:vAlign w:val="center"/>
          </w:tcPr>
          <w:p w14:paraId="0D5ED550">
            <w:pPr>
              <w:widowControl/>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36</w:t>
            </w:r>
          </w:p>
        </w:tc>
        <w:tc>
          <w:tcPr>
            <w:tcW w:w="738" w:type="pct"/>
            <w:tcBorders>
              <w:tl2br w:val="nil"/>
              <w:tr2bl w:val="nil"/>
            </w:tcBorders>
            <w:vAlign w:val="center"/>
          </w:tcPr>
          <w:p w14:paraId="19A43901">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w:t>
            </w:r>
          </w:p>
        </w:tc>
        <w:tc>
          <w:tcPr>
            <w:tcW w:w="740" w:type="pct"/>
            <w:tcBorders>
              <w:tl2br w:val="nil"/>
              <w:tr2bl w:val="nil"/>
            </w:tcBorders>
            <w:vAlign w:val="center"/>
          </w:tcPr>
          <w:p w14:paraId="2449F578">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color w:val="000000" w:themeColor="text1"/>
                <w14:textFill>
                  <w14:solidFill>
                    <w14:schemeClr w14:val="tx1"/>
                  </w14:solidFill>
                </w14:textFill>
              </w:rPr>
            </w:pPr>
            <w:r>
              <w:rPr>
                <w:rFonts w:hint="default" w:ascii="Times New Roman" w:hAnsi="Times New Roman"/>
                <w:color w:val="000000" w:themeColor="text1"/>
                <w14:textFill>
                  <w14:solidFill>
                    <w14:schemeClr w14:val="tx1"/>
                  </w14:solidFill>
                </w14:textFill>
              </w:rPr>
              <w:t>三级</w:t>
            </w:r>
          </w:p>
        </w:tc>
      </w:tr>
      <w:tr w14:paraId="583928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65" w:type="pct"/>
            <w:vMerge w:val="continue"/>
            <w:tcBorders>
              <w:tl2br w:val="nil"/>
              <w:tr2bl w:val="nil"/>
            </w:tcBorders>
            <w:vAlign w:val="center"/>
          </w:tcPr>
          <w:p w14:paraId="53563D36">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p>
        </w:tc>
        <w:tc>
          <w:tcPr>
            <w:tcW w:w="564" w:type="pct"/>
            <w:vMerge w:val="restart"/>
            <w:tcBorders>
              <w:tl2br w:val="nil"/>
              <w:tr2bl w:val="nil"/>
            </w:tcBorders>
            <w:vAlign w:val="center"/>
          </w:tcPr>
          <w:p w14:paraId="484051F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bCs/>
                <w:color w:val="000000" w:themeColor="text1"/>
                <w14:textFill>
                  <w14:solidFill>
                    <w14:schemeClr w14:val="tx1"/>
                  </w14:solidFill>
                </w14:textFill>
              </w:rPr>
              <w:t>DA003</w:t>
            </w:r>
          </w:p>
        </w:tc>
        <w:tc>
          <w:tcPr>
            <w:tcW w:w="908" w:type="pct"/>
            <w:tcBorders>
              <w:tl2br w:val="nil"/>
              <w:tr2bl w:val="nil"/>
            </w:tcBorders>
            <w:shd w:val="clear" w:color="auto" w:fill="auto"/>
            <w:vAlign w:val="center"/>
          </w:tcPr>
          <w:p w14:paraId="369516DF">
            <w:pPr>
              <w:widowControl/>
              <w:adjustRightInd w:val="0"/>
              <w:jc w:val="center"/>
              <w:textAlignment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硫化氢</w:t>
            </w:r>
          </w:p>
        </w:tc>
        <w:tc>
          <w:tcPr>
            <w:tcW w:w="917" w:type="pct"/>
            <w:tcBorders>
              <w:tl2br w:val="nil"/>
              <w:tr2bl w:val="nil"/>
            </w:tcBorders>
            <w:shd w:val="clear" w:color="auto" w:fill="auto"/>
            <w:vAlign w:val="center"/>
          </w:tcPr>
          <w:p w14:paraId="2D934A48">
            <w:pPr>
              <w:widowControl/>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7.51×10</w:t>
            </w:r>
            <w:r>
              <w:rPr>
                <w:rFonts w:hint="eastAsia" w:cs="Times New Roman"/>
                <w:color w:val="000000" w:themeColor="text1"/>
                <w:kern w:val="2"/>
                <w:sz w:val="21"/>
                <w:szCs w:val="21"/>
                <w:vertAlign w:val="superscript"/>
                <w:lang w:val="en-US" w:eastAsia="zh-CN"/>
                <w14:textFill>
                  <w14:solidFill>
                    <w14:schemeClr w14:val="tx1"/>
                  </w14:solidFill>
                </w14:textFill>
              </w:rPr>
              <w:t>-5</w:t>
            </w:r>
          </w:p>
        </w:tc>
        <w:tc>
          <w:tcPr>
            <w:tcW w:w="565" w:type="pct"/>
            <w:tcBorders>
              <w:tl2br w:val="nil"/>
              <w:tr2bl w:val="nil"/>
            </w:tcBorders>
            <w:shd w:val="clear" w:color="auto" w:fill="auto"/>
            <w:vAlign w:val="center"/>
          </w:tcPr>
          <w:p w14:paraId="66D3CCD6">
            <w:pPr>
              <w:widowControl/>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75</w:t>
            </w:r>
          </w:p>
        </w:tc>
        <w:tc>
          <w:tcPr>
            <w:tcW w:w="738" w:type="pct"/>
            <w:tcBorders>
              <w:tl2br w:val="nil"/>
              <w:tr2bl w:val="nil"/>
            </w:tcBorders>
            <w:vAlign w:val="center"/>
          </w:tcPr>
          <w:p w14:paraId="1078D91A">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w:t>
            </w:r>
          </w:p>
        </w:tc>
        <w:tc>
          <w:tcPr>
            <w:tcW w:w="740" w:type="pct"/>
            <w:tcBorders>
              <w:tl2br w:val="nil"/>
              <w:tr2bl w:val="nil"/>
            </w:tcBorders>
            <w:vAlign w:val="center"/>
          </w:tcPr>
          <w:p w14:paraId="4DA305C1">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color w:val="000000" w:themeColor="text1"/>
                <w14:textFill>
                  <w14:solidFill>
                    <w14:schemeClr w14:val="tx1"/>
                  </w14:solidFill>
                </w14:textFill>
              </w:rPr>
            </w:pPr>
            <w:r>
              <w:rPr>
                <w:rFonts w:hint="default" w:ascii="Times New Roman" w:hAnsi="Times New Roman"/>
                <w:color w:val="000000" w:themeColor="text1"/>
                <w14:textFill>
                  <w14:solidFill>
                    <w14:schemeClr w14:val="tx1"/>
                  </w14:solidFill>
                </w14:textFill>
              </w:rPr>
              <w:t>三级</w:t>
            </w:r>
          </w:p>
        </w:tc>
      </w:tr>
      <w:tr w14:paraId="7EB4FC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65" w:type="pct"/>
            <w:vMerge w:val="continue"/>
            <w:tcBorders>
              <w:tl2br w:val="nil"/>
              <w:tr2bl w:val="nil"/>
            </w:tcBorders>
            <w:vAlign w:val="center"/>
          </w:tcPr>
          <w:p w14:paraId="35FD9175">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p>
        </w:tc>
        <w:tc>
          <w:tcPr>
            <w:tcW w:w="564" w:type="pct"/>
            <w:vMerge w:val="continue"/>
            <w:tcBorders>
              <w:tl2br w:val="nil"/>
              <w:tr2bl w:val="nil"/>
            </w:tcBorders>
            <w:vAlign w:val="center"/>
          </w:tcPr>
          <w:p w14:paraId="1E7930F4">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bCs/>
                <w:color w:val="000000" w:themeColor="text1"/>
                <w14:textFill>
                  <w14:solidFill>
                    <w14:schemeClr w14:val="tx1"/>
                  </w14:solidFill>
                </w14:textFill>
              </w:rPr>
            </w:pPr>
          </w:p>
        </w:tc>
        <w:tc>
          <w:tcPr>
            <w:tcW w:w="908" w:type="pct"/>
            <w:tcBorders>
              <w:tl2br w:val="nil"/>
              <w:tr2bl w:val="nil"/>
            </w:tcBorders>
            <w:shd w:val="clear" w:color="auto" w:fill="auto"/>
            <w:vAlign w:val="center"/>
          </w:tcPr>
          <w:p w14:paraId="29356AF2">
            <w:pPr>
              <w:spacing w:line="276" w:lineRule="auto"/>
              <w:jc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氨</w:t>
            </w:r>
          </w:p>
        </w:tc>
        <w:tc>
          <w:tcPr>
            <w:tcW w:w="917" w:type="pct"/>
            <w:tcBorders>
              <w:tl2br w:val="nil"/>
              <w:tr2bl w:val="nil"/>
            </w:tcBorders>
            <w:shd w:val="clear" w:color="auto" w:fill="auto"/>
            <w:vAlign w:val="center"/>
          </w:tcPr>
          <w:p w14:paraId="72B877A7">
            <w:pPr>
              <w:widowControl/>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3.00×10</w:t>
            </w:r>
            <w:r>
              <w:rPr>
                <w:rFonts w:hint="eastAsia" w:cs="Times New Roman"/>
                <w:color w:val="000000" w:themeColor="text1"/>
                <w:kern w:val="2"/>
                <w:sz w:val="21"/>
                <w:szCs w:val="21"/>
                <w:vertAlign w:val="superscript"/>
                <w:lang w:val="en-US" w:eastAsia="zh-CN"/>
                <w14:textFill>
                  <w14:solidFill>
                    <w14:schemeClr w14:val="tx1"/>
                  </w14:solidFill>
                </w14:textFill>
              </w:rPr>
              <w:t>-6</w:t>
            </w:r>
          </w:p>
        </w:tc>
        <w:tc>
          <w:tcPr>
            <w:tcW w:w="565" w:type="pct"/>
            <w:tcBorders>
              <w:tl2br w:val="nil"/>
              <w:tr2bl w:val="nil"/>
            </w:tcBorders>
            <w:shd w:val="clear" w:color="auto" w:fill="auto"/>
            <w:vAlign w:val="center"/>
          </w:tcPr>
          <w:p w14:paraId="22075C84">
            <w:pPr>
              <w:widowControl/>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00</w:t>
            </w:r>
          </w:p>
        </w:tc>
        <w:tc>
          <w:tcPr>
            <w:tcW w:w="738" w:type="pct"/>
            <w:tcBorders>
              <w:tl2br w:val="nil"/>
              <w:tr2bl w:val="nil"/>
            </w:tcBorders>
            <w:shd w:val="clear" w:color="auto" w:fill="auto"/>
            <w:vAlign w:val="center"/>
          </w:tcPr>
          <w:p w14:paraId="21FD5DD3">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w:t>
            </w:r>
          </w:p>
        </w:tc>
        <w:tc>
          <w:tcPr>
            <w:tcW w:w="740" w:type="pct"/>
            <w:tcBorders>
              <w:tl2br w:val="nil"/>
              <w:tr2bl w:val="nil"/>
            </w:tcBorders>
            <w:shd w:val="clear" w:color="auto" w:fill="auto"/>
            <w:vAlign w:val="center"/>
          </w:tcPr>
          <w:p w14:paraId="31B96F4B">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color w:val="000000" w:themeColor="text1"/>
                <w14:textFill>
                  <w14:solidFill>
                    <w14:schemeClr w14:val="tx1"/>
                  </w14:solidFill>
                </w14:textFill>
              </w:rPr>
            </w:pPr>
            <w:r>
              <w:rPr>
                <w:rFonts w:hint="default" w:ascii="Times New Roman" w:hAnsi="Times New Roman"/>
                <w:color w:val="000000" w:themeColor="text1"/>
                <w14:textFill>
                  <w14:solidFill>
                    <w14:schemeClr w14:val="tx1"/>
                  </w14:solidFill>
                </w14:textFill>
              </w:rPr>
              <w:t>三级</w:t>
            </w:r>
          </w:p>
        </w:tc>
      </w:tr>
      <w:tr w14:paraId="42BB9B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0" w:hRule="atLeast"/>
        </w:trPr>
        <w:tc>
          <w:tcPr>
            <w:tcW w:w="565" w:type="pct"/>
            <w:vMerge w:val="restart"/>
            <w:tcBorders>
              <w:tl2br w:val="nil"/>
              <w:tr2bl w:val="nil"/>
            </w:tcBorders>
            <w:vAlign w:val="center"/>
          </w:tcPr>
          <w:p w14:paraId="6E297AF7">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面源</w:t>
            </w:r>
          </w:p>
        </w:tc>
        <w:tc>
          <w:tcPr>
            <w:tcW w:w="564" w:type="pct"/>
            <w:tcBorders>
              <w:tl2br w:val="nil"/>
              <w:tr2bl w:val="nil"/>
            </w:tcBorders>
            <w:vAlign w:val="center"/>
          </w:tcPr>
          <w:p w14:paraId="11635D98">
            <w:pPr>
              <w:spacing w:line="276" w:lineRule="auto"/>
              <w:jc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1#厂房</w:t>
            </w:r>
          </w:p>
        </w:tc>
        <w:tc>
          <w:tcPr>
            <w:tcW w:w="908" w:type="pct"/>
            <w:tcBorders>
              <w:tl2br w:val="nil"/>
              <w:tr2bl w:val="nil"/>
            </w:tcBorders>
            <w:vAlign w:val="center"/>
          </w:tcPr>
          <w:p w14:paraId="3031CAE1">
            <w:pPr>
              <w:spacing w:line="276" w:lineRule="auto"/>
              <w:jc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917" w:type="pct"/>
            <w:tcBorders>
              <w:tl2br w:val="nil"/>
              <w:tr2bl w:val="nil"/>
            </w:tcBorders>
            <w:shd w:val="clear" w:color="auto" w:fill="auto"/>
            <w:vAlign w:val="center"/>
          </w:tcPr>
          <w:p w14:paraId="064DB825">
            <w:pPr>
              <w:widowControl/>
              <w:jc w:val="center"/>
              <w:rPr>
                <w:rFonts w:hint="default" w:ascii="Times New Roman" w:hAnsi="Times New Roman" w:eastAsia="宋体" w:cs="Times New Roman"/>
                <w:color w:val="000000" w:themeColor="text1"/>
                <w:spacing w:val="-2"/>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9.60×10</w:t>
            </w:r>
            <w:r>
              <w:rPr>
                <w:rFonts w:hint="eastAsia" w:cs="Times New Roman"/>
                <w:color w:val="000000" w:themeColor="text1"/>
                <w:kern w:val="2"/>
                <w:sz w:val="21"/>
                <w:szCs w:val="21"/>
                <w:vertAlign w:val="superscript"/>
                <w:lang w:val="en-US" w:eastAsia="zh-CN"/>
                <w14:textFill>
                  <w14:solidFill>
                    <w14:schemeClr w14:val="tx1"/>
                  </w14:solidFill>
                </w14:textFill>
              </w:rPr>
              <w:t>-3</w:t>
            </w:r>
          </w:p>
        </w:tc>
        <w:tc>
          <w:tcPr>
            <w:tcW w:w="565" w:type="pct"/>
            <w:tcBorders>
              <w:tl2br w:val="nil"/>
              <w:tr2bl w:val="nil"/>
            </w:tcBorders>
            <w:shd w:val="clear" w:color="auto" w:fill="auto"/>
            <w:vAlign w:val="center"/>
          </w:tcPr>
          <w:p w14:paraId="3D551D05">
            <w:pPr>
              <w:widowControl/>
              <w:jc w:val="center"/>
              <w:rPr>
                <w:rFonts w:hint="default" w:ascii="Times New Roman" w:hAnsi="Times New Roman" w:eastAsia="宋体" w:cs="Times New Roman"/>
                <w:color w:val="000000" w:themeColor="text1"/>
                <w:spacing w:val="-2"/>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0.</w:t>
            </w:r>
            <w:r>
              <w:rPr>
                <w:rFonts w:hint="eastAsia" w:cs="Times New Roman"/>
                <w:color w:val="000000" w:themeColor="text1"/>
                <w:kern w:val="2"/>
                <w:sz w:val="21"/>
                <w:szCs w:val="21"/>
                <w:lang w:val="en-US" w:eastAsia="zh-CN"/>
                <w14:textFill>
                  <w14:solidFill>
                    <w14:schemeClr w14:val="tx1"/>
                  </w14:solidFill>
                </w14:textFill>
              </w:rPr>
              <w:t>48</w:t>
            </w:r>
          </w:p>
        </w:tc>
        <w:tc>
          <w:tcPr>
            <w:tcW w:w="738" w:type="pct"/>
            <w:tcBorders>
              <w:tl2br w:val="nil"/>
              <w:tr2bl w:val="nil"/>
            </w:tcBorders>
            <w:shd w:val="clear" w:color="auto" w:fill="auto"/>
            <w:vAlign w:val="center"/>
          </w:tcPr>
          <w:p w14:paraId="2A2B8231">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w:t>
            </w:r>
          </w:p>
        </w:tc>
        <w:tc>
          <w:tcPr>
            <w:tcW w:w="740" w:type="pct"/>
            <w:tcBorders>
              <w:tl2br w:val="nil"/>
              <w:tr2bl w:val="nil"/>
            </w:tcBorders>
            <w:shd w:val="clear" w:color="auto" w:fill="auto"/>
            <w:vAlign w:val="center"/>
          </w:tcPr>
          <w:p w14:paraId="53AE70A4">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color w:val="000000" w:themeColor="text1"/>
                <w14:textFill>
                  <w14:solidFill>
                    <w14:schemeClr w14:val="tx1"/>
                  </w14:solidFill>
                </w14:textFill>
              </w:rPr>
            </w:pPr>
            <w:r>
              <w:rPr>
                <w:rFonts w:hint="default" w:ascii="Times New Roman" w:hAnsi="Times New Roman"/>
                <w:color w:val="000000" w:themeColor="text1"/>
                <w14:textFill>
                  <w14:solidFill>
                    <w14:schemeClr w14:val="tx1"/>
                  </w14:solidFill>
                </w14:textFill>
              </w:rPr>
              <w:t>三级</w:t>
            </w:r>
          </w:p>
        </w:tc>
      </w:tr>
      <w:tr w14:paraId="3B1B23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65" w:type="pct"/>
            <w:vMerge w:val="continue"/>
            <w:tcBorders>
              <w:tl2br w:val="nil"/>
              <w:tr2bl w:val="nil"/>
            </w:tcBorders>
            <w:vAlign w:val="center"/>
          </w:tcPr>
          <w:p w14:paraId="5C1378A3">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p>
        </w:tc>
        <w:tc>
          <w:tcPr>
            <w:tcW w:w="564" w:type="pct"/>
            <w:vMerge w:val="restart"/>
            <w:tcBorders>
              <w:tl2br w:val="nil"/>
              <w:tr2bl w:val="nil"/>
            </w:tcBorders>
            <w:vAlign w:val="center"/>
          </w:tcPr>
          <w:p w14:paraId="612EA0D0">
            <w:pPr>
              <w:widowControl/>
              <w:jc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2#厂房</w:t>
            </w:r>
          </w:p>
        </w:tc>
        <w:tc>
          <w:tcPr>
            <w:tcW w:w="908" w:type="pct"/>
            <w:tcBorders>
              <w:tl2br w:val="nil"/>
              <w:tr2bl w:val="nil"/>
            </w:tcBorders>
            <w:vAlign w:val="center"/>
          </w:tcPr>
          <w:p w14:paraId="7FCE8905">
            <w:pPr>
              <w:widowControl/>
              <w:adjustRightInd w:val="0"/>
              <w:jc w:val="center"/>
              <w:textAlignment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TSP</w:t>
            </w:r>
          </w:p>
        </w:tc>
        <w:tc>
          <w:tcPr>
            <w:tcW w:w="917" w:type="pct"/>
            <w:tcBorders>
              <w:tl2br w:val="nil"/>
              <w:tr2bl w:val="nil"/>
            </w:tcBorders>
            <w:shd w:val="clear" w:color="auto" w:fill="auto"/>
            <w:vAlign w:val="center"/>
          </w:tcPr>
          <w:p w14:paraId="1053C3D0">
            <w:pPr>
              <w:widowControl/>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0.1549</w:t>
            </w:r>
          </w:p>
        </w:tc>
        <w:tc>
          <w:tcPr>
            <w:tcW w:w="565" w:type="pct"/>
            <w:tcBorders>
              <w:tl2br w:val="nil"/>
              <w:tr2bl w:val="nil"/>
            </w:tcBorders>
            <w:shd w:val="clear" w:color="auto" w:fill="auto"/>
            <w:vAlign w:val="center"/>
          </w:tcPr>
          <w:p w14:paraId="226A264B">
            <w:pPr>
              <w:widowControl/>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7.83</w:t>
            </w:r>
          </w:p>
        </w:tc>
        <w:tc>
          <w:tcPr>
            <w:tcW w:w="738" w:type="pct"/>
            <w:tcBorders>
              <w:tl2br w:val="nil"/>
              <w:tr2bl w:val="nil"/>
            </w:tcBorders>
            <w:vAlign w:val="center"/>
          </w:tcPr>
          <w:p w14:paraId="33DC7141">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w:t>
            </w:r>
          </w:p>
        </w:tc>
        <w:tc>
          <w:tcPr>
            <w:tcW w:w="740" w:type="pct"/>
            <w:tcBorders>
              <w:tl2br w:val="nil"/>
              <w:tr2bl w:val="nil"/>
            </w:tcBorders>
            <w:vAlign w:val="center"/>
          </w:tcPr>
          <w:p w14:paraId="666D8A3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eastAsia" w:ascii="Times New Roman" w:hAnsi="Times New Roman" w:eastAsiaTheme="minorEastAsia"/>
                <w:color w:val="000000" w:themeColor="text1"/>
                <w14:textFill>
                  <w14:solidFill>
                    <w14:schemeClr w14:val="tx1"/>
                  </w14:solidFill>
                </w14:textFill>
              </w:rPr>
              <w:t>二</w:t>
            </w:r>
            <w:r>
              <w:rPr>
                <w:rFonts w:hint="default" w:ascii="Times New Roman" w:hAnsi="Times New Roman" w:eastAsiaTheme="minorEastAsia"/>
                <w:color w:val="000000" w:themeColor="text1"/>
                <w14:textFill>
                  <w14:solidFill>
                    <w14:schemeClr w14:val="tx1"/>
                  </w14:solidFill>
                </w14:textFill>
              </w:rPr>
              <w:t>级</w:t>
            </w:r>
          </w:p>
        </w:tc>
      </w:tr>
      <w:tr w14:paraId="33327F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65" w:type="pct"/>
            <w:vMerge w:val="continue"/>
            <w:tcBorders>
              <w:tl2br w:val="nil"/>
              <w:tr2bl w:val="nil"/>
            </w:tcBorders>
            <w:vAlign w:val="center"/>
          </w:tcPr>
          <w:p w14:paraId="7706D6C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p>
        </w:tc>
        <w:tc>
          <w:tcPr>
            <w:tcW w:w="564" w:type="pct"/>
            <w:vMerge w:val="continue"/>
            <w:tcBorders>
              <w:tl2br w:val="nil"/>
              <w:tr2bl w:val="nil"/>
            </w:tcBorders>
            <w:vAlign w:val="center"/>
          </w:tcPr>
          <w:p w14:paraId="1756D69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p>
        </w:tc>
        <w:tc>
          <w:tcPr>
            <w:tcW w:w="908" w:type="pct"/>
            <w:tcBorders>
              <w:tl2br w:val="nil"/>
              <w:tr2bl w:val="nil"/>
            </w:tcBorders>
            <w:vAlign w:val="center"/>
          </w:tcPr>
          <w:p w14:paraId="23DE04DD">
            <w:pPr>
              <w:widowControl/>
              <w:adjustRightInd w:val="0"/>
              <w:jc w:val="center"/>
              <w:textAlignment w:val="center"/>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917" w:type="pct"/>
            <w:tcBorders>
              <w:tl2br w:val="nil"/>
              <w:tr2bl w:val="nil"/>
            </w:tcBorders>
            <w:shd w:val="clear" w:color="auto" w:fill="auto"/>
            <w:vAlign w:val="center"/>
          </w:tcPr>
          <w:p w14:paraId="42EBD33A">
            <w:pPr>
              <w:widowControl/>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1.72×10</w:t>
            </w:r>
            <w:r>
              <w:rPr>
                <w:rFonts w:hint="eastAsia" w:cs="Times New Roman"/>
                <w:color w:val="000000" w:themeColor="text1"/>
                <w:kern w:val="2"/>
                <w:sz w:val="21"/>
                <w:szCs w:val="21"/>
                <w:vertAlign w:val="superscript"/>
                <w:lang w:val="en-US" w:eastAsia="zh-CN"/>
                <w14:textFill>
                  <w14:solidFill>
                    <w14:schemeClr w14:val="tx1"/>
                  </w14:solidFill>
                </w14:textFill>
              </w:rPr>
              <w:t>-2</w:t>
            </w:r>
          </w:p>
        </w:tc>
        <w:tc>
          <w:tcPr>
            <w:tcW w:w="565" w:type="pct"/>
            <w:tcBorders>
              <w:tl2br w:val="nil"/>
              <w:tr2bl w:val="nil"/>
            </w:tcBorders>
            <w:shd w:val="clear" w:color="auto" w:fill="auto"/>
            <w:vAlign w:val="center"/>
          </w:tcPr>
          <w:p w14:paraId="4857E62A">
            <w:pPr>
              <w:widowControl/>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0.86</w:t>
            </w:r>
          </w:p>
        </w:tc>
        <w:tc>
          <w:tcPr>
            <w:tcW w:w="738" w:type="pct"/>
            <w:tcBorders>
              <w:tl2br w:val="nil"/>
              <w:tr2bl w:val="nil"/>
            </w:tcBorders>
            <w:shd w:val="clear" w:color="auto" w:fill="auto"/>
            <w:vAlign w:val="center"/>
          </w:tcPr>
          <w:p w14:paraId="529B15FD">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default" w:ascii="Times New Roman" w:hAnsi="Times New Roman" w:eastAsiaTheme="minorEastAsia"/>
                <w:color w:val="000000" w:themeColor="text1"/>
                <w14:textFill>
                  <w14:solidFill>
                    <w14:schemeClr w14:val="tx1"/>
                  </w14:solidFill>
                </w14:textFill>
              </w:rPr>
              <w:t>/</w:t>
            </w:r>
          </w:p>
        </w:tc>
        <w:tc>
          <w:tcPr>
            <w:tcW w:w="740" w:type="pct"/>
            <w:tcBorders>
              <w:tl2br w:val="nil"/>
              <w:tr2bl w:val="nil"/>
            </w:tcBorders>
            <w:shd w:val="clear" w:color="auto" w:fill="auto"/>
            <w:vAlign w:val="center"/>
          </w:tcPr>
          <w:p w14:paraId="6FC54A3E">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Theme="minorEastAsia"/>
                <w:color w:val="000000" w:themeColor="text1"/>
                <w14:textFill>
                  <w14:solidFill>
                    <w14:schemeClr w14:val="tx1"/>
                  </w14:solidFill>
                </w14:textFill>
              </w:rPr>
            </w:pPr>
            <w:r>
              <w:rPr>
                <w:rFonts w:hint="eastAsia" w:ascii="Times New Roman" w:hAnsi="Times New Roman" w:eastAsiaTheme="minorEastAsia"/>
                <w:color w:val="000000" w:themeColor="text1"/>
                <w:lang w:eastAsia="zh-CN"/>
                <w14:textFill>
                  <w14:solidFill>
                    <w14:schemeClr w14:val="tx1"/>
                  </w14:solidFill>
                </w14:textFill>
              </w:rPr>
              <w:t>三</w:t>
            </w:r>
            <w:r>
              <w:rPr>
                <w:rFonts w:hint="default" w:ascii="Times New Roman" w:hAnsi="Times New Roman" w:eastAsiaTheme="minorEastAsia"/>
                <w:color w:val="000000" w:themeColor="text1"/>
                <w14:textFill>
                  <w14:solidFill>
                    <w14:schemeClr w14:val="tx1"/>
                  </w14:solidFill>
                </w14:textFill>
              </w:rPr>
              <w:t>级</w:t>
            </w:r>
          </w:p>
        </w:tc>
      </w:tr>
    </w:tbl>
    <w:p w14:paraId="62A8B395">
      <w:pPr>
        <w:spacing w:before="130" w:line="383" w:lineRule="auto"/>
        <w:ind w:right="99" w:firstLine="544" w:firstLineChars="200"/>
        <w:jc w:val="both"/>
        <w:rPr>
          <w:rFonts w:hint="default" w:ascii="Times New Roman" w:hAnsi="Times New Roman" w:eastAsia="宋体" w:cs="Times New Roman"/>
          <w:color w:val="000000" w:themeColor="text1"/>
          <w:spacing w:val="-1"/>
          <w:sz w:val="24"/>
          <w:szCs w:val="24"/>
          <w14:textFill>
            <w14:solidFill>
              <w14:schemeClr w14:val="tx1"/>
            </w14:solidFill>
          </w14:textFill>
        </w:rPr>
      </w:pPr>
      <w:r>
        <w:rPr>
          <w:rFonts w:hint="default" w:ascii="Times New Roman" w:hAnsi="Times New Roman" w:eastAsia="宋体" w:cs="Times New Roman"/>
          <w:color w:val="000000" w:themeColor="text1"/>
          <w:spacing w:val="16"/>
          <w:sz w:val="24"/>
          <w:szCs w:val="24"/>
          <w14:textFill>
            <w14:solidFill>
              <w14:schemeClr w14:val="tx1"/>
            </w14:solidFill>
          </w14:textFill>
        </w:rPr>
        <w:t>综上所述，经估算模式预测，本项</w:t>
      </w:r>
      <w:r>
        <w:rPr>
          <w:rFonts w:hint="default" w:ascii="Times New Roman" w:hAnsi="Times New Roman" w:eastAsia="宋体" w:cs="Times New Roman"/>
          <w:color w:val="000000" w:themeColor="text1"/>
          <w:spacing w:val="-45"/>
          <w:sz w:val="24"/>
          <w:szCs w:val="24"/>
          <w14:textFill>
            <w14:solidFill>
              <w14:schemeClr w14:val="tx1"/>
            </w14:solidFill>
          </w14:textFill>
        </w:rPr>
        <w:t xml:space="preserve"> </w:t>
      </w:r>
      <w:r>
        <w:rPr>
          <w:rFonts w:hint="default" w:ascii="Times New Roman" w:hAnsi="Times New Roman" w:eastAsia="宋体" w:cs="Times New Roman"/>
          <w:color w:val="000000" w:themeColor="text1"/>
          <w:spacing w:val="16"/>
          <w:sz w:val="24"/>
          <w:szCs w:val="24"/>
          <w14:textFill>
            <w14:solidFill>
              <w14:schemeClr w14:val="tx1"/>
            </w14:solidFill>
          </w14:textFill>
        </w:rPr>
        <w:t>目排放污</w:t>
      </w:r>
      <w:r>
        <w:rPr>
          <w:rFonts w:hint="default" w:ascii="Times New Roman" w:hAnsi="Times New Roman" w:eastAsia="宋体" w:cs="Times New Roman"/>
          <w:color w:val="000000" w:themeColor="text1"/>
          <w:spacing w:val="15"/>
          <w:sz w:val="24"/>
          <w:szCs w:val="24"/>
          <w14:textFill>
            <w14:solidFill>
              <w14:schemeClr w14:val="tx1"/>
            </w14:solidFill>
          </w14:textFill>
        </w:rPr>
        <w:t>染物下风向最大质量浓度占标率</w:t>
      </w:r>
      <w:r>
        <w:rPr>
          <w:rFonts w:hint="default" w:ascii="Times New Roman" w:hAnsi="Times New Roman" w:eastAsia="Times New Roman" w:cs="Times New Roman"/>
          <w:color w:val="000000" w:themeColor="text1"/>
          <w:spacing w:val="1"/>
          <w:sz w:val="24"/>
          <w:szCs w:val="24"/>
          <w14:textFill>
            <w14:solidFill>
              <w14:schemeClr w14:val="tx1"/>
            </w14:solidFill>
          </w14:textFill>
        </w:rPr>
        <w:t>1%≤</w:t>
      </w:r>
      <w:r>
        <w:rPr>
          <w:rFonts w:hint="default" w:ascii="Times New Roman" w:hAnsi="Times New Roman" w:eastAsia="Times New Roman" w:cs="Times New Roman"/>
          <w:color w:val="000000" w:themeColor="text1"/>
          <w:sz w:val="24"/>
          <w:szCs w:val="24"/>
          <w14:textFill>
            <w14:solidFill>
              <w14:schemeClr w14:val="tx1"/>
            </w14:solidFill>
          </w14:textFill>
        </w:rPr>
        <w:t>P</w:t>
      </w:r>
      <w:r>
        <w:rPr>
          <w:rFonts w:hint="default" w:ascii="Times New Roman" w:hAnsi="Times New Roman" w:eastAsia="Times New Roman" w:cs="Times New Roman"/>
          <w:color w:val="000000" w:themeColor="text1"/>
          <w:position w:val="-1"/>
          <w:sz w:val="15"/>
          <w:szCs w:val="15"/>
          <w14:textFill>
            <w14:solidFill>
              <w14:schemeClr w14:val="tx1"/>
            </w14:solidFill>
          </w14:textFill>
        </w:rPr>
        <w:t>max</w:t>
      </w:r>
      <w:r>
        <w:rPr>
          <w:rFonts w:hint="default" w:ascii="Times New Roman" w:hAnsi="Times New Roman" w:eastAsia="Times New Roman" w:cs="Times New Roman"/>
          <w:color w:val="000000" w:themeColor="text1"/>
          <w:spacing w:val="1"/>
          <w:sz w:val="24"/>
          <w:szCs w:val="24"/>
          <w14:textFill>
            <w14:solidFill>
              <w14:schemeClr w14:val="tx1"/>
            </w14:solidFill>
          </w14:textFill>
        </w:rPr>
        <w:t>&lt;10%</w:t>
      </w:r>
      <w:r>
        <w:rPr>
          <w:rFonts w:hint="default" w:ascii="Times New Roman" w:hAnsi="Times New Roman" w:eastAsia="Times New Roman" w:cs="Times New Roman"/>
          <w:color w:val="000000" w:themeColor="text1"/>
          <w:spacing w:val="-30"/>
          <w:sz w:val="24"/>
          <w:szCs w:val="24"/>
          <w14:textFill>
            <w14:solidFill>
              <w14:schemeClr w14:val="tx1"/>
            </w14:solidFill>
          </w14:textFill>
        </w:rPr>
        <w:t xml:space="preserve"> </w:t>
      </w:r>
      <w:r>
        <w:rPr>
          <w:rFonts w:hint="default" w:ascii="Times New Roman" w:hAnsi="Times New Roman" w:eastAsia="宋体" w:cs="Times New Roman"/>
          <w:color w:val="000000" w:themeColor="text1"/>
          <w:spacing w:val="1"/>
          <w:sz w:val="24"/>
          <w:szCs w:val="24"/>
          <w14:textFill>
            <w14:solidFill>
              <w14:schemeClr w14:val="tx1"/>
            </w14:solidFill>
          </w14:textFill>
        </w:rPr>
        <w:t>，根据《环境影响评价技术导则 大气环境》（</w:t>
      </w:r>
      <w:r>
        <w:rPr>
          <w:rFonts w:hint="default" w:ascii="Times New Roman" w:hAnsi="Times New Roman" w:eastAsia="Times New Roman" w:cs="Times New Roman"/>
          <w:color w:val="000000" w:themeColor="text1"/>
          <w:sz w:val="24"/>
          <w:szCs w:val="24"/>
          <w14:textFill>
            <w14:solidFill>
              <w14:schemeClr w14:val="tx1"/>
            </w14:solidFill>
          </w14:textFill>
        </w:rPr>
        <w:t>HJ</w:t>
      </w:r>
      <w:r>
        <w:rPr>
          <w:rFonts w:hint="default" w:ascii="Times New Roman" w:hAnsi="Times New Roman" w:eastAsia="Times New Roman" w:cs="Times New Roman"/>
          <w:color w:val="000000" w:themeColor="text1"/>
          <w:spacing w:val="1"/>
          <w:sz w:val="24"/>
          <w:szCs w:val="24"/>
          <w14:textFill>
            <w14:solidFill>
              <w14:schemeClr w14:val="tx1"/>
            </w14:solidFill>
          </w14:textFill>
        </w:rPr>
        <w:t>2.2-2018</w:t>
      </w:r>
      <w:r>
        <w:rPr>
          <w:rFonts w:hint="default" w:ascii="Times New Roman" w:hAnsi="Times New Roman" w:eastAsia="宋体" w:cs="Times New Roman"/>
          <w:color w:val="000000" w:themeColor="text1"/>
          <w:spacing w:val="12"/>
          <w:sz w:val="24"/>
          <w:szCs w:val="24"/>
          <w14:textFill>
            <w14:solidFill>
              <w14:schemeClr w14:val="tx1"/>
            </w14:solidFill>
          </w14:textFill>
        </w:rPr>
        <w:t>），</w:t>
      </w:r>
      <w:r>
        <w:rPr>
          <w:rFonts w:hint="default" w:ascii="Times New Roman" w:hAnsi="Times New Roman" w:eastAsia="宋体" w:cs="Times New Roman"/>
          <w:color w:val="000000" w:themeColor="text1"/>
          <w:spacing w:val="1"/>
          <w:sz w:val="24"/>
          <w:szCs w:val="24"/>
          <w14:textFill>
            <w14:solidFill>
              <w14:schemeClr w14:val="tx1"/>
            </w14:solidFill>
          </w14:textFill>
        </w:rPr>
        <w:t>大气环境</w:t>
      </w:r>
      <w:r>
        <w:rPr>
          <w:rFonts w:hint="default" w:ascii="Times New Roman" w:hAnsi="Times New Roman" w:eastAsia="宋体" w:cs="Times New Roman"/>
          <w:color w:val="000000" w:themeColor="text1"/>
          <w:spacing w:val="-1"/>
          <w:sz w:val="24"/>
          <w:szCs w:val="24"/>
          <w14:textFill>
            <w14:solidFill>
              <w14:schemeClr w14:val="tx1"/>
            </w14:solidFill>
          </w14:textFill>
        </w:rPr>
        <w:t>评价工作等级为二级。</w:t>
      </w:r>
    </w:p>
    <w:p w14:paraId="329D348C">
      <w:pPr>
        <w:spacing w:before="130" w:line="360" w:lineRule="auto"/>
        <w:ind w:right="99"/>
        <w:jc w:val="both"/>
        <w:rPr>
          <w:rFonts w:hint="default" w:ascii="Times New Roman" w:hAnsi="Times New Roman" w:eastAsia="宋体" w:cs="Times New Roman"/>
          <w:b w:val="0"/>
          <w:bCs w:val="0"/>
          <w:color w:val="000000" w:themeColor="text1"/>
          <w:spacing w:val="-4"/>
          <w:sz w:val="24"/>
          <w:szCs w:val="24"/>
          <w14:textFill>
            <w14:solidFill>
              <w14:schemeClr w14:val="tx1"/>
            </w14:solidFill>
          </w14:textFill>
        </w:rPr>
      </w:pPr>
      <w: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t>5.2.2.</w:t>
      </w:r>
      <w:r>
        <w:rPr>
          <w:rFonts w:hint="default" w:ascii="Times New Roman" w:hAnsi="Times New Roman" w:eastAsia="黑体" w:cs="Times New Roman"/>
          <w:b w:val="0"/>
          <w:bCs w:val="0"/>
          <w:color w:val="000000" w:themeColor="text1"/>
          <w:spacing w:val="-4"/>
          <w:sz w:val="24"/>
          <w:szCs w:val="24"/>
          <w:lang w:val="en-US" w:eastAsia="zh-CN"/>
          <w14:textFill>
            <w14:solidFill>
              <w14:schemeClr w14:val="tx1"/>
            </w14:solidFill>
          </w14:textFill>
        </w:rPr>
        <w:t>2</w:t>
      </w:r>
      <w:r>
        <w:rPr>
          <w:rFonts w:hint="default" w:ascii="Times New Roman" w:hAnsi="Times New Roman" w:eastAsia="黑体" w:cs="Times New Roman"/>
          <w:b w:val="0"/>
          <w:bCs w:val="0"/>
          <w:color w:val="000000" w:themeColor="text1"/>
          <w:spacing w:val="37"/>
          <w:w w:val="101"/>
          <w:sz w:val="24"/>
          <w:szCs w:val="24"/>
          <w14:textFill>
            <w14:solidFill>
              <w14:schemeClr w14:val="tx1"/>
            </w14:solidFill>
          </w14:textFill>
        </w:rPr>
        <w:t xml:space="preserve"> </w:t>
      </w:r>
      <w: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t>大气环境防护距离</w:t>
      </w:r>
    </w:p>
    <w:p w14:paraId="2AF52BAA">
      <w:pPr>
        <w:spacing w:before="130" w:line="360" w:lineRule="auto"/>
        <w:ind w:right="99" w:firstLine="472"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14:textFill>
            <w14:solidFill>
              <w14:schemeClr w14:val="tx1"/>
            </w14:solidFill>
          </w14:textFill>
        </w:rPr>
        <w:t>卫生防护距离</w:t>
      </w:r>
    </w:p>
    <w:p w14:paraId="67EBEAD3">
      <w:pPr>
        <w:spacing w:before="130" w:line="360" w:lineRule="auto"/>
        <w:ind w:right="99" w:firstLine="472"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根据《大气有害物质无组织排放卫生防护距离推导技术导则》（GB/T 39499-2020）规定，无组织排放有害气体的生产单元与居民区之间应设置卫生防护距离。根据《制定地方大气污染物排放标准的技术方法》（GB/T3840-1991）中7.4推荐的估算方法计算卫生防护距离，计算公式如下：</w:t>
      </w:r>
    </w:p>
    <w:p w14:paraId="76F7E601">
      <w:pPr>
        <w:pStyle w:val="4102"/>
        <w:keepNext w:val="0"/>
        <w:keepLines w:val="0"/>
        <w:pageBreakBefore w:val="0"/>
        <w:kinsoku/>
        <w:wordWrap/>
        <w:overflowPunct/>
        <w:topLinePunct w:val="0"/>
        <w:bidi w:val="0"/>
        <w:spacing w:line="36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drawing>
          <wp:inline distT="0" distB="0" distL="114300" distR="114300">
            <wp:extent cx="2077085" cy="516890"/>
            <wp:effectExtent l="0" t="0" r="18415" b="16510"/>
            <wp:docPr id="12" name="图片 7997" descr="C:\Documents and Settings\Administrator\桌面\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997" descr="C:\Documents and Settings\Administrator\桌面\图片1.png图片1"/>
                    <pic:cNvPicPr>
                      <a:picLocks noChangeAspect="1"/>
                    </pic:cNvPicPr>
                  </pic:nvPicPr>
                  <pic:blipFill>
                    <a:blip r:embed="rId65"/>
                    <a:stretch>
                      <a:fillRect/>
                    </a:stretch>
                  </pic:blipFill>
                  <pic:spPr>
                    <a:xfrm>
                      <a:off x="0" y="0"/>
                      <a:ext cx="2077085" cy="516890"/>
                    </a:xfrm>
                    <a:prstGeom prst="rect">
                      <a:avLst/>
                    </a:prstGeom>
                    <a:noFill/>
                    <a:ln>
                      <a:noFill/>
                    </a:ln>
                  </pic:spPr>
                </pic:pic>
              </a:graphicData>
            </a:graphic>
          </wp:inline>
        </w:drawing>
      </w:r>
    </w:p>
    <w:p w14:paraId="79B7C8BF">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式中：C</w:t>
      </w:r>
      <w:r>
        <w:rPr>
          <w:rFonts w:hint="default" w:ascii="Times New Roman" w:hAnsi="Times New Roman" w:eastAsia="宋体" w:cs="Times New Roman"/>
          <w:color w:val="000000" w:themeColor="text1"/>
          <w:sz w:val="24"/>
          <w:szCs w:val="24"/>
          <w:vertAlign w:val="subscript"/>
          <w14:textFill>
            <w14:solidFill>
              <w14:schemeClr w14:val="tx1"/>
            </w14:solidFill>
          </w14:textFill>
        </w:rPr>
        <w:t>m</w:t>
      </w:r>
      <w:r>
        <w:rPr>
          <w:rFonts w:hint="default" w:ascii="Times New Roman" w:hAnsi="Times New Roman" w:eastAsia="宋体" w:cs="Times New Roman"/>
          <w:color w:val="000000" w:themeColor="text1"/>
          <w:sz w:val="24"/>
          <w:szCs w:val="24"/>
          <w14:textFill>
            <w14:solidFill>
              <w14:schemeClr w14:val="tx1"/>
            </w14:solidFill>
          </w14:textFill>
        </w:rPr>
        <w:t>—标准浓度限值；</w:t>
      </w:r>
      <w:bookmarkStart w:id="115" w:name="_Toc111107666"/>
    </w:p>
    <w:p w14:paraId="6E97B5BE">
      <w:pPr>
        <w:keepNext w:val="0"/>
        <w:keepLines w:val="0"/>
        <w:pageBreakBefore w:val="0"/>
        <w:kinsoku/>
        <w:wordWrap/>
        <w:overflowPunct/>
        <w:topLinePunct w:val="0"/>
        <w:bidi w:val="0"/>
        <w:spacing w:line="360" w:lineRule="auto"/>
        <w:ind w:firstLine="1180" w:firstLineChars="5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L—工业企业所需卫生防护距离，m；</w:t>
      </w:r>
      <w:bookmarkEnd w:id="115"/>
    </w:p>
    <w:p w14:paraId="1A123BE0">
      <w:pPr>
        <w:keepNext w:val="0"/>
        <w:keepLines w:val="0"/>
        <w:pageBreakBefore w:val="0"/>
        <w:kinsoku/>
        <w:wordWrap/>
        <w:overflowPunct/>
        <w:topLinePunct w:val="0"/>
        <w:bidi w:val="0"/>
        <w:spacing w:line="360" w:lineRule="auto"/>
        <w:ind w:firstLine="1180" w:firstLineChars="5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R—有害气体无组织排放源所在生产单元的等效半径，m，根据该生产单元面积S（m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）计算，r=（S/π）</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1/2</w:t>
      </w:r>
      <w:r>
        <w:rPr>
          <w:rFonts w:hint="default" w:ascii="Times New Roman" w:hAnsi="Times New Roman" w:eastAsia="宋体" w:cs="Times New Roman"/>
          <w:color w:val="000000" w:themeColor="text1"/>
          <w:sz w:val="24"/>
          <w:szCs w:val="24"/>
          <w14:textFill>
            <w14:solidFill>
              <w14:schemeClr w14:val="tx1"/>
            </w14:solidFill>
          </w14:textFill>
        </w:rPr>
        <w:t>；</w:t>
      </w:r>
    </w:p>
    <w:p w14:paraId="7DD8D461">
      <w:pPr>
        <w:keepNext w:val="0"/>
        <w:keepLines w:val="0"/>
        <w:pageBreakBefore w:val="0"/>
        <w:kinsoku/>
        <w:wordWrap/>
        <w:overflowPunct/>
        <w:topLinePunct w:val="0"/>
        <w:bidi w:val="0"/>
        <w:spacing w:line="360" w:lineRule="auto"/>
        <w:ind w:firstLine="1180" w:firstLineChars="5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Q</w:t>
      </w:r>
      <w:r>
        <w:rPr>
          <w:rFonts w:hint="default" w:ascii="Times New Roman" w:hAnsi="Times New Roman" w:eastAsia="宋体" w:cs="Times New Roman"/>
          <w:color w:val="000000" w:themeColor="text1"/>
          <w:sz w:val="24"/>
          <w:szCs w:val="24"/>
          <w:vertAlign w:val="subscript"/>
          <w14:textFill>
            <w14:solidFill>
              <w14:schemeClr w14:val="tx1"/>
            </w14:solidFill>
          </w14:textFill>
        </w:rPr>
        <w:t>c</w:t>
      </w:r>
      <w:r>
        <w:rPr>
          <w:rFonts w:hint="default" w:ascii="Times New Roman" w:hAnsi="Times New Roman" w:eastAsia="宋体" w:cs="Times New Roman"/>
          <w:color w:val="000000" w:themeColor="text1"/>
          <w:sz w:val="24"/>
          <w:szCs w:val="24"/>
          <w14:textFill>
            <w14:solidFill>
              <w14:schemeClr w14:val="tx1"/>
            </w14:solidFill>
          </w14:textFill>
        </w:rPr>
        <w:t>—工业企业有害气体无组织排放量可达到的控制水平（kg/h）；</w:t>
      </w:r>
    </w:p>
    <w:p w14:paraId="26D59FF9">
      <w:pPr>
        <w:keepNext w:val="0"/>
        <w:keepLines w:val="0"/>
        <w:pageBreakBefore w:val="0"/>
        <w:kinsoku/>
        <w:wordWrap/>
        <w:overflowPunct/>
        <w:topLinePunct w:val="0"/>
        <w:bidi w:val="0"/>
        <w:spacing w:line="360" w:lineRule="auto"/>
        <w:ind w:firstLine="1180" w:firstLineChars="5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A、B、C、D为计算系数，根据所在地区近五年来平均风速及工业企业大气污染源构成类别查取。</w:t>
      </w:r>
    </w:p>
    <w:p w14:paraId="7BBEC4D5">
      <w:pPr>
        <w:keepNext w:val="0"/>
        <w:keepLines w:val="0"/>
        <w:pageBreakBefore w:val="0"/>
        <w:kinsoku/>
        <w:wordWrap/>
        <w:overflowPunct/>
        <w:topLinePunct w:val="0"/>
        <w:bidi w:val="0"/>
        <w:spacing w:line="360" w:lineRule="auto"/>
        <w:ind w:firstLine="476" w:firstLineChars="202"/>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各参数取值见</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下</w:t>
      </w:r>
      <w:r>
        <w:rPr>
          <w:rFonts w:hint="default" w:ascii="Times New Roman" w:hAnsi="Times New Roman" w:eastAsia="宋体" w:cs="Times New Roman"/>
          <w:color w:val="000000" w:themeColor="text1"/>
          <w:sz w:val="24"/>
          <w:szCs w:val="24"/>
          <w14:textFill>
            <w14:solidFill>
              <w14:schemeClr w14:val="tx1"/>
            </w14:solidFill>
          </w14:textFill>
        </w:rPr>
        <w:t>表。</w:t>
      </w:r>
    </w:p>
    <w:p w14:paraId="57E1C0FF">
      <w:pPr>
        <w:keepNext w:val="0"/>
        <w:keepLines w:val="0"/>
        <w:pageBreakBefore w:val="0"/>
        <w:kinsoku/>
        <w:wordWrap/>
        <w:overflowPunct/>
        <w:topLinePunct w:val="0"/>
        <w:bidi w:val="0"/>
        <w:ind w:firstLine="395" w:firstLineChars="202"/>
        <w:textAlignment w:val="auto"/>
        <w:rPr>
          <w:rFonts w:ascii="Times New Roman" w:hAnsi="Times New Roman" w:eastAsiaTheme="minorEastAsia"/>
          <w:color w:val="000000" w:themeColor="text1"/>
          <w14:textFill>
            <w14:solidFill>
              <w14:schemeClr w14:val="tx1"/>
            </w14:solidFill>
          </w14:textFill>
        </w:rPr>
      </w:pPr>
    </w:p>
    <w:p w14:paraId="028B8953">
      <w:pPr>
        <w:spacing w:before="154" w:line="226" w:lineRule="auto"/>
        <w:jc w:val="cente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pPr>
      <w: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t>表5.2-</w:t>
      </w:r>
      <w:r>
        <w:rPr>
          <w:rFonts w:hint="eastAsia" w:eastAsia="黑体" w:cs="Times New Roman"/>
          <w:b w:val="0"/>
          <w:bCs w:val="0"/>
          <w:color w:val="000000" w:themeColor="text1"/>
          <w:spacing w:val="4"/>
          <w:sz w:val="24"/>
          <w:szCs w:val="24"/>
          <w:lang w:val="en-US" w:eastAsia="zh-CN"/>
          <w14:textFill>
            <w14:solidFill>
              <w14:schemeClr w14:val="tx1"/>
            </w14:solidFill>
          </w14:textFill>
        </w:rPr>
        <w:t>13</w:t>
      </w:r>
      <w: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t>卫生防护距离计算系数</w:t>
      </w:r>
    </w:p>
    <w:tbl>
      <w:tblPr>
        <w:tblStyle w:val="88"/>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89"/>
        <w:gridCol w:w="1210"/>
        <w:gridCol w:w="814"/>
        <w:gridCol w:w="814"/>
        <w:gridCol w:w="823"/>
        <w:gridCol w:w="608"/>
        <w:gridCol w:w="608"/>
        <w:gridCol w:w="615"/>
        <w:gridCol w:w="608"/>
        <w:gridCol w:w="609"/>
        <w:gridCol w:w="621"/>
      </w:tblGrid>
      <w:tr w14:paraId="11478E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98" w:type="pct"/>
            <w:vMerge w:val="restart"/>
            <w:tcBorders>
              <w:tl2br w:val="nil"/>
              <w:tr2bl w:val="nil"/>
            </w:tcBorders>
            <w:vAlign w:val="center"/>
          </w:tcPr>
          <w:p w14:paraId="243A1D38">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计算系数</w:t>
            </w:r>
          </w:p>
        </w:tc>
        <w:tc>
          <w:tcPr>
            <w:tcW w:w="710" w:type="pct"/>
            <w:vMerge w:val="restart"/>
            <w:tcBorders>
              <w:tl2br w:val="nil"/>
              <w:tr2bl w:val="nil"/>
            </w:tcBorders>
            <w:vAlign w:val="center"/>
          </w:tcPr>
          <w:p w14:paraId="074EADE2">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5年平均风速，m/s</w:t>
            </w:r>
          </w:p>
        </w:tc>
        <w:tc>
          <w:tcPr>
            <w:tcW w:w="3591" w:type="pct"/>
            <w:gridSpan w:val="9"/>
            <w:tcBorders>
              <w:tl2br w:val="nil"/>
              <w:tr2bl w:val="nil"/>
            </w:tcBorders>
            <w:vAlign w:val="center"/>
          </w:tcPr>
          <w:p w14:paraId="46E243C7">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卫生防护距离L（m）</w:t>
            </w:r>
          </w:p>
        </w:tc>
      </w:tr>
      <w:tr w14:paraId="53A86A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98" w:type="pct"/>
            <w:vMerge w:val="continue"/>
            <w:tcBorders>
              <w:tl2br w:val="nil"/>
              <w:tr2bl w:val="nil"/>
            </w:tcBorders>
            <w:vAlign w:val="center"/>
          </w:tcPr>
          <w:p w14:paraId="0CE82539">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p>
        </w:tc>
        <w:tc>
          <w:tcPr>
            <w:tcW w:w="710" w:type="pct"/>
            <w:vMerge w:val="continue"/>
            <w:tcBorders>
              <w:tl2br w:val="nil"/>
              <w:tr2bl w:val="nil"/>
            </w:tcBorders>
            <w:vAlign w:val="center"/>
          </w:tcPr>
          <w:p w14:paraId="5443C7CA">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p>
        </w:tc>
        <w:tc>
          <w:tcPr>
            <w:tcW w:w="1439" w:type="pct"/>
            <w:gridSpan w:val="3"/>
            <w:tcBorders>
              <w:tl2br w:val="nil"/>
              <w:tr2bl w:val="nil"/>
            </w:tcBorders>
            <w:vAlign w:val="center"/>
          </w:tcPr>
          <w:p w14:paraId="2379EB1D">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L≤1000</w:t>
            </w:r>
          </w:p>
        </w:tc>
        <w:tc>
          <w:tcPr>
            <w:tcW w:w="1075" w:type="pct"/>
            <w:gridSpan w:val="3"/>
            <w:tcBorders>
              <w:tl2br w:val="nil"/>
              <w:tr2bl w:val="nil"/>
            </w:tcBorders>
            <w:vAlign w:val="center"/>
          </w:tcPr>
          <w:p w14:paraId="7E121054">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1000＜L≤2000</w:t>
            </w:r>
          </w:p>
        </w:tc>
        <w:tc>
          <w:tcPr>
            <w:tcW w:w="1076" w:type="pct"/>
            <w:gridSpan w:val="3"/>
            <w:tcBorders>
              <w:tl2br w:val="nil"/>
              <w:tr2bl w:val="nil"/>
            </w:tcBorders>
            <w:vAlign w:val="center"/>
          </w:tcPr>
          <w:p w14:paraId="220B9FC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L＞2000</w:t>
            </w:r>
          </w:p>
        </w:tc>
      </w:tr>
      <w:tr w14:paraId="311A3E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98" w:type="pct"/>
            <w:vMerge w:val="continue"/>
            <w:tcBorders>
              <w:tl2br w:val="nil"/>
              <w:tr2bl w:val="nil"/>
            </w:tcBorders>
            <w:vAlign w:val="center"/>
          </w:tcPr>
          <w:p w14:paraId="6CA84622">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p>
        </w:tc>
        <w:tc>
          <w:tcPr>
            <w:tcW w:w="710" w:type="pct"/>
            <w:vMerge w:val="continue"/>
            <w:tcBorders>
              <w:tl2br w:val="nil"/>
              <w:tr2bl w:val="nil"/>
            </w:tcBorders>
            <w:vAlign w:val="center"/>
          </w:tcPr>
          <w:p w14:paraId="4B800D62">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p>
        </w:tc>
        <w:tc>
          <w:tcPr>
            <w:tcW w:w="3591" w:type="pct"/>
            <w:gridSpan w:val="9"/>
            <w:tcBorders>
              <w:tl2br w:val="nil"/>
              <w:tr2bl w:val="nil"/>
            </w:tcBorders>
            <w:vAlign w:val="center"/>
          </w:tcPr>
          <w:p w14:paraId="5344B580">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工业大气污染源构成类别</w:t>
            </w:r>
          </w:p>
        </w:tc>
      </w:tr>
      <w:tr w14:paraId="7597FF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98" w:type="pct"/>
            <w:vMerge w:val="continue"/>
            <w:tcBorders>
              <w:tl2br w:val="nil"/>
              <w:tr2bl w:val="nil"/>
            </w:tcBorders>
            <w:vAlign w:val="center"/>
          </w:tcPr>
          <w:p w14:paraId="51A99183">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p>
        </w:tc>
        <w:tc>
          <w:tcPr>
            <w:tcW w:w="710" w:type="pct"/>
            <w:vMerge w:val="continue"/>
            <w:tcBorders>
              <w:tl2br w:val="nil"/>
              <w:tr2bl w:val="nil"/>
            </w:tcBorders>
            <w:vAlign w:val="center"/>
          </w:tcPr>
          <w:p w14:paraId="548245A6">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p>
        </w:tc>
        <w:tc>
          <w:tcPr>
            <w:tcW w:w="478" w:type="pct"/>
            <w:tcBorders>
              <w:tl2br w:val="nil"/>
              <w:tr2bl w:val="nil"/>
            </w:tcBorders>
            <w:vAlign w:val="center"/>
          </w:tcPr>
          <w:p w14:paraId="3C33AE94">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Ⅰ</w:t>
            </w:r>
          </w:p>
        </w:tc>
        <w:tc>
          <w:tcPr>
            <w:tcW w:w="478" w:type="pct"/>
            <w:tcBorders>
              <w:tl2br w:val="nil"/>
              <w:tr2bl w:val="nil"/>
            </w:tcBorders>
            <w:vAlign w:val="center"/>
          </w:tcPr>
          <w:p w14:paraId="2FA64D00">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Ⅱ</w:t>
            </w:r>
          </w:p>
        </w:tc>
        <w:tc>
          <w:tcPr>
            <w:tcW w:w="481" w:type="pct"/>
            <w:tcBorders>
              <w:tl2br w:val="nil"/>
              <w:tr2bl w:val="nil"/>
            </w:tcBorders>
            <w:vAlign w:val="center"/>
          </w:tcPr>
          <w:p w14:paraId="095FEE3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Ⅲ</w:t>
            </w:r>
          </w:p>
        </w:tc>
        <w:tc>
          <w:tcPr>
            <w:tcW w:w="357" w:type="pct"/>
            <w:tcBorders>
              <w:tl2br w:val="nil"/>
              <w:tr2bl w:val="nil"/>
            </w:tcBorders>
            <w:vAlign w:val="center"/>
          </w:tcPr>
          <w:p w14:paraId="31F3559E">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Ⅰ</w:t>
            </w:r>
          </w:p>
        </w:tc>
        <w:tc>
          <w:tcPr>
            <w:tcW w:w="357" w:type="pct"/>
            <w:tcBorders>
              <w:tl2br w:val="nil"/>
              <w:tr2bl w:val="nil"/>
            </w:tcBorders>
            <w:vAlign w:val="center"/>
          </w:tcPr>
          <w:p w14:paraId="14580E06">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Ⅱ</w:t>
            </w:r>
          </w:p>
        </w:tc>
        <w:tc>
          <w:tcPr>
            <w:tcW w:w="359" w:type="pct"/>
            <w:tcBorders>
              <w:tl2br w:val="nil"/>
              <w:tr2bl w:val="nil"/>
            </w:tcBorders>
            <w:vAlign w:val="center"/>
          </w:tcPr>
          <w:p w14:paraId="22225AFE">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Ⅲ</w:t>
            </w:r>
          </w:p>
        </w:tc>
        <w:tc>
          <w:tcPr>
            <w:tcW w:w="357" w:type="pct"/>
            <w:tcBorders>
              <w:tl2br w:val="nil"/>
              <w:tr2bl w:val="nil"/>
            </w:tcBorders>
            <w:vAlign w:val="center"/>
          </w:tcPr>
          <w:p w14:paraId="4BEFC137">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Ⅰ</w:t>
            </w:r>
          </w:p>
        </w:tc>
        <w:tc>
          <w:tcPr>
            <w:tcW w:w="357" w:type="pct"/>
            <w:tcBorders>
              <w:tl2br w:val="nil"/>
              <w:tr2bl w:val="nil"/>
            </w:tcBorders>
            <w:vAlign w:val="center"/>
          </w:tcPr>
          <w:p w14:paraId="60E07C96">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Ⅱ</w:t>
            </w:r>
          </w:p>
        </w:tc>
        <w:tc>
          <w:tcPr>
            <w:tcW w:w="360" w:type="pct"/>
            <w:tcBorders>
              <w:tl2br w:val="nil"/>
              <w:tr2bl w:val="nil"/>
            </w:tcBorders>
            <w:vAlign w:val="center"/>
          </w:tcPr>
          <w:p w14:paraId="1EF835C3">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Ⅲ</w:t>
            </w:r>
          </w:p>
        </w:tc>
      </w:tr>
      <w:tr w14:paraId="2E0225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98" w:type="pct"/>
            <w:vMerge w:val="restart"/>
            <w:tcBorders>
              <w:tl2br w:val="nil"/>
              <w:tr2bl w:val="nil"/>
            </w:tcBorders>
            <w:vAlign w:val="center"/>
          </w:tcPr>
          <w:p w14:paraId="0CE7F923">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A</w:t>
            </w:r>
          </w:p>
        </w:tc>
        <w:tc>
          <w:tcPr>
            <w:tcW w:w="710" w:type="pct"/>
            <w:tcBorders>
              <w:tl2br w:val="nil"/>
              <w:tr2bl w:val="nil"/>
            </w:tcBorders>
            <w:vAlign w:val="center"/>
          </w:tcPr>
          <w:p w14:paraId="5DA29286">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&lt;2</w:t>
            </w:r>
          </w:p>
        </w:tc>
        <w:tc>
          <w:tcPr>
            <w:tcW w:w="478" w:type="pct"/>
            <w:tcBorders>
              <w:tl2br w:val="nil"/>
              <w:tr2bl w:val="nil"/>
            </w:tcBorders>
            <w:vAlign w:val="center"/>
          </w:tcPr>
          <w:p w14:paraId="384D9A92">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400</w:t>
            </w:r>
          </w:p>
        </w:tc>
        <w:tc>
          <w:tcPr>
            <w:tcW w:w="478" w:type="pct"/>
            <w:tcBorders>
              <w:tl2br w:val="nil"/>
              <w:tr2bl w:val="nil"/>
            </w:tcBorders>
            <w:vAlign w:val="center"/>
          </w:tcPr>
          <w:p w14:paraId="1470C0B8">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400</w:t>
            </w:r>
          </w:p>
        </w:tc>
        <w:tc>
          <w:tcPr>
            <w:tcW w:w="481" w:type="pct"/>
            <w:tcBorders>
              <w:tl2br w:val="nil"/>
              <w:tr2bl w:val="nil"/>
            </w:tcBorders>
            <w:vAlign w:val="center"/>
          </w:tcPr>
          <w:p w14:paraId="4C7EADA6">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400</w:t>
            </w:r>
          </w:p>
        </w:tc>
        <w:tc>
          <w:tcPr>
            <w:tcW w:w="357" w:type="pct"/>
            <w:tcBorders>
              <w:tl2br w:val="nil"/>
              <w:tr2bl w:val="nil"/>
            </w:tcBorders>
            <w:vAlign w:val="center"/>
          </w:tcPr>
          <w:p w14:paraId="22801128">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400</w:t>
            </w:r>
          </w:p>
        </w:tc>
        <w:tc>
          <w:tcPr>
            <w:tcW w:w="357" w:type="pct"/>
            <w:tcBorders>
              <w:tl2br w:val="nil"/>
              <w:tr2bl w:val="nil"/>
            </w:tcBorders>
            <w:vAlign w:val="center"/>
          </w:tcPr>
          <w:p w14:paraId="52FEB385">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400</w:t>
            </w:r>
          </w:p>
        </w:tc>
        <w:tc>
          <w:tcPr>
            <w:tcW w:w="359" w:type="pct"/>
            <w:tcBorders>
              <w:tl2br w:val="nil"/>
              <w:tr2bl w:val="nil"/>
            </w:tcBorders>
            <w:vAlign w:val="center"/>
          </w:tcPr>
          <w:p w14:paraId="3574E134">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400</w:t>
            </w:r>
          </w:p>
        </w:tc>
        <w:tc>
          <w:tcPr>
            <w:tcW w:w="357" w:type="pct"/>
            <w:tcBorders>
              <w:tl2br w:val="nil"/>
              <w:tr2bl w:val="nil"/>
            </w:tcBorders>
            <w:vAlign w:val="center"/>
          </w:tcPr>
          <w:p w14:paraId="615CB0B9">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80</w:t>
            </w:r>
          </w:p>
        </w:tc>
        <w:tc>
          <w:tcPr>
            <w:tcW w:w="357" w:type="pct"/>
            <w:tcBorders>
              <w:tl2br w:val="nil"/>
              <w:tr2bl w:val="nil"/>
            </w:tcBorders>
            <w:vAlign w:val="center"/>
          </w:tcPr>
          <w:p w14:paraId="750BCD23">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80</w:t>
            </w:r>
          </w:p>
        </w:tc>
        <w:tc>
          <w:tcPr>
            <w:tcW w:w="360" w:type="pct"/>
            <w:tcBorders>
              <w:tl2br w:val="nil"/>
              <w:tr2bl w:val="nil"/>
            </w:tcBorders>
            <w:vAlign w:val="center"/>
          </w:tcPr>
          <w:p w14:paraId="79A7A7C1">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80</w:t>
            </w:r>
          </w:p>
        </w:tc>
      </w:tr>
      <w:tr w14:paraId="085933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98" w:type="pct"/>
            <w:vMerge w:val="continue"/>
            <w:tcBorders>
              <w:tl2br w:val="nil"/>
              <w:tr2bl w:val="nil"/>
            </w:tcBorders>
            <w:vAlign w:val="center"/>
          </w:tcPr>
          <w:p w14:paraId="7D0D16C5">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p>
        </w:tc>
        <w:tc>
          <w:tcPr>
            <w:tcW w:w="710" w:type="pct"/>
            <w:tcBorders>
              <w:tl2br w:val="nil"/>
              <w:tr2bl w:val="nil"/>
            </w:tcBorders>
            <w:vAlign w:val="center"/>
          </w:tcPr>
          <w:p w14:paraId="7CA7859D">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2-4</w:t>
            </w:r>
          </w:p>
        </w:tc>
        <w:tc>
          <w:tcPr>
            <w:tcW w:w="478" w:type="pct"/>
            <w:tcBorders>
              <w:tl2br w:val="nil"/>
              <w:tr2bl w:val="nil"/>
            </w:tcBorders>
            <w:vAlign w:val="center"/>
          </w:tcPr>
          <w:p w14:paraId="5544DA2B">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700</w:t>
            </w:r>
          </w:p>
        </w:tc>
        <w:tc>
          <w:tcPr>
            <w:tcW w:w="478" w:type="pct"/>
            <w:tcBorders>
              <w:tl2br w:val="nil"/>
              <w:tr2bl w:val="nil"/>
            </w:tcBorders>
            <w:vAlign w:val="center"/>
          </w:tcPr>
          <w:p w14:paraId="0470E1A4">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470*</w:t>
            </w:r>
          </w:p>
        </w:tc>
        <w:tc>
          <w:tcPr>
            <w:tcW w:w="481" w:type="pct"/>
            <w:tcBorders>
              <w:tl2br w:val="nil"/>
              <w:tr2bl w:val="nil"/>
            </w:tcBorders>
            <w:vAlign w:val="center"/>
          </w:tcPr>
          <w:p w14:paraId="6ADF250B">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350</w:t>
            </w:r>
          </w:p>
        </w:tc>
        <w:tc>
          <w:tcPr>
            <w:tcW w:w="357" w:type="pct"/>
            <w:tcBorders>
              <w:tl2br w:val="nil"/>
              <w:tr2bl w:val="nil"/>
            </w:tcBorders>
            <w:vAlign w:val="center"/>
          </w:tcPr>
          <w:p w14:paraId="30B963E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700</w:t>
            </w:r>
          </w:p>
        </w:tc>
        <w:tc>
          <w:tcPr>
            <w:tcW w:w="357" w:type="pct"/>
            <w:tcBorders>
              <w:tl2br w:val="nil"/>
              <w:tr2bl w:val="nil"/>
            </w:tcBorders>
            <w:vAlign w:val="center"/>
          </w:tcPr>
          <w:p w14:paraId="5636EBC4">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470</w:t>
            </w:r>
          </w:p>
        </w:tc>
        <w:tc>
          <w:tcPr>
            <w:tcW w:w="359" w:type="pct"/>
            <w:tcBorders>
              <w:tl2br w:val="nil"/>
              <w:tr2bl w:val="nil"/>
            </w:tcBorders>
            <w:vAlign w:val="center"/>
          </w:tcPr>
          <w:p w14:paraId="78D3BFFC">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350</w:t>
            </w:r>
          </w:p>
        </w:tc>
        <w:tc>
          <w:tcPr>
            <w:tcW w:w="357" w:type="pct"/>
            <w:tcBorders>
              <w:tl2br w:val="nil"/>
              <w:tr2bl w:val="nil"/>
            </w:tcBorders>
            <w:vAlign w:val="center"/>
          </w:tcPr>
          <w:p w14:paraId="37A04E67">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380</w:t>
            </w:r>
          </w:p>
        </w:tc>
        <w:tc>
          <w:tcPr>
            <w:tcW w:w="357" w:type="pct"/>
            <w:tcBorders>
              <w:tl2br w:val="nil"/>
              <w:tr2bl w:val="nil"/>
            </w:tcBorders>
            <w:vAlign w:val="center"/>
          </w:tcPr>
          <w:p w14:paraId="277AF8EC">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250</w:t>
            </w:r>
          </w:p>
        </w:tc>
        <w:tc>
          <w:tcPr>
            <w:tcW w:w="360" w:type="pct"/>
            <w:tcBorders>
              <w:tl2br w:val="nil"/>
              <w:tr2bl w:val="nil"/>
            </w:tcBorders>
            <w:vAlign w:val="center"/>
          </w:tcPr>
          <w:p w14:paraId="010072F3">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190</w:t>
            </w:r>
          </w:p>
        </w:tc>
      </w:tr>
      <w:tr w14:paraId="4E44BD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98" w:type="pct"/>
            <w:vMerge w:val="continue"/>
            <w:tcBorders>
              <w:tl2br w:val="nil"/>
              <w:tr2bl w:val="nil"/>
            </w:tcBorders>
            <w:vAlign w:val="center"/>
          </w:tcPr>
          <w:p w14:paraId="58AB3743">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p>
        </w:tc>
        <w:tc>
          <w:tcPr>
            <w:tcW w:w="710" w:type="pct"/>
            <w:tcBorders>
              <w:tl2br w:val="nil"/>
              <w:tr2bl w:val="nil"/>
            </w:tcBorders>
            <w:vAlign w:val="center"/>
          </w:tcPr>
          <w:p w14:paraId="1454FFB7">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&gt;4</w:t>
            </w:r>
          </w:p>
        </w:tc>
        <w:tc>
          <w:tcPr>
            <w:tcW w:w="478" w:type="pct"/>
            <w:tcBorders>
              <w:tl2br w:val="nil"/>
              <w:tr2bl w:val="nil"/>
            </w:tcBorders>
            <w:vAlign w:val="center"/>
          </w:tcPr>
          <w:p w14:paraId="15B5199C">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530</w:t>
            </w:r>
          </w:p>
        </w:tc>
        <w:tc>
          <w:tcPr>
            <w:tcW w:w="478" w:type="pct"/>
            <w:tcBorders>
              <w:tl2br w:val="nil"/>
              <w:tr2bl w:val="nil"/>
            </w:tcBorders>
            <w:vAlign w:val="center"/>
          </w:tcPr>
          <w:p w14:paraId="3D85FCA1">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350</w:t>
            </w:r>
          </w:p>
        </w:tc>
        <w:tc>
          <w:tcPr>
            <w:tcW w:w="481" w:type="pct"/>
            <w:tcBorders>
              <w:tl2br w:val="nil"/>
              <w:tr2bl w:val="nil"/>
            </w:tcBorders>
            <w:vAlign w:val="center"/>
          </w:tcPr>
          <w:p w14:paraId="4D900A2E">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260</w:t>
            </w:r>
          </w:p>
        </w:tc>
        <w:tc>
          <w:tcPr>
            <w:tcW w:w="357" w:type="pct"/>
            <w:tcBorders>
              <w:tl2br w:val="nil"/>
              <w:tr2bl w:val="nil"/>
            </w:tcBorders>
            <w:vAlign w:val="center"/>
          </w:tcPr>
          <w:p w14:paraId="50BCED2A">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530</w:t>
            </w:r>
          </w:p>
        </w:tc>
        <w:tc>
          <w:tcPr>
            <w:tcW w:w="357" w:type="pct"/>
            <w:tcBorders>
              <w:tl2br w:val="nil"/>
              <w:tr2bl w:val="nil"/>
            </w:tcBorders>
            <w:vAlign w:val="center"/>
          </w:tcPr>
          <w:p w14:paraId="0CD256D3">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350</w:t>
            </w:r>
          </w:p>
        </w:tc>
        <w:tc>
          <w:tcPr>
            <w:tcW w:w="359" w:type="pct"/>
            <w:tcBorders>
              <w:tl2br w:val="nil"/>
              <w:tr2bl w:val="nil"/>
            </w:tcBorders>
            <w:vAlign w:val="center"/>
          </w:tcPr>
          <w:p w14:paraId="6BFBBA1A">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260</w:t>
            </w:r>
          </w:p>
        </w:tc>
        <w:tc>
          <w:tcPr>
            <w:tcW w:w="357" w:type="pct"/>
            <w:tcBorders>
              <w:tl2br w:val="nil"/>
              <w:tr2bl w:val="nil"/>
            </w:tcBorders>
            <w:vAlign w:val="center"/>
          </w:tcPr>
          <w:p w14:paraId="20F78A47">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290</w:t>
            </w:r>
          </w:p>
        </w:tc>
        <w:tc>
          <w:tcPr>
            <w:tcW w:w="357" w:type="pct"/>
            <w:tcBorders>
              <w:tl2br w:val="nil"/>
              <w:tr2bl w:val="nil"/>
            </w:tcBorders>
            <w:vAlign w:val="center"/>
          </w:tcPr>
          <w:p w14:paraId="290953A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190</w:t>
            </w:r>
          </w:p>
        </w:tc>
        <w:tc>
          <w:tcPr>
            <w:tcW w:w="360" w:type="pct"/>
            <w:tcBorders>
              <w:tl2br w:val="nil"/>
              <w:tr2bl w:val="nil"/>
            </w:tcBorders>
            <w:vAlign w:val="center"/>
          </w:tcPr>
          <w:p w14:paraId="13354098">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140</w:t>
            </w:r>
          </w:p>
        </w:tc>
      </w:tr>
      <w:tr w14:paraId="3AEE40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98" w:type="pct"/>
            <w:vMerge w:val="restart"/>
            <w:tcBorders>
              <w:tl2br w:val="nil"/>
              <w:tr2bl w:val="nil"/>
            </w:tcBorders>
            <w:vAlign w:val="center"/>
          </w:tcPr>
          <w:p w14:paraId="78A7E9A5">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B</w:t>
            </w:r>
          </w:p>
        </w:tc>
        <w:tc>
          <w:tcPr>
            <w:tcW w:w="710" w:type="pct"/>
            <w:tcBorders>
              <w:tl2br w:val="nil"/>
              <w:tr2bl w:val="nil"/>
            </w:tcBorders>
            <w:vAlign w:val="center"/>
          </w:tcPr>
          <w:p w14:paraId="6887ABB5">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&lt;2</w:t>
            </w:r>
          </w:p>
        </w:tc>
        <w:tc>
          <w:tcPr>
            <w:tcW w:w="1439" w:type="pct"/>
            <w:gridSpan w:val="3"/>
            <w:tcBorders>
              <w:tl2br w:val="nil"/>
              <w:tr2bl w:val="nil"/>
            </w:tcBorders>
            <w:vAlign w:val="center"/>
          </w:tcPr>
          <w:p w14:paraId="72D137F1">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0.01</w:t>
            </w:r>
          </w:p>
        </w:tc>
        <w:tc>
          <w:tcPr>
            <w:tcW w:w="1075" w:type="pct"/>
            <w:gridSpan w:val="3"/>
            <w:tcBorders>
              <w:tl2br w:val="nil"/>
              <w:tr2bl w:val="nil"/>
            </w:tcBorders>
            <w:vAlign w:val="center"/>
          </w:tcPr>
          <w:p w14:paraId="444D3C1C">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0.015</w:t>
            </w:r>
          </w:p>
        </w:tc>
        <w:tc>
          <w:tcPr>
            <w:tcW w:w="1076" w:type="pct"/>
            <w:gridSpan w:val="3"/>
            <w:tcBorders>
              <w:tl2br w:val="nil"/>
              <w:tr2bl w:val="nil"/>
            </w:tcBorders>
            <w:vAlign w:val="center"/>
          </w:tcPr>
          <w:p w14:paraId="1C26A8AA">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0.015</w:t>
            </w:r>
          </w:p>
        </w:tc>
      </w:tr>
      <w:tr w14:paraId="3A5A52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98" w:type="pct"/>
            <w:vMerge w:val="continue"/>
            <w:tcBorders>
              <w:tl2br w:val="nil"/>
              <w:tr2bl w:val="nil"/>
            </w:tcBorders>
            <w:vAlign w:val="center"/>
          </w:tcPr>
          <w:p w14:paraId="5F8797D6">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p>
        </w:tc>
        <w:tc>
          <w:tcPr>
            <w:tcW w:w="710" w:type="pct"/>
            <w:tcBorders>
              <w:tl2br w:val="nil"/>
              <w:tr2bl w:val="nil"/>
            </w:tcBorders>
            <w:vAlign w:val="center"/>
          </w:tcPr>
          <w:p w14:paraId="230F7061">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&gt;2</w:t>
            </w:r>
          </w:p>
        </w:tc>
        <w:tc>
          <w:tcPr>
            <w:tcW w:w="1439" w:type="pct"/>
            <w:gridSpan w:val="3"/>
            <w:tcBorders>
              <w:tl2br w:val="nil"/>
              <w:tr2bl w:val="nil"/>
            </w:tcBorders>
            <w:vAlign w:val="center"/>
          </w:tcPr>
          <w:p w14:paraId="256B6431">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0.021*</w:t>
            </w:r>
          </w:p>
        </w:tc>
        <w:tc>
          <w:tcPr>
            <w:tcW w:w="1075" w:type="pct"/>
            <w:gridSpan w:val="3"/>
            <w:tcBorders>
              <w:tl2br w:val="nil"/>
              <w:tr2bl w:val="nil"/>
            </w:tcBorders>
            <w:vAlign w:val="center"/>
          </w:tcPr>
          <w:p w14:paraId="66363479">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0.036</w:t>
            </w:r>
          </w:p>
        </w:tc>
        <w:tc>
          <w:tcPr>
            <w:tcW w:w="1076" w:type="pct"/>
            <w:gridSpan w:val="3"/>
            <w:tcBorders>
              <w:tl2br w:val="nil"/>
              <w:tr2bl w:val="nil"/>
            </w:tcBorders>
            <w:vAlign w:val="center"/>
          </w:tcPr>
          <w:p w14:paraId="74165BA0">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0.036</w:t>
            </w:r>
          </w:p>
        </w:tc>
      </w:tr>
      <w:tr w14:paraId="5750D5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98" w:type="pct"/>
            <w:vMerge w:val="restart"/>
            <w:tcBorders>
              <w:tl2br w:val="nil"/>
              <w:tr2bl w:val="nil"/>
            </w:tcBorders>
            <w:vAlign w:val="center"/>
          </w:tcPr>
          <w:p w14:paraId="43A1F73A">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C</w:t>
            </w:r>
          </w:p>
        </w:tc>
        <w:tc>
          <w:tcPr>
            <w:tcW w:w="710" w:type="pct"/>
            <w:tcBorders>
              <w:tl2br w:val="nil"/>
              <w:tr2bl w:val="nil"/>
            </w:tcBorders>
            <w:vAlign w:val="center"/>
          </w:tcPr>
          <w:p w14:paraId="699085AD">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&lt;2</w:t>
            </w:r>
          </w:p>
        </w:tc>
        <w:tc>
          <w:tcPr>
            <w:tcW w:w="1439" w:type="pct"/>
            <w:gridSpan w:val="3"/>
            <w:tcBorders>
              <w:tl2br w:val="nil"/>
              <w:tr2bl w:val="nil"/>
            </w:tcBorders>
            <w:vAlign w:val="center"/>
          </w:tcPr>
          <w:p w14:paraId="7C024F2C">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1.85</w:t>
            </w:r>
          </w:p>
        </w:tc>
        <w:tc>
          <w:tcPr>
            <w:tcW w:w="1075" w:type="pct"/>
            <w:gridSpan w:val="3"/>
            <w:tcBorders>
              <w:tl2br w:val="nil"/>
              <w:tr2bl w:val="nil"/>
            </w:tcBorders>
            <w:vAlign w:val="center"/>
          </w:tcPr>
          <w:p w14:paraId="0C6329E7">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1.79</w:t>
            </w:r>
          </w:p>
        </w:tc>
        <w:tc>
          <w:tcPr>
            <w:tcW w:w="1076" w:type="pct"/>
            <w:gridSpan w:val="3"/>
            <w:tcBorders>
              <w:tl2br w:val="nil"/>
              <w:tr2bl w:val="nil"/>
            </w:tcBorders>
            <w:vAlign w:val="center"/>
          </w:tcPr>
          <w:p w14:paraId="7E92C63B">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1.79</w:t>
            </w:r>
          </w:p>
        </w:tc>
      </w:tr>
      <w:tr w14:paraId="04BB8F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98" w:type="pct"/>
            <w:vMerge w:val="continue"/>
            <w:tcBorders>
              <w:tl2br w:val="nil"/>
              <w:tr2bl w:val="nil"/>
            </w:tcBorders>
            <w:vAlign w:val="center"/>
          </w:tcPr>
          <w:p w14:paraId="24788492">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p>
        </w:tc>
        <w:tc>
          <w:tcPr>
            <w:tcW w:w="710" w:type="pct"/>
            <w:tcBorders>
              <w:tl2br w:val="nil"/>
              <w:tr2bl w:val="nil"/>
            </w:tcBorders>
            <w:vAlign w:val="center"/>
          </w:tcPr>
          <w:p w14:paraId="2AC5609C">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&gt;2</w:t>
            </w:r>
          </w:p>
        </w:tc>
        <w:tc>
          <w:tcPr>
            <w:tcW w:w="1439" w:type="pct"/>
            <w:gridSpan w:val="3"/>
            <w:tcBorders>
              <w:tl2br w:val="nil"/>
              <w:tr2bl w:val="nil"/>
            </w:tcBorders>
            <w:vAlign w:val="center"/>
          </w:tcPr>
          <w:p w14:paraId="46739D0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1.85*</w:t>
            </w:r>
          </w:p>
        </w:tc>
        <w:tc>
          <w:tcPr>
            <w:tcW w:w="1075" w:type="pct"/>
            <w:gridSpan w:val="3"/>
            <w:tcBorders>
              <w:tl2br w:val="nil"/>
              <w:tr2bl w:val="nil"/>
            </w:tcBorders>
            <w:vAlign w:val="center"/>
          </w:tcPr>
          <w:p w14:paraId="1EA5B6BA">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1.77</w:t>
            </w:r>
          </w:p>
        </w:tc>
        <w:tc>
          <w:tcPr>
            <w:tcW w:w="1076" w:type="pct"/>
            <w:gridSpan w:val="3"/>
            <w:tcBorders>
              <w:tl2br w:val="nil"/>
              <w:tr2bl w:val="nil"/>
            </w:tcBorders>
            <w:vAlign w:val="center"/>
          </w:tcPr>
          <w:p w14:paraId="271394E2">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1.77</w:t>
            </w:r>
          </w:p>
        </w:tc>
      </w:tr>
      <w:tr w14:paraId="18ED02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98" w:type="pct"/>
            <w:vMerge w:val="restart"/>
            <w:tcBorders>
              <w:tl2br w:val="nil"/>
              <w:tr2bl w:val="nil"/>
            </w:tcBorders>
            <w:vAlign w:val="center"/>
          </w:tcPr>
          <w:p w14:paraId="09AAD428">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D</w:t>
            </w:r>
          </w:p>
        </w:tc>
        <w:tc>
          <w:tcPr>
            <w:tcW w:w="710" w:type="pct"/>
            <w:tcBorders>
              <w:tl2br w:val="nil"/>
              <w:tr2bl w:val="nil"/>
            </w:tcBorders>
            <w:vAlign w:val="center"/>
          </w:tcPr>
          <w:p w14:paraId="353A9C98">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&lt;2</w:t>
            </w:r>
          </w:p>
        </w:tc>
        <w:tc>
          <w:tcPr>
            <w:tcW w:w="1439" w:type="pct"/>
            <w:gridSpan w:val="3"/>
            <w:tcBorders>
              <w:tl2br w:val="nil"/>
              <w:tr2bl w:val="nil"/>
            </w:tcBorders>
            <w:vAlign w:val="center"/>
          </w:tcPr>
          <w:p w14:paraId="570B13D5">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0.78</w:t>
            </w:r>
          </w:p>
        </w:tc>
        <w:tc>
          <w:tcPr>
            <w:tcW w:w="1075" w:type="pct"/>
            <w:gridSpan w:val="3"/>
            <w:tcBorders>
              <w:tl2br w:val="nil"/>
              <w:tr2bl w:val="nil"/>
            </w:tcBorders>
            <w:vAlign w:val="center"/>
          </w:tcPr>
          <w:p w14:paraId="177B0F37">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0.78</w:t>
            </w:r>
          </w:p>
        </w:tc>
        <w:tc>
          <w:tcPr>
            <w:tcW w:w="1076" w:type="pct"/>
            <w:gridSpan w:val="3"/>
            <w:tcBorders>
              <w:tl2br w:val="nil"/>
              <w:tr2bl w:val="nil"/>
            </w:tcBorders>
            <w:vAlign w:val="center"/>
          </w:tcPr>
          <w:p w14:paraId="10649949">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0.57</w:t>
            </w:r>
          </w:p>
        </w:tc>
      </w:tr>
      <w:tr w14:paraId="43B8AB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98" w:type="pct"/>
            <w:vMerge w:val="continue"/>
            <w:tcBorders>
              <w:tl2br w:val="nil"/>
              <w:tr2bl w:val="nil"/>
            </w:tcBorders>
            <w:vAlign w:val="center"/>
          </w:tcPr>
          <w:p w14:paraId="7AEB074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p>
        </w:tc>
        <w:tc>
          <w:tcPr>
            <w:tcW w:w="710" w:type="pct"/>
            <w:tcBorders>
              <w:tl2br w:val="nil"/>
              <w:tr2bl w:val="nil"/>
            </w:tcBorders>
            <w:vAlign w:val="center"/>
          </w:tcPr>
          <w:p w14:paraId="0805699B">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&gt;2</w:t>
            </w:r>
          </w:p>
        </w:tc>
        <w:tc>
          <w:tcPr>
            <w:tcW w:w="1439" w:type="pct"/>
            <w:gridSpan w:val="3"/>
            <w:tcBorders>
              <w:tl2br w:val="nil"/>
              <w:tr2bl w:val="nil"/>
            </w:tcBorders>
            <w:vAlign w:val="center"/>
          </w:tcPr>
          <w:p w14:paraId="4534A2F5">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0.84*</w:t>
            </w:r>
          </w:p>
        </w:tc>
        <w:tc>
          <w:tcPr>
            <w:tcW w:w="1075" w:type="pct"/>
            <w:gridSpan w:val="3"/>
            <w:tcBorders>
              <w:tl2br w:val="nil"/>
              <w:tr2bl w:val="nil"/>
            </w:tcBorders>
            <w:vAlign w:val="center"/>
          </w:tcPr>
          <w:p w14:paraId="79D7CD5C">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0.84</w:t>
            </w:r>
          </w:p>
        </w:tc>
        <w:tc>
          <w:tcPr>
            <w:tcW w:w="1076" w:type="pct"/>
            <w:gridSpan w:val="3"/>
            <w:tcBorders>
              <w:tl2br w:val="nil"/>
              <w:tr2bl w:val="nil"/>
            </w:tcBorders>
            <w:vAlign w:val="center"/>
          </w:tcPr>
          <w:p w14:paraId="7659DD14">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0.76</w:t>
            </w:r>
          </w:p>
        </w:tc>
      </w:tr>
    </w:tbl>
    <w:p w14:paraId="08DE7FD0">
      <w:pPr>
        <w:keepNext w:val="0"/>
        <w:keepLines w:val="0"/>
        <w:pageBreakBefore w:val="0"/>
        <w:kinsoku/>
        <w:wordWrap/>
        <w:overflowPunct/>
        <w:topLinePunct w:val="0"/>
        <w:bidi w:val="0"/>
        <w:spacing w:line="240" w:lineRule="auto"/>
        <w:ind w:firstLine="0" w:firstLineChars="0"/>
        <w:jc w:val="left"/>
        <w:textAlignment w:val="auto"/>
        <w:rPr>
          <w:rStyle w:val="4103"/>
          <w:rFonts w:ascii="Times New Roman" w:hAnsi="Times New Roman" w:eastAsiaTheme="minorEastAsia"/>
          <w:b/>
          <w:bCs/>
          <w:color w:val="000000" w:themeColor="text1"/>
          <w14:textFill>
            <w14:solidFill>
              <w14:schemeClr w14:val="tx1"/>
            </w14:solidFill>
          </w14:textFill>
        </w:rPr>
      </w:pPr>
      <w:r>
        <w:rPr>
          <w:rStyle w:val="4103"/>
          <w:rFonts w:hint="eastAsia" w:ascii="宋体" w:hAnsi="宋体" w:eastAsia="宋体" w:cs="宋体"/>
          <w:b/>
          <w:bCs/>
          <w:color w:val="000000" w:themeColor="text1"/>
          <w14:textFill>
            <w14:solidFill>
              <w14:schemeClr w14:val="tx1"/>
            </w14:solidFill>
          </w14:textFill>
        </w:rPr>
        <w:t>注：*为本项目计算取值。</w:t>
      </w:r>
    </w:p>
    <w:p w14:paraId="1884C912">
      <w:pPr>
        <w:spacing w:before="154" w:line="226" w:lineRule="auto"/>
        <w:jc w:val="cente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pPr>
      <w: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t>5.2-1</w:t>
      </w:r>
      <w:r>
        <w:rPr>
          <w:rFonts w:hint="eastAsia" w:eastAsia="黑体" w:cs="Times New Roman"/>
          <w:b w:val="0"/>
          <w:bCs w:val="0"/>
          <w:color w:val="000000" w:themeColor="text1"/>
          <w:spacing w:val="4"/>
          <w:sz w:val="24"/>
          <w:szCs w:val="24"/>
          <w:lang w:val="en-US" w:eastAsia="zh-CN"/>
          <w14:textFill>
            <w14:solidFill>
              <w14:schemeClr w14:val="tx1"/>
            </w14:solidFill>
          </w14:textFill>
        </w:rPr>
        <w:t>4</w:t>
      </w:r>
      <w:r>
        <w:rPr>
          <w:rFonts w:hint="default" w:ascii="Times New Roman" w:hAnsi="Times New Roman" w:eastAsia="黑体" w:cs="Times New Roman"/>
          <w:b w:val="0"/>
          <w:bCs w:val="0"/>
          <w:color w:val="000000" w:themeColor="text1"/>
          <w:spacing w:val="4"/>
          <w:sz w:val="24"/>
          <w:szCs w:val="24"/>
          <w14:textFill>
            <w14:solidFill>
              <w14:schemeClr w14:val="tx1"/>
            </w14:solidFill>
          </w14:textFill>
        </w:rPr>
        <w:t>卫生防护距离计算结果一览表</w:t>
      </w:r>
    </w:p>
    <w:tbl>
      <w:tblPr>
        <w:tblStyle w:val="88"/>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29"/>
        <w:gridCol w:w="999"/>
        <w:gridCol w:w="1296"/>
        <w:gridCol w:w="919"/>
        <w:gridCol w:w="919"/>
        <w:gridCol w:w="1108"/>
        <w:gridCol w:w="1448"/>
        <w:gridCol w:w="1201"/>
      </w:tblGrid>
      <w:tr w14:paraId="40C47F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9" w:type="pct"/>
            <w:tcBorders>
              <w:tl2br w:val="nil"/>
              <w:tr2bl w:val="nil"/>
            </w:tcBorders>
            <w:vAlign w:val="center"/>
          </w:tcPr>
          <w:p w14:paraId="3D7BAD57">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面源</w:t>
            </w:r>
          </w:p>
        </w:tc>
        <w:tc>
          <w:tcPr>
            <w:tcW w:w="586" w:type="pct"/>
            <w:tcBorders>
              <w:tl2br w:val="nil"/>
              <w:tr2bl w:val="nil"/>
            </w:tcBorders>
            <w:vAlign w:val="center"/>
          </w:tcPr>
          <w:p w14:paraId="6A93F0F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污染物名称</w:t>
            </w:r>
          </w:p>
        </w:tc>
        <w:tc>
          <w:tcPr>
            <w:tcW w:w="760" w:type="pct"/>
            <w:tcBorders>
              <w:tl2br w:val="nil"/>
              <w:tr2bl w:val="nil"/>
            </w:tcBorders>
            <w:vAlign w:val="center"/>
          </w:tcPr>
          <w:p w14:paraId="4B6D2CF1">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排放速率kg/h</w:t>
            </w:r>
          </w:p>
        </w:tc>
        <w:tc>
          <w:tcPr>
            <w:tcW w:w="539" w:type="pct"/>
            <w:tcBorders>
              <w:tl2br w:val="nil"/>
              <w:tr2bl w:val="nil"/>
            </w:tcBorders>
            <w:vAlign w:val="center"/>
          </w:tcPr>
          <w:p w14:paraId="130F3EAB">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面源长m</w:t>
            </w:r>
          </w:p>
        </w:tc>
        <w:tc>
          <w:tcPr>
            <w:tcW w:w="539" w:type="pct"/>
            <w:tcBorders>
              <w:tl2br w:val="nil"/>
              <w:tr2bl w:val="nil"/>
            </w:tcBorders>
            <w:vAlign w:val="center"/>
          </w:tcPr>
          <w:p w14:paraId="168F0939">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面源宽m</w:t>
            </w:r>
          </w:p>
        </w:tc>
        <w:tc>
          <w:tcPr>
            <w:tcW w:w="650" w:type="pct"/>
            <w:tcBorders>
              <w:tl2br w:val="nil"/>
              <w:tr2bl w:val="nil"/>
            </w:tcBorders>
            <w:vAlign w:val="center"/>
          </w:tcPr>
          <w:p w14:paraId="2933F952">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面源高度m</w:t>
            </w:r>
          </w:p>
        </w:tc>
        <w:tc>
          <w:tcPr>
            <w:tcW w:w="849" w:type="pct"/>
            <w:tcBorders>
              <w:tl2br w:val="nil"/>
              <w:tr2bl w:val="nil"/>
            </w:tcBorders>
            <w:shd w:val="clear" w:color="auto" w:fill="auto"/>
            <w:vAlign w:val="center"/>
          </w:tcPr>
          <w:p w14:paraId="1658FED3">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卫生防护距离计算值（m）</w:t>
            </w:r>
          </w:p>
        </w:tc>
        <w:tc>
          <w:tcPr>
            <w:tcW w:w="704" w:type="pct"/>
            <w:tcBorders>
              <w:tl2br w:val="nil"/>
              <w:tr2bl w:val="nil"/>
            </w:tcBorders>
            <w:shd w:val="clear" w:color="auto" w:fill="auto"/>
            <w:vAlign w:val="center"/>
          </w:tcPr>
          <w:p w14:paraId="2E1EFF3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卫生防护距离（m）</w:t>
            </w:r>
          </w:p>
        </w:tc>
      </w:tr>
      <w:tr w14:paraId="78F27D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9" w:type="pct"/>
            <w:vMerge w:val="restart"/>
            <w:tcBorders>
              <w:tl2br w:val="nil"/>
              <w:tr2bl w:val="nil"/>
            </w:tcBorders>
            <w:vAlign w:val="center"/>
          </w:tcPr>
          <w:p w14:paraId="3C80D0BA">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Cs/>
                <w:color w:val="000000" w:themeColor="text1"/>
                <w14:textFill>
                  <w14:solidFill>
                    <w14:schemeClr w14:val="tx1"/>
                  </w14:solidFill>
                </w14:textFill>
              </w:rPr>
            </w:pPr>
            <w:r>
              <w:rPr>
                <w:rFonts w:hint="eastAsia" w:ascii="Times New Roman" w:hAnsi="Times New Roman" w:eastAsia="宋体" w:cs="Times New Roman"/>
                <w:bCs/>
                <w:color w:val="000000" w:themeColor="text1"/>
                <w:lang w:val="en-US" w:eastAsia="zh-CN"/>
                <w14:textFill>
                  <w14:solidFill>
                    <w14:schemeClr w14:val="tx1"/>
                  </w14:solidFill>
                </w14:textFill>
              </w:rPr>
              <w:t>1</w:t>
            </w:r>
            <w:r>
              <w:rPr>
                <w:rFonts w:hint="default" w:ascii="Times New Roman" w:hAnsi="Times New Roman" w:eastAsia="宋体" w:cs="Times New Roman"/>
                <w:bCs/>
                <w:color w:val="000000" w:themeColor="text1"/>
                <w14:textFill>
                  <w14:solidFill>
                    <w14:schemeClr w14:val="tx1"/>
                  </w14:solidFill>
                </w14:textFill>
              </w:rPr>
              <w:t>#厂房</w:t>
            </w:r>
          </w:p>
        </w:tc>
        <w:tc>
          <w:tcPr>
            <w:tcW w:w="586" w:type="pct"/>
            <w:tcBorders>
              <w:tl2br w:val="nil"/>
              <w:tr2bl w:val="nil"/>
            </w:tcBorders>
            <w:vAlign w:val="center"/>
          </w:tcPr>
          <w:p w14:paraId="69C1142D">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Cs/>
                <w:color w:val="000000" w:themeColor="text1"/>
                <w14:textFill>
                  <w14:solidFill>
                    <w14:schemeClr w14:val="tx1"/>
                  </w14:solidFill>
                </w14:textFill>
              </w:rPr>
            </w:pPr>
            <w:r>
              <w:rPr>
                <w:rFonts w:hint="default" w:ascii="Times New Roman" w:hAnsi="Times New Roman" w:eastAsia="宋体" w:cs="Times New Roman"/>
                <w:bCs/>
                <w:color w:val="000000" w:themeColor="text1"/>
                <w14:textFill>
                  <w14:solidFill>
                    <w14:schemeClr w14:val="tx1"/>
                  </w14:solidFill>
                </w14:textFill>
              </w:rPr>
              <w:t>NMHC</w:t>
            </w:r>
          </w:p>
        </w:tc>
        <w:tc>
          <w:tcPr>
            <w:tcW w:w="760" w:type="pct"/>
            <w:tcBorders>
              <w:tl2br w:val="nil"/>
              <w:tr2bl w:val="nil"/>
            </w:tcBorders>
            <w:vAlign w:val="center"/>
          </w:tcPr>
          <w:p w14:paraId="3D63464E">
            <w:pPr>
              <w:spacing w:line="276"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0.0</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23</w:t>
            </w:r>
          </w:p>
        </w:tc>
        <w:tc>
          <w:tcPr>
            <w:tcW w:w="539" w:type="pct"/>
            <w:tcBorders>
              <w:tl2br w:val="nil"/>
              <w:tr2bl w:val="nil"/>
            </w:tcBorders>
            <w:vAlign w:val="center"/>
          </w:tcPr>
          <w:p w14:paraId="6D139B1C">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Cs/>
                <w:color w:val="000000" w:themeColor="text1"/>
                <w:lang w:val="en-US" w:eastAsia="zh-CN"/>
                <w14:textFill>
                  <w14:solidFill>
                    <w14:schemeClr w14:val="tx1"/>
                  </w14:solidFill>
                </w14:textFill>
              </w:rPr>
            </w:pPr>
            <w:r>
              <w:rPr>
                <w:rFonts w:hint="eastAsia" w:ascii="Times New Roman" w:hAnsi="Times New Roman" w:eastAsia="宋体" w:cs="Times New Roman"/>
                <w:bCs/>
                <w:color w:val="000000" w:themeColor="text1"/>
                <w:lang w:val="en-US" w:eastAsia="zh-CN"/>
                <w14:textFill>
                  <w14:solidFill>
                    <w14:schemeClr w14:val="tx1"/>
                  </w14:solidFill>
                </w14:textFill>
              </w:rPr>
              <w:t>116</w:t>
            </w:r>
          </w:p>
        </w:tc>
        <w:tc>
          <w:tcPr>
            <w:tcW w:w="539" w:type="pct"/>
            <w:tcBorders>
              <w:tl2br w:val="nil"/>
              <w:tr2bl w:val="nil"/>
            </w:tcBorders>
            <w:vAlign w:val="center"/>
          </w:tcPr>
          <w:p w14:paraId="1C8808E1">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Cs/>
                <w:color w:val="000000" w:themeColor="text1"/>
                <w:lang w:val="en-US" w:eastAsia="zh-CN"/>
                <w14:textFill>
                  <w14:solidFill>
                    <w14:schemeClr w14:val="tx1"/>
                  </w14:solidFill>
                </w14:textFill>
              </w:rPr>
            </w:pPr>
            <w:r>
              <w:rPr>
                <w:rFonts w:hint="eastAsia" w:ascii="Times New Roman" w:hAnsi="Times New Roman" w:eastAsia="宋体" w:cs="Times New Roman"/>
                <w:bCs/>
                <w:color w:val="000000" w:themeColor="text1"/>
                <w:lang w:val="en-US" w:eastAsia="zh-CN"/>
                <w14:textFill>
                  <w14:solidFill>
                    <w14:schemeClr w14:val="tx1"/>
                  </w14:solidFill>
                </w14:textFill>
              </w:rPr>
              <w:t>52.5</w:t>
            </w:r>
          </w:p>
        </w:tc>
        <w:tc>
          <w:tcPr>
            <w:tcW w:w="650" w:type="pct"/>
            <w:tcBorders>
              <w:tl2br w:val="nil"/>
              <w:tr2bl w:val="nil"/>
            </w:tcBorders>
            <w:vAlign w:val="center"/>
          </w:tcPr>
          <w:p w14:paraId="0D2B35A7">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Cs/>
                <w:color w:val="000000" w:themeColor="text1"/>
                <w:lang w:val="en-US" w:eastAsia="zh-CN"/>
                <w14:textFill>
                  <w14:solidFill>
                    <w14:schemeClr w14:val="tx1"/>
                  </w14:solidFill>
                </w14:textFill>
              </w:rPr>
            </w:pPr>
            <w:r>
              <w:rPr>
                <w:rFonts w:hint="eastAsia" w:ascii="Times New Roman" w:hAnsi="Times New Roman" w:eastAsia="宋体" w:cs="Times New Roman"/>
                <w:bCs/>
                <w:color w:val="000000" w:themeColor="text1"/>
                <w:lang w:val="en-US" w:eastAsia="zh-CN"/>
                <w14:textFill>
                  <w14:solidFill>
                    <w14:schemeClr w14:val="tx1"/>
                  </w14:solidFill>
                </w14:textFill>
              </w:rPr>
              <w:t>12</w:t>
            </w:r>
          </w:p>
        </w:tc>
        <w:tc>
          <w:tcPr>
            <w:tcW w:w="849" w:type="pct"/>
            <w:tcBorders>
              <w:tl2br w:val="nil"/>
              <w:tr2bl w:val="nil"/>
            </w:tcBorders>
            <w:shd w:val="clear" w:color="auto" w:fill="auto"/>
            <w:vAlign w:val="center"/>
          </w:tcPr>
          <w:p w14:paraId="48D50BC0">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0.</w:t>
            </w:r>
            <w:r>
              <w:rPr>
                <w:rFonts w:hint="eastAsia" w:ascii="Times New Roman" w:hAnsi="Times New Roman" w:eastAsia="宋体" w:cs="Times New Roman"/>
                <w:color w:val="000000" w:themeColor="text1"/>
                <w:lang w:val="en-US" w:eastAsia="zh-CN"/>
                <w14:textFill>
                  <w14:solidFill>
                    <w14:schemeClr w14:val="tx1"/>
                  </w14:solidFill>
                </w14:textFill>
              </w:rPr>
              <w:t>1</w:t>
            </w:r>
            <w:r>
              <w:rPr>
                <w:rFonts w:hint="default" w:ascii="Times New Roman" w:hAnsi="Times New Roman" w:eastAsia="宋体" w:cs="Times New Roman"/>
                <w:color w:val="000000" w:themeColor="text1"/>
                <w14:textFill>
                  <w14:solidFill>
                    <w14:schemeClr w14:val="tx1"/>
                  </w14:solidFill>
                </w14:textFill>
              </w:rPr>
              <w:t>46</w:t>
            </w:r>
          </w:p>
        </w:tc>
        <w:tc>
          <w:tcPr>
            <w:tcW w:w="704" w:type="pct"/>
            <w:tcBorders>
              <w:tl2br w:val="nil"/>
              <w:tr2bl w:val="nil"/>
            </w:tcBorders>
            <w:shd w:val="clear" w:color="auto" w:fill="auto"/>
            <w:vAlign w:val="center"/>
          </w:tcPr>
          <w:p w14:paraId="16E940F4">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50</w:t>
            </w:r>
          </w:p>
        </w:tc>
      </w:tr>
      <w:tr w14:paraId="0C44DE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9" w:type="pct"/>
            <w:vMerge w:val="continue"/>
            <w:tcBorders>
              <w:tl2br w:val="nil"/>
              <w:tr2bl w:val="nil"/>
            </w:tcBorders>
            <w:vAlign w:val="center"/>
          </w:tcPr>
          <w:p w14:paraId="1F2EFE86">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Cs/>
                <w:color w:val="000000" w:themeColor="text1"/>
                <w14:textFill>
                  <w14:solidFill>
                    <w14:schemeClr w14:val="tx1"/>
                  </w14:solidFill>
                </w14:textFill>
              </w:rPr>
            </w:pPr>
          </w:p>
        </w:tc>
        <w:tc>
          <w:tcPr>
            <w:tcW w:w="586" w:type="pct"/>
            <w:tcBorders>
              <w:tl2br w:val="nil"/>
              <w:tr2bl w:val="nil"/>
            </w:tcBorders>
            <w:vAlign w:val="center"/>
          </w:tcPr>
          <w:p w14:paraId="7F56F0F4">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Cs/>
                <w:color w:val="000000" w:themeColor="text1"/>
                <w14:textFill>
                  <w14:solidFill>
                    <w14:schemeClr w14:val="tx1"/>
                  </w14:solidFill>
                </w14:textFill>
              </w:rPr>
            </w:pPr>
            <w:r>
              <w:rPr>
                <w:rFonts w:hint="default" w:ascii="Times New Roman" w:hAnsi="Times New Roman" w:eastAsia="宋体" w:cs="Times New Roman"/>
                <w:bCs/>
                <w:color w:val="000000" w:themeColor="text1"/>
                <w14:textFill>
                  <w14:solidFill>
                    <w14:schemeClr w14:val="tx1"/>
                  </w14:solidFill>
                </w14:textFill>
              </w:rPr>
              <w:t>颗粒物</w:t>
            </w:r>
          </w:p>
        </w:tc>
        <w:tc>
          <w:tcPr>
            <w:tcW w:w="760" w:type="pct"/>
            <w:tcBorders>
              <w:tl2br w:val="nil"/>
              <w:tr2bl w:val="nil"/>
            </w:tcBorders>
            <w:vAlign w:val="center"/>
          </w:tcPr>
          <w:p w14:paraId="56201F77">
            <w:pPr>
              <w:spacing w:line="276"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cs="Times New Roman"/>
                <w:color w:val="000000" w:themeColor="text1"/>
                <w:spacing w:val="0"/>
                <w:sz w:val="21"/>
                <w:szCs w:val="21"/>
                <w:lang w:val="en-US" w:eastAsia="zh-CN"/>
                <w14:textFill>
                  <w14:solidFill>
                    <w14:schemeClr w14:val="tx1"/>
                  </w14:solidFill>
                </w14:textFill>
              </w:rPr>
              <w:t>0.108</w:t>
            </w:r>
          </w:p>
        </w:tc>
        <w:tc>
          <w:tcPr>
            <w:tcW w:w="539" w:type="pct"/>
            <w:vMerge w:val="restart"/>
            <w:tcBorders>
              <w:tl2br w:val="nil"/>
              <w:tr2bl w:val="nil"/>
            </w:tcBorders>
            <w:vAlign w:val="center"/>
          </w:tcPr>
          <w:p w14:paraId="34AEA05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Cs/>
                <w:color w:val="000000" w:themeColor="text1"/>
                <w:lang w:val="en-US" w:eastAsia="zh-CN"/>
                <w14:textFill>
                  <w14:solidFill>
                    <w14:schemeClr w14:val="tx1"/>
                  </w14:solidFill>
                </w14:textFill>
              </w:rPr>
            </w:pPr>
            <w:r>
              <w:rPr>
                <w:rFonts w:hint="eastAsia" w:cs="Times New Roman"/>
                <w:bCs/>
                <w:color w:val="000000" w:themeColor="text1"/>
                <w:lang w:val="en-US" w:eastAsia="zh-CN"/>
                <w14:textFill>
                  <w14:solidFill>
                    <w14:schemeClr w14:val="tx1"/>
                  </w14:solidFill>
                </w14:textFill>
              </w:rPr>
              <w:t>121</w:t>
            </w:r>
          </w:p>
        </w:tc>
        <w:tc>
          <w:tcPr>
            <w:tcW w:w="539" w:type="pct"/>
            <w:vMerge w:val="restart"/>
            <w:tcBorders>
              <w:tl2br w:val="nil"/>
              <w:tr2bl w:val="nil"/>
            </w:tcBorders>
            <w:vAlign w:val="center"/>
          </w:tcPr>
          <w:p w14:paraId="10BADFED">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Cs/>
                <w:color w:val="000000" w:themeColor="text1"/>
                <w:lang w:val="en-US" w:eastAsia="zh-CN"/>
                <w14:textFill>
                  <w14:solidFill>
                    <w14:schemeClr w14:val="tx1"/>
                  </w14:solidFill>
                </w14:textFill>
              </w:rPr>
            </w:pPr>
            <w:r>
              <w:rPr>
                <w:rFonts w:hint="eastAsia" w:cs="Times New Roman"/>
                <w:bCs/>
                <w:color w:val="000000" w:themeColor="text1"/>
                <w:lang w:val="en-US" w:eastAsia="zh-CN"/>
                <w14:textFill>
                  <w14:solidFill>
                    <w14:schemeClr w14:val="tx1"/>
                  </w14:solidFill>
                </w14:textFill>
              </w:rPr>
              <w:t>55</w:t>
            </w:r>
          </w:p>
        </w:tc>
        <w:tc>
          <w:tcPr>
            <w:tcW w:w="650" w:type="pct"/>
            <w:vMerge w:val="restart"/>
            <w:tcBorders>
              <w:tl2br w:val="nil"/>
              <w:tr2bl w:val="nil"/>
            </w:tcBorders>
            <w:vAlign w:val="center"/>
          </w:tcPr>
          <w:p w14:paraId="4B270F37">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Cs/>
                <w:color w:val="000000" w:themeColor="text1"/>
                <w:lang w:val="en-US" w:eastAsia="zh-CN"/>
                <w14:textFill>
                  <w14:solidFill>
                    <w14:schemeClr w14:val="tx1"/>
                  </w14:solidFill>
                </w14:textFill>
              </w:rPr>
            </w:pPr>
            <w:r>
              <w:rPr>
                <w:rFonts w:hint="eastAsia" w:cs="Times New Roman"/>
                <w:bCs/>
                <w:color w:val="000000" w:themeColor="text1"/>
                <w:lang w:val="en-US" w:eastAsia="zh-CN"/>
                <w14:textFill>
                  <w14:solidFill>
                    <w14:schemeClr w14:val="tx1"/>
                  </w14:solidFill>
                </w14:textFill>
              </w:rPr>
              <w:t>12</w:t>
            </w:r>
          </w:p>
        </w:tc>
        <w:tc>
          <w:tcPr>
            <w:tcW w:w="849" w:type="pct"/>
            <w:tcBorders>
              <w:tl2br w:val="nil"/>
              <w:tr2bl w:val="nil"/>
            </w:tcBorders>
            <w:shd w:val="clear" w:color="auto" w:fill="auto"/>
            <w:vAlign w:val="center"/>
          </w:tcPr>
          <w:p w14:paraId="1CCE1FC1">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0.811</w:t>
            </w:r>
          </w:p>
        </w:tc>
        <w:tc>
          <w:tcPr>
            <w:tcW w:w="704" w:type="pct"/>
            <w:tcBorders>
              <w:tl2br w:val="nil"/>
              <w:tr2bl w:val="nil"/>
            </w:tcBorders>
            <w:shd w:val="clear" w:color="auto" w:fill="auto"/>
            <w:vAlign w:val="center"/>
          </w:tcPr>
          <w:p w14:paraId="3D81CBE6">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50</w:t>
            </w:r>
          </w:p>
        </w:tc>
      </w:tr>
      <w:tr w14:paraId="1DBC10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369" w:type="pct"/>
            <w:tcBorders>
              <w:tl2br w:val="nil"/>
              <w:tr2bl w:val="nil"/>
            </w:tcBorders>
            <w:vAlign w:val="center"/>
          </w:tcPr>
          <w:p w14:paraId="46B04D3B">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Cs/>
                <w:color w:val="000000" w:themeColor="text1"/>
                <w14:textFill>
                  <w14:solidFill>
                    <w14:schemeClr w14:val="tx1"/>
                  </w14:solidFill>
                </w14:textFill>
              </w:rPr>
            </w:pPr>
            <w:r>
              <w:rPr>
                <w:rFonts w:hint="eastAsia" w:ascii="Times New Roman" w:hAnsi="Times New Roman" w:eastAsia="宋体" w:cs="Times New Roman"/>
                <w:bCs/>
                <w:color w:val="000000" w:themeColor="text1"/>
                <w:lang w:val="en-US" w:eastAsia="zh-CN"/>
                <w14:textFill>
                  <w14:solidFill>
                    <w14:schemeClr w14:val="tx1"/>
                  </w14:solidFill>
                </w14:textFill>
              </w:rPr>
              <w:t>2</w:t>
            </w:r>
            <w:r>
              <w:rPr>
                <w:rFonts w:hint="default" w:ascii="Times New Roman" w:hAnsi="Times New Roman" w:eastAsia="宋体" w:cs="Times New Roman"/>
                <w:bCs/>
                <w:color w:val="000000" w:themeColor="text1"/>
                <w14:textFill>
                  <w14:solidFill>
                    <w14:schemeClr w14:val="tx1"/>
                  </w14:solidFill>
                </w14:textFill>
              </w:rPr>
              <w:t>#厂房</w:t>
            </w:r>
          </w:p>
        </w:tc>
        <w:tc>
          <w:tcPr>
            <w:tcW w:w="586" w:type="pct"/>
            <w:tcBorders>
              <w:tl2br w:val="nil"/>
              <w:tr2bl w:val="nil"/>
            </w:tcBorders>
            <w:vAlign w:val="center"/>
          </w:tcPr>
          <w:p w14:paraId="7452DC62">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Cs/>
                <w:color w:val="000000" w:themeColor="text1"/>
                <w14:textFill>
                  <w14:solidFill>
                    <w14:schemeClr w14:val="tx1"/>
                  </w14:solidFill>
                </w14:textFill>
              </w:rPr>
            </w:pPr>
            <w:r>
              <w:rPr>
                <w:rFonts w:hint="default" w:ascii="Times New Roman" w:hAnsi="Times New Roman" w:eastAsia="宋体" w:cs="Times New Roman"/>
                <w:bCs/>
                <w:color w:val="000000" w:themeColor="text1"/>
                <w14:textFill>
                  <w14:solidFill>
                    <w14:schemeClr w14:val="tx1"/>
                  </w14:solidFill>
                </w14:textFill>
              </w:rPr>
              <w:t>NMHC</w:t>
            </w:r>
          </w:p>
        </w:tc>
        <w:tc>
          <w:tcPr>
            <w:tcW w:w="760" w:type="pct"/>
            <w:tcBorders>
              <w:tl2br w:val="nil"/>
              <w:tr2bl w:val="nil"/>
            </w:tcBorders>
            <w:vAlign w:val="center"/>
          </w:tcPr>
          <w:p w14:paraId="30F74EAA">
            <w:pPr>
              <w:spacing w:line="276" w:lineRule="auto"/>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cs="Times New Roman"/>
                <w:color w:val="000000" w:themeColor="text1"/>
                <w:spacing w:val="0"/>
                <w:sz w:val="21"/>
                <w:szCs w:val="21"/>
                <w:lang w:val="en-US" w:eastAsia="zh-CN"/>
                <w14:textFill>
                  <w14:solidFill>
                    <w14:schemeClr w14:val="tx1"/>
                  </w14:solidFill>
                </w14:textFill>
              </w:rPr>
              <w:t>0.012</w:t>
            </w:r>
          </w:p>
        </w:tc>
        <w:tc>
          <w:tcPr>
            <w:tcW w:w="539" w:type="pct"/>
            <w:vMerge w:val="continue"/>
            <w:tcBorders>
              <w:tl2br w:val="nil"/>
              <w:tr2bl w:val="nil"/>
            </w:tcBorders>
            <w:vAlign w:val="center"/>
          </w:tcPr>
          <w:p w14:paraId="347B32A9">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Cs/>
                <w:color w:val="000000" w:themeColor="text1"/>
                <w14:textFill>
                  <w14:solidFill>
                    <w14:schemeClr w14:val="tx1"/>
                  </w14:solidFill>
                </w14:textFill>
              </w:rPr>
            </w:pPr>
          </w:p>
        </w:tc>
        <w:tc>
          <w:tcPr>
            <w:tcW w:w="539" w:type="pct"/>
            <w:vMerge w:val="continue"/>
            <w:tcBorders>
              <w:tl2br w:val="nil"/>
              <w:tr2bl w:val="nil"/>
            </w:tcBorders>
            <w:vAlign w:val="center"/>
          </w:tcPr>
          <w:p w14:paraId="4D54EDFF">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Cs/>
                <w:color w:val="000000" w:themeColor="text1"/>
                <w14:textFill>
                  <w14:solidFill>
                    <w14:schemeClr w14:val="tx1"/>
                  </w14:solidFill>
                </w14:textFill>
              </w:rPr>
            </w:pPr>
          </w:p>
        </w:tc>
        <w:tc>
          <w:tcPr>
            <w:tcW w:w="650" w:type="pct"/>
            <w:vMerge w:val="continue"/>
            <w:tcBorders>
              <w:tl2br w:val="nil"/>
              <w:tr2bl w:val="nil"/>
            </w:tcBorders>
            <w:vAlign w:val="center"/>
          </w:tcPr>
          <w:p w14:paraId="4D40CB45">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bCs/>
                <w:color w:val="000000" w:themeColor="text1"/>
                <w14:textFill>
                  <w14:solidFill>
                    <w14:schemeClr w14:val="tx1"/>
                  </w14:solidFill>
                </w14:textFill>
              </w:rPr>
            </w:pPr>
          </w:p>
        </w:tc>
        <w:tc>
          <w:tcPr>
            <w:tcW w:w="849" w:type="pct"/>
            <w:tcBorders>
              <w:tl2br w:val="nil"/>
              <w:tr2bl w:val="nil"/>
            </w:tcBorders>
            <w:shd w:val="clear" w:color="auto" w:fill="auto"/>
            <w:vAlign w:val="center"/>
          </w:tcPr>
          <w:p w14:paraId="151A98D6">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0.</w:t>
            </w:r>
            <w:r>
              <w:rPr>
                <w:rFonts w:hint="eastAsia" w:ascii="Times New Roman" w:hAnsi="Times New Roman" w:eastAsia="宋体" w:cs="Times New Roman"/>
                <w:color w:val="000000" w:themeColor="text1"/>
                <w:lang w:val="en-US" w:eastAsia="zh-CN"/>
                <w14:textFill>
                  <w14:solidFill>
                    <w14:schemeClr w14:val="tx1"/>
                  </w14:solidFill>
                </w14:textFill>
              </w:rPr>
              <w:t>0</w:t>
            </w:r>
            <w:r>
              <w:rPr>
                <w:rFonts w:hint="default" w:ascii="Times New Roman" w:hAnsi="Times New Roman" w:eastAsia="宋体" w:cs="Times New Roman"/>
                <w:color w:val="000000" w:themeColor="text1"/>
                <w14:textFill>
                  <w14:solidFill>
                    <w14:schemeClr w14:val="tx1"/>
                  </w14:solidFill>
                </w14:textFill>
              </w:rPr>
              <w:t>61</w:t>
            </w:r>
          </w:p>
        </w:tc>
        <w:tc>
          <w:tcPr>
            <w:tcW w:w="704" w:type="pct"/>
            <w:tcBorders>
              <w:tl2br w:val="nil"/>
              <w:tr2bl w:val="nil"/>
            </w:tcBorders>
            <w:shd w:val="clear" w:color="auto" w:fill="auto"/>
            <w:vAlign w:val="center"/>
          </w:tcPr>
          <w:p w14:paraId="2FEF20AB">
            <w:pPr>
              <w:pStyle w:val="4099"/>
              <w:keepNext w:val="0"/>
              <w:keepLines w:val="0"/>
              <w:pageBreakBefore w:val="0"/>
              <w:suppressLineNumbers w:val="0"/>
              <w:kinsoku/>
              <w:wordWrap/>
              <w:overflowPunct/>
              <w:topLinePunct w:val="0"/>
              <w:bidi w:val="0"/>
              <w:spacing w:before="0" w:beforeAutospacing="0" w:after="0" w:afterAutospacing="0"/>
              <w:ind w:left="0" w:right="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50</w:t>
            </w:r>
          </w:p>
        </w:tc>
      </w:tr>
    </w:tbl>
    <w:p w14:paraId="3CB46F45">
      <w:pPr>
        <w:keepNext w:val="0"/>
        <w:keepLines w:val="0"/>
        <w:pageBreakBefore w:val="0"/>
        <w:kinsoku/>
        <w:wordWrap/>
        <w:overflowPunct/>
        <w:topLinePunct w:val="0"/>
        <w:bidi w:val="0"/>
        <w:spacing w:line="360" w:lineRule="auto"/>
        <w:ind w:firstLine="472"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根据《大气有害物质无组织排放卫生防护距离推导技术导则》（GB/T 39499-2020）中规定“6.1.1当卫生防护距离初值小于50m时，级差为50m。如计算初值小于50m，卫生防护距离终值取50m；6.2当企业某生产单元的无组织排放存在多种特征大气有害物质时，如果分别推导出的卫生防护距离初值在同一级别时，则该企业的卫生防护距离终值应提高一级；卫生防护距离初值不在同一级别的，以卫生防护距离终值较大者为准。”因此，本项目以厂界设置100m卫生防护距离。</w:t>
      </w:r>
    </w:p>
    <w:p w14:paraId="743517FB">
      <w:pPr>
        <w:keepNext w:val="0"/>
        <w:keepLines w:val="0"/>
        <w:pageBreakBefore w:val="0"/>
        <w:kinsoku/>
        <w:wordWrap/>
        <w:overflowPunct/>
        <w:topLinePunct w:val="0"/>
        <w:bidi w:val="0"/>
        <w:spacing w:line="360" w:lineRule="auto"/>
        <w:ind w:firstLine="472"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环境防护距离依据</w:t>
      </w:r>
    </w:p>
    <w:p w14:paraId="3CF28273">
      <w:pPr>
        <w:keepNext w:val="0"/>
        <w:keepLines w:val="0"/>
        <w:pageBreakBefore w:val="0"/>
        <w:kinsoku/>
        <w:wordWrap/>
        <w:overflowPunct/>
        <w:topLinePunct w:val="0"/>
        <w:bidi w:val="0"/>
        <w:spacing w:line="360" w:lineRule="auto"/>
        <w:ind w:firstLine="472" w:firstLineChars="200"/>
        <w:textAlignment w:val="auto"/>
        <w:rPr>
          <w:rFonts w:hint="default" w:ascii="Times New Roman" w:hAnsi="Times New Roman" w:eastAsia="宋体" w:cs="Times New Roman"/>
          <w:color w:val="000000" w:themeColor="text1"/>
          <w:spacing w:val="-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卫生防护距离，本项目的综合环境防护距离为厂界外100m，经过现场勘查，本项目设置的综合环境防护距离范围内主要为工业企业和待建的工业空地，无居民、学校等敏感目标。同时项目完成运营后，环境防护距离内不准建设居民、学校等敏感性建设。</w:t>
      </w:r>
    </w:p>
    <w:p w14:paraId="6FF348F1">
      <w:pPr>
        <w:spacing w:before="131" w:line="360" w:lineRule="auto"/>
        <w:jc w:val="center"/>
        <w:rPr>
          <w:rFonts w:hint="default" w:ascii="Times New Roman" w:hAnsi="Times New Roman" w:eastAsia="黑体" w:cs="Times New Roman"/>
          <w:color w:val="000000" w:themeColor="text1"/>
          <w:spacing w:val="-1"/>
          <w:sz w:val="24"/>
          <w:szCs w:val="24"/>
          <w14:textFill>
            <w14:solidFill>
              <w14:schemeClr w14:val="tx1"/>
            </w14:solidFill>
          </w14:textFill>
        </w:rPr>
      </w:pPr>
      <w:r>
        <w:rPr>
          <w:color w:val="000000" w:themeColor="text1"/>
          <w14:textFill>
            <w14:solidFill>
              <w14:schemeClr w14:val="tx1"/>
            </w14:solidFill>
          </w14:textFill>
        </w:rPr>
        <w:drawing>
          <wp:inline distT="0" distB="0" distL="114300" distR="114300">
            <wp:extent cx="5268595" cy="3991610"/>
            <wp:effectExtent l="0" t="0" r="8255" b="8890"/>
            <wp:docPr id="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2"/>
                    <pic:cNvPicPr>
                      <a:picLocks noChangeAspect="1"/>
                    </pic:cNvPicPr>
                  </pic:nvPicPr>
                  <pic:blipFill>
                    <a:blip r:embed="rId66"/>
                    <a:stretch>
                      <a:fillRect/>
                    </a:stretch>
                  </pic:blipFill>
                  <pic:spPr>
                    <a:xfrm>
                      <a:off x="0" y="0"/>
                      <a:ext cx="5268595" cy="3991610"/>
                    </a:xfrm>
                    <a:prstGeom prst="rect">
                      <a:avLst/>
                    </a:prstGeom>
                    <a:noFill/>
                    <a:ln>
                      <a:noFill/>
                    </a:ln>
                  </pic:spPr>
                </pic:pic>
              </a:graphicData>
            </a:graphic>
          </wp:inline>
        </w:drawing>
      </w:r>
    </w:p>
    <w:p w14:paraId="0E838CF3">
      <w:pPr>
        <w:spacing w:before="131" w:line="360" w:lineRule="auto"/>
        <w:jc w:val="center"/>
        <w:rPr>
          <w:rFonts w:hint="default" w:ascii="Times New Roman" w:hAnsi="Times New Roman" w:eastAsia="黑体" w:cs="Times New Roman"/>
          <w:color w:val="000000" w:themeColor="text1"/>
          <w:spacing w:val="-1"/>
          <w:sz w:val="24"/>
          <w:szCs w:val="24"/>
          <w14:textFill>
            <w14:solidFill>
              <w14:schemeClr w14:val="tx1"/>
            </w14:solidFill>
          </w14:textFill>
        </w:rPr>
      </w:pPr>
      <w:r>
        <w:rPr>
          <w:rFonts w:hint="default" w:ascii="Times New Roman" w:hAnsi="Times New Roman" w:eastAsia="黑体" w:cs="Times New Roman"/>
          <w:color w:val="000000" w:themeColor="text1"/>
          <w:sz w:val="24"/>
          <w:szCs w:val="24"/>
          <w:lang w:eastAsia="zh-CN"/>
          <w14:textFill>
            <w14:solidFill>
              <w14:schemeClr w14:val="tx1"/>
            </w14:solidFill>
          </w14:textFill>
        </w:rPr>
        <w:t>图5.2-</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黑体" w:cs="Times New Roman"/>
          <w:color w:val="000000" w:themeColor="text1"/>
          <w:sz w:val="24"/>
          <w:szCs w:val="24"/>
          <w:lang w:eastAsia="zh-CN"/>
          <w14:textFill>
            <w14:solidFill>
              <w14:schemeClr w14:val="tx1"/>
            </w14:solidFill>
          </w14:textFill>
        </w:rPr>
        <w:t>项目环境防护距离图</w:t>
      </w:r>
    </w:p>
    <w:p w14:paraId="4ECF1126">
      <w:pPr>
        <w:spacing w:before="131" w:line="360" w:lineRule="auto"/>
        <w:rPr>
          <w:rFonts w:hint="default" w:ascii="Times New Roman" w:hAnsi="Times New Roman" w:eastAsia="黑体" w:cs="Times New Roman"/>
          <w:color w:val="000000" w:themeColor="text1"/>
          <w:spacing w:val="-1"/>
          <w:sz w:val="24"/>
          <w:szCs w:val="24"/>
          <w14:textFill>
            <w14:solidFill>
              <w14:schemeClr w14:val="tx1"/>
            </w14:solidFill>
          </w14:textFill>
        </w:rPr>
      </w:pPr>
      <w:r>
        <w:rPr>
          <w:rFonts w:hint="default" w:ascii="Times New Roman" w:hAnsi="Times New Roman" w:eastAsia="黑体" w:cs="Times New Roman"/>
          <w:color w:val="000000" w:themeColor="text1"/>
          <w:spacing w:val="-1"/>
          <w:sz w:val="24"/>
          <w:szCs w:val="24"/>
          <w14:textFill>
            <w14:solidFill>
              <w14:schemeClr w14:val="tx1"/>
            </w14:solidFill>
          </w14:textFill>
        </w:rPr>
        <w:t>5.2.2.</w:t>
      </w:r>
      <w:r>
        <w:rPr>
          <w:rFonts w:hint="default" w:ascii="Times New Roman" w:hAnsi="Times New Roman" w:eastAsia="黑体" w:cs="Times New Roman"/>
          <w:color w:val="000000" w:themeColor="text1"/>
          <w:spacing w:val="-1"/>
          <w:sz w:val="24"/>
          <w:szCs w:val="24"/>
          <w:lang w:val="en-US" w:eastAsia="zh-CN"/>
          <w14:textFill>
            <w14:solidFill>
              <w14:schemeClr w14:val="tx1"/>
            </w14:solidFill>
          </w14:textFill>
        </w:rPr>
        <w:t>3</w:t>
      </w:r>
      <w:r>
        <w:rPr>
          <w:rFonts w:hint="default" w:ascii="Times New Roman" w:hAnsi="Times New Roman" w:eastAsia="黑体" w:cs="Times New Roman"/>
          <w:color w:val="000000" w:themeColor="text1"/>
          <w:spacing w:val="-1"/>
          <w:sz w:val="24"/>
          <w:szCs w:val="24"/>
          <w14:textFill>
            <w14:solidFill>
              <w14:schemeClr w14:val="tx1"/>
            </w14:solidFill>
          </w14:textFill>
        </w:rPr>
        <w:t xml:space="preserve"> 事故状态下空气环境影响分析</w:t>
      </w:r>
    </w:p>
    <w:p w14:paraId="5C37F276">
      <w:pPr>
        <w:spacing w:before="131" w:line="360" w:lineRule="auto"/>
        <w:ind w:firstLine="476"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1"/>
          <w:sz w:val="24"/>
          <w:szCs w:val="24"/>
          <w14:textFill>
            <w14:solidFill>
              <w14:schemeClr w14:val="tx1"/>
            </w14:solidFill>
          </w14:textFill>
        </w:rPr>
        <w:t>本项目排放的非甲烷总烃气体采用</w:t>
      </w:r>
      <w:r>
        <w:rPr>
          <w:rFonts w:hint="default" w:ascii="Times New Roman" w:hAnsi="Times New Roman" w:eastAsia="宋体" w:cs="Times New Roman"/>
          <w:color w:val="000000" w:themeColor="text1"/>
          <w:spacing w:val="-1"/>
          <w:sz w:val="24"/>
          <w:szCs w:val="24"/>
          <w:lang w:eastAsia="zh-CN"/>
          <w14:textFill>
            <w14:solidFill>
              <w14:schemeClr w14:val="tx1"/>
            </w14:solidFill>
          </w14:textFill>
        </w:rPr>
        <w:t>“</w:t>
      </w:r>
      <w:r>
        <w:rPr>
          <w:rFonts w:hint="eastAsia" w:cs="Times New Roman"/>
          <w:color w:val="000000" w:themeColor="text1"/>
          <w:spacing w:val="-1"/>
          <w:sz w:val="24"/>
          <w:szCs w:val="24"/>
          <w:lang w:val="en-US" w:eastAsia="zh-CN"/>
          <w14:textFill>
            <w14:solidFill>
              <w14:schemeClr w14:val="tx1"/>
            </w14:solidFill>
          </w14:textFill>
        </w:rPr>
        <w:t>区域封闭+</w:t>
      </w:r>
      <w:r>
        <w:rPr>
          <w:rFonts w:hint="default" w:ascii="Times New Roman" w:hAnsi="Times New Roman" w:eastAsia="宋体" w:cs="Times New Roman"/>
          <w:color w:val="000000" w:themeColor="text1"/>
          <w:spacing w:val="-1"/>
          <w:sz w:val="24"/>
          <w:szCs w:val="24"/>
          <w14:textFill>
            <w14:solidFill>
              <w14:schemeClr w14:val="tx1"/>
            </w14:solidFill>
          </w14:textFill>
        </w:rPr>
        <w:t>集气罩+</w:t>
      </w:r>
      <w:r>
        <w:rPr>
          <w:rFonts w:hint="eastAsia" w:cs="Times New Roman"/>
          <w:color w:val="000000" w:themeColor="text1"/>
          <w:spacing w:val="-1"/>
          <w:sz w:val="24"/>
          <w:szCs w:val="24"/>
          <w:lang w:val="en-US" w:eastAsia="zh-CN"/>
          <w14:textFill>
            <w14:solidFill>
              <w14:schemeClr w14:val="tx1"/>
            </w14:solidFill>
          </w14:textFill>
        </w:rPr>
        <w:t>油烟净化器</w:t>
      </w:r>
      <w:r>
        <w:rPr>
          <w:rFonts w:hint="default" w:ascii="Times New Roman" w:hAnsi="Times New Roman" w:eastAsia="宋体" w:cs="Times New Roman"/>
          <w:color w:val="000000" w:themeColor="text1"/>
          <w:spacing w:val="-1"/>
          <w:sz w:val="24"/>
          <w:szCs w:val="24"/>
          <w14:textFill>
            <w14:solidFill>
              <w14:schemeClr w14:val="tx1"/>
            </w14:solidFill>
          </w14:textFill>
        </w:rPr>
        <w:t>+活性炭纤维吸附</w:t>
      </w:r>
      <w:r>
        <w:rPr>
          <w:rFonts w:hint="default" w:ascii="Times New Roman" w:hAnsi="Times New Roman" w:eastAsia="宋体" w:cs="Times New Roman"/>
          <w:color w:val="000000" w:themeColor="text1"/>
          <w:spacing w:val="-1"/>
          <w:sz w:val="24"/>
          <w:szCs w:val="24"/>
          <w:lang w:eastAsia="zh-CN"/>
          <w14:textFill>
            <w14:solidFill>
              <w14:schemeClr w14:val="tx1"/>
            </w14:solidFill>
          </w14:textFill>
        </w:rPr>
        <w:t>”</w:t>
      </w:r>
      <w:r>
        <w:rPr>
          <w:rFonts w:hint="default" w:ascii="Times New Roman" w:hAnsi="Times New Roman" w:eastAsia="宋体" w:cs="Times New Roman"/>
          <w:color w:val="000000" w:themeColor="text1"/>
          <w:spacing w:val="-1"/>
          <w:sz w:val="24"/>
          <w:szCs w:val="24"/>
          <w14:textFill>
            <w14:solidFill>
              <w14:schemeClr w14:val="tx1"/>
            </w14:solidFill>
          </w14:textFill>
        </w:rPr>
        <w:t>去除污染物，为了解当“活性炭纤维吸附装置</w:t>
      </w:r>
      <w:r>
        <w:rPr>
          <w:rFonts w:hint="default" w:ascii="Times New Roman" w:hAnsi="Times New Roman" w:eastAsia="Times New Roman" w:cs="Times New Roman"/>
          <w:color w:val="000000" w:themeColor="text1"/>
          <w:spacing w:val="-1"/>
          <w:sz w:val="24"/>
          <w:szCs w:val="24"/>
          <w14:textFill>
            <w14:solidFill>
              <w14:schemeClr w14:val="tx1"/>
            </w14:solidFill>
          </w14:textFill>
        </w:rPr>
        <w:t>”</w:t>
      </w:r>
      <w:r>
        <w:rPr>
          <w:rFonts w:hint="default" w:ascii="Times New Roman" w:hAnsi="Times New Roman" w:eastAsia="宋体" w:cs="Times New Roman"/>
          <w:color w:val="000000" w:themeColor="text1"/>
          <w:spacing w:val="-1"/>
          <w:sz w:val="24"/>
          <w:szCs w:val="24"/>
          <w14:textFill>
            <w14:solidFill>
              <w14:schemeClr w14:val="tx1"/>
            </w14:solidFill>
          </w14:textFill>
        </w:rPr>
        <w:t>不</w:t>
      </w:r>
      <w:r>
        <w:rPr>
          <w:rFonts w:hint="default" w:ascii="Times New Roman" w:hAnsi="Times New Roman" w:eastAsia="宋体" w:cs="Times New Roman"/>
          <w:color w:val="000000" w:themeColor="text1"/>
          <w:spacing w:val="-2"/>
          <w:sz w:val="24"/>
          <w:szCs w:val="24"/>
          <w14:textFill>
            <w14:solidFill>
              <w14:schemeClr w14:val="tx1"/>
            </w14:solidFill>
          </w14:textFill>
        </w:rPr>
        <w:t>再处理污染物（即处理装置出现事故状态下）有组织排放的废气污染物对周边环境的污染影响，本次评价假定当</w:t>
      </w:r>
      <w:r>
        <w:rPr>
          <w:rFonts w:hint="default" w:ascii="Times New Roman" w:hAnsi="Times New Roman" w:eastAsia="宋体" w:cs="Times New Roman"/>
          <w:color w:val="000000" w:themeColor="text1"/>
          <w:spacing w:val="-3"/>
          <w:sz w:val="24"/>
          <w:szCs w:val="24"/>
          <w14:textFill>
            <w14:solidFill>
              <w14:schemeClr w14:val="tx1"/>
            </w14:solidFill>
          </w14:textFill>
        </w:rPr>
        <w:t>活性炭纤维吸</w:t>
      </w:r>
      <w:r>
        <w:rPr>
          <w:rFonts w:hint="default" w:ascii="Times New Roman" w:hAnsi="Times New Roman" w:eastAsia="宋体" w:cs="Times New Roman"/>
          <w:color w:val="000000" w:themeColor="text1"/>
          <w:spacing w:val="-1"/>
          <w:sz w:val="24"/>
          <w:szCs w:val="24"/>
          <w14:textFill>
            <w14:solidFill>
              <w14:schemeClr w14:val="tx1"/>
            </w14:solidFill>
          </w14:textFill>
        </w:rPr>
        <w:t>附装置对非甲烷总烃处理效率</w:t>
      </w:r>
      <w:r>
        <w:rPr>
          <w:rFonts w:hint="eastAsia" w:cs="Times New Roman"/>
          <w:color w:val="000000" w:themeColor="text1"/>
          <w:spacing w:val="-1"/>
          <w:sz w:val="24"/>
          <w:szCs w:val="24"/>
          <w:lang w:val="en-US" w:eastAsia="zh-CN"/>
          <w14:textFill>
            <w14:solidFill>
              <w14:schemeClr w14:val="tx1"/>
            </w14:solidFill>
          </w14:textFill>
        </w:rPr>
        <w:t>为50%</w:t>
      </w:r>
      <w:r>
        <w:rPr>
          <w:rFonts w:hint="default" w:ascii="Times New Roman" w:hAnsi="Times New Roman" w:eastAsia="宋体" w:cs="Times New Roman"/>
          <w:color w:val="000000" w:themeColor="text1"/>
          <w:spacing w:val="-1"/>
          <w:sz w:val="24"/>
          <w:szCs w:val="24"/>
          <w14:textFill>
            <w14:solidFill>
              <w14:schemeClr w14:val="tx1"/>
            </w14:solidFill>
          </w14:textFill>
        </w:rPr>
        <w:t>，对废气排放的污染影响进行分析。</w:t>
      </w:r>
    </w:p>
    <w:p w14:paraId="55404958">
      <w:pPr>
        <w:spacing w:before="1" w:line="383" w:lineRule="auto"/>
        <w:ind w:left="46" w:right="23" w:firstLine="478"/>
        <w:jc w:val="both"/>
        <w:rPr>
          <w:rFonts w:hint="default" w:ascii="Times New Roman" w:hAnsi="Times New Roman" w:cs="Times New Roman"/>
          <w:bCs/>
          <w:color w:val="000000" w:themeColor="text1"/>
          <w:spacing w:val="0"/>
          <w:sz w:val="24"/>
          <w14:textFill>
            <w14:solidFill>
              <w14:schemeClr w14:val="tx1"/>
            </w14:solidFill>
          </w14:textFill>
        </w:rPr>
      </w:pPr>
      <w:r>
        <w:rPr>
          <w:rFonts w:hint="default" w:ascii="Times New Roman" w:hAnsi="Times New Roman" w:eastAsia="宋体" w:cs="Times New Roman"/>
          <w:color w:val="000000" w:themeColor="text1"/>
          <w:spacing w:val="-1"/>
          <w:sz w:val="24"/>
          <w:szCs w:val="24"/>
          <w14:textFill>
            <w14:solidFill>
              <w14:schemeClr w14:val="tx1"/>
            </w14:solidFill>
          </w14:textFill>
        </w:rPr>
        <w:t>根据产生源强核算可知，事故状态下有组织排放的非甲烷总烃排放速率</w:t>
      </w:r>
      <w:r>
        <w:rPr>
          <w:rFonts w:hint="default" w:ascii="Times New Roman" w:hAnsi="Times New Roman" w:eastAsia="宋体" w:cs="Times New Roman"/>
          <w:color w:val="000000" w:themeColor="text1"/>
          <w:spacing w:val="-50"/>
          <w:sz w:val="24"/>
          <w:szCs w:val="24"/>
          <w14:textFill>
            <w14:solidFill>
              <w14:schemeClr w14:val="tx1"/>
            </w14:solidFill>
          </w14:textFill>
        </w:rPr>
        <w:t xml:space="preserve"> </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0.</w:t>
      </w:r>
      <w:r>
        <w:rPr>
          <w:rFonts w:hint="eastAsia" w:cs="Times New Roman"/>
          <w:color w:val="000000" w:themeColor="text1"/>
          <w:spacing w:val="-1"/>
          <w:sz w:val="24"/>
          <w:szCs w:val="24"/>
          <w:lang w:val="en-US" w:eastAsia="zh-CN"/>
          <w14:textFill>
            <w14:solidFill>
              <w14:schemeClr w14:val="tx1"/>
            </w14:solidFill>
          </w14:textFill>
        </w:rPr>
        <w:t>625</w:t>
      </w:r>
      <w:r>
        <w:rPr>
          <w:rFonts w:hint="default" w:ascii="Times New Roman" w:hAnsi="Times New Roman" w:eastAsia="Times New Roman" w:cs="Times New Roman"/>
          <w:color w:val="000000" w:themeColor="text1"/>
          <w:spacing w:val="-1"/>
          <w:sz w:val="24"/>
          <w:szCs w:val="24"/>
          <w14:textFill>
            <w14:solidFill>
              <w14:schemeClr w14:val="tx1"/>
            </w14:solidFill>
          </w14:textFill>
        </w:rPr>
        <w:t>kg/h</w:t>
      </w:r>
      <w:r>
        <w:rPr>
          <w:rFonts w:hint="default" w:ascii="Times New Roman" w:hAnsi="Times New Roman" w:eastAsia="Times New Roman" w:cs="Times New Roman"/>
          <w:color w:val="000000" w:themeColor="text1"/>
          <w:spacing w:val="-27"/>
          <w:sz w:val="24"/>
          <w:szCs w:val="24"/>
          <w14:textFill>
            <w14:solidFill>
              <w14:schemeClr w14:val="tx1"/>
            </w14:solidFill>
          </w14:textFill>
        </w:rPr>
        <w:t xml:space="preserve"> </w:t>
      </w:r>
      <w:r>
        <w:rPr>
          <w:rFonts w:hint="default" w:ascii="Times New Roman" w:hAnsi="Times New Roman" w:eastAsia="宋体" w:cs="Times New Roman"/>
          <w:color w:val="000000" w:themeColor="text1"/>
          <w:spacing w:val="-1"/>
          <w:sz w:val="24"/>
          <w:szCs w:val="24"/>
          <w14:textFill>
            <w14:solidFill>
              <w14:schemeClr w14:val="tx1"/>
            </w14:solidFill>
          </w14:textFill>
        </w:rPr>
        <w:t>。</w:t>
      </w:r>
      <w:r>
        <w:rPr>
          <w:rFonts w:hint="default" w:ascii="Times New Roman" w:hAnsi="Times New Roman" w:eastAsia="宋体" w:cs="Times New Roman"/>
          <w:color w:val="000000" w:themeColor="text1"/>
          <w:spacing w:val="-3"/>
          <w:sz w:val="24"/>
          <w:szCs w:val="24"/>
          <w14:textFill>
            <w14:solidFill>
              <w14:schemeClr w14:val="tx1"/>
            </w14:solidFill>
          </w14:textFill>
        </w:rPr>
        <w:t>分析表明，由于废气源强相对较小，即便在无废气</w:t>
      </w:r>
      <w:r>
        <w:rPr>
          <w:rFonts w:hint="default" w:ascii="Times New Roman" w:hAnsi="Times New Roman" w:eastAsia="宋体" w:cs="Times New Roman"/>
          <w:color w:val="000000" w:themeColor="text1"/>
          <w:spacing w:val="-4"/>
          <w:sz w:val="24"/>
          <w:szCs w:val="24"/>
          <w14:textFill>
            <w14:solidFill>
              <w14:schemeClr w14:val="tx1"/>
            </w14:solidFill>
          </w14:textFill>
        </w:rPr>
        <w:t>治理措施情况下，项目有组织排放的</w:t>
      </w:r>
      <w:r>
        <w:rPr>
          <w:rFonts w:hint="default" w:ascii="Times New Roman" w:hAnsi="Times New Roman" w:eastAsia="宋体" w:cs="Times New Roman"/>
          <w:color w:val="000000" w:themeColor="text1"/>
          <w:spacing w:val="-1"/>
          <w:sz w:val="24"/>
          <w:szCs w:val="24"/>
          <w14:textFill>
            <w14:solidFill>
              <w14:schemeClr w14:val="tx1"/>
            </w14:solidFill>
          </w14:textFill>
        </w:rPr>
        <w:t>非甲烷总烃对周边环境的影响也很小，不会对周边居</w:t>
      </w:r>
      <w:r>
        <w:rPr>
          <w:rFonts w:hint="default" w:ascii="Times New Roman" w:hAnsi="Times New Roman" w:eastAsia="宋体" w:cs="Times New Roman"/>
          <w:color w:val="000000" w:themeColor="text1"/>
          <w:spacing w:val="-2"/>
          <w:sz w:val="24"/>
          <w:szCs w:val="24"/>
          <w14:textFill>
            <w14:solidFill>
              <w14:schemeClr w14:val="tx1"/>
            </w14:solidFill>
          </w14:textFill>
        </w:rPr>
        <w:t>民区空气环境带来大的不利影响。</w:t>
      </w:r>
      <w:r>
        <w:rPr>
          <w:rFonts w:hint="default" w:ascii="Times New Roman" w:hAnsi="Times New Roman" w:eastAsia="宋体" w:cs="Times New Roman"/>
          <w:color w:val="000000" w:themeColor="text1"/>
          <w:spacing w:val="-3"/>
          <w:sz w:val="24"/>
          <w:szCs w:val="24"/>
          <w14:textFill>
            <w14:solidFill>
              <w14:schemeClr w14:val="tx1"/>
            </w14:solidFill>
          </w14:textFill>
        </w:rPr>
        <w:t>同时环评要求建设单位定期维护活性炭吸附装置并</w:t>
      </w:r>
      <w:r>
        <w:rPr>
          <w:rFonts w:hint="default" w:ascii="Times New Roman" w:hAnsi="Times New Roman" w:eastAsia="宋体" w:cs="Times New Roman"/>
          <w:color w:val="000000" w:themeColor="text1"/>
          <w:spacing w:val="-4"/>
          <w:sz w:val="24"/>
          <w:szCs w:val="24"/>
          <w14:textFill>
            <w14:solidFill>
              <w14:schemeClr w14:val="tx1"/>
            </w14:solidFill>
          </w14:textFill>
        </w:rPr>
        <w:t>定期更换活性炭，以满足废气处理效</w:t>
      </w:r>
      <w:r>
        <w:rPr>
          <w:rFonts w:hint="default" w:ascii="Times New Roman" w:hAnsi="Times New Roman" w:eastAsia="宋体" w:cs="Times New Roman"/>
          <w:color w:val="000000" w:themeColor="text1"/>
          <w:spacing w:val="-2"/>
          <w:sz w:val="24"/>
          <w:szCs w:val="24"/>
          <w14:textFill>
            <w14:solidFill>
              <w14:schemeClr w14:val="tx1"/>
            </w14:solidFill>
          </w14:textFill>
        </w:rPr>
        <w:t>率，满足废气达标排放。</w:t>
      </w:r>
      <w:bookmarkEnd w:id="114"/>
    </w:p>
    <w:p w14:paraId="797756D6">
      <w:pPr>
        <w:pStyle w:val="3159"/>
        <w:rPr>
          <w:rFonts w:hint="default" w:ascii="Times New Roman" w:hAnsi="Times New Roman" w:eastAsia="黑体" w:cs="Times New Roman"/>
          <w:b w:val="0"/>
          <w:color w:val="000000" w:themeColor="text1"/>
          <w14:textFill>
            <w14:solidFill>
              <w14:schemeClr w14:val="tx1"/>
            </w14:solidFill>
          </w14:textFill>
        </w:rPr>
      </w:pPr>
      <w:bookmarkStart w:id="116" w:name="_Toc173837704"/>
      <w:r>
        <w:rPr>
          <w:rFonts w:hint="default" w:ascii="Times New Roman" w:hAnsi="Times New Roman" w:eastAsia="黑体" w:cs="Times New Roman"/>
          <w:b w:val="0"/>
          <w:color w:val="000000" w:themeColor="text1"/>
          <w14:textFill>
            <w14:solidFill>
              <w14:schemeClr w14:val="tx1"/>
            </w14:solidFill>
          </w14:textFill>
        </w:rPr>
        <w:t>5.2.</w:t>
      </w:r>
      <w:r>
        <w:rPr>
          <w:rFonts w:hint="eastAsia" w:eastAsia="黑体" w:cs="Times New Roman"/>
          <w:b w:val="0"/>
          <w:color w:val="000000" w:themeColor="text1"/>
          <w:lang w:val="en-US" w:eastAsia="zh-CN"/>
          <w14:textFill>
            <w14:solidFill>
              <w14:schemeClr w14:val="tx1"/>
            </w14:solidFill>
          </w14:textFill>
        </w:rPr>
        <w:t>3</w:t>
      </w:r>
      <w:r>
        <w:rPr>
          <w:rFonts w:hint="default" w:ascii="Times New Roman" w:hAnsi="Times New Roman" w:eastAsia="黑体" w:cs="Times New Roman"/>
          <w:b w:val="0"/>
          <w:color w:val="000000" w:themeColor="text1"/>
          <w14:textFill>
            <w14:solidFill>
              <w14:schemeClr w14:val="tx1"/>
            </w14:solidFill>
          </w14:textFill>
        </w:rPr>
        <w:t>污染物排放量核算</w:t>
      </w:r>
      <w:bookmarkEnd w:id="116"/>
    </w:p>
    <w:p w14:paraId="28919CD9">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根据《环境影响评价技术导则大气环境》（HJ2.2-2018），对本项目的污染物排放进行核算，核算结果如下所示。</w:t>
      </w:r>
    </w:p>
    <w:p w14:paraId="47E1687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（1）有组织排放量核算</w:t>
      </w:r>
    </w:p>
    <w:p w14:paraId="0731B255">
      <w:pPr>
        <w:adjustRightInd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表5.2-</w:t>
      </w:r>
      <w:r>
        <w:rPr>
          <w:rFonts w:hint="eastAsia" w:ascii="Times New Roman" w:hAnsi="Times New Roman" w:eastAsia="黑体" w:cs="Times New Roman"/>
          <w:bCs/>
          <w:color w:val="000000" w:themeColor="text1"/>
          <w:sz w:val="24"/>
          <w:lang w:val="en-US" w:eastAsia="zh-CN"/>
          <w14:textFill>
            <w14:solidFill>
              <w14:schemeClr w14:val="tx1"/>
            </w14:solidFill>
          </w14:textFill>
        </w:rPr>
        <w:t>1</w:t>
      </w:r>
      <w:r>
        <w:rPr>
          <w:rFonts w:hint="eastAsia" w:eastAsia="黑体" w:cs="Times New Roman"/>
          <w:bCs/>
          <w:color w:val="000000" w:themeColor="text1"/>
          <w:sz w:val="24"/>
          <w:lang w:val="en-US" w:eastAsia="zh-CN"/>
          <w14:textFill>
            <w14:solidFill>
              <w14:schemeClr w14:val="tx1"/>
            </w14:solidFill>
          </w14:textFill>
        </w:rPr>
        <w:t>5</w:t>
      </w:r>
      <w:r>
        <w:rPr>
          <w:rFonts w:hint="default" w:ascii="Times New Roman" w:hAnsi="Times New Roman" w:eastAsia="黑体" w:cs="Times New Roman"/>
          <w:bCs/>
          <w:color w:val="000000" w:themeColor="text1"/>
          <w:sz w:val="24"/>
          <w14:textFill>
            <w14:solidFill>
              <w14:schemeClr w14:val="tx1"/>
            </w14:solidFill>
          </w14:textFill>
        </w:rPr>
        <w:t>大气污染物有组织排放量核算表</w:t>
      </w:r>
    </w:p>
    <w:tbl>
      <w:tblPr>
        <w:tblStyle w:val="88"/>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607"/>
        <w:gridCol w:w="1365"/>
        <w:gridCol w:w="1391"/>
        <w:gridCol w:w="1655"/>
        <w:gridCol w:w="1933"/>
        <w:gridCol w:w="1571"/>
      </w:tblGrid>
      <w:tr w14:paraId="1DEA193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356" w:type="pct"/>
            <w:vAlign w:val="center"/>
          </w:tcPr>
          <w:p w14:paraId="032A3FE3">
            <w:pPr>
              <w:autoSpaceDE w:val="0"/>
              <w:autoSpaceDN w:val="0"/>
              <w:adjustRightInd w:val="0"/>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序号</w:t>
            </w:r>
          </w:p>
        </w:tc>
        <w:tc>
          <w:tcPr>
            <w:tcW w:w="800" w:type="pct"/>
            <w:vAlign w:val="center"/>
          </w:tcPr>
          <w:p w14:paraId="718A825E">
            <w:pPr>
              <w:autoSpaceDE w:val="0"/>
              <w:autoSpaceDN w:val="0"/>
              <w:adjustRightInd w:val="0"/>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排放口编号</w:t>
            </w:r>
          </w:p>
        </w:tc>
        <w:tc>
          <w:tcPr>
            <w:tcW w:w="816" w:type="pct"/>
            <w:vAlign w:val="center"/>
          </w:tcPr>
          <w:p w14:paraId="0AA34112">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污染物</w:t>
            </w:r>
          </w:p>
        </w:tc>
        <w:tc>
          <w:tcPr>
            <w:tcW w:w="971" w:type="pct"/>
            <w:vAlign w:val="center"/>
          </w:tcPr>
          <w:p w14:paraId="6E1B4921">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核算排放浓度（mg</w:t>
            </w:r>
            <w:r>
              <w:rPr>
                <w:rFonts w:hint="default" w:ascii="Times New Roman" w:hAnsi="Times New Roman" w:cs="Times New Roman"/>
                <w:b/>
                <w:color w:val="000000" w:themeColor="text1"/>
                <w:kern w:val="2"/>
                <w:sz w:val="21"/>
                <w:szCs w:val="21"/>
                <w:shd w:val="clear" w:color="auto" w:fill="FFFFFF"/>
                <w14:textFill>
                  <w14:solidFill>
                    <w14:schemeClr w14:val="tx1"/>
                  </w14:solidFill>
                </w14:textFill>
              </w:rPr>
              <w:t>/m</w:t>
            </w:r>
            <w:r>
              <w:rPr>
                <w:rFonts w:hint="default" w:ascii="Times New Roman" w:hAnsi="Times New Roman" w:cs="Times New Roman"/>
                <w:b/>
                <w:color w:val="000000" w:themeColor="text1"/>
                <w:kern w:val="2"/>
                <w:sz w:val="21"/>
                <w:szCs w:val="21"/>
                <w:shd w:val="clear" w:color="auto" w:fill="FFFFFF"/>
                <w:vertAlign w:val="superscript"/>
                <w14:textFill>
                  <w14:solidFill>
                    <w14:schemeClr w14:val="tx1"/>
                  </w14:solidFill>
                </w14:textFill>
              </w:rPr>
              <w:t>3</w:t>
            </w:r>
            <w:r>
              <w:rPr>
                <w:rFonts w:hint="default" w:ascii="Times New Roman" w:hAnsi="Times New Roman" w:cs="Times New Roman"/>
                <w:b/>
                <w:color w:val="000000" w:themeColor="text1"/>
                <w:kern w:val="2"/>
                <w:sz w:val="21"/>
                <w:szCs w:val="21"/>
                <w14:textFill>
                  <w14:solidFill>
                    <w14:schemeClr w14:val="tx1"/>
                  </w14:solidFill>
                </w14:textFill>
              </w:rPr>
              <w:t>）</w:t>
            </w:r>
          </w:p>
        </w:tc>
        <w:tc>
          <w:tcPr>
            <w:tcW w:w="1134" w:type="pct"/>
            <w:vAlign w:val="center"/>
          </w:tcPr>
          <w:p w14:paraId="6710E1BD">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核算排放速率（kg/h）</w:t>
            </w:r>
          </w:p>
        </w:tc>
        <w:tc>
          <w:tcPr>
            <w:tcW w:w="921" w:type="pct"/>
            <w:vAlign w:val="center"/>
          </w:tcPr>
          <w:p w14:paraId="320729AD">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核算年排放量（t/a）</w:t>
            </w:r>
          </w:p>
        </w:tc>
      </w:tr>
      <w:tr w14:paraId="5CAF431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5000" w:type="pct"/>
            <w:gridSpan w:val="6"/>
            <w:vAlign w:val="center"/>
          </w:tcPr>
          <w:p w14:paraId="3BA85F67">
            <w:pPr>
              <w:autoSpaceDE w:val="0"/>
              <w:autoSpaceDN w:val="0"/>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一般排放口</w:t>
            </w:r>
          </w:p>
        </w:tc>
      </w:tr>
      <w:tr w14:paraId="3868019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356" w:type="pct"/>
            <w:vAlign w:val="center"/>
          </w:tcPr>
          <w:p w14:paraId="0BC3B172">
            <w:pPr>
              <w:autoSpaceDE w:val="0"/>
              <w:autoSpaceDN w:val="0"/>
              <w:adjustRightInd w:val="0"/>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w:t>
            </w:r>
          </w:p>
        </w:tc>
        <w:tc>
          <w:tcPr>
            <w:tcW w:w="800" w:type="pct"/>
            <w:vAlign w:val="center"/>
          </w:tcPr>
          <w:p w14:paraId="6F724E25">
            <w:pPr>
              <w:autoSpaceDE w:val="0"/>
              <w:autoSpaceDN w:val="0"/>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DA001</w:t>
            </w:r>
          </w:p>
        </w:tc>
        <w:tc>
          <w:tcPr>
            <w:tcW w:w="816" w:type="pct"/>
            <w:shd w:val="clear" w:color="auto" w:fill="auto"/>
            <w:vAlign w:val="center"/>
          </w:tcPr>
          <w:p w14:paraId="3947EF19">
            <w:pPr>
              <w:widowControl/>
              <w:spacing w:line="276"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1655" w:type="dxa"/>
            <w:shd w:val="clear" w:color="auto" w:fill="auto"/>
            <w:vAlign w:val="center"/>
          </w:tcPr>
          <w:p w14:paraId="26FE9432">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6.216</w:t>
            </w:r>
          </w:p>
        </w:tc>
        <w:tc>
          <w:tcPr>
            <w:tcW w:w="1933" w:type="dxa"/>
            <w:shd w:val="clear" w:color="auto" w:fill="auto"/>
            <w:vAlign w:val="center"/>
          </w:tcPr>
          <w:p w14:paraId="15CCABD4">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0.031</w:t>
            </w:r>
          </w:p>
        </w:tc>
        <w:tc>
          <w:tcPr>
            <w:tcW w:w="1571" w:type="dxa"/>
            <w:shd w:val="clear" w:color="auto" w:fill="auto"/>
            <w:vAlign w:val="center"/>
          </w:tcPr>
          <w:p w14:paraId="7AFC3705">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0.149</w:t>
            </w:r>
          </w:p>
        </w:tc>
      </w:tr>
      <w:tr w14:paraId="01D1137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356" w:type="pct"/>
            <w:vAlign w:val="center"/>
          </w:tcPr>
          <w:p w14:paraId="2B72C72B">
            <w:pPr>
              <w:autoSpaceDE w:val="0"/>
              <w:autoSpaceDN w:val="0"/>
              <w:adjustRightInd w:val="0"/>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800" w:type="pct"/>
            <w:vAlign w:val="center"/>
          </w:tcPr>
          <w:p w14:paraId="2D720A6E">
            <w:pPr>
              <w:autoSpaceDE w:val="0"/>
              <w:autoSpaceDN w:val="0"/>
              <w:adjustRightInd w:val="0"/>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DA002</w:t>
            </w:r>
          </w:p>
        </w:tc>
        <w:tc>
          <w:tcPr>
            <w:tcW w:w="816" w:type="pct"/>
            <w:vAlign w:val="center"/>
          </w:tcPr>
          <w:p w14:paraId="3AC6ECD0">
            <w:pPr>
              <w:spacing w:line="276" w:lineRule="auto"/>
              <w:jc w:val="center"/>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cs="Times New Roman"/>
                <w:color w:val="000000" w:themeColor="text1"/>
                <w:kern w:val="2"/>
                <w:sz w:val="21"/>
                <w:szCs w:val="21"/>
                <w:lang w:eastAsia="zh-CN"/>
                <w14:textFill>
                  <w14:solidFill>
                    <w14:schemeClr w14:val="tx1"/>
                  </w14:solidFill>
                </w14:textFill>
              </w:rPr>
              <w:t>颗粒物</w:t>
            </w:r>
          </w:p>
        </w:tc>
        <w:tc>
          <w:tcPr>
            <w:tcW w:w="1655" w:type="dxa"/>
            <w:vAlign w:val="center"/>
          </w:tcPr>
          <w:p w14:paraId="7A916FDF">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4.652</w:t>
            </w:r>
          </w:p>
        </w:tc>
        <w:tc>
          <w:tcPr>
            <w:tcW w:w="1933" w:type="dxa"/>
            <w:vAlign w:val="center"/>
          </w:tcPr>
          <w:p w14:paraId="08E6C35F">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0.026</w:t>
            </w:r>
          </w:p>
        </w:tc>
        <w:tc>
          <w:tcPr>
            <w:tcW w:w="1571" w:type="dxa"/>
            <w:vAlign w:val="center"/>
          </w:tcPr>
          <w:p w14:paraId="0FF38C10">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0.123</w:t>
            </w:r>
          </w:p>
        </w:tc>
      </w:tr>
      <w:tr w14:paraId="225A127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356" w:type="pct"/>
            <w:vMerge w:val="restart"/>
            <w:vAlign w:val="center"/>
          </w:tcPr>
          <w:p w14:paraId="4630E85A">
            <w:pPr>
              <w:autoSpaceDE w:val="0"/>
              <w:autoSpaceDN w:val="0"/>
              <w:adjustRightInd w:val="0"/>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800" w:type="pct"/>
            <w:vMerge w:val="restart"/>
            <w:vAlign w:val="center"/>
          </w:tcPr>
          <w:p w14:paraId="01B68135">
            <w:pPr>
              <w:autoSpaceDE w:val="0"/>
              <w:autoSpaceDN w:val="0"/>
              <w:adjustRightInd w:val="0"/>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DA00</w:t>
            </w: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816" w:type="pct"/>
            <w:vAlign w:val="center"/>
          </w:tcPr>
          <w:p w14:paraId="2F46D3B9">
            <w:pPr>
              <w:spacing w:line="276" w:lineRule="auto"/>
              <w:jc w:val="center"/>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氨</w:t>
            </w:r>
          </w:p>
        </w:tc>
        <w:tc>
          <w:tcPr>
            <w:tcW w:w="1655" w:type="dxa"/>
            <w:vAlign w:val="center"/>
          </w:tcPr>
          <w:p w14:paraId="692521CD">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1.882</w:t>
            </w:r>
          </w:p>
        </w:tc>
        <w:tc>
          <w:tcPr>
            <w:tcW w:w="1933" w:type="dxa"/>
            <w:vAlign w:val="center"/>
          </w:tcPr>
          <w:p w14:paraId="7F02D815">
            <w:pPr>
              <w:widowControl/>
              <w:spacing w:line="240"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565</w:t>
            </w:r>
          </w:p>
        </w:tc>
        <w:tc>
          <w:tcPr>
            <w:tcW w:w="1571" w:type="dxa"/>
            <w:vAlign w:val="center"/>
          </w:tcPr>
          <w:p w14:paraId="379FE4FA">
            <w:pPr>
              <w:widowControl/>
              <w:spacing w:line="240"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271</w:t>
            </w:r>
          </w:p>
        </w:tc>
      </w:tr>
      <w:tr w14:paraId="7593BD1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356" w:type="pct"/>
            <w:vMerge w:val="continue"/>
            <w:vAlign w:val="center"/>
          </w:tcPr>
          <w:p w14:paraId="7098A5F0">
            <w:pPr>
              <w:autoSpaceDE w:val="0"/>
              <w:autoSpaceDN w:val="0"/>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00" w:type="pct"/>
            <w:vMerge w:val="continue"/>
            <w:vAlign w:val="center"/>
          </w:tcPr>
          <w:p w14:paraId="0F2EB601">
            <w:pPr>
              <w:autoSpaceDE w:val="0"/>
              <w:autoSpaceDN w:val="0"/>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16" w:type="pct"/>
            <w:vAlign w:val="center"/>
          </w:tcPr>
          <w:p w14:paraId="10F33AFE">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lang w:eastAsia="zh-CN"/>
                <w14:textFill>
                  <w14:solidFill>
                    <w14:schemeClr w14:val="tx1"/>
                  </w14:solidFill>
                </w14:textFill>
              </w:rPr>
              <w:t>硫化氢</w:t>
            </w:r>
          </w:p>
        </w:tc>
        <w:tc>
          <w:tcPr>
            <w:tcW w:w="1655" w:type="dxa"/>
            <w:vAlign w:val="center"/>
          </w:tcPr>
          <w:p w14:paraId="383E062F">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729</w:t>
            </w:r>
          </w:p>
        </w:tc>
        <w:tc>
          <w:tcPr>
            <w:tcW w:w="1933" w:type="dxa"/>
            <w:vAlign w:val="center"/>
          </w:tcPr>
          <w:p w14:paraId="6D1CA21C">
            <w:pPr>
              <w:widowControl/>
              <w:spacing w:line="240"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0.000</w:t>
            </w:r>
            <w:r>
              <w:rPr>
                <w:rFonts w:hint="eastAsia" w:cs="Times New Roman"/>
                <w:color w:val="000000" w:themeColor="text1"/>
                <w:sz w:val="21"/>
                <w:szCs w:val="21"/>
                <w:lang w:val="en-US" w:eastAsia="zh-CN"/>
                <w14:textFill>
                  <w14:solidFill>
                    <w14:schemeClr w14:val="tx1"/>
                  </w14:solidFill>
                </w14:textFill>
              </w:rPr>
              <w:t>22</w:t>
            </w:r>
          </w:p>
        </w:tc>
        <w:tc>
          <w:tcPr>
            <w:tcW w:w="1571" w:type="dxa"/>
            <w:vAlign w:val="center"/>
          </w:tcPr>
          <w:p w14:paraId="07DE9671">
            <w:pPr>
              <w:widowControl/>
              <w:spacing w:line="240"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11</w:t>
            </w:r>
          </w:p>
        </w:tc>
      </w:tr>
      <w:tr w14:paraId="5EE4F93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1157" w:type="pct"/>
            <w:gridSpan w:val="2"/>
            <w:vMerge w:val="restart"/>
            <w:vAlign w:val="center"/>
          </w:tcPr>
          <w:p w14:paraId="061AA118">
            <w:pPr>
              <w:autoSpaceDE w:val="0"/>
              <w:autoSpaceDN w:val="0"/>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一般排放口/有组织排放口合计</w:t>
            </w:r>
          </w:p>
        </w:tc>
        <w:tc>
          <w:tcPr>
            <w:tcW w:w="2921" w:type="pct"/>
            <w:gridSpan w:val="3"/>
            <w:vAlign w:val="center"/>
          </w:tcPr>
          <w:p w14:paraId="7D5C8186">
            <w:pPr>
              <w:autoSpaceDE w:val="0"/>
              <w:autoSpaceDN w:val="0"/>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1571" w:type="dxa"/>
            <w:shd w:val="clear" w:color="auto" w:fill="auto"/>
            <w:vAlign w:val="center"/>
          </w:tcPr>
          <w:p w14:paraId="10D1B85F">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0.149</w:t>
            </w:r>
          </w:p>
        </w:tc>
      </w:tr>
      <w:tr w14:paraId="1AF08DD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1157" w:type="pct"/>
            <w:gridSpan w:val="2"/>
            <w:vMerge w:val="continue"/>
            <w:vAlign w:val="center"/>
          </w:tcPr>
          <w:p w14:paraId="6E9D5B9D">
            <w:pPr>
              <w:autoSpaceDE w:val="0"/>
              <w:autoSpaceDN w:val="0"/>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921" w:type="pct"/>
            <w:gridSpan w:val="3"/>
            <w:vAlign w:val="center"/>
          </w:tcPr>
          <w:p w14:paraId="14025346">
            <w:pPr>
              <w:autoSpaceDE w:val="0"/>
              <w:autoSpaceDN w:val="0"/>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颗粒物</w:t>
            </w:r>
          </w:p>
        </w:tc>
        <w:tc>
          <w:tcPr>
            <w:tcW w:w="1571" w:type="dxa"/>
            <w:shd w:val="clear" w:color="auto" w:fill="auto"/>
            <w:vAlign w:val="center"/>
          </w:tcPr>
          <w:p w14:paraId="319C5A7F">
            <w:pPr>
              <w:widowControl/>
              <w:spacing w:line="240" w:lineRule="auto"/>
              <w:jc w:val="center"/>
              <w:textAlignment w:val="center"/>
              <w:rPr>
                <w:rFonts w:hint="default"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0.123</w:t>
            </w:r>
          </w:p>
        </w:tc>
      </w:tr>
      <w:tr w14:paraId="77C4AED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1157" w:type="pct"/>
            <w:gridSpan w:val="2"/>
            <w:vMerge w:val="continue"/>
            <w:vAlign w:val="center"/>
          </w:tcPr>
          <w:p w14:paraId="68D665A3">
            <w:pPr>
              <w:autoSpaceDE w:val="0"/>
              <w:autoSpaceDN w:val="0"/>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921" w:type="pct"/>
            <w:gridSpan w:val="3"/>
            <w:vAlign w:val="center"/>
          </w:tcPr>
          <w:p w14:paraId="13942560">
            <w:pPr>
              <w:autoSpaceDE w:val="0"/>
              <w:autoSpaceDN w:val="0"/>
              <w:adjustRightInd w:val="0"/>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氨</w:t>
            </w:r>
          </w:p>
        </w:tc>
        <w:tc>
          <w:tcPr>
            <w:tcW w:w="1571" w:type="dxa"/>
            <w:shd w:val="clear" w:color="auto" w:fill="auto"/>
            <w:vAlign w:val="center"/>
          </w:tcPr>
          <w:p w14:paraId="66F1FB5D">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271</w:t>
            </w:r>
          </w:p>
        </w:tc>
      </w:tr>
      <w:tr w14:paraId="51D1404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1157" w:type="pct"/>
            <w:gridSpan w:val="2"/>
            <w:vMerge w:val="continue"/>
            <w:vAlign w:val="center"/>
          </w:tcPr>
          <w:p w14:paraId="1B09A1CE">
            <w:pPr>
              <w:autoSpaceDE w:val="0"/>
              <w:autoSpaceDN w:val="0"/>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921" w:type="pct"/>
            <w:gridSpan w:val="3"/>
            <w:vAlign w:val="center"/>
          </w:tcPr>
          <w:p w14:paraId="5A42B83B">
            <w:pPr>
              <w:autoSpaceDE w:val="0"/>
              <w:autoSpaceDN w:val="0"/>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硫化氢</w:t>
            </w:r>
          </w:p>
        </w:tc>
        <w:tc>
          <w:tcPr>
            <w:tcW w:w="1571" w:type="dxa"/>
            <w:shd w:val="clear" w:color="auto" w:fill="auto"/>
            <w:vAlign w:val="center"/>
          </w:tcPr>
          <w:p w14:paraId="495BE63F">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11</w:t>
            </w:r>
          </w:p>
        </w:tc>
      </w:tr>
    </w:tbl>
    <w:p w14:paraId="5EB6B4EE">
      <w:pPr>
        <w:pStyle w:val="251"/>
        <w:ind w:left="0" w:leftChars="0" w:firstLine="480" w:firstLineChars="20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（2）无组织排放量核算</w:t>
      </w:r>
    </w:p>
    <w:p w14:paraId="54B68B96">
      <w:pPr>
        <w:adjustRightInd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表5.2-</w:t>
      </w:r>
      <w:r>
        <w:rPr>
          <w:rFonts w:hint="eastAsia" w:ascii="Times New Roman" w:hAnsi="Times New Roman" w:eastAsia="黑体" w:cs="Times New Roman"/>
          <w:bCs/>
          <w:color w:val="000000" w:themeColor="text1"/>
          <w:sz w:val="24"/>
          <w:lang w:val="en-US" w:eastAsia="zh-CN"/>
          <w14:textFill>
            <w14:solidFill>
              <w14:schemeClr w14:val="tx1"/>
            </w14:solidFill>
          </w14:textFill>
        </w:rPr>
        <w:t>1</w:t>
      </w:r>
      <w:r>
        <w:rPr>
          <w:rFonts w:hint="eastAsia" w:eastAsia="黑体" w:cs="Times New Roman"/>
          <w:bCs/>
          <w:color w:val="000000" w:themeColor="text1"/>
          <w:sz w:val="24"/>
          <w:lang w:val="en-US" w:eastAsia="zh-CN"/>
          <w14:textFill>
            <w14:solidFill>
              <w14:schemeClr w14:val="tx1"/>
            </w14:solidFill>
          </w14:textFill>
        </w:rPr>
        <w:t>6</w:t>
      </w:r>
      <w:r>
        <w:rPr>
          <w:rFonts w:hint="default" w:ascii="Times New Roman" w:hAnsi="Times New Roman" w:eastAsia="黑体" w:cs="Times New Roman"/>
          <w:bCs/>
          <w:color w:val="000000" w:themeColor="text1"/>
          <w:sz w:val="24"/>
          <w14:textFill>
            <w14:solidFill>
              <w14:schemeClr w14:val="tx1"/>
            </w14:solidFill>
          </w14:textFill>
        </w:rPr>
        <w:t>大气污染物无组织排放量核算表</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59"/>
        <w:gridCol w:w="859"/>
        <w:gridCol w:w="494"/>
        <w:gridCol w:w="774"/>
        <w:gridCol w:w="900"/>
        <w:gridCol w:w="1229"/>
        <w:gridCol w:w="599"/>
        <w:gridCol w:w="709"/>
        <w:gridCol w:w="1197"/>
        <w:gridCol w:w="1202"/>
      </w:tblGrid>
      <w:tr w14:paraId="55E985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7" w:type="pct"/>
            <w:vMerge w:val="restart"/>
            <w:vAlign w:val="center"/>
          </w:tcPr>
          <w:p w14:paraId="31F710B8">
            <w:pPr>
              <w:spacing w:line="240"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序号</w:t>
            </w:r>
          </w:p>
        </w:tc>
        <w:tc>
          <w:tcPr>
            <w:tcW w:w="503" w:type="pct"/>
            <w:vMerge w:val="restart"/>
            <w:vAlign w:val="center"/>
          </w:tcPr>
          <w:p w14:paraId="4762C84C">
            <w:pPr>
              <w:spacing w:line="240"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产污</w:t>
            </w:r>
          </w:p>
          <w:p w14:paraId="3F2392C8">
            <w:pPr>
              <w:spacing w:line="240"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环节</w:t>
            </w:r>
          </w:p>
        </w:tc>
        <w:tc>
          <w:tcPr>
            <w:tcW w:w="743" w:type="pct"/>
            <w:gridSpan w:val="2"/>
            <w:vMerge w:val="restart"/>
            <w:vAlign w:val="center"/>
          </w:tcPr>
          <w:p w14:paraId="244FE071">
            <w:pPr>
              <w:spacing w:line="240"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污染物</w:t>
            </w:r>
          </w:p>
        </w:tc>
        <w:tc>
          <w:tcPr>
            <w:tcW w:w="528" w:type="pct"/>
            <w:vMerge w:val="restart"/>
            <w:vAlign w:val="center"/>
          </w:tcPr>
          <w:p w14:paraId="6F6A8A4A">
            <w:pPr>
              <w:spacing w:line="240"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主要污染防治措施</w:t>
            </w:r>
          </w:p>
        </w:tc>
        <w:tc>
          <w:tcPr>
            <w:tcW w:w="2190" w:type="pct"/>
            <w:gridSpan w:val="4"/>
            <w:vAlign w:val="center"/>
          </w:tcPr>
          <w:p w14:paraId="733E936E">
            <w:pPr>
              <w:spacing w:line="240"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国家或地方污染物排放标准</w:t>
            </w:r>
          </w:p>
        </w:tc>
        <w:tc>
          <w:tcPr>
            <w:tcW w:w="705" w:type="pct"/>
            <w:vMerge w:val="restart"/>
            <w:vAlign w:val="center"/>
          </w:tcPr>
          <w:p w14:paraId="717F1826">
            <w:pPr>
              <w:spacing w:line="240"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年排放量/（t/a）</w:t>
            </w:r>
          </w:p>
        </w:tc>
      </w:tr>
      <w:tr w14:paraId="4C40F1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7" w:type="pct"/>
            <w:vMerge w:val="continue"/>
            <w:vAlign w:val="center"/>
          </w:tcPr>
          <w:p w14:paraId="4F9C7072">
            <w:pPr>
              <w:widowControl/>
              <w:spacing w:line="240" w:lineRule="auto"/>
              <w:jc w:val="center"/>
              <w:rPr>
                <w:rFonts w:hint="default" w:ascii="Times New Roman" w:hAnsi="Times New Roman" w:cs="Times New Roman"/>
                <w:b/>
                <w:color w:val="000000" w:themeColor="text1"/>
                <w:kern w:val="2"/>
                <w:sz w:val="21"/>
                <w:szCs w:val="21"/>
                <w14:textFill>
                  <w14:solidFill>
                    <w14:schemeClr w14:val="tx1"/>
                  </w14:solidFill>
                </w14:textFill>
              </w:rPr>
            </w:pPr>
          </w:p>
        </w:tc>
        <w:tc>
          <w:tcPr>
            <w:tcW w:w="503" w:type="pct"/>
            <w:vMerge w:val="continue"/>
            <w:vAlign w:val="center"/>
          </w:tcPr>
          <w:p w14:paraId="3C56956A">
            <w:pPr>
              <w:widowControl/>
              <w:spacing w:line="240" w:lineRule="auto"/>
              <w:jc w:val="center"/>
              <w:rPr>
                <w:rFonts w:hint="default" w:ascii="Times New Roman" w:hAnsi="Times New Roman" w:cs="Times New Roman"/>
                <w:b/>
                <w:color w:val="000000" w:themeColor="text1"/>
                <w:kern w:val="2"/>
                <w:sz w:val="21"/>
                <w:szCs w:val="21"/>
                <w14:textFill>
                  <w14:solidFill>
                    <w14:schemeClr w14:val="tx1"/>
                  </w14:solidFill>
                </w14:textFill>
              </w:rPr>
            </w:pPr>
          </w:p>
        </w:tc>
        <w:tc>
          <w:tcPr>
            <w:tcW w:w="743" w:type="pct"/>
            <w:gridSpan w:val="2"/>
            <w:vMerge w:val="continue"/>
            <w:vAlign w:val="center"/>
          </w:tcPr>
          <w:p w14:paraId="7D0A8483">
            <w:pPr>
              <w:widowControl/>
              <w:spacing w:line="240" w:lineRule="auto"/>
              <w:jc w:val="center"/>
              <w:rPr>
                <w:rFonts w:hint="default" w:ascii="Times New Roman" w:hAnsi="Times New Roman" w:cs="Times New Roman"/>
                <w:b/>
                <w:color w:val="000000" w:themeColor="text1"/>
                <w:kern w:val="2"/>
                <w:sz w:val="21"/>
                <w:szCs w:val="21"/>
                <w14:textFill>
                  <w14:solidFill>
                    <w14:schemeClr w14:val="tx1"/>
                  </w14:solidFill>
                </w14:textFill>
              </w:rPr>
            </w:pPr>
          </w:p>
        </w:tc>
        <w:tc>
          <w:tcPr>
            <w:tcW w:w="528" w:type="pct"/>
            <w:vMerge w:val="continue"/>
            <w:vAlign w:val="center"/>
          </w:tcPr>
          <w:p w14:paraId="6F797DA8">
            <w:pPr>
              <w:widowControl/>
              <w:spacing w:line="240" w:lineRule="auto"/>
              <w:jc w:val="center"/>
              <w:rPr>
                <w:rFonts w:hint="default" w:ascii="Times New Roman" w:hAnsi="Times New Roman" w:cs="Times New Roman"/>
                <w:b/>
                <w:color w:val="000000" w:themeColor="text1"/>
                <w:kern w:val="2"/>
                <w:sz w:val="21"/>
                <w:szCs w:val="21"/>
                <w14:textFill>
                  <w14:solidFill>
                    <w14:schemeClr w14:val="tx1"/>
                  </w14:solidFill>
                </w14:textFill>
              </w:rPr>
            </w:pPr>
          </w:p>
        </w:tc>
        <w:tc>
          <w:tcPr>
            <w:tcW w:w="1072" w:type="pct"/>
            <w:gridSpan w:val="2"/>
            <w:vAlign w:val="center"/>
          </w:tcPr>
          <w:p w14:paraId="37F13A8E">
            <w:pPr>
              <w:spacing w:line="240"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标准名称</w:t>
            </w:r>
          </w:p>
        </w:tc>
        <w:tc>
          <w:tcPr>
            <w:tcW w:w="1118" w:type="pct"/>
            <w:gridSpan w:val="2"/>
            <w:vAlign w:val="center"/>
          </w:tcPr>
          <w:p w14:paraId="03C8DACE">
            <w:pPr>
              <w:spacing w:line="240"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浓度限值/（</w:t>
            </w:r>
            <w:r>
              <w:rPr>
                <w:rFonts w:hint="default" w:ascii="Times New Roman" w:hAnsi="Times New Roman" w:cs="Times New Roman"/>
                <w:b/>
                <w:color w:val="000000" w:themeColor="text1"/>
                <w:kern w:val="2"/>
                <w:sz w:val="21"/>
                <w:szCs w:val="21"/>
                <w:shd w:val="clear" w:color="auto" w:fill="FFFFFF"/>
                <w14:textFill>
                  <w14:solidFill>
                    <w14:schemeClr w14:val="tx1"/>
                  </w14:solidFill>
                </w14:textFill>
              </w:rPr>
              <w:t>mg/m</w:t>
            </w:r>
            <w:r>
              <w:rPr>
                <w:rFonts w:hint="default" w:ascii="Times New Roman" w:hAnsi="Times New Roman" w:cs="Times New Roman"/>
                <w:b/>
                <w:color w:val="000000" w:themeColor="text1"/>
                <w:kern w:val="2"/>
                <w:sz w:val="21"/>
                <w:szCs w:val="21"/>
                <w:shd w:val="clear" w:color="auto" w:fill="FFFFFF"/>
                <w:vertAlign w:val="superscript"/>
                <w14:textFill>
                  <w14:solidFill>
                    <w14:schemeClr w14:val="tx1"/>
                  </w14:solidFill>
                </w14:textFill>
              </w:rPr>
              <w:t>3</w:t>
            </w:r>
            <w:r>
              <w:rPr>
                <w:rFonts w:hint="default" w:ascii="Times New Roman" w:hAnsi="Times New Roman" w:cs="Times New Roman"/>
                <w:b/>
                <w:color w:val="000000" w:themeColor="text1"/>
                <w:kern w:val="2"/>
                <w:sz w:val="21"/>
                <w:szCs w:val="21"/>
                <w14:textFill>
                  <w14:solidFill>
                    <w14:schemeClr w14:val="tx1"/>
                  </w14:solidFill>
                </w14:textFill>
              </w:rPr>
              <w:t>）</w:t>
            </w:r>
          </w:p>
        </w:tc>
        <w:tc>
          <w:tcPr>
            <w:tcW w:w="705" w:type="pct"/>
            <w:vMerge w:val="continue"/>
            <w:vAlign w:val="center"/>
          </w:tcPr>
          <w:p w14:paraId="0A99402D">
            <w:pPr>
              <w:widowControl/>
              <w:spacing w:line="240" w:lineRule="auto"/>
              <w:jc w:val="center"/>
              <w:rPr>
                <w:rFonts w:hint="default" w:ascii="Times New Roman" w:hAnsi="Times New Roman" w:cs="Times New Roman"/>
                <w:b/>
                <w:color w:val="000000" w:themeColor="text1"/>
                <w:kern w:val="2"/>
                <w:sz w:val="21"/>
                <w:szCs w:val="21"/>
                <w14:textFill>
                  <w14:solidFill>
                    <w14:schemeClr w14:val="tx1"/>
                  </w14:solidFill>
                </w14:textFill>
              </w:rPr>
            </w:pPr>
          </w:p>
        </w:tc>
      </w:tr>
      <w:tr w14:paraId="2A8616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7" w:type="pct"/>
            <w:vAlign w:val="center"/>
          </w:tcPr>
          <w:p w14:paraId="21733B01">
            <w:pPr>
              <w:spacing w:line="240"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1</w:t>
            </w:r>
          </w:p>
        </w:tc>
        <w:tc>
          <w:tcPr>
            <w:tcW w:w="503" w:type="pct"/>
            <w:vAlign w:val="center"/>
          </w:tcPr>
          <w:p w14:paraId="452E5484">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1#厂房</w:t>
            </w:r>
          </w:p>
        </w:tc>
        <w:tc>
          <w:tcPr>
            <w:tcW w:w="743" w:type="pct"/>
            <w:gridSpan w:val="2"/>
            <w:vAlign w:val="center"/>
          </w:tcPr>
          <w:p w14:paraId="56AB05DE">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zh-CN"/>
                <w14:textFill>
                  <w14:solidFill>
                    <w14:schemeClr w14:val="tx1"/>
                  </w14:solidFill>
                </w14:textFill>
              </w:rPr>
              <w:t>非甲烷总烃</w:t>
            </w:r>
          </w:p>
        </w:tc>
        <w:tc>
          <w:tcPr>
            <w:tcW w:w="528" w:type="pct"/>
            <w:vMerge w:val="restart"/>
            <w:vAlign w:val="center"/>
          </w:tcPr>
          <w:p w14:paraId="097AE0FB">
            <w:pPr>
              <w:spacing w:line="240" w:lineRule="auto"/>
              <w:jc w:val="center"/>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cs="Times New Roman"/>
                <w:color w:val="000000" w:themeColor="text1"/>
                <w:kern w:val="2"/>
                <w:sz w:val="21"/>
                <w:szCs w:val="21"/>
                <w:lang w:eastAsia="zh-CN"/>
                <w14:textFill>
                  <w14:solidFill>
                    <w14:schemeClr w14:val="tx1"/>
                  </w14:solidFill>
                </w14:textFill>
              </w:rPr>
              <w:t>加强车间通风，提高有组织收集效率</w:t>
            </w:r>
          </w:p>
        </w:tc>
        <w:tc>
          <w:tcPr>
            <w:tcW w:w="1072" w:type="pct"/>
            <w:gridSpan w:val="2"/>
            <w:vMerge w:val="restart"/>
            <w:vAlign w:val="center"/>
          </w:tcPr>
          <w:p w14:paraId="67BE7BB6">
            <w:pPr>
              <w:spacing w:line="240"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《固定源挥发性有机物综合排放标准 第6部分其他行业》（DB34 4812.6-2024）</w:t>
            </w:r>
          </w:p>
        </w:tc>
        <w:tc>
          <w:tcPr>
            <w:tcW w:w="415" w:type="pct"/>
            <w:vAlign w:val="center"/>
          </w:tcPr>
          <w:p w14:paraId="5EAC1AD6">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6</w:t>
            </w:r>
          </w:p>
        </w:tc>
        <w:tc>
          <w:tcPr>
            <w:tcW w:w="702" w:type="pct"/>
            <w:vAlign w:val="center"/>
          </w:tcPr>
          <w:p w14:paraId="3A56A0BF">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监控点处1h平均浓度值</w:t>
            </w:r>
          </w:p>
        </w:tc>
        <w:tc>
          <w:tcPr>
            <w:tcW w:w="1202" w:type="dxa"/>
            <w:vAlign w:val="center"/>
          </w:tcPr>
          <w:p w14:paraId="3E7F8575">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val="en-US" w:eastAsia="zh-CN"/>
                <w14:textFill>
                  <w14:solidFill>
                    <w14:schemeClr w14:val="tx1"/>
                  </w14:solidFill>
                </w14:textFill>
              </w:rPr>
              <w:t>0.</w:t>
            </w:r>
            <w:r>
              <w:rPr>
                <w:rFonts w:hint="eastAsia" w:cs="Times New Roman"/>
                <w:color w:val="000000" w:themeColor="text1"/>
                <w:spacing w:val="0"/>
                <w:sz w:val="21"/>
                <w:szCs w:val="21"/>
                <w:lang w:val="en-US" w:eastAsia="zh-CN"/>
                <w14:textFill>
                  <w14:solidFill>
                    <w14:schemeClr w14:val="tx1"/>
                  </w14:solidFill>
                </w14:textFill>
              </w:rPr>
              <w:t>02</w:t>
            </w:r>
          </w:p>
        </w:tc>
      </w:tr>
      <w:tr w14:paraId="6FD7B2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27" w:type="pct"/>
            <w:vMerge w:val="restart"/>
            <w:vAlign w:val="center"/>
          </w:tcPr>
          <w:p w14:paraId="1549927B">
            <w:pPr>
              <w:spacing w:line="240"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2</w:t>
            </w:r>
          </w:p>
        </w:tc>
        <w:tc>
          <w:tcPr>
            <w:tcW w:w="503" w:type="pct"/>
            <w:vMerge w:val="restart"/>
            <w:vAlign w:val="center"/>
          </w:tcPr>
          <w:p w14:paraId="76327176">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2#厂房</w:t>
            </w:r>
          </w:p>
        </w:tc>
        <w:tc>
          <w:tcPr>
            <w:tcW w:w="743" w:type="pct"/>
            <w:gridSpan w:val="2"/>
            <w:vAlign w:val="center"/>
          </w:tcPr>
          <w:p w14:paraId="4BBEE6B4">
            <w:pPr>
              <w:spacing w:line="240" w:lineRule="auto"/>
              <w:jc w:val="center"/>
              <w:rPr>
                <w:rFonts w:hint="default" w:ascii="Times New Roman" w:hAnsi="Times New Roman" w:cs="Times New Roman"/>
                <w:color w:val="000000" w:themeColor="text1"/>
                <w:sz w:val="21"/>
                <w:szCs w:val="21"/>
                <w:lang w:val="zh-CN"/>
                <w14:textFill>
                  <w14:solidFill>
                    <w14:schemeClr w14:val="tx1"/>
                  </w14:solidFill>
                </w14:textFill>
              </w:rPr>
            </w:pPr>
            <w:r>
              <w:rPr>
                <w:rFonts w:hint="default" w:ascii="Times New Roman" w:hAnsi="Times New Roman" w:cs="Times New Roman"/>
                <w:color w:val="000000" w:themeColor="text1"/>
                <w:sz w:val="21"/>
                <w:szCs w:val="21"/>
                <w:lang w:val="zh-CN"/>
                <w14:textFill>
                  <w14:solidFill>
                    <w14:schemeClr w14:val="tx1"/>
                  </w14:solidFill>
                </w14:textFill>
              </w:rPr>
              <w:t>非甲烷总烃</w:t>
            </w:r>
          </w:p>
        </w:tc>
        <w:tc>
          <w:tcPr>
            <w:tcW w:w="528" w:type="pct"/>
            <w:vMerge w:val="continue"/>
            <w:vAlign w:val="center"/>
          </w:tcPr>
          <w:p w14:paraId="5A82F180">
            <w:pPr>
              <w:spacing w:line="240"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072" w:type="pct"/>
            <w:gridSpan w:val="2"/>
            <w:vMerge w:val="continue"/>
            <w:vAlign w:val="center"/>
          </w:tcPr>
          <w:p w14:paraId="032AFBCA">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15" w:type="pct"/>
            <w:vAlign w:val="center"/>
          </w:tcPr>
          <w:p w14:paraId="040BCB51">
            <w:pPr>
              <w:spacing w:line="240"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20</w:t>
            </w:r>
          </w:p>
        </w:tc>
        <w:tc>
          <w:tcPr>
            <w:tcW w:w="702" w:type="pct"/>
            <w:vAlign w:val="center"/>
          </w:tcPr>
          <w:p w14:paraId="4EDCB889">
            <w:pPr>
              <w:spacing w:line="240"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监控点处任意一次浓度值</w:t>
            </w:r>
          </w:p>
        </w:tc>
        <w:tc>
          <w:tcPr>
            <w:tcW w:w="1202" w:type="dxa"/>
            <w:vAlign w:val="center"/>
          </w:tcPr>
          <w:p w14:paraId="02A8DD03">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0.0</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73</w:t>
            </w:r>
          </w:p>
        </w:tc>
      </w:tr>
      <w:tr w14:paraId="1D061B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trPr>
        <w:tc>
          <w:tcPr>
            <w:tcW w:w="327" w:type="pct"/>
            <w:vMerge w:val="continue"/>
            <w:vAlign w:val="center"/>
          </w:tcPr>
          <w:p w14:paraId="69D48AA1">
            <w:pPr>
              <w:spacing w:line="240"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503" w:type="pct"/>
            <w:vMerge w:val="continue"/>
            <w:vAlign w:val="center"/>
          </w:tcPr>
          <w:p w14:paraId="4DC5763E">
            <w:pPr>
              <w:spacing w:line="240"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743" w:type="pct"/>
            <w:gridSpan w:val="2"/>
            <w:vAlign w:val="center"/>
          </w:tcPr>
          <w:p w14:paraId="63DBB1B7">
            <w:pPr>
              <w:spacing w:line="240"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lang w:val="zh-CN"/>
                <w14:textFill>
                  <w14:solidFill>
                    <w14:schemeClr w14:val="tx1"/>
                  </w14:solidFill>
                </w14:textFill>
              </w:rPr>
              <w:t>颗粒物</w:t>
            </w:r>
          </w:p>
        </w:tc>
        <w:tc>
          <w:tcPr>
            <w:tcW w:w="528" w:type="pct"/>
            <w:vMerge w:val="continue"/>
            <w:vAlign w:val="center"/>
          </w:tcPr>
          <w:p w14:paraId="0788F105">
            <w:pPr>
              <w:spacing w:line="240"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072" w:type="pct"/>
            <w:gridSpan w:val="2"/>
            <w:vAlign w:val="center"/>
          </w:tcPr>
          <w:p w14:paraId="264E577B">
            <w:pPr>
              <w:spacing w:line="240"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《合成树脂工业污染物排放标准》（GB31572-2015）</w:t>
            </w:r>
          </w:p>
        </w:tc>
        <w:tc>
          <w:tcPr>
            <w:tcW w:w="1118" w:type="pct"/>
            <w:gridSpan w:val="2"/>
            <w:vAlign w:val="center"/>
          </w:tcPr>
          <w:p w14:paraId="30C17A41">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1.0</w:t>
            </w:r>
          </w:p>
        </w:tc>
        <w:tc>
          <w:tcPr>
            <w:tcW w:w="1202" w:type="dxa"/>
            <w:vAlign w:val="center"/>
          </w:tcPr>
          <w:p w14:paraId="72792C2F">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0.</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646</w:t>
            </w:r>
          </w:p>
        </w:tc>
      </w:tr>
      <w:tr w14:paraId="7B261BA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000" w:type="pct"/>
            <w:gridSpan w:val="10"/>
            <w:vAlign w:val="center"/>
          </w:tcPr>
          <w:p w14:paraId="26748C14">
            <w:pPr>
              <w:spacing w:line="240"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无组织排放总计</w:t>
            </w:r>
          </w:p>
        </w:tc>
      </w:tr>
      <w:tr w14:paraId="482EDA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21" w:type="pct"/>
            <w:gridSpan w:val="3"/>
            <w:vMerge w:val="restart"/>
            <w:vAlign w:val="center"/>
          </w:tcPr>
          <w:p w14:paraId="77175C49">
            <w:pPr>
              <w:spacing w:line="240"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无组织排放总计</w:t>
            </w:r>
          </w:p>
        </w:tc>
        <w:tc>
          <w:tcPr>
            <w:tcW w:w="1703" w:type="pct"/>
            <w:gridSpan w:val="3"/>
            <w:vAlign w:val="center"/>
          </w:tcPr>
          <w:p w14:paraId="259F668B">
            <w:pPr>
              <w:spacing w:line="240" w:lineRule="auto"/>
              <w:jc w:val="center"/>
              <w:rPr>
                <w:rFonts w:hint="default" w:ascii="Times New Roman" w:hAnsi="Times New Roman" w:cs="Times New Roman"/>
                <w:color w:val="000000" w:themeColor="text1"/>
                <w:sz w:val="21"/>
                <w:szCs w:val="21"/>
                <w:lang w:val="zh-CN"/>
                <w14:textFill>
                  <w14:solidFill>
                    <w14:schemeClr w14:val="tx1"/>
                  </w14:solidFill>
                </w14:textFill>
              </w:rPr>
            </w:pPr>
            <w:r>
              <w:rPr>
                <w:rFonts w:hint="default" w:ascii="Times New Roman" w:hAnsi="Times New Roman" w:cs="Times New Roman"/>
                <w:color w:val="000000" w:themeColor="text1"/>
                <w:sz w:val="21"/>
                <w:szCs w:val="21"/>
                <w:lang w:val="zh-CN"/>
                <w14:textFill>
                  <w14:solidFill>
                    <w14:schemeClr w14:val="tx1"/>
                  </w14:solidFill>
                </w14:textFill>
              </w:rPr>
              <w:t>颗粒物</w:t>
            </w:r>
          </w:p>
        </w:tc>
        <w:tc>
          <w:tcPr>
            <w:tcW w:w="2174" w:type="pct"/>
            <w:gridSpan w:val="4"/>
            <w:vAlign w:val="center"/>
          </w:tcPr>
          <w:p w14:paraId="78820948">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0.646</w:t>
            </w:r>
          </w:p>
        </w:tc>
      </w:tr>
      <w:tr w14:paraId="4105E64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21" w:type="pct"/>
            <w:gridSpan w:val="3"/>
            <w:vMerge w:val="continue"/>
            <w:vAlign w:val="center"/>
          </w:tcPr>
          <w:p w14:paraId="070E23A2">
            <w:pPr>
              <w:spacing w:line="240"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703" w:type="pct"/>
            <w:gridSpan w:val="3"/>
            <w:vAlign w:val="center"/>
          </w:tcPr>
          <w:p w14:paraId="5AC8DB2E">
            <w:pPr>
              <w:spacing w:line="240" w:lineRule="auto"/>
              <w:jc w:val="center"/>
              <w:rPr>
                <w:rFonts w:hint="default" w:ascii="Times New Roman" w:hAnsi="Times New Roman" w:cs="Times New Roman"/>
                <w:color w:val="000000" w:themeColor="text1"/>
                <w:sz w:val="21"/>
                <w:szCs w:val="21"/>
                <w:lang w:val="zh-CN"/>
                <w14:textFill>
                  <w14:solidFill>
                    <w14:schemeClr w14:val="tx1"/>
                  </w14:solidFill>
                </w14:textFill>
              </w:rPr>
            </w:pPr>
            <w:r>
              <w:rPr>
                <w:rFonts w:hint="default" w:ascii="Times New Roman" w:hAnsi="Times New Roman" w:cs="Times New Roman"/>
                <w:color w:val="000000" w:themeColor="text1"/>
                <w:sz w:val="21"/>
                <w:szCs w:val="21"/>
                <w:lang w:val="zh-CN"/>
                <w14:textFill>
                  <w14:solidFill>
                    <w14:schemeClr w14:val="tx1"/>
                  </w14:solidFill>
                </w14:textFill>
              </w:rPr>
              <w:t>非甲烷总烃</w:t>
            </w:r>
          </w:p>
        </w:tc>
        <w:tc>
          <w:tcPr>
            <w:tcW w:w="2174" w:type="pct"/>
            <w:gridSpan w:val="4"/>
            <w:vAlign w:val="center"/>
          </w:tcPr>
          <w:p w14:paraId="0F7E085D">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093</w:t>
            </w:r>
          </w:p>
        </w:tc>
      </w:tr>
    </w:tbl>
    <w:p w14:paraId="4174F710">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bookmarkStart w:id="117" w:name="_Ref488964738"/>
      <w:r>
        <w:rPr>
          <w:rFonts w:hint="default" w:ascii="Times New Roman" w:hAnsi="Times New Roman" w:eastAsia="黑体" w:cs="Times New Roman"/>
          <w:color w:val="000000" w:themeColor="text1"/>
          <w:sz w:val="24"/>
          <w:szCs w:val="24"/>
          <w14:textFill>
            <w14:solidFill>
              <w14:schemeClr w14:val="tx1"/>
            </w14:solidFill>
          </w14:textFill>
        </w:rPr>
        <w:t>表</w:t>
      </w:r>
      <w:bookmarkEnd w:id="117"/>
      <w:r>
        <w:rPr>
          <w:rFonts w:hint="default" w:ascii="Times New Roman" w:hAnsi="Times New Roman" w:eastAsia="黑体" w:cs="Times New Roman"/>
          <w:color w:val="000000" w:themeColor="text1"/>
          <w:sz w:val="24"/>
          <w:szCs w:val="24"/>
          <w14:textFill>
            <w14:solidFill>
              <w14:schemeClr w14:val="tx1"/>
            </w14:solidFill>
          </w14:textFill>
        </w:rPr>
        <w:t>5.2-</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1</w:t>
      </w:r>
      <w:r>
        <w:rPr>
          <w:rFonts w:hint="eastAsia" w:eastAsia="黑体" w:cs="Times New Roman"/>
          <w:color w:val="000000" w:themeColor="text1"/>
          <w:sz w:val="24"/>
          <w:szCs w:val="24"/>
          <w:lang w:val="en-US" w:eastAsia="zh-CN"/>
          <w14:textFill>
            <w14:solidFill>
              <w14:schemeClr w14:val="tx1"/>
            </w14:solidFill>
          </w14:textFill>
        </w:rPr>
        <w:t>7</w:t>
      </w:r>
      <w:r>
        <w:rPr>
          <w:rFonts w:hint="default" w:ascii="Times New Roman" w:hAnsi="Times New Roman" w:eastAsia="黑体" w:cs="Times New Roman"/>
          <w:color w:val="000000" w:themeColor="text1"/>
          <w:sz w:val="24"/>
          <w:szCs w:val="24"/>
          <w14:textFill>
            <w14:solidFill>
              <w14:schemeClr w14:val="tx1"/>
            </w14:solidFill>
          </w14:textFill>
        </w:rPr>
        <w:t>大气污染物年排放量核算表</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88"/>
        <w:gridCol w:w="3567"/>
        <w:gridCol w:w="3567"/>
      </w:tblGrid>
      <w:tr w14:paraId="580796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4" w:type="pct"/>
            <w:vAlign w:val="center"/>
          </w:tcPr>
          <w:p w14:paraId="18187ECF">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序号</w:t>
            </w:r>
          </w:p>
        </w:tc>
        <w:tc>
          <w:tcPr>
            <w:tcW w:w="2092" w:type="pct"/>
            <w:vAlign w:val="center"/>
          </w:tcPr>
          <w:p w14:paraId="040FF94D">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污染物</w:t>
            </w:r>
          </w:p>
        </w:tc>
        <w:tc>
          <w:tcPr>
            <w:tcW w:w="2092" w:type="pct"/>
            <w:vAlign w:val="center"/>
          </w:tcPr>
          <w:p w14:paraId="6060C6DB">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年排放量/（t/a）</w:t>
            </w:r>
          </w:p>
        </w:tc>
      </w:tr>
      <w:tr w14:paraId="324219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4" w:type="pct"/>
            <w:vAlign w:val="center"/>
          </w:tcPr>
          <w:p w14:paraId="5E568465">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w:t>
            </w:r>
          </w:p>
        </w:tc>
        <w:tc>
          <w:tcPr>
            <w:tcW w:w="2092" w:type="pct"/>
            <w:vAlign w:val="center"/>
          </w:tcPr>
          <w:p w14:paraId="6E82D783">
            <w:pPr>
              <w:autoSpaceDE w:val="0"/>
              <w:autoSpaceDN w:val="0"/>
              <w:adjustRightInd w:val="0"/>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颗粒物</w:t>
            </w:r>
          </w:p>
        </w:tc>
        <w:tc>
          <w:tcPr>
            <w:tcW w:w="2092" w:type="pct"/>
            <w:vAlign w:val="center"/>
          </w:tcPr>
          <w:p w14:paraId="5684D513">
            <w:pPr>
              <w:autoSpaceDE w:val="0"/>
              <w:autoSpaceDN w:val="0"/>
              <w:adjustRightInd w:val="0"/>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0.769</w:t>
            </w:r>
          </w:p>
        </w:tc>
      </w:tr>
      <w:tr w14:paraId="69F2C1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4" w:type="pct"/>
            <w:vAlign w:val="center"/>
          </w:tcPr>
          <w:p w14:paraId="140ECBEE">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2</w:t>
            </w:r>
          </w:p>
        </w:tc>
        <w:tc>
          <w:tcPr>
            <w:tcW w:w="2092" w:type="pct"/>
            <w:vAlign w:val="center"/>
          </w:tcPr>
          <w:p w14:paraId="5341CDD0">
            <w:pPr>
              <w:autoSpaceDE w:val="0"/>
              <w:autoSpaceDN w:val="0"/>
              <w:adjustRightInd w:val="0"/>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2092" w:type="pct"/>
            <w:vAlign w:val="center"/>
          </w:tcPr>
          <w:p w14:paraId="646BC693">
            <w:pPr>
              <w:autoSpaceDE w:val="0"/>
              <w:autoSpaceDN w:val="0"/>
              <w:adjustRightInd w:val="0"/>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0.242</w:t>
            </w:r>
          </w:p>
        </w:tc>
      </w:tr>
      <w:tr w14:paraId="567083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4" w:type="pct"/>
            <w:vAlign w:val="center"/>
          </w:tcPr>
          <w:p w14:paraId="740FE1DD">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3</w:t>
            </w:r>
          </w:p>
        </w:tc>
        <w:tc>
          <w:tcPr>
            <w:tcW w:w="2092" w:type="pct"/>
            <w:vAlign w:val="center"/>
          </w:tcPr>
          <w:p w14:paraId="6701C17E">
            <w:pPr>
              <w:autoSpaceDE w:val="0"/>
              <w:autoSpaceDN w:val="0"/>
              <w:adjustRightInd w:val="0"/>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氨</w:t>
            </w:r>
          </w:p>
        </w:tc>
        <w:tc>
          <w:tcPr>
            <w:tcW w:w="2092" w:type="pct"/>
            <w:shd w:val="clear" w:color="auto" w:fill="auto"/>
            <w:vAlign w:val="center"/>
          </w:tcPr>
          <w:p w14:paraId="75AB039C">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271</w:t>
            </w:r>
          </w:p>
        </w:tc>
      </w:tr>
      <w:tr w14:paraId="323ED7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14" w:type="pct"/>
            <w:vAlign w:val="center"/>
          </w:tcPr>
          <w:p w14:paraId="2F128B67">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4</w:t>
            </w:r>
          </w:p>
        </w:tc>
        <w:tc>
          <w:tcPr>
            <w:tcW w:w="2092" w:type="pct"/>
            <w:vAlign w:val="center"/>
          </w:tcPr>
          <w:p w14:paraId="36282386">
            <w:pPr>
              <w:autoSpaceDE w:val="0"/>
              <w:autoSpaceDN w:val="0"/>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硫化氢</w:t>
            </w:r>
          </w:p>
        </w:tc>
        <w:tc>
          <w:tcPr>
            <w:tcW w:w="2092" w:type="pct"/>
            <w:shd w:val="clear" w:color="auto" w:fill="auto"/>
            <w:vAlign w:val="center"/>
          </w:tcPr>
          <w:p w14:paraId="7B7D206D">
            <w:pPr>
              <w:widowControl/>
              <w:spacing w:line="240"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11</w:t>
            </w:r>
          </w:p>
        </w:tc>
      </w:tr>
    </w:tbl>
    <w:p w14:paraId="255EAAB7">
      <w:pPr>
        <w:spacing w:line="480" w:lineRule="exact"/>
        <w:ind w:firstLine="482" w:firstLineChars="200"/>
        <w:rPr>
          <w:rFonts w:hint="default" w:ascii="Times New Roman" w:hAnsi="Times New Roman" w:cs="Times New Roman"/>
          <w:color w:val="000000" w:themeColor="text1"/>
          <w:spacing w:val="0"/>
          <w:sz w:val="24"/>
          <w14:textFill>
            <w14:solidFill>
              <w14:schemeClr w14:val="tx1"/>
            </w14:solidFill>
          </w14:textFill>
        </w:rPr>
      </w:pPr>
      <w:r>
        <w:rPr>
          <w:rFonts w:hint="default" w:ascii="Times New Roman" w:hAnsi="Times New Roman" w:cs="Times New Roman"/>
          <w:b/>
          <w:color w:val="000000" w:themeColor="text1"/>
          <w:spacing w:val="0"/>
          <w:sz w:val="24"/>
          <w14:textFill>
            <w14:solidFill>
              <w14:schemeClr w14:val="tx1"/>
            </w14:solidFill>
          </w14:textFill>
        </w:rPr>
        <w:t>大气环境影响自查表：</w:t>
      </w:r>
      <w:r>
        <w:rPr>
          <w:rFonts w:hint="default" w:ascii="Times New Roman" w:hAnsi="Times New Roman" w:cs="Times New Roman"/>
          <w:color w:val="000000" w:themeColor="text1"/>
          <w:spacing w:val="0"/>
          <w:sz w:val="24"/>
          <w14:textFill>
            <w14:solidFill>
              <w14:schemeClr w14:val="tx1"/>
            </w14:solidFill>
          </w14:textFill>
        </w:rPr>
        <w:t>大气环境影响评价完成后，对大气环境影响评价主要内容与结论进行自查，见表5.2-</w:t>
      </w:r>
      <w:r>
        <w:rPr>
          <w:rFonts w:hint="eastAsia" w:ascii="Times New Roman" w:hAnsi="Times New Roman" w:cs="Times New Roman"/>
          <w:color w:val="000000" w:themeColor="text1"/>
          <w:spacing w:val="0"/>
          <w:sz w:val="24"/>
          <w:lang w:val="en-US" w:eastAsia="zh-CN"/>
          <w14:textFill>
            <w14:solidFill>
              <w14:schemeClr w14:val="tx1"/>
            </w14:solidFill>
          </w14:textFill>
        </w:rPr>
        <w:t>1</w:t>
      </w:r>
      <w:r>
        <w:rPr>
          <w:rFonts w:hint="eastAsia" w:cs="Times New Roman"/>
          <w:color w:val="000000" w:themeColor="text1"/>
          <w:spacing w:val="0"/>
          <w:sz w:val="24"/>
          <w:lang w:val="en-US" w:eastAsia="zh-CN"/>
          <w14:textFill>
            <w14:solidFill>
              <w14:schemeClr w14:val="tx1"/>
            </w14:solidFill>
          </w14:textFill>
        </w:rPr>
        <w:t>8</w:t>
      </w:r>
      <w:r>
        <w:rPr>
          <w:rFonts w:hint="default" w:ascii="Times New Roman" w:hAnsi="Times New Roman" w:cs="Times New Roman"/>
          <w:color w:val="000000" w:themeColor="text1"/>
          <w:spacing w:val="0"/>
          <w:sz w:val="24"/>
          <w14:textFill>
            <w14:solidFill>
              <w14:schemeClr w14:val="tx1"/>
            </w14:solidFill>
          </w14:textFill>
        </w:rPr>
        <w:t>。</w:t>
      </w:r>
    </w:p>
    <w:p w14:paraId="2A5F1A5F">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表5.2-</w:t>
      </w:r>
      <w:r>
        <w:rPr>
          <w:rFonts w:hint="eastAsia" w:ascii="Times New Roman" w:hAnsi="Times New Roman" w:eastAsia="黑体" w:cs="Times New Roman"/>
          <w:bCs/>
          <w:color w:val="000000" w:themeColor="text1"/>
          <w:sz w:val="24"/>
          <w:lang w:val="en-US" w:eastAsia="zh-CN"/>
          <w14:textFill>
            <w14:solidFill>
              <w14:schemeClr w14:val="tx1"/>
            </w14:solidFill>
          </w14:textFill>
        </w:rPr>
        <w:t>1</w:t>
      </w:r>
      <w:r>
        <w:rPr>
          <w:rFonts w:hint="eastAsia" w:eastAsia="黑体" w:cs="Times New Roman"/>
          <w:bCs/>
          <w:color w:val="000000" w:themeColor="text1"/>
          <w:sz w:val="24"/>
          <w:lang w:val="en-US" w:eastAsia="zh-CN"/>
          <w14:textFill>
            <w14:solidFill>
              <w14:schemeClr w14:val="tx1"/>
            </w14:solidFill>
          </w14:textFill>
        </w:rPr>
        <w:t>8</w:t>
      </w:r>
      <w:r>
        <w:rPr>
          <w:rFonts w:hint="default" w:ascii="Times New Roman" w:hAnsi="Times New Roman" w:eastAsia="黑体" w:cs="Times New Roman"/>
          <w:bCs/>
          <w:color w:val="000000" w:themeColor="text1"/>
          <w:sz w:val="24"/>
          <w14:textFill>
            <w14:solidFill>
              <w14:schemeClr w14:val="tx1"/>
            </w14:solidFill>
          </w14:textFill>
        </w:rPr>
        <w:t>建设项目大气环境影响评价自查表</w:t>
      </w:r>
    </w:p>
    <w:tbl>
      <w:tblPr>
        <w:tblStyle w:val="88"/>
        <w:tblW w:w="8523"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07"/>
        <w:gridCol w:w="262"/>
        <w:gridCol w:w="421"/>
        <w:gridCol w:w="133"/>
        <w:gridCol w:w="166"/>
        <w:gridCol w:w="121"/>
        <w:gridCol w:w="9"/>
        <w:gridCol w:w="553"/>
        <w:gridCol w:w="150"/>
        <w:gridCol w:w="181"/>
        <w:gridCol w:w="230"/>
        <w:gridCol w:w="151"/>
        <w:gridCol w:w="635"/>
        <w:gridCol w:w="356"/>
        <w:gridCol w:w="292"/>
        <w:gridCol w:w="152"/>
        <w:gridCol w:w="125"/>
        <w:gridCol w:w="11"/>
        <w:gridCol w:w="86"/>
        <w:gridCol w:w="473"/>
        <w:gridCol w:w="33"/>
        <w:gridCol w:w="10"/>
        <w:gridCol w:w="501"/>
        <w:gridCol w:w="32"/>
        <w:gridCol w:w="271"/>
        <w:gridCol w:w="388"/>
        <w:gridCol w:w="44"/>
        <w:gridCol w:w="282"/>
        <w:gridCol w:w="293"/>
        <w:gridCol w:w="174"/>
        <w:gridCol w:w="97"/>
        <w:gridCol w:w="454"/>
        <w:gridCol w:w="1030"/>
      </w:tblGrid>
      <w:tr w14:paraId="6BC453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89" w:type="dxa"/>
            <w:gridSpan w:val="5"/>
            <w:vAlign w:val="center"/>
          </w:tcPr>
          <w:p w14:paraId="65FD0E7B">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工作内容</w:t>
            </w:r>
          </w:p>
        </w:tc>
        <w:tc>
          <w:tcPr>
            <w:tcW w:w="7134" w:type="dxa"/>
            <w:gridSpan w:val="28"/>
            <w:vAlign w:val="center"/>
          </w:tcPr>
          <w:p w14:paraId="1B0E3653">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自查项目</w:t>
            </w:r>
          </w:p>
        </w:tc>
      </w:tr>
      <w:tr w14:paraId="3D3574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5" w:hRule="atLeast"/>
        </w:trPr>
        <w:tc>
          <w:tcPr>
            <w:tcW w:w="1090" w:type="dxa"/>
            <w:gridSpan w:val="3"/>
            <w:vMerge w:val="restart"/>
            <w:vAlign w:val="center"/>
          </w:tcPr>
          <w:p w14:paraId="7884F81B">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评级等级与范围</w:t>
            </w:r>
          </w:p>
        </w:tc>
        <w:tc>
          <w:tcPr>
            <w:tcW w:w="1132" w:type="dxa"/>
            <w:gridSpan w:val="6"/>
            <w:vAlign w:val="center"/>
          </w:tcPr>
          <w:p w14:paraId="297E12B3">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评价等级</w:t>
            </w:r>
          </w:p>
        </w:tc>
        <w:tc>
          <w:tcPr>
            <w:tcW w:w="1845" w:type="dxa"/>
            <w:gridSpan w:val="6"/>
            <w:vAlign w:val="center"/>
          </w:tcPr>
          <w:p w14:paraId="7F62FCD2">
            <w:pPr>
              <w:spacing w:line="276" w:lineRule="auto"/>
              <w:ind w:firstLine="181"/>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一级</w:t>
            </w:r>
            <w:r>
              <w:rPr>
                <w:rFonts w:hint="default" w:ascii="Times New Roman" w:hAnsi="Times New Roman" w:cs="Times New Roman"/>
                <w:b/>
                <w:color w:val="000000" w:themeColor="text1"/>
                <w:sz w:val="21"/>
                <w:szCs w:val="21"/>
                <w14:textFill>
                  <w14:solidFill>
                    <w14:schemeClr w14:val="tx1"/>
                  </w14:solidFill>
                </w14:textFill>
              </w:rPr>
              <w:sym w:font="Wingdings 2" w:char="00A3"/>
            </w:r>
          </w:p>
        </w:tc>
        <w:tc>
          <w:tcPr>
            <w:tcW w:w="2126" w:type="dxa"/>
            <w:gridSpan w:val="12"/>
            <w:vAlign w:val="center"/>
          </w:tcPr>
          <w:p w14:paraId="2405ED51">
            <w:pPr>
              <w:spacing w:line="276" w:lineRule="auto"/>
              <w:ind w:firstLine="181"/>
              <w:jc w:val="center"/>
              <w:rPr>
                <w:rFonts w:hint="eastAsia"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二级</w:t>
            </w:r>
            <w:r>
              <w:rPr>
                <w:rFonts w:hint="eastAsia" w:cs="Times New Roman"/>
                <w:color w:val="000000" w:themeColor="text1"/>
                <w:sz w:val="21"/>
                <w:szCs w:val="21"/>
                <w:lang w:eastAsia="zh-CN"/>
                <w14:textFill>
                  <w14:solidFill>
                    <w14:schemeClr w14:val="tx1"/>
                  </w14:solidFill>
                </w14:textFill>
              </w:rPr>
              <w:t>☑</w:t>
            </w:r>
          </w:p>
        </w:tc>
        <w:tc>
          <w:tcPr>
            <w:tcW w:w="2330" w:type="dxa"/>
            <w:gridSpan w:val="6"/>
            <w:vAlign w:val="center"/>
          </w:tcPr>
          <w:p w14:paraId="01F94819">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三级□</w:t>
            </w:r>
          </w:p>
        </w:tc>
      </w:tr>
      <w:tr w14:paraId="10D0BD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0" w:hRule="atLeast"/>
        </w:trPr>
        <w:tc>
          <w:tcPr>
            <w:tcW w:w="1090" w:type="dxa"/>
            <w:gridSpan w:val="3"/>
            <w:vMerge w:val="continue"/>
            <w:vAlign w:val="center"/>
          </w:tcPr>
          <w:p w14:paraId="634558AA">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132" w:type="dxa"/>
            <w:gridSpan w:val="6"/>
            <w:vAlign w:val="center"/>
          </w:tcPr>
          <w:p w14:paraId="207C6E47">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评价范围</w:t>
            </w:r>
          </w:p>
        </w:tc>
        <w:tc>
          <w:tcPr>
            <w:tcW w:w="1845" w:type="dxa"/>
            <w:gridSpan w:val="6"/>
            <w:vAlign w:val="center"/>
          </w:tcPr>
          <w:p w14:paraId="46078FAA">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边长=50km□</w:t>
            </w:r>
          </w:p>
        </w:tc>
        <w:tc>
          <w:tcPr>
            <w:tcW w:w="2126" w:type="dxa"/>
            <w:gridSpan w:val="12"/>
            <w:vAlign w:val="center"/>
          </w:tcPr>
          <w:p w14:paraId="235A2406">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边长5-50km□</w:t>
            </w:r>
          </w:p>
        </w:tc>
        <w:tc>
          <w:tcPr>
            <w:tcW w:w="2330" w:type="dxa"/>
            <w:gridSpan w:val="6"/>
            <w:vAlign w:val="center"/>
          </w:tcPr>
          <w:p w14:paraId="4DBEAEBB">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边长=5km</w:t>
            </w:r>
            <w:r>
              <w:rPr>
                <w:rFonts w:hint="default" w:ascii="Times New Roman" w:hAnsi="Times New Roman" w:cs="Times New Roman"/>
                <w:b/>
                <w:color w:val="000000" w:themeColor="text1"/>
                <w:sz w:val="21"/>
                <w:szCs w:val="21"/>
                <w14:textFill>
                  <w14:solidFill>
                    <w14:schemeClr w14:val="tx1"/>
                  </w14:solidFill>
                </w14:textFill>
              </w:rPr>
              <w:sym w:font="Wingdings 2" w:char="0052"/>
            </w:r>
          </w:p>
        </w:tc>
      </w:tr>
      <w:tr w14:paraId="0EAE6A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5" w:hRule="atLeast"/>
        </w:trPr>
        <w:tc>
          <w:tcPr>
            <w:tcW w:w="669" w:type="dxa"/>
            <w:gridSpan w:val="2"/>
            <w:vMerge w:val="restart"/>
            <w:vAlign w:val="center"/>
          </w:tcPr>
          <w:p w14:paraId="4BC6D202">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评价因子</w:t>
            </w:r>
          </w:p>
        </w:tc>
        <w:tc>
          <w:tcPr>
            <w:tcW w:w="1553" w:type="dxa"/>
            <w:gridSpan w:val="7"/>
            <w:vAlign w:val="center"/>
          </w:tcPr>
          <w:p w14:paraId="2C6275E4">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SO</w:t>
            </w:r>
            <w:r>
              <w:rPr>
                <w:rFonts w:hint="default" w:ascii="Times New Roman" w:hAnsi="Times New Roman" w:cs="Times New Roman"/>
                <w:color w:val="000000" w:themeColor="text1"/>
                <w:sz w:val="21"/>
                <w:szCs w:val="21"/>
                <w:vertAlign w:val="sub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+NO</w:t>
            </w:r>
            <w:r>
              <w:rPr>
                <w:rFonts w:hint="default" w:ascii="Times New Roman" w:hAnsi="Times New Roman" w:cs="Times New Roman"/>
                <w:color w:val="000000" w:themeColor="text1"/>
                <w:sz w:val="21"/>
                <w:szCs w:val="21"/>
                <w:vertAlign w:val="subscript"/>
                <w14:textFill>
                  <w14:solidFill>
                    <w14:schemeClr w14:val="tx1"/>
                  </w14:solidFill>
                </w14:textFill>
              </w:rPr>
              <w:t>x</w:t>
            </w:r>
          </w:p>
        </w:tc>
        <w:tc>
          <w:tcPr>
            <w:tcW w:w="1845" w:type="dxa"/>
            <w:gridSpan w:val="6"/>
            <w:vAlign w:val="center"/>
          </w:tcPr>
          <w:p w14:paraId="50279F4B">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≥2000t/a□</w:t>
            </w:r>
          </w:p>
        </w:tc>
        <w:tc>
          <w:tcPr>
            <w:tcW w:w="2126" w:type="dxa"/>
            <w:gridSpan w:val="12"/>
            <w:vAlign w:val="center"/>
          </w:tcPr>
          <w:p w14:paraId="706B95F5">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500-2000t/a□</w:t>
            </w:r>
          </w:p>
        </w:tc>
        <w:tc>
          <w:tcPr>
            <w:tcW w:w="2330" w:type="dxa"/>
            <w:gridSpan w:val="6"/>
            <w:vAlign w:val="center"/>
          </w:tcPr>
          <w:p w14:paraId="4A12F8C1">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＜500t/a</w:t>
            </w:r>
            <w:r>
              <w:rPr>
                <w:rFonts w:hint="default" w:ascii="Times New Roman" w:hAnsi="Times New Roman" w:cs="Times New Roman"/>
                <w:b/>
                <w:color w:val="000000" w:themeColor="text1"/>
                <w:sz w:val="21"/>
                <w:szCs w:val="21"/>
                <w14:textFill>
                  <w14:solidFill>
                    <w14:schemeClr w14:val="tx1"/>
                  </w14:solidFill>
                </w14:textFill>
              </w:rPr>
              <w:sym w:font="Wingdings 2" w:char="00A3"/>
            </w:r>
          </w:p>
        </w:tc>
      </w:tr>
      <w:tr w14:paraId="61A6F6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5" w:hRule="atLeast"/>
        </w:trPr>
        <w:tc>
          <w:tcPr>
            <w:tcW w:w="669" w:type="dxa"/>
            <w:gridSpan w:val="2"/>
            <w:vMerge w:val="continue"/>
            <w:vAlign w:val="center"/>
          </w:tcPr>
          <w:p w14:paraId="6A596777">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553" w:type="dxa"/>
            <w:gridSpan w:val="7"/>
            <w:vAlign w:val="center"/>
          </w:tcPr>
          <w:p w14:paraId="0D04904B">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评价因子</w:t>
            </w:r>
          </w:p>
        </w:tc>
        <w:tc>
          <w:tcPr>
            <w:tcW w:w="3971" w:type="dxa"/>
            <w:gridSpan w:val="18"/>
            <w:vAlign w:val="center"/>
          </w:tcPr>
          <w:p w14:paraId="5CB3ED20">
            <w:pPr>
              <w:spacing w:line="276" w:lineRule="auto"/>
              <w:ind w:firstLine="181"/>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基本污染物（TSP、PM</w:t>
            </w:r>
            <w:r>
              <w:rPr>
                <w:rFonts w:hint="default" w:ascii="Times New Roman" w:hAnsi="Times New Roman" w:cs="Times New Roman"/>
                <w:color w:val="000000" w:themeColor="text1"/>
                <w:sz w:val="21"/>
                <w:szCs w:val="21"/>
                <w:vertAlign w:val="subscript"/>
                <w14:textFill>
                  <w14:solidFill>
                    <w14:schemeClr w14:val="tx1"/>
                  </w14:solidFill>
                </w14:textFill>
              </w:rPr>
              <w:t>10</w:t>
            </w: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2.5</w:t>
            </w:r>
            <w:r>
              <w:rPr>
                <w:rFonts w:hint="default" w:ascii="Times New Roman" w:hAnsi="Times New Roman" w:cs="Times New Roman"/>
                <w:color w:val="000000" w:themeColor="text1"/>
                <w:sz w:val="21"/>
                <w:szCs w:val="21"/>
                <w14:textFill>
                  <w14:solidFill>
                    <w14:schemeClr w14:val="tx1"/>
                  </w14:solidFill>
                </w14:textFill>
              </w:rPr>
              <w:t>）</w:t>
            </w:r>
          </w:p>
          <w:p w14:paraId="2F67F96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其他污染物（非甲烷总烃、</w:t>
            </w:r>
            <w:r>
              <w:rPr>
                <w:rFonts w:hint="default" w:ascii="Times New Roman" w:hAnsi="Times New Roman" w:cs="Times New Roman"/>
                <w:color w:val="000000" w:themeColor="text1"/>
                <w:sz w:val="21"/>
                <w:szCs w:val="21"/>
                <w:lang w:eastAsia="zh-CN"/>
                <w14:textFill>
                  <w14:solidFill>
                    <w14:schemeClr w14:val="tx1"/>
                  </w14:solidFill>
                </w14:textFill>
              </w:rPr>
              <w:t>硫化氢</w:t>
            </w:r>
            <w:r>
              <w:rPr>
                <w:rFonts w:hint="default" w:ascii="Times New Roman" w:hAnsi="Times New Roman" w:cs="Times New Roman"/>
                <w:color w:val="000000" w:themeColor="text1"/>
                <w:sz w:val="21"/>
                <w:szCs w:val="21"/>
                <w14:textFill>
                  <w14:solidFill>
                    <w14:schemeClr w14:val="tx1"/>
                  </w14:solidFill>
                </w14:textFill>
              </w:rPr>
              <w:t>、氨）</w:t>
            </w:r>
          </w:p>
        </w:tc>
        <w:tc>
          <w:tcPr>
            <w:tcW w:w="2330" w:type="dxa"/>
            <w:gridSpan w:val="6"/>
            <w:vAlign w:val="center"/>
          </w:tcPr>
          <w:p w14:paraId="123592A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包括二次PM</w:t>
            </w:r>
            <w:r>
              <w:rPr>
                <w:rFonts w:hint="default" w:ascii="Times New Roman" w:hAnsi="Times New Roman" w:cs="Times New Roman"/>
                <w:color w:val="000000" w:themeColor="text1"/>
                <w:sz w:val="21"/>
                <w:szCs w:val="21"/>
                <w:vertAlign w:val="subscript"/>
                <w14:textFill>
                  <w14:solidFill>
                    <w14:schemeClr w14:val="tx1"/>
                  </w14:solidFill>
                </w14:textFill>
              </w:rPr>
              <w:t>2.5</w:t>
            </w:r>
            <w:r>
              <w:rPr>
                <w:rFonts w:hint="default" w:ascii="Times New Roman" w:hAnsi="Times New Roman" w:cs="Times New Roman"/>
                <w:color w:val="000000" w:themeColor="text1"/>
                <w:sz w:val="21"/>
                <w:szCs w:val="21"/>
                <w14:textFill>
                  <w14:solidFill>
                    <w14:schemeClr w14:val="tx1"/>
                  </w14:solidFill>
                </w14:textFill>
              </w:rPr>
              <w:t>□</w:t>
            </w:r>
          </w:p>
          <w:p w14:paraId="3807B3AB">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不包括二次PM</w:t>
            </w:r>
            <w:r>
              <w:rPr>
                <w:rFonts w:hint="default" w:ascii="Times New Roman" w:hAnsi="Times New Roman" w:cs="Times New Roman"/>
                <w:color w:val="000000" w:themeColor="text1"/>
                <w:sz w:val="21"/>
                <w:szCs w:val="21"/>
                <w:vertAlign w:val="subscript"/>
                <w14:textFill>
                  <w14:solidFill>
                    <w14:schemeClr w14:val="tx1"/>
                  </w14:solidFill>
                </w14:textFill>
              </w:rPr>
              <w:t>2.5</w:t>
            </w:r>
            <w:r>
              <w:rPr>
                <w:rFonts w:hint="default" w:ascii="Times New Roman" w:hAnsi="Times New Roman" w:cs="Times New Roman"/>
                <w:b/>
                <w:color w:val="000000" w:themeColor="text1"/>
                <w:sz w:val="21"/>
                <w:szCs w:val="21"/>
                <w14:textFill>
                  <w14:solidFill>
                    <w14:schemeClr w14:val="tx1"/>
                  </w14:solidFill>
                </w14:textFill>
              </w:rPr>
              <w:sym w:font="Wingdings 2" w:char="0052"/>
            </w:r>
          </w:p>
        </w:tc>
      </w:tr>
      <w:tr w14:paraId="6AEF0C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23" w:type="dxa"/>
            <w:gridSpan w:val="4"/>
            <w:vAlign w:val="center"/>
          </w:tcPr>
          <w:p w14:paraId="33446D2D">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评价标准</w:t>
            </w:r>
          </w:p>
        </w:tc>
        <w:tc>
          <w:tcPr>
            <w:tcW w:w="1561" w:type="dxa"/>
            <w:gridSpan w:val="8"/>
            <w:vAlign w:val="center"/>
          </w:tcPr>
          <w:p w14:paraId="4B294375">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评价标准</w:t>
            </w:r>
          </w:p>
        </w:tc>
        <w:tc>
          <w:tcPr>
            <w:tcW w:w="1560" w:type="dxa"/>
            <w:gridSpan w:val="5"/>
            <w:vAlign w:val="center"/>
          </w:tcPr>
          <w:p w14:paraId="14A88D7F">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国家标准</w:t>
            </w:r>
            <w:r>
              <w:rPr>
                <w:rFonts w:hint="default" w:ascii="Times New Roman" w:hAnsi="Times New Roman" w:cs="Times New Roman"/>
                <w:b/>
                <w:color w:val="000000" w:themeColor="text1"/>
                <w:sz w:val="21"/>
                <w:szCs w:val="21"/>
                <w14:textFill>
                  <w14:solidFill>
                    <w14:schemeClr w14:val="tx1"/>
                  </w14:solidFill>
                </w14:textFill>
              </w:rPr>
              <w:sym w:font="Wingdings 2" w:char="0052"/>
            </w:r>
          </w:p>
        </w:tc>
        <w:tc>
          <w:tcPr>
            <w:tcW w:w="1417" w:type="dxa"/>
            <w:gridSpan w:val="8"/>
            <w:vAlign w:val="center"/>
          </w:tcPr>
          <w:p w14:paraId="7E082491">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地方标准□</w:t>
            </w:r>
          </w:p>
        </w:tc>
        <w:tc>
          <w:tcPr>
            <w:tcW w:w="1278" w:type="dxa"/>
            <w:gridSpan w:val="6"/>
            <w:vAlign w:val="center"/>
          </w:tcPr>
          <w:p w14:paraId="0A4E1481">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附录D</w:t>
            </w:r>
            <w:r>
              <w:rPr>
                <w:rFonts w:hint="default" w:ascii="Times New Roman" w:hAnsi="Times New Roman" w:cs="Times New Roman"/>
                <w:b/>
                <w:color w:val="000000" w:themeColor="text1"/>
                <w:sz w:val="21"/>
                <w:szCs w:val="21"/>
                <w14:textFill>
                  <w14:solidFill>
                    <w14:schemeClr w14:val="tx1"/>
                  </w14:solidFill>
                </w14:textFill>
              </w:rPr>
              <w:sym w:font="Wingdings 2" w:char="0052"/>
            </w:r>
          </w:p>
        </w:tc>
        <w:tc>
          <w:tcPr>
            <w:tcW w:w="1484" w:type="dxa"/>
            <w:gridSpan w:val="2"/>
            <w:vAlign w:val="center"/>
          </w:tcPr>
          <w:p w14:paraId="4FDD7958">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其他标准</w:t>
            </w:r>
            <w:r>
              <w:rPr>
                <w:rFonts w:hint="default" w:ascii="Times New Roman" w:hAnsi="Times New Roman" w:cs="Times New Roman"/>
                <w:b/>
                <w:color w:val="000000" w:themeColor="text1"/>
                <w:sz w:val="21"/>
                <w:szCs w:val="21"/>
                <w14:textFill>
                  <w14:solidFill>
                    <w14:schemeClr w14:val="tx1"/>
                  </w14:solidFill>
                </w14:textFill>
              </w:rPr>
              <w:sym w:font="Wingdings 2" w:char="0052"/>
            </w:r>
          </w:p>
        </w:tc>
      </w:tr>
      <w:tr w14:paraId="087D79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5" w:hRule="atLeast"/>
        </w:trPr>
        <w:tc>
          <w:tcPr>
            <w:tcW w:w="407" w:type="dxa"/>
            <w:vMerge w:val="restart"/>
            <w:vAlign w:val="center"/>
          </w:tcPr>
          <w:p w14:paraId="2EACD847">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现状评价</w:t>
            </w:r>
          </w:p>
        </w:tc>
        <w:tc>
          <w:tcPr>
            <w:tcW w:w="1815" w:type="dxa"/>
            <w:gridSpan w:val="8"/>
            <w:vAlign w:val="center"/>
          </w:tcPr>
          <w:p w14:paraId="1D528DE6">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环境功能区</w:t>
            </w:r>
          </w:p>
        </w:tc>
        <w:tc>
          <w:tcPr>
            <w:tcW w:w="1553" w:type="dxa"/>
            <w:gridSpan w:val="5"/>
            <w:vAlign w:val="center"/>
          </w:tcPr>
          <w:p w14:paraId="65686FA9">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一类区□</w:t>
            </w:r>
          </w:p>
        </w:tc>
        <w:tc>
          <w:tcPr>
            <w:tcW w:w="2374" w:type="dxa"/>
            <w:gridSpan w:val="12"/>
            <w:vAlign w:val="center"/>
          </w:tcPr>
          <w:p w14:paraId="60F96E0C">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二类区</w:t>
            </w:r>
            <w:r>
              <w:rPr>
                <w:rFonts w:hint="default" w:ascii="Times New Roman" w:hAnsi="Times New Roman" w:cs="Times New Roman"/>
                <w:b/>
                <w:color w:val="000000" w:themeColor="text1"/>
                <w:sz w:val="21"/>
                <w:szCs w:val="21"/>
                <w14:textFill>
                  <w14:solidFill>
                    <w14:schemeClr w14:val="tx1"/>
                  </w14:solidFill>
                </w14:textFill>
              </w:rPr>
              <w:sym w:font="Wingdings 2" w:char="0052"/>
            </w:r>
          </w:p>
        </w:tc>
        <w:tc>
          <w:tcPr>
            <w:tcW w:w="2374" w:type="dxa"/>
            <w:gridSpan w:val="7"/>
            <w:vAlign w:val="center"/>
          </w:tcPr>
          <w:p w14:paraId="4213276D">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一类区□和二类区□</w:t>
            </w:r>
          </w:p>
        </w:tc>
      </w:tr>
      <w:tr w14:paraId="4F0047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2" w:hRule="atLeast"/>
        </w:trPr>
        <w:tc>
          <w:tcPr>
            <w:tcW w:w="407" w:type="dxa"/>
            <w:vMerge w:val="continue"/>
            <w:vAlign w:val="center"/>
          </w:tcPr>
          <w:p w14:paraId="74022C46">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815" w:type="dxa"/>
            <w:gridSpan w:val="8"/>
            <w:vAlign w:val="center"/>
          </w:tcPr>
          <w:p w14:paraId="32895CB8">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评价基准年</w:t>
            </w:r>
          </w:p>
        </w:tc>
        <w:tc>
          <w:tcPr>
            <w:tcW w:w="6301" w:type="dxa"/>
            <w:gridSpan w:val="24"/>
            <w:vAlign w:val="center"/>
          </w:tcPr>
          <w:p w14:paraId="35004389">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（2023年）</w:t>
            </w:r>
          </w:p>
        </w:tc>
      </w:tr>
      <w:tr w14:paraId="749ECC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5" w:hRule="atLeast"/>
        </w:trPr>
        <w:tc>
          <w:tcPr>
            <w:tcW w:w="407" w:type="dxa"/>
            <w:vMerge w:val="continue"/>
            <w:vAlign w:val="center"/>
          </w:tcPr>
          <w:p w14:paraId="3D836746">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815" w:type="dxa"/>
            <w:gridSpan w:val="8"/>
            <w:vAlign w:val="center"/>
          </w:tcPr>
          <w:p w14:paraId="50E22097">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环境空气质量现状调查数据来源</w:t>
            </w:r>
          </w:p>
        </w:tc>
        <w:tc>
          <w:tcPr>
            <w:tcW w:w="2133" w:type="dxa"/>
            <w:gridSpan w:val="9"/>
            <w:vAlign w:val="center"/>
          </w:tcPr>
          <w:p w14:paraId="500A22B0">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长期例行监测数据□</w:t>
            </w:r>
          </w:p>
        </w:tc>
        <w:tc>
          <w:tcPr>
            <w:tcW w:w="2413" w:type="dxa"/>
            <w:gridSpan w:val="11"/>
            <w:vAlign w:val="center"/>
          </w:tcPr>
          <w:p w14:paraId="4F0D61AF">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主管部门发布的数据</w:t>
            </w:r>
            <w:r>
              <w:rPr>
                <w:rFonts w:hint="default" w:ascii="Times New Roman" w:hAnsi="Times New Roman" w:cs="Times New Roman"/>
                <w:b/>
                <w:color w:val="000000" w:themeColor="text1"/>
                <w:sz w:val="21"/>
                <w:szCs w:val="21"/>
                <w14:textFill>
                  <w14:solidFill>
                    <w14:schemeClr w14:val="tx1"/>
                  </w14:solidFill>
                </w14:textFill>
              </w:rPr>
              <w:sym w:font="Wingdings 2" w:char="0052"/>
            </w:r>
          </w:p>
        </w:tc>
        <w:tc>
          <w:tcPr>
            <w:tcW w:w="1755" w:type="dxa"/>
            <w:gridSpan w:val="4"/>
            <w:vAlign w:val="center"/>
          </w:tcPr>
          <w:p w14:paraId="3E05C31B">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现状补充监测</w:t>
            </w:r>
            <w:r>
              <w:rPr>
                <w:rFonts w:hint="default" w:ascii="Times New Roman" w:hAnsi="Times New Roman" w:cs="Times New Roman"/>
                <w:b/>
                <w:color w:val="000000" w:themeColor="text1"/>
                <w:sz w:val="21"/>
                <w:szCs w:val="21"/>
                <w14:textFill>
                  <w14:solidFill>
                    <w14:schemeClr w14:val="tx1"/>
                  </w14:solidFill>
                </w14:textFill>
              </w:rPr>
              <w:sym w:font="Wingdings 2" w:char="0052"/>
            </w:r>
          </w:p>
        </w:tc>
      </w:tr>
      <w:tr w14:paraId="5DE082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0" w:hRule="atLeast"/>
        </w:trPr>
        <w:tc>
          <w:tcPr>
            <w:tcW w:w="407" w:type="dxa"/>
            <w:vMerge w:val="continue"/>
            <w:vAlign w:val="center"/>
          </w:tcPr>
          <w:p w14:paraId="06047220">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815" w:type="dxa"/>
            <w:gridSpan w:val="8"/>
            <w:vAlign w:val="center"/>
          </w:tcPr>
          <w:p w14:paraId="3F24EC82">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现状评价</w:t>
            </w:r>
          </w:p>
        </w:tc>
        <w:tc>
          <w:tcPr>
            <w:tcW w:w="2692" w:type="dxa"/>
            <w:gridSpan w:val="11"/>
            <w:vAlign w:val="center"/>
          </w:tcPr>
          <w:p w14:paraId="741AE8BD">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达标区□</w:t>
            </w:r>
          </w:p>
        </w:tc>
        <w:tc>
          <w:tcPr>
            <w:tcW w:w="3609" w:type="dxa"/>
            <w:gridSpan w:val="13"/>
            <w:vAlign w:val="center"/>
          </w:tcPr>
          <w:p w14:paraId="6277230C">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不达标区</w:t>
            </w:r>
            <w:r>
              <w:rPr>
                <w:rFonts w:hint="default" w:ascii="Times New Roman" w:hAnsi="Times New Roman" w:cs="Times New Roman"/>
                <w:b/>
                <w:color w:val="000000" w:themeColor="text1"/>
                <w:sz w:val="21"/>
                <w:szCs w:val="21"/>
                <w14:textFill>
                  <w14:solidFill>
                    <w14:schemeClr w14:val="tx1"/>
                  </w14:solidFill>
                </w14:textFill>
              </w:rPr>
              <w:sym w:font="Wingdings 2" w:char="0052"/>
            </w:r>
          </w:p>
        </w:tc>
      </w:tr>
      <w:tr w14:paraId="4D3737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07" w:type="dxa"/>
            <w:vAlign w:val="center"/>
          </w:tcPr>
          <w:p w14:paraId="7AABDBDA">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污染源调查</w:t>
            </w:r>
          </w:p>
        </w:tc>
        <w:tc>
          <w:tcPr>
            <w:tcW w:w="982" w:type="dxa"/>
            <w:gridSpan w:val="4"/>
            <w:vAlign w:val="center"/>
          </w:tcPr>
          <w:p w14:paraId="0121F05B">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调查内容</w:t>
            </w:r>
          </w:p>
        </w:tc>
        <w:tc>
          <w:tcPr>
            <w:tcW w:w="2386" w:type="dxa"/>
            <w:gridSpan w:val="9"/>
            <w:vAlign w:val="center"/>
          </w:tcPr>
          <w:p w14:paraId="5137C03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本项目正常排放源</w:t>
            </w:r>
            <w:r>
              <w:rPr>
                <w:rFonts w:hint="default" w:ascii="Times New Roman" w:hAnsi="Times New Roman" w:cs="Times New Roman"/>
                <w:b/>
                <w:color w:val="000000" w:themeColor="text1"/>
                <w:sz w:val="21"/>
                <w:szCs w:val="21"/>
                <w14:textFill>
                  <w14:solidFill>
                    <w14:schemeClr w14:val="tx1"/>
                  </w14:solidFill>
                </w14:textFill>
              </w:rPr>
              <w:sym w:font="Wingdings 2" w:char="0052"/>
            </w:r>
          </w:p>
          <w:p w14:paraId="5E5AAF9A">
            <w:pPr>
              <w:spacing w:line="276" w:lineRule="auto"/>
              <w:jc w:val="both"/>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本项目非正常排放源☑</w:t>
            </w:r>
          </w:p>
          <w:p w14:paraId="5DA02DFF">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现有污染源□</w:t>
            </w:r>
          </w:p>
        </w:tc>
        <w:tc>
          <w:tcPr>
            <w:tcW w:w="1139" w:type="dxa"/>
            <w:gridSpan w:val="6"/>
            <w:vAlign w:val="center"/>
          </w:tcPr>
          <w:p w14:paraId="4E0E4863">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拟替代的污染源□</w:t>
            </w:r>
          </w:p>
        </w:tc>
        <w:tc>
          <w:tcPr>
            <w:tcW w:w="2028" w:type="dxa"/>
            <w:gridSpan w:val="10"/>
            <w:vAlign w:val="center"/>
          </w:tcPr>
          <w:p w14:paraId="3BB7F564">
            <w:pPr>
              <w:spacing w:line="276" w:lineRule="auto"/>
              <w:ind w:firstLine="181"/>
              <w:jc w:val="center"/>
              <w:rPr>
                <w:rFonts w:hint="eastAsia"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其他在建、拟建项目污染源</w:t>
            </w:r>
            <w:r>
              <w:rPr>
                <w:rFonts w:hint="eastAsia" w:cs="Times New Roman"/>
                <w:color w:val="000000" w:themeColor="text1"/>
                <w:sz w:val="21"/>
                <w:szCs w:val="21"/>
                <w:lang w:eastAsia="zh-CN"/>
                <w14:textFill>
                  <w14:solidFill>
                    <w14:schemeClr w14:val="tx1"/>
                  </w14:solidFill>
                </w14:textFill>
              </w:rPr>
              <w:t>□</w:t>
            </w:r>
          </w:p>
        </w:tc>
        <w:tc>
          <w:tcPr>
            <w:tcW w:w="1581" w:type="dxa"/>
            <w:gridSpan w:val="3"/>
            <w:vAlign w:val="center"/>
          </w:tcPr>
          <w:p w14:paraId="2235B53B">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区域污染源□</w:t>
            </w:r>
          </w:p>
        </w:tc>
      </w:tr>
      <w:tr w14:paraId="4DD50B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407" w:type="dxa"/>
            <w:vMerge w:val="restart"/>
            <w:vAlign w:val="center"/>
          </w:tcPr>
          <w:p w14:paraId="0FAEE871">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大气环境影响预测与评价</w:t>
            </w:r>
          </w:p>
        </w:tc>
        <w:tc>
          <w:tcPr>
            <w:tcW w:w="982" w:type="dxa"/>
            <w:gridSpan w:val="4"/>
            <w:vAlign w:val="center"/>
          </w:tcPr>
          <w:p w14:paraId="3B973A6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预测</w:t>
            </w:r>
          </w:p>
          <w:p w14:paraId="195C3FE6">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模型</w:t>
            </w:r>
          </w:p>
        </w:tc>
        <w:tc>
          <w:tcPr>
            <w:tcW w:w="1014" w:type="dxa"/>
            <w:gridSpan w:val="5"/>
            <w:vAlign w:val="center"/>
          </w:tcPr>
          <w:p w14:paraId="41092D4B">
            <w:pPr>
              <w:spacing w:line="276" w:lineRule="auto"/>
              <w:ind w:firstLine="181"/>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AERMOD</w:t>
            </w:r>
            <w:r>
              <w:rPr>
                <w:rFonts w:hint="eastAsia" w:cs="Times New Roman"/>
                <w:color w:val="000000" w:themeColor="text1"/>
                <w:sz w:val="21"/>
                <w:szCs w:val="21"/>
                <w:highlight w:val="none"/>
                <w:lang w:eastAsia="zh-CN"/>
                <w14:textFill>
                  <w14:solidFill>
                    <w14:schemeClr w14:val="tx1"/>
                  </w14:solidFill>
                </w14:textFill>
              </w:rPr>
              <w:t>□</w:t>
            </w:r>
          </w:p>
        </w:tc>
        <w:tc>
          <w:tcPr>
            <w:tcW w:w="1016" w:type="dxa"/>
            <w:gridSpan w:val="3"/>
            <w:vAlign w:val="center"/>
          </w:tcPr>
          <w:p w14:paraId="4DB9A9A4">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ADMS□</w:t>
            </w:r>
          </w:p>
        </w:tc>
        <w:tc>
          <w:tcPr>
            <w:tcW w:w="1022" w:type="dxa"/>
            <w:gridSpan w:val="6"/>
            <w:vAlign w:val="center"/>
          </w:tcPr>
          <w:p w14:paraId="1419840F">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AUSTAL2000□</w:t>
            </w:r>
          </w:p>
        </w:tc>
        <w:tc>
          <w:tcPr>
            <w:tcW w:w="1017" w:type="dxa"/>
            <w:gridSpan w:val="4"/>
            <w:vAlign w:val="center"/>
          </w:tcPr>
          <w:p w14:paraId="11ED82D2">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EDMS/AEDT□</w:t>
            </w:r>
          </w:p>
        </w:tc>
        <w:tc>
          <w:tcPr>
            <w:tcW w:w="1017" w:type="dxa"/>
            <w:gridSpan w:val="5"/>
            <w:vAlign w:val="center"/>
          </w:tcPr>
          <w:p w14:paraId="01CA6E0E">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CALPUFF□</w:t>
            </w:r>
          </w:p>
        </w:tc>
        <w:tc>
          <w:tcPr>
            <w:tcW w:w="1018" w:type="dxa"/>
            <w:gridSpan w:val="4"/>
            <w:vAlign w:val="center"/>
          </w:tcPr>
          <w:p w14:paraId="4AD058AC">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网络模型□</w:t>
            </w:r>
          </w:p>
        </w:tc>
        <w:tc>
          <w:tcPr>
            <w:tcW w:w="1030" w:type="dxa"/>
            <w:vAlign w:val="center"/>
          </w:tcPr>
          <w:p w14:paraId="4B22A814">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其他□</w:t>
            </w:r>
          </w:p>
        </w:tc>
      </w:tr>
      <w:tr w14:paraId="16B2EE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5" w:hRule="atLeast"/>
        </w:trPr>
        <w:tc>
          <w:tcPr>
            <w:tcW w:w="407" w:type="dxa"/>
            <w:vMerge w:val="continue"/>
            <w:vAlign w:val="center"/>
          </w:tcPr>
          <w:p w14:paraId="1CD9247B">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982" w:type="dxa"/>
            <w:gridSpan w:val="4"/>
            <w:vAlign w:val="center"/>
          </w:tcPr>
          <w:p w14:paraId="6B26F26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预测</w:t>
            </w:r>
          </w:p>
          <w:p w14:paraId="40E5B762">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范围</w:t>
            </w:r>
          </w:p>
        </w:tc>
        <w:tc>
          <w:tcPr>
            <w:tcW w:w="2386" w:type="dxa"/>
            <w:gridSpan w:val="9"/>
            <w:vAlign w:val="center"/>
          </w:tcPr>
          <w:p w14:paraId="7E1D0CAF">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边长≥50km□</w:t>
            </w:r>
          </w:p>
        </w:tc>
        <w:tc>
          <w:tcPr>
            <w:tcW w:w="2374" w:type="dxa"/>
            <w:gridSpan w:val="12"/>
            <w:vAlign w:val="center"/>
          </w:tcPr>
          <w:p w14:paraId="1E03463B">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边长5-50km□</w:t>
            </w:r>
          </w:p>
        </w:tc>
        <w:tc>
          <w:tcPr>
            <w:tcW w:w="2374" w:type="dxa"/>
            <w:gridSpan w:val="7"/>
            <w:vAlign w:val="center"/>
          </w:tcPr>
          <w:p w14:paraId="422BC434">
            <w:pPr>
              <w:spacing w:line="276" w:lineRule="auto"/>
              <w:ind w:firstLine="181"/>
              <w:jc w:val="center"/>
              <w:rPr>
                <w:rFonts w:hint="eastAsia" w:ascii="Times New Roman" w:hAnsi="Times New Roman" w:eastAsia="宋体"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边长=5km</w:t>
            </w:r>
            <w:r>
              <w:rPr>
                <w:rFonts w:hint="eastAsia" w:cs="Times New Roman"/>
                <w:color w:val="000000" w:themeColor="text1"/>
                <w:sz w:val="21"/>
                <w:szCs w:val="21"/>
                <w:highlight w:val="none"/>
                <w:lang w:eastAsia="zh-CN"/>
                <w14:textFill>
                  <w14:solidFill>
                    <w14:schemeClr w14:val="tx1"/>
                  </w14:solidFill>
                </w14:textFill>
              </w:rPr>
              <w:t>□</w:t>
            </w:r>
          </w:p>
        </w:tc>
      </w:tr>
      <w:tr w14:paraId="5B9EFB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5" w:hRule="atLeast"/>
        </w:trPr>
        <w:tc>
          <w:tcPr>
            <w:tcW w:w="407" w:type="dxa"/>
            <w:vMerge w:val="continue"/>
            <w:vAlign w:val="center"/>
          </w:tcPr>
          <w:p w14:paraId="1A7FE622">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982" w:type="dxa"/>
            <w:gridSpan w:val="4"/>
            <w:vAlign w:val="center"/>
          </w:tcPr>
          <w:p w14:paraId="5470EEB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预测</w:t>
            </w:r>
          </w:p>
          <w:p w14:paraId="144E1EEE">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因子</w:t>
            </w:r>
          </w:p>
        </w:tc>
        <w:tc>
          <w:tcPr>
            <w:tcW w:w="3568" w:type="dxa"/>
            <w:gridSpan w:val="17"/>
            <w:vAlign w:val="center"/>
          </w:tcPr>
          <w:p w14:paraId="13DBB050">
            <w:pPr>
              <w:spacing w:line="276" w:lineRule="auto"/>
              <w:ind w:firstLine="181"/>
              <w:jc w:val="center"/>
              <w:rPr>
                <w:rFonts w:hint="eastAsia" w:ascii="Times New Roman" w:hAnsi="Times New Roman" w:eastAsia="宋体" w:cs="Times New Roman"/>
                <w:color w:val="000000" w:themeColor="text1"/>
                <w:kern w:val="2"/>
                <w:sz w:val="21"/>
                <w:szCs w:val="21"/>
                <w:highlight w:val="none"/>
                <w:lang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3566" w:type="dxa"/>
            <w:gridSpan w:val="11"/>
            <w:vAlign w:val="center"/>
          </w:tcPr>
          <w:p w14:paraId="3F916CA6">
            <w:pPr>
              <w:spacing w:line="276"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包括二次PM</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2.5</w:t>
            </w:r>
            <w:r>
              <w:rPr>
                <w:rFonts w:hint="default" w:ascii="Times New Roman" w:hAnsi="Times New Roman" w:cs="Times New Roman"/>
                <w:color w:val="000000" w:themeColor="text1"/>
                <w:sz w:val="21"/>
                <w:szCs w:val="21"/>
                <w:highlight w:val="none"/>
                <w14:textFill>
                  <w14:solidFill>
                    <w14:schemeClr w14:val="tx1"/>
                  </w14:solidFill>
                </w14:textFill>
              </w:rPr>
              <w:t>□</w:t>
            </w:r>
          </w:p>
          <w:p w14:paraId="609694A6">
            <w:pPr>
              <w:spacing w:line="276" w:lineRule="auto"/>
              <w:jc w:val="center"/>
              <w:rPr>
                <w:rFonts w:hint="eastAsia" w:ascii="Times New Roman" w:hAnsi="Times New Roman" w:eastAsia="宋体"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不包括二次PM</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2.5</w:t>
            </w:r>
            <w:r>
              <w:rPr>
                <w:rFonts w:hint="eastAsia" w:cs="Times New Roman"/>
                <w:color w:val="000000" w:themeColor="text1"/>
                <w:sz w:val="21"/>
                <w:szCs w:val="21"/>
                <w:highlight w:val="none"/>
                <w:lang w:eastAsia="zh-CN"/>
                <w14:textFill>
                  <w14:solidFill>
                    <w14:schemeClr w14:val="tx1"/>
                  </w14:solidFill>
                </w14:textFill>
              </w:rPr>
              <w:t>□</w:t>
            </w:r>
          </w:p>
        </w:tc>
      </w:tr>
      <w:tr w14:paraId="7F7A47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0" w:hRule="atLeast"/>
        </w:trPr>
        <w:tc>
          <w:tcPr>
            <w:tcW w:w="407" w:type="dxa"/>
            <w:vMerge w:val="continue"/>
            <w:vAlign w:val="center"/>
          </w:tcPr>
          <w:p w14:paraId="2CCECDED">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982" w:type="dxa"/>
            <w:gridSpan w:val="4"/>
            <w:vAlign w:val="center"/>
          </w:tcPr>
          <w:p w14:paraId="6C9B624D">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正常排放短期浓度贡献值</w:t>
            </w:r>
          </w:p>
        </w:tc>
        <w:tc>
          <w:tcPr>
            <w:tcW w:w="3568" w:type="dxa"/>
            <w:gridSpan w:val="17"/>
            <w:vAlign w:val="center"/>
          </w:tcPr>
          <w:p w14:paraId="69E3E052">
            <w:pPr>
              <w:spacing w:line="276" w:lineRule="auto"/>
              <w:ind w:firstLine="181"/>
              <w:jc w:val="center"/>
              <w:rPr>
                <w:rFonts w:hint="default" w:ascii="Times New Roman" w:hAnsi="Times New Roman" w:eastAsia="宋体"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本项目</w:t>
            </w:r>
            <w:r>
              <w:rPr>
                <w:rFonts w:hint="default" w:ascii="Times New Roman" w:hAnsi="Times New Roman" w:cs="Times New Roman"/>
                <w:color w:val="000000" w:themeColor="text1"/>
                <w:sz w:val="21"/>
                <w:szCs w:val="21"/>
                <w:highlight w:val="none"/>
                <w14:textFill>
                  <w14:solidFill>
                    <w14:schemeClr w14:val="tx1"/>
                  </w14:solidFill>
                </w14:textFill>
              </w:rPr>
              <w:t>最大占标率≤100%</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p>
        </w:tc>
        <w:tc>
          <w:tcPr>
            <w:tcW w:w="3566" w:type="dxa"/>
            <w:gridSpan w:val="11"/>
            <w:vAlign w:val="center"/>
          </w:tcPr>
          <w:p w14:paraId="68B654AB">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本项目</w:t>
            </w:r>
            <w:r>
              <w:rPr>
                <w:rFonts w:hint="default" w:ascii="Times New Roman" w:hAnsi="Times New Roman" w:cs="Times New Roman"/>
                <w:color w:val="000000" w:themeColor="text1"/>
                <w:sz w:val="21"/>
                <w:szCs w:val="21"/>
                <w:highlight w:val="none"/>
                <w14:textFill>
                  <w14:solidFill>
                    <w14:schemeClr w14:val="tx1"/>
                  </w14:solidFill>
                </w14:textFill>
              </w:rPr>
              <w:t>最大占标率＞10%□</w:t>
            </w:r>
          </w:p>
        </w:tc>
      </w:tr>
      <w:tr w14:paraId="2DE2C4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0" w:hRule="atLeast"/>
        </w:trPr>
        <w:tc>
          <w:tcPr>
            <w:tcW w:w="407" w:type="dxa"/>
            <w:vMerge w:val="continue"/>
            <w:vAlign w:val="center"/>
          </w:tcPr>
          <w:p w14:paraId="036C54B7">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982" w:type="dxa"/>
            <w:gridSpan w:val="4"/>
            <w:vMerge w:val="restart"/>
            <w:vAlign w:val="center"/>
          </w:tcPr>
          <w:p w14:paraId="341A5CE7">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正常排放年均浓度贡献值</w:t>
            </w:r>
          </w:p>
        </w:tc>
        <w:tc>
          <w:tcPr>
            <w:tcW w:w="1244" w:type="dxa"/>
            <w:gridSpan w:val="6"/>
            <w:vAlign w:val="center"/>
          </w:tcPr>
          <w:p w14:paraId="0B35B8E3">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一类区</w:t>
            </w:r>
          </w:p>
        </w:tc>
        <w:tc>
          <w:tcPr>
            <w:tcW w:w="2857" w:type="dxa"/>
            <w:gridSpan w:val="13"/>
            <w:vAlign w:val="center"/>
          </w:tcPr>
          <w:p w14:paraId="5797B947">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本项目</w:t>
            </w:r>
            <w:r>
              <w:rPr>
                <w:rFonts w:hint="default" w:ascii="Times New Roman" w:hAnsi="Times New Roman" w:cs="Times New Roman"/>
                <w:color w:val="000000" w:themeColor="text1"/>
                <w:sz w:val="21"/>
                <w:szCs w:val="21"/>
                <w:highlight w:val="none"/>
                <w14:textFill>
                  <w14:solidFill>
                    <w14:schemeClr w14:val="tx1"/>
                  </w14:solidFill>
                </w14:textFill>
              </w:rPr>
              <w:t>最大占标率≤10%□</w:t>
            </w:r>
          </w:p>
        </w:tc>
        <w:tc>
          <w:tcPr>
            <w:tcW w:w="3033" w:type="dxa"/>
            <w:gridSpan w:val="9"/>
            <w:vAlign w:val="center"/>
          </w:tcPr>
          <w:p w14:paraId="61AB6335">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本项目</w:t>
            </w:r>
            <w:r>
              <w:rPr>
                <w:rFonts w:hint="default" w:ascii="Times New Roman" w:hAnsi="Times New Roman" w:cs="Times New Roman"/>
                <w:color w:val="000000" w:themeColor="text1"/>
                <w:sz w:val="21"/>
                <w:szCs w:val="21"/>
                <w:highlight w:val="none"/>
                <w14:textFill>
                  <w14:solidFill>
                    <w14:schemeClr w14:val="tx1"/>
                  </w14:solidFill>
                </w14:textFill>
              </w:rPr>
              <w:t>最大占标率≤10%□</w:t>
            </w:r>
          </w:p>
        </w:tc>
      </w:tr>
      <w:tr w14:paraId="161275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9" w:hRule="atLeast"/>
        </w:trPr>
        <w:tc>
          <w:tcPr>
            <w:tcW w:w="407" w:type="dxa"/>
            <w:vMerge w:val="continue"/>
            <w:vAlign w:val="center"/>
          </w:tcPr>
          <w:p w14:paraId="118E92C8">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982" w:type="dxa"/>
            <w:gridSpan w:val="4"/>
            <w:vMerge w:val="continue"/>
            <w:vAlign w:val="center"/>
          </w:tcPr>
          <w:p w14:paraId="71B9C381">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244" w:type="dxa"/>
            <w:gridSpan w:val="6"/>
            <w:vAlign w:val="center"/>
          </w:tcPr>
          <w:p w14:paraId="1D064736">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二类区</w:t>
            </w:r>
          </w:p>
        </w:tc>
        <w:tc>
          <w:tcPr>
            <w:tcW w:w="2857" w:type="dxa"/>
            <w:gridSpan w:val="13"/>
            <w:vAlign w:val="center"/>
          </w:tcPr>
          <w:p w14:paraId="6F703151">
            <w:pPr>
              <w:spacing w:line="276" w:lineRule="auto"/>
              <w:ind w:firstLine="181"/>
              <w:jc w:val="center"/>
              <w:rPr>
                <w:rFonts w:hint="default" w:ascii="Times New Roman" w:hAnsi="Times New Roman" w:eastAsia="宋体"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本项目</w:t>
            </w:r>
            <w:r>
              <w:rPr>
                <w:rFonts w:hint="default" w:ascii="Times New Roman" w:hAnsi="Times New Roman" w:cs="Times New Roman"/>
                <w:color w:val="000000" w:themeColor="text1"/>
                <w:sz w:val="21"/>
                <w:szCs w:val="21"/>
                <w:highlight w:val="none"/>
                <w14:textFill>
                  <w14:solidFill>
                    <w14:schemeClr w14:val="tx1"/>
                  </w14:solidFill>
                </w14:textFill>
              </w:rPr>
              <w:t>最大占标率≤30%</w:t>
            </w:r>
            <w:r>
              <w:rPr>
                <w:rFonts w:hint="eastAsia" w:cs="Times New Roman"/>
                <w:color w:val="000000" w:themeColor="text1"/>
                <w:sz w:val="21"/>
                <w:szCs w:val="21"/>
                <w:highlight w:val="none"/>
                <w:lang w:eastAsia="zh-CN"/>
                <w14:textFill>
                  <w14:solidFill>
                    <w14:schemeClr w14:val="tx1"/>
                  </w14:solidFill>
                </w14:textFill>
              </w:rPr>
              <w:t>□</w:t>
            </w:r>
          </w:p>
        </w:tc>
        <w:tc>
          <w:tcPr>
            <w:tcW w:w="3033" w:type="dxa"/>
            <w:gridSpan w:val="9"/>
            <w:vAlign w:val="center"/>
          </w:tcPr>
          <w:p w14:paraId="0EC4EFA0">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本项目</w:t>
            </w:r>
            <w:r>
              <w:rPr>
                <w:rFonts w:hint="default" w:ascii="Times New Roman" w:hAnsi="Times New Roman" w:cs="Times New Roman"/>
                <w:color w:val="000000" w:themeColor="text1"/>
                <w:sz w:val="21"/>
                <w:szCs w:val="21"/>
                <w:highlight w:val="none"/>
                <w14:textFill>
                  <w14:solidFill>
                    <w14:schemeClr w14:val="tx1"/>
                  </w14:solidFill>
                </w14:textFill>
              </w:rPr>
              <w:t>最大占标率＞30%□</w:t>
            </w:r>
          </w:p>
        </w:tc>
      </w:tr>
      <w:tr w14:paraId="4E72C7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5" w:hRule="atLeast"/>
        </w:trPr>
        <w:tc>
          <w:tcPr>
            <w:tcW w:w="407" w:type="dxa"/>
            <w:vMerge w:val="continue"/>
            <w:vAlign w:val="center"/>
          </w:tcPr>
          <w:p w14:paraId="2FC91FC9">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982" w:type="dxa"/>
            <w:gridSpan w:val="4"/>
            <w:vAlign w:val="center"/>
          </w:tcPr>
          <w:p w14:paraId="79046F5B">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非正常排放1h浓度贡献值</w:t>
            </w:r>
          </w:p>
        </w:tc>
        <w:tc>
          <w:tcPr>
            <w:tcW w:w="2386" w:type="dxa"/>
            <w:gridSpan w:val="9"/>
            <w:vAlign w:val="center"/>
          </w:tcPr>
          <w:p w14:paraId="4054DEAD">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非正常持续时长（0.5）h</w:t>
            </w:r>
          </w:p>
        </w:tc>
        <w:tc>
          <w:tcPr>
            <w:tcW w:w="2374" w:type="dxa"/>
            <w:gridSpan w:val="12"/>
            <w:vAlign w:val="center"/>
          </w:tcPr>
          <w:p w14:paraId="1942618C">
            <w:pPr>
              <w:spacing w:line="276" w:lineRule="auto"/>
              <w:ind w:firstLine="181"/>
              <w:jc w:val="center"/>
              <w:rPr>
                <w:rFonts w:hint="eastAsia" w:ascii="Times New Roman" w:hAnsi="Times New Roman" w:eastAsia="宋体"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非正常</w:t>
            </w:r>
            <w:r>
              <w:rPr>
                <w:rFonts w:hint="default" w:ascii="Times New Roman" w:hAnsi="Times New Roman" w:cs="Times New Roman"/>
                <w:color w:val="000000" w:themeColor="text1"/>
                <w:sz w:val="21"/>
                <w:szCs w:val="21"/>
                <w:highlight w:val="none"/>
                <w14:textFill>
                  <w14:solidFill>
                    <w14:schemeClr w14:val="tx1"/>
                  </w14:solidFill>
                </w14:textFill>
              </w:rPr>
              <w:t>最大占标率≤100%</w:t>
            </w:r>
            <w:r>
              <w:rPr>
                <w:rFonts w:hint="eastAsia" w:cs="Times New Roman"/>
                <w:color w:val="000000" w:themeColor="text1"/>
                <w:sz w:val="21"/>
                <w:szCs w:val="21"/>
                <w:highlight w:val="none"/>
                <w:lang w:eastAsia="zh-CN"/>
                <w14:textFill>
                  <w14:solidFill>
                    <w14:schemeClr w14:val="tx1"/>
                  </w14:solidFill>
                </w14:textFill>
              </w:rPr>
              <w:t>□</w:t>
            </w:r>
          </w:p>
        </w:tc>
        <w:tc>
          <w:tcPr>
            <w:tcW w:w="2374" w:type="dxa"/>
            <w:gridSpan w:val="7"/>
            <w:vAlign w:val="center"/>
          </w:tcPr>
          <w:p w14:paraId="19F4BC3A">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非正常</w:t>
            </w:r>
            <w:r>
              <w:rPr>
                <w:rFonts w:hint="default" w:ascii="Times New Roman" w:hAnsi="Times New Roman" w:cs="Times New Roman"/>
                <w:color w:val="000000" w:themeColor="text1"/>
                <w:sz w:val="21"/>
                <w:szCs w:val="21"/>
                <w:highlight w:val="none"/>
                <w14:textFill>
                  <w14:solidFill>
                    <w14:schemeClr w14:val="tx1"/>
                  </w14:solidFill>
                </w14:textFill>
              </w:rPr>
              <w:t>最大占标率＞100%□</w:t>
            </w:r>
          </w:p>
        </w:tc>
      </w:tr>
      <w:tr w14:paraId="02744D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5" w:hRule="atLeast"/>
        </w:trPr>
        <w:tc>
          <w:tcPr>
            <w:tcW w:w="407" w:type="dxa"/>
            <w:vMerge w:val="continue"/>
            <w:vAlign w:val="center"/>
          </w:tcPr>
          <w:p w14:paraId="44D2DFB0">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665" w:type="dxa"/>
            <w:gridSpan w:val="7"/>
            <w:vAlign w:val="center"/>
          </w:tcPr>
          <w:p w14:paraId="15EAC21E">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保证率日平均浓度和年平均浓度叠加值</w:t>
            </w:r>
          </w:p>
        </w:tc>
        <w:tc>
          <w:tcPr>
            <w:tcW w:w="2885" w:type="dxa"/>
            <w:gridSpan w:val="14"/>
            <w:vAlign w:val="center"/>
          </w:tcPr>
          <w:p w14:paraId="3634CC75">
            <w:pPr>
              <w:spacing w:line="276" w:lineRule="auto"/>
              <w:ind w:firstLine="181"/>
              <w:jc w:val="center"/>
              <w:rPr>
                <w:rFonts w:hint="eastAsia" w:ascii="Times New Roman" w:hAnsi="Times New Roman" w:eastAsia="宋体"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叠加</w:t>
            </w:r>
            <w:r>
              <w:rPr>
                <w:rFonts w:hint="default" w:ascii="Times New Roman" w:hAnsi="Times New Roman" w:cs="Times New Roman"/>
                <w:color w:val="000000" w:themeColor="text1"/>
                <w:sz w:val="21"/>
                <w:szCs w:val="21"/>
                <w:highlight w:val="none"/>
                <w14:textFill>
                  <w14:solidFill>
                    <w14:schemeClr w14:val="tx1"/>
                  </w14:solidFill>
                </w14:textFill>
              </w:rPr>
              <w:t>达标</w:t>
            </w:r>
            <w:r>
              <w:rPr>
                <w:rFonts w:hint="eastAsia" w:cs="Times New Roman"/>
                <w:color w:val="000000" w:themeColor="text1"/>
                <w:sz w:val="21"/>
                <w:szCs w:val="21"/>
                <w:highlight w:val="none"/>
                <w:lang w:eastAsia="zh-CN"/>
                <w14:textFill>
                  <w14:solidFill>
                    <w14:schemeClr w14:val="tx1"/>
                  </w14:solidFill>
                </w14:textFill>
              </w:rPr>
              <w:t>□</w:t>
            </w:r>
          </w:p>
        </w:tc>
        <w:tc>
          <w:tcPr>
            <w:tcW w:w="3566" w:type="dxa"/>
            <w:gridSpan w:val="11"/>
            <w:vAlign w:val="center"/>
          </w:tcPr>
          <w:p w14:paraId="0200F98E">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叠加</w:t>
            </w:r>
            <w:r>
              <w:rPr>
                <w:rFonts w:hint="default" w:ascii="Times New Roman" w:hAnsi="Times New Roman" w:cs="Times New Roman"/>
                <w:color w:val="000000" w:themeColor="text1"/>
                <w:sz w:val="21"/>
                <w:szCs w:val="21"/>
                <w:highlight w:val="none"/>
                <w14:textFill>
                  <w14:solidFill>
                    <w14:schemeClr w14:val="tx1"/>
                  </w14:solidFill>
                </w14:textFill>
              </w:rPr>
              <w:t>不达标□</w:t>
            </w:r>
          </w:p>
        </w:tc>
      </w:tr>
      <w:tr w14:paraId="542DD9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5" w:hRule="atLeast"/>
        </w:trPr>
        <w:tc>
          <w:tcPr>
            <w:tcW w:w="407" w:type="dxa"/>
            <w:vMerge w:val="continue"/>
            <w:vAlign w:val="center"/>
          </w:tcPr>
          <w:p w14:paraId="00EC5D2A">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665" w:type="dxa"/>
            <w:gridSpan w:val="7"/>
            <w:vAlign w:val="center"/>
          </w:tcPr>
          <w:p w14:paraId="01187B94">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区域环境质量的整体变化情况</w:t>
            </w:r>
          </w:p>
        </w:tc>
        <w:tc>
          <w:tcPr>
            <w:tcW w:w="2885" w:type="dxa"/>
            <w:gridSpan w:val="14"/>
            <w:vAlign w:val="center"/>
          </w:tcPr>
          <w:p w14:paraId="7167EEA7">
            <w:pPr>
              <w:spacing w:line="276" w:lineRule="auto"/>
              <w:ind w:firstLine="181"/>
              <w:jc w:val="center"/>
              <w:rPr>
                <w:rFonts w:hint="eastAsia" w:ascii="Times New Roman" w:hAnsi="Times New Roman" w:eastAsia="宋体"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cs="Times New Roman"/>
                <w:i/>
                <w:color w:val="000000" w:themeColor="text1"/>
                <w:sz w:val="21"/>
                <w:szCs w:val="21"/>
                <w:highlight w:val="none"/>
                <w14:textFill>
                  <w14:solidFill>
                    <w14:schemeClr w14:val="tx1"/>
                  </w14:solidFill>
                </w14:textFill>
              </w:rPr>
              <w:t>k</w:t>
            </w:r>
            <w:r>
              <w:rPr>
                <w:rFonts w:hint="default" w:ascii="Times New Roman" w:hAnsi="Times New Roman" w:cs="Times New Roman"/>
                <w:color w:val="000000" w:themeColor="text1"/>
                <w:sz w:val="21"/>
                <w:szCs w:val="21"/>
                <w:highlight w:val="none"/>
                <w14:textFill>
                  <w14:solidFill>
                    <w14:schemeClr w14:val="tx1"/>
                  </w14:solidFill>
                </w14:textFill>
              </w:rPr>
              <w:t>≤-20%</w:t>
            </w:r>
            <w:r>
              <w:rPr>
                <w:rFonts w:hint="eastAsia" w:cs="Times New Roman"/>
                <w:color w:val="000000" w:themeColor="text1"/>
                <w:sz w:val="21"/>
                <w:szCs w:val="21"/>
                <w:highlight w:val="none"/>
                <w:lang w:eastAsia="zh-CN"/>
                <w14:textFill>
                  <w14:solidFill>
                    <w14:schemeClr w14:val="tx1"/>
                  </w14:solidFill>
                </w14:textFill>
              </w:rPr>
              <w:t>□</w:t>
            </w:r>
          </w:p>
        </w:tc>
        <w:tc>
          <w:tcPr>
            <w:tcW w:w="3566" w:type="dxa"/>
            <w:gridSpan w:val="11"/>
            <w:vAlign w:val="center"/>
          </w:tcPr>
          <w:p w14:paraId="3F296FFE">
            <w:pPr>
              <w:spacing w:line="276" w:lineRule="auto"/>
              <w:jc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i/>
                <w:color w:val="000000" w:themeColor="text1"/>
                <w:sz w:val="21"/>
                <w:szCs w:val="21"/>
                <w:highlight w:val="none"/>
                <w14:textFill>
                  <w14:solidFill>
                    <w14:schemeClr w14:val="tx1"/>
                  </w14:solidFill>
                </w14:textFill>
              </w:rPr>
              <w:t>K</w:t>
            </w:r>
            <w:r>
              <w:rPr>
                <w:rFonts w:hint="default" w:ascii="Times New Roman" w:hAnsi="Times New Roman" w:cs="Times New Roman"/>
                <w:color w:val="000000" w:themeColor="text1"/>
                <w:sz w:val="21"/>
                <w:szCs w:val="21"/>
                <w:highlight w:val="none"/>
                <w14:textFill>
                  <w14:solidFill>
                    <w14:schemeClr w14:val="tx1"/>
                  </w14:solidFill>
                </w14:textFill>
              </w:rPr>
              <w:t>＞-20%□</w:t>
            </w:r>
          </w:p>
        </w:tc>
      </w:tr>
      <w:tr w14:paraId="6027FA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0" w:hRule="atLeast"/>
        </w:trPr>
        <w:tc>
          <w:tcPr>
            <w:tcW w:w="669" w:type="dxa"/>
            <w:gridSpan w:val="2"/>
            <w:vMerge w:val="restart"/>
            <w:vAlign w:val="center"/>
          </w:tcPr>
          <w:p w14:paraId="18672248">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环境监测计划</w:t>
            </w:r>
          </w:p>
        </w:tc>
        <w:tc>
          <w:tcPr>
            <w:tcW w:w="850" w:type="dxa"/>
            <w:gridSpan w:val="5"/>
            <w:vAlign w:val="center"/>
          </w:tcPr>
          <w:p w14:paraId="16BAC5CF">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污染源监测</w:t>
            </w:r>
          </w:p>
        </w:tc>
        <w:tc>
          <w:tcPr>
            <w:tcW w:w="2700" w:type="dxa"/>
            <w:gridSpan w:val="9"/>
            <w:vAlign w:val="center"/>
          </w:tcPr>
          <w:p w14:paraId="2F4BC09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监测因子：（</w:t>
            </w:r>
            <w:r>
              <w:rPr>
                <w:rFonts w:hint="default" w:ascii="Times New Roman" w:hAnsi="Times New Roman" w:cs="Times New Roman"/>
                <w:color w:val="000000" w:themeColor="text1"/>
                <w:sz w:val="21"/>
                <w:szCs w:val="21"/>
                <w:lang w:eastAsia="zh-CN"/>
                <w14:textFill>
                  <w14:solidFill>
                    <w14:schemeClr w14:val="tx1"/>
                  </w14:solidFill>
                </w14:textFill>
              </w:rPr>
              <w:t>颗粒物</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eastAsia="zh-CN"/>
                <w14:textFill>
                  <w14:solidFill>
                    <w14:schemeClr w14:val="tx1"/>
                  </w14:solidFill>
                </w14:textFill>
              </w:rPr>
              <w:t>非甲烷总烃、硫化氢、氨</w:t>
            </w:r>
            <w:r>
              <w:rPr>
                <w:rFonts w:hint="default" w:ascii="Times New Roman" w:hAnsi="Times New Roman" w:cs="Times New Roman"/>
                <w:color w:val="000000" w:themeColor="text1"/>
                <w:sz w:val="21"/>
                <w:szCs w:val="21"/>
                <w14:textFill>
                  <w14:solidFill>
                    <w14:schemeClr w14:val="tx1"/>
                  </w14:solidFill>
                </w14:textFill>
              </w:rPr>
              <w:t>）</w:t>
            </w:r>
          </w:p>
        </w:tc>
        <w:tc>
          <w:tcPr>
            <w:tcW w:w="2549" w:type="dxa"/>
            <w:gridSpan w:val="13"/>
            <w:vAlign w:val="center"/>
          </w:tcPr>
          <w:p w14:paraId="30B13551">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有组织废气监测</w:t>
            </w:r>
            <w:bookmarkStart w:id="118" w:name="OLE_LINK7"/>
            <w:bookmarkStart w:id="119" w:name="OLE_LINK8"/>
            <w:r>
              <w:rPr>
                <w:rFonts w:hint="default" w:ascii="Times New Roman" w:hAnsi="Times New Roman" w:cs="Times New Roman"/>
                <w:b/>
                <w:color w:val="000000" w:themeColor="text1"/>
                <w:sz w:val="21"/>
                <w:szCs w:val="21"/>
                <w14:textFill>
                  <w14:solidFill>
                    <w14:schemeClr w14:val="tx1"/>
                  </w14:solidFill>
                </w14:textFill>
              </w:rPr>
              <w:sym w:font="Wingdings 2" w:char="0052"/>
            </w:r>
            <w:bookmarkEnd w:id="118"/>
            <w:bookmarkEnd w:id="119"/>
          </w:p>
          <w:p w14:paraId="20A3F5E4">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无组织废气监测</w:t>
            </w:r>
            <w:r>
              <w:rPr>
                <w:rFonts w:hint="default" w:ascii="Times New Roman" w:hAnsi="Times New Roman" w:cs="Times New Roman"/>
                <w:b/>
                <w:color w:val="000000" w:themeColor="text1"/>
                <w:sz w:val="21"/>
                <w:szCs w:val="21"/>
                <w14:textFill>
                  <w14:solidFill>
                    <w14:schemeClr w14:val="tx1"/>
                  </w14:solidFill>
                </w14:textFill>
              </w:rPr>
              <w:sym w:font="Wingdings 2" w:char="0052"/>
            </w:r>
          </w:p>
        </w:tc>
        <w:tc>
          <w:tcPr>
            <w:tcW w:w="1755" w:type="dxa"/>
            <w:gridSpan w:val="4"/>
            <w:vAlign w:val="center"/>
          </w:tcPr>
          <w:p w14:paraId="32767918">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无监测□</w:t>
            </w:r>
          </w:p>
        </w:tc>
      </w:tr>
      <w:tr w14:paraId="1DD37B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0" w:hRule="atLeast"/>
        </w:trPr>
        <w:tc>
          <w:tcPr>
            <w:tcW w:w="669" w:type="dxa"/>
            <w:gridSpan w:val="2"/>
            <w:vMerge w:val="continue"/>
            <w:vAlign w:val="center"/>
          </w:tcPr>
          <w:p w14:paraId="10BEEFC0">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850" w:type="dxa"/>
            <w:gridSpan w:val="5"/>
            <w:vAlign w:val="center"/>
          </w:tcPr>
          <w:p w14:paraId="47114B5B">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环境质量监测</w:t>
            </w:r>
          </w:p>
        </w:tc>
        <w:tc>
          <w:tcPr>
            <w:tcW w:w="2700" w:type="dxa"/>
            <w:gridSpan w:val="9"/>
            <w:vAlign w:val="center"/>
          </w:tcPr>
          <w:p w14:paraId="68548B07">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监测因子：（）</w:t>
            </w:r>
          </w:p>
        </w:tc>
        <w:tc>
          <w:tcPr>
            <w:tcW w:w="2549" w:type="dxa"/>
            <w:gridSpan w:val="13"/>
            <w:vAlign w:val="center"/>
          </w:tcPr>
          <w:p w14:paraId="128C2EB5">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监测点位数（）</w:t>
            </w:r>
          </w:p>
        </w:tc>
        <w:tc>
          <w:tcPr>
            <w:tcW w:w="1755" w:type="dxa"/>
            <w:gridSpan w:val="4"/>
            <w:vAlign w:val="center"/>
          </w:tcPr>
          <w:p w14:paraId="034E042C">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无监测□</w:t>
            </w:r>
          </w:p>
        </w:tc>
      </w:tr>
      <w:tr w14:paraId="592896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0" w:hRule="atLeast"/>
        </w:trPr>
        <w:tc>
          <w:tcPr>
            <w:tcW w:w="407" w:type="dxa"/>
            <w:vMerge w:val="restart"/>
            <w:vAlign w:val="center"/>
          </w:tcPr>
          <w:p w14:paraId="33423B4B">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评价结论</w:t>
            </w:r>
          </w:p>
        </w:tc>
        <w:tc>
          <w:tcPr>
            <w:tcW w:w="1103" w:type="dxa"/>
            <w:gridSpan w:val="5"/>
            <w:vAlign w:val="center"/>
          </w:tcPr>
          <w:p w14:paraId="6EFCE289">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环境影响</w:t>
            </w:r>
          </w:p>
        </w:tc>
        <w:tc>
          <w:tcPr>
            <w:tcW w:w="7013" w:type="dxa"/>
            <w:gridSpan w:val="27"/>
            <w:vAlign w:val="center"/>
          </w:tcPr>
          <w:p w14:paraId="2D0851A5">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可以接受</w:t>
            </w:r>
            <w:r>
              <w:rPr>
                <w:rFonts w:hint="default" w:ascii="Times New Roman" w:hAnsi="Times New Roman" w:cs="Times New Roman"/>
                <w:b/>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不可以接受□</w:t>
            </w:r>
          </w:p>
        </w:tc>
      </w:tr>
      <w:tr w14:paraId="759D0C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0" w:hRule="atLeast"/>
        </w:trPr>
        <w:tc>
          <w:tcPr>
            <w:tcW w:w="407" w:type="dxa"/>
            <w:vMerge w:val="continue"/>
            <w:vAlign w:val="center"/>
          </w:tcPr>
          <w:p w14:paraId="49ECFF26">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103" w:type="dxa"/>
            <w:gridSpan w:val="5"/>
            <w:vAlign w:val="center"/>
          </w:tcPr>
          <w:p w14:paraId="125FBA64">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大气环境防护距离</w:t>
            </w:r>
          </w:p>
        </w:tc>
        <w:tc>
          <w:tcPr>
            <w:tcW w:w="7013" w:type="dxa"/>
            <w:gridSpan w:val="27"/>
            <w:vAlign w:val="center"/>
          </w:tcPr>
          <w:p w14:paraId="6B8C5E4F">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厂界外100m</w:t>
            </w:r>
          </w:p>
        </w:tc>
      </w:tr>
      <w:tr w14:paraId="698625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6" w:hRule="atLeast"/>
        </w:trPr>
        <w:tc>
          <w:tcPr>
            <w:tcW w:w="407" w:type="dxa"/>
            <w:vMerge w:val="continue"/>
            <w:vAlign w:val="center"/>
          </w:tcPr>
          <w:p w14:paraId="4014EE3B">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103" w:type="dxa"/>
            <w:gridSpan w:val="5"/>
            <w:vMerge w:val="restart"/>
            <w:vAlign w:val="center"/>
          </w:tcPr>
          <w:p w14:paraId="66B830E2">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污染源年排放量（t/a）</w:t>
            </w:r>
          </w:p>
        </w:tc>
        <w:tc>
          <w:tcPr>
            <w:tcW w:w="3437" w:type="dxa"/>
            <w:gridSpan w:val="15"/>
            <w:tcBorders>
              <w:bottom w:val="single" w:color="auto" w:sz="4" w:space="0"/>
              <w:right w:val="single" w:color="auto" w:sz="4" w:space="0"/>
            </w:tcBorders>
            <w:vAlign w:val="center"/>
          </w:tcPr>
          <w:p w14:paraId="6A5DAA7D">
            <w:pPr>
              <w:autoSpaceDE w:val="0"/>
              <w:autoSpaceDN w:val="0"/>
              <w:adjustRightInd w:val="0"/>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颗粒物</w:t>
            </w:r>
          </w:p>
        </w:tc>
        <w:tc>
          <w:tcPr>
            <w:tcW w:w="3576" w:type="dxa"/>
            <w:gridSpan w:val="12"/>
            <w:tcBorders>
              <w:left w:val="single" w:color="auto" w:sz="4" w:space="0"/>
              <w:bottom w:val="single" w:color="auto" w:sz="4" w:space="0"/>
            </w:tcBorders>
            <w:vAlign w:val="center"/>
          </w:tcPr>
          <w:p w14:paraId="6105A881">
            <w:pPr>
              <w:autoSpaceDE w:val="0"/>
              <w:autoSpaceDN w:val="0"/>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0.769</w:t>
            </w:r>
          </w:p>
        </w:tc>
      </w:tr>
      <w:tr w14:paraId="68C1B8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6" w:hRule="atLeast"/>
        </w:trPr>
        <w:tc>
          <w:tcPr>
            <w:tcW w:w="407" w:type="dxa"/>
            <w:vMerge w:val="continue"/>
            <w:vAlign w:val="center"/>
          </w:tcPr>
          <w:p w14:paraId="74FCF1FD">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103" w:type="dxa"/>
            <w:gridSpan w:val="5"/>
            <w:vMerge w:val="continue"/>
            <w:vAlign w:val="center"/>
          </w:tcPr>
          <w:p w14:paraId="1566017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437" w:type="dxa"/>
            <w:gridSpan w:val="15"/>
            <w:tcBorders>
              <w:top w:val="single" w:color="auto" w:sz="4" w:space="0"/>
              <w:bottom w:val="single" w:color="auto" w:sz="4" w:space="0"/>
              <w:right w:val="single" w:color="auto" w:sz="4" w:space="0"/>
            </w:tcBorders>
            <w:vAlign w:val="center"/>
          </w:tcPr>
          <w:p w14:paraId="45291E95">
            <w:pPr>
              <w:autoSpaceDE w:val="0"/>
              <w:autoSpaceDN w:val="0"/>
              <w:adjustRightInd w:val="0"/>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3576" w:type="dxa"/>
            <w:gridSpan w:val="12"/>
            <w:tcBorders>
              <w:top w:val="single" w:color="auto" w:sz="4" w:space="0"/>
              <w:left w:val="single" w:color="auto" w:sz="4" w:space="0"/>
              <w:bottom w:val="single" w:color="auto" w:sz="4" w:space="0"/>
            </w:tcBorders>
            <w:vAlign w:val="center"/>
          </w:tcPr>
          <w:p w14:paraId="50B35C91">
            <w:pPr>
              <w:autoSpaceDE w:val="0"/>
              <w:autoSpaceDN w:val="0"/>
              <w:adjustRightInd w:val="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0.965</w:t>
            </w:r>
          </w:p>
        </w:tc>
      </w:tr>
      <w:tr w14:paraId="7D9896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8" w:hRule="atLeast"/>
        </w:trPr>
        <w:tc>
          <w:tcPr>
            <w:tcW w:w="407" w:type="dxa"/>
            <w:vMerge w:val="continue"/>
            <w:vAlign w:val="center"/>
          </w:tcPr>
          <w:p w14:paraId="3077D986">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103" w:type="dxa"/>
            <w:gridSpan w:val="5"/>
            <w:vMerge w:val="continue"/>
            <w:vAlign w:val="center"/>
          </w:tcPr>
          <w:p w14:paraId="0916BCD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437" w:type="dxa"/>
            <w:gridSpan w:val="15"/>
            <w:tcBorders>
              <w:top w:val="single" w:color="auto" w:sz="4" w:space="0"/>
              <w:bottom w:val="single" w:color="auto" w:sz="4" w:space="0"/>
              <w:right w:val="single" w:color="auto" w:sz="4" w:space="0"/>
            </w:tcBorders>
            <w:vAlign w:val="center"/>
          </w:tcPr>
          <w:p w14:paraId="76A703C8">
            <w:pPr>
              <w:widowControl/>
              <w:kinsoku w:val="0"/>
              <w:autoSpaceDE w:val="0"/>
              <w:autoSpaceDN w:val="0"/>
              <w:adjustRightInd w:val="0"/>
              <w:snapToGrid w:val="0"/>
              <w:spacing w:line="276" w:lineRule="auto"/>
              <w:jc w:val="center"/>
              <w:textAlignment w:val="baseline"/>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snapToGrid w:val="0"/>
                <w:color w:val="000000" w:themeColor="text1"/>
                <w:sz w:val="21"/>
                <w:szCs w:val="21"/>
                <w:lang w:eastAsia="zh-CN"/>
                <w14:textFill>
                  <w14:solidFill>
                    <w14:schemeClr w14:val="tx1"/>
                  </w14:solidFill>
                </w14:textFill>
              </w:rPr>
              <w:t>硫化氢</w:t>
            </w:r>
          </w:p>
        </w:tc>
        <w:tc>
          <w:tcPr>
            <w:tcW w:w="3576" w:type="dxa"/>
            <w:gridSpan w:val="12"/>
            <w:tcBorders>
              <w:top w:val="single" w:color="auto" w:sz="4" w:space="0"/>
              <w:left w:val="single" w:color="auto" w:sz="4" w:space="0"/>
              <w:bottom w:val="single" w:color="auto" w:sz="4" w:space="0"/>
            </w:tcBorders>
            <w:vAlign w:val="center"/>
          </w:tcPr>
          <w:p w14:paraId="500D8993">
            <w:pPr>
              <w:widowControl/>
              <w:spacing w:line="240"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default" w:ascii="Times New Roman" w:hAnsi="Times New Roman" w:cs="Times New Roman"/>
                <w:color w:val="000000" w:themeColor="text1"/>
                <w:sz w:val="21"/>
                <w:szCs w:val="21"/>
                <w:lang w:val="en-US" w:eastAsia="zh-CN"/>
                <w14:textFill>
                  <w14:solidFill>
                    <w14:schemeClr w14:val="tx1"/>
                  </w14:solidFill>
                </w14:textFill>
              </w:rPr>
              <w:t>21</w:t>
            </w:r>
          </w:p>
        </w:tc>
      </w:tr>
      <w:tr w14:paraId="7348D9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9" w:hRule="atLeast"/>
        </w:trPr>
        <w:tc>
          <w:tcPr>
            <w:tcW w:w="407" w:type="dxa"/>
            <w:vMerge w:val="continue"/>
            <w:vAlign w:val="center"/>
          </w:tcPr>
          <w:p w14:paraId="6F603E3F">
            <w:pPr>
              <w:widowControl/>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103" w:type="dxa"/>
            <w:gridSpan w:val="5"/>
            <w:vMerge w:val="continue"/>
            <w:vAlign w:val="center"/>
          </w:tcPr>
          <w:p w14:paraId="6543DB0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437" w:type="dxa"/>
            <w:gridSpan w:val="15"/>
            <w:tcBorders>
              <w:top w:val="single" w:color="auto" w:sz="4" w:space="0"/>
              <w:right w:val="single" w:color="auto" w:sz="4" w:space="0"/>
            </w:tcBorders>
            <w:vAlign w:val="center"/>
          </w:tcPr>
          <w:p w14:paraId="24556B61">
            <w:pPr>
              <w:widowControl/>
              <w:kinsoku w:val="0"/>
              <w:autoSpaceDE w:val="0"/>
              <w:autoSpaceDN w:val="0"/>
              <w:adjustRightInd w:val="0"/>
              <w:snapToGrid w:val="0"/>
              <w:spacing w:line="276" w:lineRule="auto"/>
              <w:jc w:val="center"/>
              <w:textAlignment w:val="baseline"/>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氨</w:t>
            </w:r>
          </w:p>
        </w:tc>
        <w:tc>
          <w:tcPr>
            <w:tcW w:w="3576" w:type="dxa"/>
            <w:gridSpan w:val="12"/>
            <w:tcBorders>
              <w:top w:val="single" w:color="auto" w:sz="4" w:space="0"/>
              <w:left w:val="single" w:color="auto" w:sz="4" w:space="0"/>
            </w:tcBorders>
            <w:vAlign w:val="center"/>
          </w:tcPr>
          <w:p w14:paraId="03345F7D">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0.0000</w:t>
            </w:r>
            <w:r>
              <w:rPr>
                <w:rFonts w:hint="default" w:ascii="Times New Roman" w:hAnsi="Times New Roman" w:cs="Times New Roman"/>
                <w:color w:val="000000" w:themeColor="text1"/>
                <w:sz w:val="21"/>
                <w:szCs w:val="21"/>
                <w:lang w:val="en-US" w:eastAsia="zh-CN"/>
                <w14:textFill>
                  <w14:solidFill>
                    <w14:schemeClr w14:val="tx1"/>
                  </w14:solidFill>
                </w14:textFill>
              </w:rPr>
              <w:t>8</w:t>
            </w:r>
          </w:p>
        </w:tc>
      </w:tr>
      <w:tr w14:paraId="196782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0" w:hRule="atLeast"/>
        </w:trPr>
        <w:tc>
          <w:tcPr>
            <w:tcW w:w="8523" w:type="dxa"/>
            <w:gridSpan w:val="33"/>
            <w:vAlign w:val="center"/>
          </w:tcPr>
          <w:p w14:paraId="6D87DF41">
            <w:pPr>
              <w:spacing w:line="276" w:lineRule="auto"/>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注：“□”为勾选项，填“√”；“（）”为内容填写项</w:t>
            </w:r>
          </w:p>
        </w:tc>
      </w:tr>
    </w:tbl>
    <w:p w14:paraId="199DF479">
      <w:pPr>
        <w:pStyle w:val="3952"/>
        <w:spacing w:before="156"/>
        <w:rPr>
          <w:rFonts w:hint="default" w:ascii="Times New Roman" w:hAnsi="Times New Roman" w:cs="Times New Roman"/>
          <w:color w:val="000000" w:themeColor="text1"/>
          <w14:textFill>
            <w14:solidFill>
              <w14:schemeClr w14:val="tx1"/>
            </w14:solidFill>
          </w14:textFill>
        </w:rPr>
      </w:pPr>
      <w:bookmarkStart w:id="120" w:name="_Toc173837705"/>
      <w:bookmarkStart w:id="121" w:name="_Toc109135989"/>
      <w:bookmarkStart w:id="122" w:name="_Toc49162360"/>
      <w:bookmarkStart w:id="123" w:name="_Toc485653483"/>
      <w:r>
        <w:rPr>
          <w:rFonts w:hint="default" w:ascii="Times New Roman" w:hAnsi="Times New Roman" w:eastAsia="黑体" w:cs="Times New Roman"/>
          <w:b w:val="0"/>
          <w:color w:val="000000" w:themeColor="text1"/>
          <w14:textFill>
            <w14:solidFill>
              <w14:schemeClr w14:val="tx1"/>
            </w14:solidFill>
          </w14:textFill>
        </w:rPr>
        <w:t>5.3地表水环境影响分析</w:t>
      </w:r>
      <w:bookmarkEnd w:id="120"/>
      <w:bookmarkEnd w:id="121"/>
    </w:p>
    <w:p w14:paraId="66AA582B">
      <w:pPr>
        <w:spacing w:before="78" w:line="383" w:lineRule="auto"/>
        <w:ind w:left="45" w:right="59" w:firstLine="482"/>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项目运营期冷却水为</w:t>
      </w:r>
      <w:r>
        <w:rPr>
          <w:rFonts w:hint="eastAsia" w:cs="Times New Roman"/>
          <w:color w:val="000000" w:themeColor="text1"/>
          <w:spacing w:val="-4"/>
          <w:sz w:val="24"/>
          <w:szCs w:val="24"/>
          <w:lang w:eastAsia="zh-CN"/>
          <w14:textFill>
            <w14:solidFill>
              <w14:schemeClr w14:val="tx1"/>
            </w14:solidFill>
          </w14:textFill>
        </w:rPr>
        <w:t>直接</w:t>
      </w:r>
      <w:r>
        <w:rPr>
          <w:rFonts w:hint="default" w:ascii="Times New Roman" w:hAnsi="Times New Roman" w:eastAsia="宋体" w:cs="Times New Roman"/>
          <w:color w:val="000000" w:themeColor="text1"/>
          <w:spacing w:val="-4"/>
          <w:sz w:val="24"/>
          <w:szCs w:val="24"/>
          <w14:textFill>
            <w14:solidFill>
              <w14:schemeClr w14:val="tx1"/>
            </w14:solidFill>
          </w14:textFill>
        </w:rPr>
        <w:t>冷却，循环利用，</w:t>
      </w:r>
      <w:r>
        <w:rPr>
          <w:rFonts w:hint="eastAsia" w:cs="Times New Roman"/>
          <w:color w:val="000000" w:themeColor="text1"/>
          <w:spacing w:val="-4"/>
          <w:sz w:val="24"/>
          <w:szCs w:val="24"/>
          <w:lang w:eastAsia="zh-CN"/>
          <w14:textFill>
            <w14:solidFill>
              <w14:schemeClr w14:val="tx1"/>
            </w14:solidFill>
          </w14:textFill>
        </w:rPr>
        <w:t>定期外排水</w:t>
      </w:r>
      <w:r>
        <w:rPr>
          <w:rFonts w:hint="eastAsia" w:cs="Times New Roman"/>
          <w:color w:val="000000" w:themeColor="text1"/>
          <w:spacing w:val="0"/>
          <w:sz w:val="24"/>
          <w:szCs w:val="24"/>
          <w:lang w:val="en-US" w:eastAsia="zh-CN"/>
          <w14:textFill>
            <w14:solidFill>
              <w14:schemeClr w14:val="tx1"/>
            </w14:solidFill>
          </w14:textFill>
        </w:rPr>
        <w:t>用于物料清洗</w:t>
      </w:r>
      <w:r>
        <w:rPr>
          <w:rFonts w:hint="default" w:ascii="Times New Roman" w:hAnsi="Times New Roman" w:eastAsia="宋体" w:cs="Times New Roman"/>
          <w:color w:val="000000" w:themeColor="text1"/>
          <w:spacing w:val="-4"/>
          <w:sz w:val="24"/>
          <w:szCs w:val="24"/>
          <w14:textFill>
            <w14:solidFill>
              <w14:schemeClr w14:val="tx1"/>
            </w14:solidFill>
          </w14:textFill>
        </w:rPr>
        <w:t>；瓶片清洗废水经厂内污水处理</w:t>
      </w:r>
      <w:r>
        <w:rPr>
          <w:rFonts w:hint="default" w:ascii="Times New Roman" w:hAnsi="Times New Roman" w:eastAsia="宋体" w:cs="Times New Roman"/>
          <w:color w:val="000000" w:themeColor="text1"/>
          <w:spacing w:val="-1"/>
          <w:sz w:val="24"/>
          <w:szCs w:val="24"/>
          <w14:textFill>
            <w14:solidFill>
              <w14:schemeClr w14:val="tx1"/>
            </w14:solidFill>
          </w14:textFill>
        </w:rPr>
        <w:t>站处理后</w:t>
      </w:r>
      <w:r>
        <w:rPr>
          <w:rFonts w:hint="default" w:ascii="Times New Roman" w:hAnsi="Times New Roman" w:eastAsia="Times New Roman" w:cs="Times New Roman"/>
          <w:color w:val="000000" w:themeColor="text1"/>
          <w:spacing w:val="-1"/>
          <w:sz w:val="24"/>
          <w:szCs w:val="24"/>
          <w14:textFill>
            <w14:solidFill>
              <w14:schemeClr w14:val="tx1"/>
            </w14:solidFill>
          </w14:textFill>
        </w:rPr>
        <w:t>90%</w:t>
      </w:r>
      <w:r>
        <w:rPr>
          <w:rFonts w:hint="default" w:ascii="Times New Roman" w:hAnsi="Times New Roman" w:eastAsia="宋体" w:cs="Times New Roman"/>
          <w:color w:val="000000" w:themeColor="text1"/>
          <w:spacing w:val="-1"/>
          <w:sz w:val="24"/>
          <w:szCs w:val="24"/>
          <w14:textFill>
            <w14:solidFill>
              <w14:schemeClr w14:val="tx1"/>
            </w14:solidFill>
          </w14:textFill>
        </w:rPr>
        <w:t>回用，</w:t>
      </w:r>
      <w:r>
        <w:rPr>
          <w:rFonts w:hint="default" w:ascii="Times New Roman" w:hAnsi="Times New Roman" w:eastAsia="Times New Roman" w:cs="Times New Roman"/>
          <w:color w:val="000000" w:themeColor="text1"/>
          <w:spacing w:val="-1"/>
          <w:sz w:val="24"/>
          <w:szCs w:val="24"/>
          <w14:textFill>
            <w14:solidFill>
              <w14:schemeClr w14:val="tx1"/>
            </w14:solidFill>
          </w14:textFill>
        </w:rPr>
        <w:t>10%</w:t>
      </w:r>
      <w:r>
        <w:rPr>
          <w:rFonts w:hint="default" w:ascii="Times New Roman" w:hAnsi="Times New Roman" w:eastAsia="宋体" w:cs="Times New Roman"/>
          <w:color w:val="000000" w:themeColor="text1"/>
          <w:spacing w:val="-1"/>
          <w:sz w:val="24"/>
          <w:szCs w:val="24"/>
          <w14:textFill>
            <w14:solidFill>
              <w14:schemeClr w14:val="tx1"/>
            </w14:solidFill>
          </w14:textFill>
        </w:rPr>
        <w:t>经市政</w:t>
      </w:r>
      <w:r>
        <w:rPr>
          <w:rFonts w:hint="default" w:ascii="Times New Roman" w:hAnsi="Times New Roman" w:eastAsia="宋体" w:cs="Times New Roman"/>
          <w:color w:val="000000" w:themeColor="text1"/>
          <w:spacing w:val="-1"/>
          <w:sz w:val="24"/>
          <w:szCs w:val="24"/>
          <w:lang w:eastAsia="zh-CN"/>
          <w14:textFill>
            <w14:solidFill>
              <w14:schemeClr w14:val="tx1"/>
            </w14:solidFill>
          </w14:textFill>
        </w:rPr>
        <w:t>污水</w:t>
      </w:r>
      <w:r>
        <w:rPr>
          <w:rFonts w:hint="default" w:ascii="Times New Roman" w:hAnsi="Times New Roman" w:eastAsia="宋体" w:cs="Times New Roman"/>
          <w:color w:val="000000" w:themeColor="text1"/>
          <w:spacing w:val="-1"/>
          <w:sz w:val="24"/>
          <w:szCs w:val="24"/>
          <w14:textFill>
            <w14:solidFill>
              <w14:schemeClr w14:val="tx1"/>
            </w14:solidFill>
          </w14:textFill>
        </w:rPr>
        <w:t>管网排入</w:t>
      </w:r>
      <w:r>
        <w:rPr>
          <w:rFonts w:hint="default" w:ascii="Times New Roman" w:hAnsi="Times New Roman" w:eastAsia="宋体" w:cs="Times New Roman"/>
          <w:color w:val="000000" w:themeColor="text1"/>
          <w:spacing w:val="-1"/>
          <w:sz w:val="24"/>
          <w:szCs w:val="24"/>
          <w:lang w:eastAsia="zh-CN"/>
          <w14:textFill>
            <w14:solidFill>
              <w14:schemeClr w14:val="tx1"/>
            </w14:solidFill>
          </w14:textFill>
        </w:rPr>
        <w:t>毛集实验区</w:t>
      </w:r>
      <w:r>
        <w:rPr>
          <w:rFonts w:hint="default" w:ascii="Times New Roman" w:hAnsi="Times New Roman" w:eastAsia="宋体" w:cs="Times New Roman"/>
          <w:color w:val="000000" w:themeColor="text1"/>
          <w:spacing w:val="-1"/>
          <w:sz w:val="24"/>
          <w:szCs w:val="24"/>
          <w14:textFill>
            <w14:solidFill>
              <w14:schemeClr w14:val="tx1"/>
            </w14:solidFill>
          </w14:textFill>
        </w:rPr>
        <w:t>污水处理厂</w:t>
      </w:r>
      <w:r>
        <w:rPr>
          <w:rFonts w:hint="default" w:ascii="Times New Roman" w:hAnsi="Times New Roman" w:eastAsia="宋体" w:cs="Times New Roman"/>
          <w:color w:val="000000" w:themeColor="text1"/>
          <w:spacing w:val="-1"/>
          <w:sz w:val="24"/>
          <w:szCs w:val="24"/>
          <w:lang w:eastAsia="zh-CN"/>
          <w14:textFill>
            <w14:solidFill>
              <w14:schemeClr w14:val="tx1"/>
            </w14:solidFill>
          </w14:textFill>
        </w:rPr>
        <w:t>深度处理</w:t>
      </w:r>
      <w:r>
        <w:rPr>
          <w:rFonts w:hint="default" w:ascii="Times New Roman" w:hAnsi="Times New Roman" w:eastAsia="宋体" w:cs="Times New Roman"/>
          <w:color w:val="000000" w:themeColor="text1"/>
          <w:spacing w:val="-1"/>
          <w:sz w:val="24"/>
          <w:szCs w:val="24"/>
          <w14:textFill>
            <w14:solidFill>
              <w14:schemeClr w14:val="tx1"/>
            </w14:solidFill>
          </w14:textFill>
        </w:rPr>
        <w:t>；</w:t>
      </w:r>
      <w:r>
        <w:rPr>
          <w:rFonts w:hint="default" w:ascii="Times New Roman" w:hAnsi="Times New Roman" w:eastAsia="宋体" w:cs="Times New Roman"/>
          <w:color w:val="000000" w:themeColor="text1"/>
          <w:spacing w:val="-3"/>
          <w:sz w:val="24"/>
          <w:szCs w:val="24"/>
          <w14:textFill>
            <w14:solidFill>
              <w14:schemeClr w14:val="tx1"/>
            </w14:solidFill>
          </w14:textFill>
        </w:rPr>
        <w:t>生活污水经化粪池预处理后经市政</w:t>
      </w:r>
      <w:r>
        <w:rPr>
          <w:rFonts w:hint="default" w:ascii="Times New Roman" w:hAnsi="Times New Roman" w:eastAsia="宋体" w:cs="Times New Roman"/>
          <w:color w:val="000000" w:themeColor="text1"/>
          <w:spacing w:val="-4"/>
          <w:sz w:val="24"/>
          <w:szCs w:val="24"/>
          <w14:textFill>
            <w14:solidFill>
              <w14:schemeClr w14:val="tx1"/>
            </w14:solidFill>
          </w14:textFill>
        </w:rPr>
        <w:t>污水管网排入</w:t>
      </w:r>
      <w:r>
        <w:rPr>
          <w:rFonts w:hint="default" w:ascii="Times New Roman" w:hAnsi="Times New Roman" w:eastAsia="宋体" w:cs="Times New Roman"/>
          <w:color w:val="000000" w:themeColor="text1"/>
          <w:spacing w:val="-1"/>
          <w:sz w:val="24"/>
          <w:szCs w:val="24"/>
          <w:lang w:eastAsia="zh-CN"/>
          <w14:textFill>
            <w14:solidFill>
              <w14:schemeClr w14:val="tx1"/>
            </w14:solidFill>
          </w14:textFill>
        </w:rPr>
        <w:t>毛集实验区</w:t>
      </w:r>
      <w:r>
        <w:rPr>
          <w:rFonts w:hint="default" w:ascii="Times New Roman" w:hAnsi="Times New Roman" w:eastAsia="宋体" w:cs="Times New Roman"/>
          <w:color w:val="000000" w:themeColor="text1"/>
          <w:spacing w:val="-1"/>
          <w:sz w:val="24"/>
          <w:szCs w:val="24"/>
          <w14:textFill>
            <w14:solidFill>
              <w14:schemeClr w14:val="tx1"/>
            </w14:solidFill>
          </w14:textFill>
        </w:rPr>
        <w:t>污水处理厂</w:t>
      </w:r>
      <w:r>
        <w:rPr>
          <w:rFonts w:hint="default" w:ascii="Times New Roman" w:hAnsi="Times New Roman" w:eastAsia="宋体" w:cs="Times New Roman"/>
          <w:color w:val="000000" w:themeColor="text1"/>
          <w:spacing w:val="-4"/>
          <w:sz w:val="24"/>
          <w:szCs w:val="24"/>
          <w14:textFill>
            <w14:solidFill>
              <w14:schemeClr w14:val="tx1"/>
            </w14:solidFill>
          </w14:textFill>
        </w:rPr>
        <w:t>集</w:t>
      </w:r>
      <w:r>
        <w:rPr>
          <w:rFonts w:hint="default" w:ascii="Times New Roman" w:hAnsi="Times New Roman" w:eastAsia="宋体" w:cs="Times New Roman"/>
          <w:color w:val="000000" w:themeColor="text1"/>
          <w:spacing w:val="-1"/>
          <w:sz w:val="24"/>
          <w:szCs w:val="24"/>
          <w14:textFill>
            <w14:solidFill>
              <w14:schemeClr w14:val="tx1"/>
            </w14:solidFill>
          </w14:textFill>
        </w:rPr>
        <w:t>中处理，最终排至</w:t>
      </w:r>
      <w:r>
        <w:rPr>
          <w:rFonts w:hint="default" w:ascii="Times New Roman" w:hAnsi="Times New Roman" w:eastAsia="宋体" w:cs="Times New Roman"/>
          <w:color w:val="000000" w:themeColor="text1"/>
          <w:spacing w:val="-1"/>
          <w:sz w:val="24"/>
          <w:szCs w:val="24"/>
          <w:lang w:eastAsia="zh-CN"/>
          <w14:textFill>
            <w14:solidFill>
              <w14:schemeClr w14:val="tx1"/>
            </w14:solidFill>
          </w14:textFill>
        </w:rPr>
        <w:t>西淝河</w:t>
      </w:r>
      <w:r>
        <w:rPr>
          <w:rFonts w:hint="default" w:ascii="Times New Roman" w:hAnsi="Times New Roman" w:eastAsia="宋体" w:cs="Times New Roman"/>
          <w:color w:val="000000" w:themeColor="text1"/>
          <w:spacing w:val="-1"/>
          <w:sz w:val="24"/>
          <w:szCs w:val="24"/>
          <w14:textFill>
            <w14:solidFill>
              <w14:schemeClr w14:val="tx1"/>
            </w14:solidFill>
          </w14:textFill>
        </w:rPr>
        <w:t>。</w:t>
      </w:r>
    </w:p>
    <w:p w14:paraId="648AF586">
      <w:pPr>
        <w:pStyle w:val="251"/>
        <w:ind w:firstLine="480"/>
        <w:rPr>
          <w:rFonts w:hint="default" w:ascii="Times New Roman" w:hAnsi="Times New Roman" w:cs="Times New Roman"/>
          <w:bCs/>
          <w:color w:val="000000" w:themeColor="text1"/>
          <w14:textFill>
            <w14:solidFill>
              <w14:schemeClr w14:val="tx1"/>
            </w14:solidFill>
          </w14:textFill>
        </w:rPr>
        <w:sectPr>
          <w:footerReference r:id="rId13"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color w:val="000000" w:themeColor="text1"/>
          <w:spacing w:val="-8"/>
          <w:sz w:val="24"/>
          <w:szCs w:val="24"/>
          <w14:textFill>
            <w14:solidFill>
              <w14:schemeClr w14:val="tx1"/>
            </w14:solidFill>
          </w14:textFill>
        </w:rPr>
        <w:t>本项目废水经预处理后进入污水管网，进入</w:t>
      </w:r>
      <w:r>
        <w:rPr>
          <w:rFonts w:hint="default" w:ascii="Times New Roman" w:hAnsi="Times New Roman" w:eastAsia="宋体" w:cs="Times New Roman"/>
          <w:color w:val="000000" w:themeColor="text1"/>
          <w:spacing w:val="-1"/>
          <w:sz w:val="24"/>
          <w:szCs w:val="24"/>
          <w:lang w:eastAsia="zh-CN"/>
          <w14:textFill>
            <w14:solidFill>
              <w14:schemeClr w14:val="tx1"/>
            </w14:solidFill>
          </w14:textFill>
        </w:rPr>
        <w:t>毛集实验区</w:t>
      </w:r>
      <w:r>
        <w:rPr>
          <w:rFonts w:hint="default" w:ascii="Times New Roman" w:hAnsi="Times New Roman" w:eastAsia="宋体" w:cs="Times New Roman"/>
          <w:color w:val="000000" w:themeColor="text1"/>
          <w:spacing w:val="-1"/>
          <w:sz w:val="24"/>
          <w:szCs w:val="24"/>
          <w14:textFill>
            <w14:solidFill>
              <w14:schemeClr w14:val="tx1"/>
            </w14:solidFill>
          </w14:textFill>
        </w:rPr>
        <w:t>污水处理厂</w:t>
      </w:r>
      <w:r>
        <w:rPr>
          <w:rFonts w:hint="default" w:ascii="Times New Roman" w:hAnsi="Times New Roman" w:eastAsia="宋体" w:cs="Times New Roman"/>
          <w:color w:val="000000" w:themeColor="text1"/>
          <w:spacing w:val="-9"/>
          <w:sz w:val="24"/>
          <w:szCs w:val="24"/>
          <w14:textFill>
            <w14:solidFill>
              <w14:schemeClr w14:val="tx1"/>
            </w14:solidFill>
          </w14:textFill>
        </w:rPr>
        <w:t>集中处理，间接排放，</w:t>
      </w:r>
      <w:r>
        <w:rPr>
          <w:rFonts w:hint="default" w:ascii="Times New Roman" w:hAnsi="Times New Roman" w:eastAsia="宋体" w:cs="Times New Roman"/>
          <w:color w:val="000000" w:themeColor="text1"/>
          <w:spacing w:val="-2"/>
          <w:sz w:val="24"/>
          <w:szCs w:val="24"/>
          <w14:textFill>
            <w14:solidFill>
              <w14:schemeClr w14:val="tx1"/>
            </w14:solidFill>
          </w14:textFill>
        </w:rPr>
        <w:t>评价等级为三级</w:t>
      </w:r>
      <w:r>
        <w:rPr>
          <w:rFonts w:hint="default" w:ascii="Times New Roman" w:hAnsi="Times New Roman" w:eastAsia="宋体" w:cs="Times New Roman"/>
          <w:color w:val="000000" w:themeColor="text1"/>
          <w:spacing w:val="-52"/>
          <w:sz w:val="24"/>
          <w:szCs w:val="24"/>
          <w14:textFill>
            <w14:solidFill>
              <w14:schemeClr w14:val="tx1"/>
            </w14:solidFill>
          </w14:textFill>
        </w:rPr>
        <w:t xml:space="preserve"> </w:t>
      </w:r>
      <w:r>
        <w:rPr>
          <w:rFonts w:hint="default" w:ascii="Times New Roman" w:hAnsi="Times New Roman" w:eastAsia="Times New Roman" w:cs="Times New Roman"/>
          <w:color w:val="000000" w:themeColor="text1"/>
          <w:spacing w:val="-2"/>
          <w:sz w:val="24"/>
          <w:szCs w:val="24"/>
          <w14:textFill>
            <w14:solidFill>
              <w14:schemeClr w14:val="tx1"/>
            </w14:solidFill>
          </w14:textFill>
        </w:rPr>
        <w:t>B</w:t>
      </w:r>
      <w:r>
        <w:rPr>
          <w:rFonts w:hint="default" w:ascii="Times New Roman" w:hAnsi="Times New Roman" w:eastAsia="宋体" w:cs="Times New Roman"/>
          <w:color w:val="000000" w:themeColor="text1"/>
          <w:spacing w:val="-2"/>
          <w:sz w:val="24"/>
          <w:szCs w:val="24"/>
          <w14:textFill>
            <w14:solidFill>
              <w14:schemeClr w14:val="tx1"/>
            </w14:solidFill>
          </w14:textFill>
        </w:rPr>
        <w:t>。</w:t>
      </w:r>
    </w:p>
    <w:p w14:paraId="7BA51A1E">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表5.3-</w:t>
      </w:r>
      <w:r>
        <w:rPr>
          <w:rFonts w:hint="default" w:ascii="Times New Roman" w:hAnsi="Times New Roman" w:eastAsia="黑体" w:cs="Times New Roman"/>
          <w:bCs/>
          <w:color w:val="000000" w:themeColor="text1"/>
          <w:sz w:val="24"/>
          <w:lang w:val="en-US" w:eastAsia="zh-CN"/>
          <w14:textFill>
            <w14:solidFill>
              <w14:schemeClr w14:val="tx1"/>
            </w14:solidFill>
          </w14:textFill>
        </w:rPr>
        <w:t xml:space="preserve">2  </w:t>
      </w:r>
      <w:r>
        <w:rPr>
          <w:rFonts w:hint="default" w:ascii="Times New Roman" w:hAnsi="Times New Roman" w:eastAsia="黑体" w:cs="Times New Roman"/>
          <w:bCs/>
          <w:color w:val="000000" w:themeColor="text1"/>
          <w:sz w:val="24"/>
          <w14:textFill>
            <w14:solidFill>
              <w14:schemeClr w14:val="tx1"/>
            </w14:solidFill>
          </w14:textFill>
        </w:rPr>
        <w:t>地表水环境影响评价自查表</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769"/>
        <w:gridCol w:w="2971"/>
        <w:gridCol w:w="1103"/>
        <w:gridCol w:w="3359"/>
        <w:gridCol w:w="2670"/>
        <w:gridCol w:w="1896"/>
      </w:tblGrid>
      <w:tr w14:paraId="7B2FA8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gridSpan w:val="2"/>
            <w:vAlign w:val="center"/>
          </w:tcPr>
          <w:p w14:paraId="619DD370">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工作内容</w:t>
            </w:r>
          </w:p>
        </w:tc>
        <w:tc>
          <w:tcPr>
            <w:tcW w:w="4233" w:type="pct"/>
            <w:gridSpan w:val="5"/>
            <w:vAlign w:val="center"/>
          </w:tcPr>
          <w:p w14:paraId="143F1144">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自查项目</w:t>
            </w:r>
          </w:p>
        </w:tc>
      </w:tr>
      <w:tr w14:paraId="2B2054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restart"/>
            <w:vAlign w:val="center"/>
          </w:tcPr>
          <w:p w14:paraId="6AC4FF53">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影响识别</w:t>
            </w:r>
          </w:p>
        </w:tc>
        <w:tc>
          <w:tcPr>
            <w:tcW w:w="624" w:type="pct"/>
            <w:vAlign w:val="center"/>
          </w:tcPr>
          <w:p w14:paraId="0A71EA1D">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影响类型</w:t>
            </w:r>
          </w:p>
        </w:tc>
        <w:tc>
          <w:tcPr>
            <w:tcW w:w="4233" w:type="pct"/>
            <w:gridSpan w:val="5"/>
            <w:vAlign w:val="center"/>
          </w:tcPr>
          <w:p w14:paraId="711C6B33">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水污染影响型</w:t>
            </w:r>
            <w:bookmarkStart w:id="124" w:name="OLE_LINK10"/>
            <w:bookmarkStart w:id="125" w:name="OLE_LINK9"/>
            <w:r>
              <w:rPr>
                <w:rFonts w:hint="default" w:ascii="Times New Roman" w:hAnsi="Times New Roman" w:cs="Times New Roman"/>
                <w:b/>
                <w:color w:val="000000" w:themeColor="text1"/>
                <w:sz w:val="21"/>
                <w:szCs w:val="21"/>
                <w14:textFill>
                  <w14:solidFill>
                    <w14:schemeClr w14:val="tx1"/>
                  </w14:solidFill>
                </w14:textFill>
              </w:rPr>
              <w:sym w:font="Wingdings 2" w:char="0052"/>
            </w:r>
            <w:bookmarkEnd w:id="124"/>
            <w:bookmarkEnd w:id="125"/>
            <w:r>
              <w:rPr>
                <w:rFonts w:hint="default" w:ascii="Times New Roman" w:hAnsi="Times New Roman" w:cs="Times New Roman"/>
                <w:color w:val="000000" w:themeColor="text1"/>
                <w:sz w:val="21"/>
                <w:szCs w:val="21"/>
                <w14:textFill>
                  <w14:solidFill>
                    <w14:schemeClr w14:val="tx1"/>
                  </w14:solidFill>
                </w14:textFill>
              </w:rPr>
              <w:t>；水文要素影响型□</w:t>
            </w:r>
          </w:p>
        </w:tc>
      </w:tr>
      <w:tr w14:paraId="6565FF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71B0907E">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Align w:val="center"/>
          </w:tcPr>
          <w:p w14:paraId="208EEA89">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水环境保护目标</w:t>
            </w:r>
          </w:p>
        </w:tc>
        <w:tc>
          <w:tcPr>
            <w:tcW w:w="4233" w:type="pct"/>
            <w:gridSpan w:val="5"/>
            <w:vAlign w:val="center"/>
          </w:tcPr>
          <w:p w14:paraId="4E255F3D">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饮用水水源保护区</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；饮用水取水口</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；涉水的自然保护区</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；涉水的风景名胜区</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；重要湿地</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；重点保护与珍稀水生生物的栖息地</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；重要水生生物的自然产卵场及索饵场、越冬场和洄游通道</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；天然渔场等渔业水体</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；水产种质资源保护区</w:t>
            </w:r>
            <w:bookmarkStart w:id="126" w:name="OLE_LINK11"/>
            <w:r>
              <w:rPr>
                <w:rFonts w:hint="default" w:ascii="Times New Roman" w:hAnsi="Times New Roman" w:cs="Times New Roman"/>
                <w:color w:val="000000" w:themeColor="text1"/>
                <w:sz w:val="21"/>
                <w:szCs w:val="21"/>
                <w14:textFill>
                  <w14:solidFill>
                    <w14:schemeClr w14:val="tx1"/>
                  </w14:solidFill>
                </w14:textFill>
              </w:rPr>
              <w:sym w:font="Wingdings 2" w:char="00A3"/>
            </w:r>
            <w:bookmarkEnd w:id="126"/>
            <w:r>
              <w:rPr>
                <w:rFonts w:hint="default" w:ascii="Times New Roman" w:hAnsi="Times New Roman" w:cs="Times New Roman"/>
                <w:color w:val="000000" w:themeColor="text1"/>
                <w:sz w:val="21"/>
                <w:szCs w:val="21"/>
                <w14:textFill>
                  <w14:solidFill>
                    <w14:schemeClr w14:val="tx1"/>
                  </w14:solidFill>
                </w14:textFill>
              </w:rPr>
              <w:t>；其他</w:t>
            </w:r>
            <w:r>
              <w:rPr>
                <w:rFonts w:hint="default" w:ascii="Times New Roman" w:hAnsi="Times New Roman" w:cs="Times New Roman"/>
                <w:color w:val="000000" w:themeColor="text1"/>
                <w:sz w:val="21"/>
                <w:szCs w:val="21"/>
                <w14:textFill>
                  <w14:solidFill>
                    <w14:schemeClr w14:val="tx1"/>
                  </w14:solidFill>
                </w14:textFill>
              </w:rPr>
              <w:sym w:font="Wingdings 2" w:char="00A3"/>
            </w:r>
          </w:p>
        </w:tc>
      </w:tr>
      <w:tr w14:paraId="54E24D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7A4CE533">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Merge w:val="restart"/>
            <w:vAlign w:val="center"/>
          </w:tcPr>
          <w:p w14:paraId="3C9A50AE">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影响途径</w:t>
            </w:r>
          </w:p>
        </w:tc>
        <w:tc>
          <w:tcPr>
            <w:tcW w:w="2622" w:type="pct"/>
            <w:gridSpan w:val="3"/>
            <w:vAlign w:val="center"/>
          </w:tcPr>
          <w:p w14:paraId="15C8B807">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水污染影响型</w:t>
            </w:r>
          </w:p>
        </w:tc>
        <w:tc>
          <w:tcPr>
            <w:tcW w:w="1611" w:type="pct"/>
            <w:gridSpan w:val="2"/>
            <w:vAlign w:val="center"/>
          </w:tcPr>
          <w:p w14:paraId="034148AB">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水文要素影响型</w:t>
            </w:r>
          </w:p>
        </w:tc>
      </w:tr>
      <w:tr w14:paraId="536CE5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6110276B">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Merge w:val="continue"/>
            <w:vAlign w:val="center"/>
          </w:tcPr>
          <w:p w14:paraId="5797DDBB">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2622" w:type="pct"/>
            <w:gridSpan w:val="3"/>
            <w:vAlign w:val="center"/>
          </w:tcPr>
          <w:p w14:paraId="5CE237B2">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直接排放□；间接排放</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；其他</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sym w:font="Times New Roman" w:char="0000"/>
            </w:r>
          </w:p>
        </w:tc>
        <w:tc>
          <w:tcPr>
            <w:tcW w:w="1611" w:type="pct"/>
            <w:gridSpan w:val="2"/>
            <w:vAlign w:val="center"/>
          </w:tcPr>
          <w:p w14:paraId="299ECB34">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水温□；径流□；水域面积□</w:t>
            </w:r>
          </w:p>
        </w:tc>
      </w:tr>
      <w:tr w14:paraId="6DCA42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23A7A5B7">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Align w:val="center"/>
          </w:tcPr>
          <w:p w14:paraId="54DD1644">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影响因子</w:t>
            </w:r>
          </w:p>
        </w:tc>
        <w:tc>
          <w:tcPr>
            <w:tcW w:w="2622" w:type="pct"/>
            <w:gridSpan w:val="3"/>
            <w:vAlign w:val="center"/>
          </w:tcPr>
          <w:p w14:paraId="008CB473">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持久性污染物</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；有毒有害污染物</w:t>
            </w:r>
            <w:bookmarkStart w:id="127" w:name="OLE_LINK14"/>
            <w:r>
              <w:rPr>
                <w:rFonts w:hint="default" w:ascii="Times New Roman" w:hAnsi="Times New Roman" w:cs="Times New Roman"/>
                <w:color w:val="000000" w:themeColor="text1"/>
                <w:sz w:val="21"/>
                <w:szCs w:val="21"/>
                <w14:textFill>
                  <w14:solidFill>
                    <w14:schemeClr w14:val="tx1"/>
                  </w14:solidFill>
                </w14:textFill>
              </w:rPr>
              <w:sym w:font="Wingdings 2" w:char="00A3"/>
            </w:r>
            <w:bookmarkEnd w:id="127"/>
            <w:r>
              <w:rPr>
                <w:rFonts w:hint="default" w:ascii="Times New Roman" w:hAnsi="Times New Roman" w:cs="Times New Roman"/>
                <w:color w:val="000000" w:themeColor="text1"/>
                <w:sz w:val="21"/>
                <w:szCs w:val="21"/>
                <w14:textFill>
                  <w14:solidFill>
                    <w14:schemeClr w14:val="tx1"/>
                  </w14:solidFill>
                </w14:textFill>
              </w:rPr>
              <w:t>；非持久性污染物</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；pH值</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；热污染</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；富营养化</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；其他</w:t>
            </w:r>
            <w:r>
              <w:rPr>
                <w:rFonts w:hint="default" w:ascii="Times New Roman" w:hAnsi="Times New Roman" w:cs="Times New Roman"/>
                <w:color w:val="000000" w:themeColor="text1"/>
                <w:sz w:val="21"/>
                <w:szCs w:val="21"/>
                <w14:textFill>
                  <w14:solidFill>
                    <w14:schemeClr w14:val="tx1"/>
                  </w14:solidFill>
                </w14:textFill>
              </w:rPr>
              <w:sym w:font="Wingdings 2" w:char="00A3"/>
            </w:r>
          </w:p>
        </w:tc>
        <w:tc>
          <w:tcPr>
            <w:tcW w:w="1611" w:type="pct"/>
            <w:gridSpan w:val="2"/>
            <w:vAlign w:val="center"/>
          </w:tcPr>
          <w:p w14:paraId="4C071C0D">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水温□；水位（水深）□；流速□；流量□；其他□</w:t>
            </w:r>
          </w:p>
        </w:tc>
      </w:tr>
      <w:tr w14:paraId="314092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gridSpan w:val="2"/>
            <w:vMerge w:val="restart"/>
            <w:vAlign w:val="center"/>
          </w:tcPr>
          <w:p w14:paraId="4788EDB6">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评价等级</w:t>
            </w:r>
          </w:p>
        </w:tc>
        <w:tc>
          <w:tcPr>
            <w:tcW w:w="2622" w:type="pct"/>
            <w:gridSpan w:val="3"/>
            <w:vAlign w:val="center"/>
          </w:tcPr>
          <w:p w14:paraId="0CF8DCEB">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水污染影响型</w:t>
            </w:r>
          </w:p>
        </w:tc>
        <w:tc>
          <w:tcPr>
            <w:tcW w:w="1611" w:type="pct"/>
            <w:gridSpan w:val="2"/>
            <w:vAlign w:val="center"/>
          </w:tcPr>
          <w:p w14:paraId="4BBCCE60">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水文要素影响型</w:t>
            </w:r>
          </w:p>
        </w:tc>
      </w:tr>
      <w:tr w14:paraId="520A33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gridSpan w:val="2"/>
            <w:vMerge w:val="continue"/>
            <w:vAlign w:val="center"/>
          </w:tcPr>
          <w:p w14:paraId="4B6356E5">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2622" w:type="pct"/>
            <w:gridSpan w:val="3"/>
            <w:vAlign w:val="center"/>
          </w:tcPr>
          <w:p w14:paraId="1734396C">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一级□；二级□；三级A□；三级B</w:t>
            </w:r>
            <w:r>
              <w:rPr>
                <w:rFonts w:hint="default" w:ascii="Times New Roman" w:hAnsi="Times New Roman" w:cs="Times New Roman"/>
                <w:b/>
                <w:color w:val="000000" w:themeColor="text1"/>
                <w:sz w:val="21"/>
                <w:szCs w:val="21"/>
                <w14:textFill>
                  <w14:solidFill>
                    <w14:schemeClr w14:val="tx1"/>
                  </w14:solidFill>
                </w14:textFill>
              </w:rPr>
              <w:sym w:font="Wingdings 2" w:char="0052"/>
            </w:r>
          </w:p>
        </w:tc>
        <w:tc>
          <w:tcPr>
            <w:tcW w:w="1611" w:type="pct"/>
            <w:gridSpan w:val="2"/>
            <w:vAlign w:val="center"/>
          </w:tcPr>
          <w:p w14:paraId="5CC91284">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一级□；二级□；三级□</w:t>
            </w:r>
          </w:p>
        </w:tc>
      </w:tr>
      <w:tr w14:paraId="5986B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restart"/>
            <w:vAlign w:val="center"/>
          </w:tcPr>
          <w:p w14:paraId="4CEE16EC">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现状调查</w:t>
            </w:r>
          </w:p>
        </w:tc>
        <w:tc>
          <w:tcPr>
            <w:tcW w:w="624" w:type="pct"/>
            <w:vMerge w:val="restart"/>
            <w:vAlign w:val="center"/>
          </w:tcPr>
          <w:p w14:paraId="29753100">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区域污染源</w:t>
            </w:r>
          </w:p>
        </w:tc>
        <w:tc>
          <w:tcPr>
            <w:tcW w:w="2622" w:type="pct"/>
            <w:gridSpan w:val="3"/>
            <w:vAlign w:val="center"/>
          </w:tcPr>
          <w:p w14:paraId="0BEC3A61">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调查项目</w:t>
            </w:r>
          </w:p>
        </w:tc>
        <w:tc>
          <w:tcPr>
            <w:tcW w:w="1611" w:type="pct"/>
            <w:gridSpan w:val="2"/>
            <w:vAlign w:val="center"/>
          </w:tcPr>
          <w:p w14:paraId="0479163B">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数据来源</w:t>
            </w:r>
          </w:p>
        </w:tc>
      </w:tr>
      <w:tr w14:paraId="0214EB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0CE4CE8A">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Merge w:val="continue"/>
            <w:vAlign w:val="center"/>
          </w:tcPr>
          <w:p w14:paraId="34A060D8">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437" w:type="pct"/>
            <w:gridSpan w:val="2"/>
            <w:vAlign w:val="center"/>
          </w:tcPr>
          <w:p w14:paraId="16D649B4">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已建</w:t>
            </w:r>
            <w:r>
              <w:rPr>
                <w:rFonts w:hint="default" w:ascii="Times New Roman" w:hAnsi="Times New Roman" w:cs="Times New Roman"/>
                <w:color w:val="000000" w:themeColor="text1"/>
                <w:sz w:val="21"/>
                <w:szCs w:val="21"/>
                <w14:textFill>
                  <w14:solidFill>
                    <w14:schemeClr w14:val="tx1"/>
                  </w14:solidFill>
                </w14:textFill>
              </w:rPr>
              <w:sym w:font="Times New Roman" w:char="0000"/>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；在建</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sym w:font="Times New Roman" w:char="0000"/>
            </w:r>
            <w:r>
              <w:rPr>
                <w:rFonts w:hint="default" w:ascii="Times New Roman" w:hAnsi="Times New Roman" w:cs="Times New Roman"/>
                <w:color w:val="000000" w:themeColor="text1"/>
                <w:sz w:val="21"/>
                <w:szCs w:val="21"/>
                <w14:textFill>
                  <w14:solidFill>
                    <w14:schemeClr w14:val="tx1"/>
                  </w14:solidFill>
                </w14:textFill>
              </w:rPr>
              <w:t>；拟建</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sym w:font="Times New Roman" w:char="0000"/>
            </w:r>
            <w:r>
              <w:rPr>
                <w:rFonts w:hint="default" w:ascii="Times New Roman" w:hAnsi="Times New Roman" w:cs="Times New Roman"/>
                <w:color w:val="000000" w:themeColor="text1"/>
                <w:sz w:val="21"/>
                <w:szCs w:val="21"/>
                <w14:textFill>
                  <w14:solidFill>
                    <w14:schemeClr w14:val="tx1"/>
                  </w14:solidFill>
                </w14:textFill>
              </w:rPr>
              <w:t>；其他□</w:t>
            </w:r>
          </w:p>
        </w:tc>
        <w:tc>
          <w:tcPr>
            <w:tcW w:w="1185" w:type="pct"/>
            <w:vAlign w:val="center"/>
          </w:tcPr>
          <w:p w14:paraId="021DC2C0">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拟替代的污染源□</w:t>
            </w:r>
          </w:p>
        </w:tc>
        <w:tc>
          <w:tcPr>
            <w:tcW w:w="1611" w:type="pct"/>
            <w:gridSpan w:val="2"/>
            <w:vAlign w:val="center"/>
          </w:tcPr>
          <w:p w14:paraId="0F811D23">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排污许可证□；环评</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sym w:font="Times New Roman" w:char="0000"/>
            </w:r>
            <w:r>
              <w:rPr>
                <w:rFonts w:hint="default" w:ascii="Times New Roman" w:hAnsi="Times New Roman" w:cs="Times New Roman"/>
                <w:color w:val="000000" w:themeColor="text1"/>
                <w:sz w:val="21"/>
                <w:szCs w:val="21"/>
                <w14:textFill>
                  <w14:solidFill>
                    <w14:schemeClr w14:val="tx1"/>
                  </w14:solidFill>
                </w14:textFill>
              </w:rPr>
              <w:t>；环保验收</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；既有实测□；现场监测□；入河排放口数据□；其他□</w:t>
            </w:r>
          </w:p>
        </w:tc>
      </w:tr>
      <w:tr w14:paraId="661634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06A2654F">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Merge w:val="restart"/>
            <w:vAlign w:val="center"/>
          </w:tcPr>
          <w:p w14:paraId="7036E737">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受影响水体水环境质量</w:t>
            </w:r>
          </w:p>
        </w:tc>
        <w:tc>
          <w:tcPr>
            <w:tcW w:w="2622" w:type="pct"/>
            <w:gridSpan w:val="3"/>
            <w:vAlign w:val="center"/>
          </w:tcPr>
          <w:p w14:paraId="0D776A5E">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调查时期</w:t>
            </w:r>
          </w:p>
        </w:tc>
        <w:tc>
          <w:tcPr>
            <w:tcW w:w="1611" w:type="pct"/>
            <w:gridSpan w:val="2"/>
            <w:vAlign w:val="center"/>
          </w:tcPr>
          <w:p w14:paraId="0FB86F10">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数据来源</w:t>
            </w:r>
          </w:p>
        </w:tc>
      </w:tr>
      <w:tr w14:paraId="556E1B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17259BA0">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Merge w:val="continue"/>
            <w:vAlign w:val="center"/>
          </w:tcPr>
          <w:p w14:paraId="59F42CB5">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2622" w:type="pct"/>
            <w:gridSpan w:val="3"/>
            <w:vAlign w:val="center"/>
          </w:tcPr>
          <w:p w14:paraId="7794BA83">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丰水期</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；平水期</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；枯水期</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；冰封期□</w:t>
            </w:r>
          </w:p>
          <w:p w14:paraId="44A3B73B">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春季</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；夏季</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；秋季</w:t>
            </w:r>
            <w:bookmarkStart w:id="128" w:name="OLE_LINK12"/>
            <w:bookmarkStart w:id="129" w:name="OLE_LINK17"/>
            <w:bookmarkStart w:id="130" w:name="OLE_LINK18"/>
            <w:bookmarkStart w:id="131" w:name="OLE_LINK13"/>
            <w:r>
              <w:rPr>
                <w:rFonts w:hint="default" w:ascii="Times New Roman" w:hAnsi="Times New Roman" w:cs="Times New Roman"/>
                <w:color w:val="000000" w:themeColor="text1"/>
                <w:sz w:val="21"/>
                <w:szCs w:val="21"/>
                <w14:textFill>
                  <w14:solidFill>
                    <w14:schemeClr w14:val="tx1"/>
                  </w14:solidFill>
                </w14:textFill>
              </w:rPr>
              <w:sym w:font="Wingdings 2" w:char="00A3"/>
            </w:r>
            <w:bookmarkEnd w:id="128"/>
            <w:bookmarkEnd w:id="129"/>
            <w:bookmarkEnd w:id="130"/>
            <w:bookmarkEnd w:id="131"/>
            <w:r>
              <w:rPr>
                <w:rFonts w:hint="default" w:ascii="Times New Roman" w:hAnsi="Times New Roman" w:cs="Times New Roman"/>
                <w:color w:val="000000" w:themeColor="text1"/>
                <w:sz w:val="21"/>
                <w:szCs w:val="21"/>
                <w14:textFill>
                  <w14:solidFill>
                    <w14:schemeClr w14:val="tx1"/>
                  </w14:solidFill>
                </w14:textFill>
              </w:rPr>
              <w:t>；冬季□</w:t>
            </w:r>
          </w:p>
        </w:tc>
        <w:tc>
          <w:tcPr>
            <w:tcW w:w="1611" w:type="pct"/>
            <w:gridSpan w:val="2"/>
            <w:vAlign w:val="center"/>
          </w:tcPr>
          <w:p w14:paraId="6407E9BA">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生态环境保护主管部门</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；补充监测</w:t>
            </w:r>
            <w:bookmarkStart w:id="132" w:name="OLE_LINK16"/>
            <w:bookmarkStart w:id="133" w:name="OLE_LINK15"/>
            <w:r>
              <w:rPr>
                <w:rFonts w:hint="default" w:ascii="Times New Roman" w:hAnsi="Times New Roman" w:cs="Times New Roman"/>
                <w:color w:val="000000" w:themeColor="text1"/>
                <w:sz w:val="21"/>
                <w:szCs w:val="21"/>
                <w14:textFill>
                  <w14:solidFill>
                    <w14:schemeClr w14:val="tx1"/>
                  </w14:solidFill>
                </w14:textFill>
              </w:rPr>
              <w:sym w:font="Wingdings 2" w:char="00A3"/>
            </w:r>
            <w:bookmarkEnd w:id="132"/>
            <w:bookmarkEnd w:id="133"/>
            <w:r>
              <w:rPr>
                <w:rFonts w:hint="default" w:ascii="Times New Roman" w:hAnsi="Times New Roman" w:cs="Times New Roman"/>
                <w:color w:val="000000" w:themeColor="text1"/>
                <w:sz w:val="21"/>
                <w:szCs w:val="21"/>
                <w14:textFill>
                  <w14:solidFill>
                    <w14:schemeClr w14:val="tx1"/>
                  </w14:solidFill>
                </w14:textFill>
              </w:rPr>
              <w:sym w:font="Times New Roman" w:char="0000"/>
            </w:r>
            <w:r>
              <w:rPr>
                <w:rFonts w:hint="default" w:ascii="Times New Roman" w:hAnsi="Times New Roman" w:cs="Times New Roman"/>
                <w:color w:val="000000" w:themeColor="text1"/>
                <w:sz w:val="21"/>
                <w:szCs w:val="21"/>
                <w14:textFill>
                  <w14:solidFill>
                    <w14:schemeClr w14:val="tx1"/>
                  </w14:solidFill>
                </w14:textFill>
              </w:rPr>
              <w:t>；其他</w:t>
            </w:r>
            <w:r>
              <w:rPr>
                <w:rFonts w:hint="default" w:ascii="Times New Roman" w:hAnsi="Times New Roman" w:cs="Times New Roman"/>
                <w:color w:val="000000" w:themeColor="text1"/>
                <w:sz w:val="21"/>
                <w:szCs w:val="21"/>
                <w14:textFill>
                  <w14:solidFill>
                    <w14:schemeClr w14:val="tx1"/>
                  </w14:solidFill>
                </w14:textFill>
              </w:rPr>
              <w:sym w:font="Wingdings 2" w:char="00A3"/>
            </w:r>
          </w:p>
        </w:tc>
      </w:tr>
      <w:tr w14:paraId="0D1A99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17FA9720">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Align w:val="center"/>
          </w:tcPr>
          <w:p w14:paraId="41E3FCEE">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区域水资源开发利用状况</w:t>
            </w:r>
          </w:p>
        </w:tc>
        <w:tc>
          <w:tcPr>
            <w:tcW w:w="4233" w:type="pct"/>
            <w:gridSpan w:val="5"/>
            <w:vAlign w:val="center"/>
          </w:tcPr>
          <w:p w14:paraId="5D8276F9">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未开发</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；开发量40%以下</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；开发量40%以上</w:t>
            </w:r>
            <w:r>
              <w:rPr>
                <w:rFonts w:hint="default" w:ascii="Times New Roman" w:hAnsi="Times New Roman" w:cs="Times New Roman"/>
                <w:color w:val="000000" w:themeColor="text1"/>
                <w:sz w:val="21"/>
                <w:szCs w:val="21"/>
                <w14:textFill>
                  <w14:solidFill>
                    <w14:schemeClr w14:val="tx1"/>
                  </w14:solidFill>
                </w14:textFill>
              </w:rPr>
              <w:sym w:font="Times New Roman" w:char="0000"/>
            </w:r>
          </w:p>
        </w:tc>
      </w:tr>
      <w:tr w14:paraId="61D639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363E0091">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Merge w:val="restart"/>
            <w:vAlign w:val="center"/>
          </w:tcPr>
          <w:p w14:paraId="07E0D996">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水文情势调查</w:t>
            </w:r>
          </w:p>
        </w:tc>
        <w:tc>
          <w:tcPr>
            <w:tcW w:w="2622" w:type="pct"/>
            <w:gridSpan w:val="3"/>
            <w:vAlign w:val="center"/>
          </w:tcPr>
          <w:p w14:paraId="53250286">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调查时期</w:t>
            </w:r>
          </w:p>
        </w:tc>
        <w:tc>
          <w:tcPr>
            <w:tcW w:w="1611" w:type="pct"/>
            <w:gridSpan w:val="2"/>
            <w:vAlign w:val="center"/>
          </w:tcPr>
          <w:p w14:paraId="337A4913">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数据来源</w:t>
            </w:r>
          </w:p>
        </w:tc>
      </w:tr>
      <w:tr w14:paraId="7D02F6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589C9909">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Merge w:val="continue"/>
            <w:vAlign w:val="center"/>
          </w:tcPr>
          <w:p w14:paraId="06B8E359">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2622" w:type="pct"/>
            <w:gridSpan w:val="3"/>
            <w:vAlign w:val="center"/>
          </w:tcPr>
          <w:p w14:paraId="56E0677B">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丰水期□；平水期</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sym w:font="Times New Roman" w:char="0000"/>
            </w:r>
            <w:r>
              <w:rPr>
                <w:rFonts w:hint="default" w:ascii="Times New Roman" w:hAnsi="Times New Roman" w:cs="Times New Roman"/>
                <w:color w:val="000000" w:themeColor="text1"/>
                <w:sz w:val="21"/>
                <w:szCs w:val="21"/>
                <w14:textFill>
                  <w14:solidFill>
                    <w14:schemeClr w14:val="tx1"/>
                  </w14:solidFill>
                </w14:textFill>
              </w:rPr>
              <w:t>；枯水期□；冰封期□春季</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；夏季□；秋季</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；冬季□</w:t>
            </w:r>
          </w:p>
        </w:tc>
        <w:tc>
          <w:tcPr>
            <w:tcW w:w="1611" w:type="pct"/>
            <w:gridSpan w:val="2"/>
            <w:vAlign w:val="center"/>
          </w:tcPr>
          <w:p w14:paraId="2DAC5033">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水行政主管部门</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；补充监测</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；其他</w:t>
            </w:r>
            <w:r>
              <w:rPr>
                <w:rFonts w:hint="default" w:ascii="Times New Roman" w:hAnsi="Times New Roman" w:cs="Times New Roman"/>
                <w:color w:val="000000" w:themeColor="text1"/>
                <w:sz w:val="21"/>
                <w:szCs w:val="21"/>
                <w14:textFill>
                  <w14:solidFill>
                    <w14:schemeClr w14:val="tx1"/>
                  </w14:solidFill>
                </w14:textFill>
              </w:rPr>
              <w:sym w:font="Wingdings 2" w:char="00A3"/>
            </w:r>
          </w:p>
        </w:tc>
      </w:tr>
      <w:tr w14:paraId="5A3BAF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4C04FCE0">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Merge w:val="restart"/>
            <w:vAlign w:val="center"/>
          </w:tcPr>
          <w:p w14:paraId="143EB9CF">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补充监测</w:t>
            </w:r>
          </w:p>
        </w:tc>
        <w:tc>
          <w:tcPr>
            <w:tcW w:w="1437" w:type="pct"/>
            <w:gridSpan w:val="2"/>
            <w:vAlign w:val="center"/>
          </w:tcPr>
          <w:p w14:paraId="39EE6DAA">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监测时期</w:t>
            </w:r>
          </w:p>
        </w:tc>
        <w:tc>
          <w:tcPr>
            <w:tcW w:w="1185" w:type="pct"/>
            <w:vAlign w:val="center"/>
          </w:tcPr>
          <w:p w14:paraId="27CFB28F">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监测因子</w:t>
            </w:r>
          </w:p>
        </w:tc>
        <w:tc>
          <w:tcPr>
            <w:tcW w:w="1611" w:type="pct"/>
            <w:gridSpan w:val="2"/>
            <w:vAlign w:val="center"/>
          </w:tcPr>
          <w:p w14:paraId="0106121D">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监测断面或点位</w:t>
            </w:r>
          </w:p>
        </w:tc>
      </w:tr>
      <w:tr w14:paraId="2B7B65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509619A4">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Merge w:val="continue"/>
            <w:vAlign w:val="center"/>
          </w:tcPr>
          <w:p w14:paraId="3F77E2E1">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437" w:type="pct"/>
            <w:gridSpan w:val="2"/>
            <w:vAlign w:val="center"/>
          </w:tcPr>
          <w:p w14:paraId="16749BBF">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丰水期□；平水期</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sym w:font="Times New Roman" w:char="0000"/>
            </w:r>
            <w:r>
              <w:rPr>
                <w:rFonts w:hint="default" w:ascii="Times New Roman" w:hAnsi="Times New Roman" w:cs="Times New Roman"/>
                <w:color w:val="000000" w:themeColor="text1"/>
                <w:sz w:val="21"/>
                <w:szCs w:val="21"/>
                <w14:textFill>
                  <w14:solidFill>
                    <w14:schemeClr w14:val="tx1"/>
                  </w14:solidFill>
                </w14:textFill>
              </w:rPr>
              <w:t>；枯水期□；冰封期□春季</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；夏季□；秋季</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；冬季□</w:t>
            </w:r>
          </w:p>
        </w:tc>
        <w:tc>
          <w:tcPr>
            <w:tcW w:w="1185" w:type="pct"/>
            <w:vAlign w:val="center"/>
          </w:tcPr>
          <w:p w14:paraId="3B347262">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611" w:type="pct"/>
            <w:gridSpan w:val="2"/>
            <w:vAlign w:val="center"/>
          </w:tcPr>
          <w:p w14:paraId="2C276327">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监测断面或点位个数</w:t>
            </w:r>
          </w:p>
          <w:p w14:paraId="501AB0E1">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（/）个</w:t>
            </w:r>
          </w:p>
        </w:tc>
      </w:tr>
      <w:tr w14:paraId="66A87F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restart"/>
            <w:vAlign w:val="center"/>
          </w:tcPr>
          <w:p w14:paraId="5452B53D">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现状评价</w:t>
            </w:r>
          </w:p>
        </w:tc>
        <w:tc>
          <w:tcPr>
            <w:tcW w:w="624" w:type="pct"/>
            <w:vAlign w:val="center"/>
          </w:tcPr>
          <w:p w14:paraId="3712EF1E">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评价范围</w:t>
            </w:r>
          </w:p>
        </w:tc>
        <w:tc>
          <w:tcPr>
            <w:tcW w:w="4233" w:type="pct"/>
            <w:gridSpan w:val="5"/>
            <w:vAlign w:val="center"/>
          </w:tcPr>
          <w:p w14:paraId="5E63C78A">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河流：长度（）km；湖库、河口及近岸海域：面积（）km</w:t>
            </w:r>
            <w:r>
              <w:rPr>
                <w:rFonts w:hint="default" w:ascii="Times New Roman" w:hAnsi="Times New Roman" w:cs="Times New Roman"/>
                <w:color w:val="000000" w:themeColor="text1"/>
                <w:sz w:val="21"/>
                <w:szCs w:val="21"/>
                <w:vertAlign w:val="superscript"/>
                <w14:textFill>
                  <w14:solidFill>
                    <w14:schemeClr w14:val="tx1"/>
                  </w14:solidFill>
                </w14:textFill>
              </w:rPr>
              <w:t>2</w:t>
            </w:r>
          </w:p>
        </w:tc>
      </w:tr>
      <w:tr w14:paraId="7C5DBC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418BD3A7">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Align w:val="center"/>
          </w:tcPr>
          <w:p w14:paraId="00E49CDB">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评价因子</w:t>
            </w:r>
          </w:p>
        </w:tc>
        <w:tc>
          <w:tcPr>
            <w:tcW w:w="4233" w:type="pct"/>
            <w:gridSpan w:val="5"/>
            <w:vAlign w:val="center"/>
          </w:tcPr>
          <w:p w14:paraId="530DD585">
            <w:pPr>
              <w:snapToGrid w:val="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r>
      <w:tr w14:paraId="628747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68F7D8DF">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Align w:val="center"/>
          </w:tcPr>
          <w:p w14:paraId="3FABC4F0">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评价标准</w:t>
            </w:r>
          </w:p>
        </w:tc>
        <w:tc>
          <w:tcPr>
            <w:tcW w:w="4233" w:type="pct"/>
            <w:gridSpan w:val="5"/>
            <w:vAlign w:val="center"/>
          </w:tcPr>
          <w:p w14:paraId="7D06E95F">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河流、湖库、河口：Ⅰ类□；Ⅱ类</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；Ⅲ类</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；Ⅳ类</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；Ⅴ类</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sym w:font="Times New Roman" w:char="0000"/>
            </w:r>
            <w:r>
              <w:rPr>
                <w:rFonts w:hint="default" w:ascii="Times New Roman" w:hAnsi="Times New Roman" w:cs="Times New Roman"/>
                <w:color w:val="000000" w:themeColor="text1"/>
                <w:sz w:val="21"/>
                <w:szCs w:val="21"/>
                <w14:textFill>
                  <w14:solidFill>
                    <w14:schemeClr w14:val="tx1"/>
                  </w14:solidFill>
                </w14:textFill>
              </w:rPr>
              <w:t>近岸海域：第一类□；第二类□；第三类□；第四类□规划年评价标准（）</w:t>
            </w:r>
          </w:p>
        </w:tc>
      </w:tr>
      <w:tr w14:paraId="64A9E8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6F090149">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Align w:val="center"/>
          </w:tcPr>
          <w:p w14:paraId="013B8054">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评价时期</w:t>
            </w:r>
          </w:p>
        </w:tc>
        <w:tc>
          <w:tcPr>
            <w:tcW w:w="4233" w:type="pct"/>
            <w:gridSpan w:val="5"/>
            <w:vAlign w:val="center"/>
          </w:tcPr>
          <w:p w14:paraId="582D69B5">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丰水期</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；平水期</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sym w:font="Times New Roman" w:char="0000"/>
            </w:r>
            <w:r>
              <w:rPr>
                <w:rFonts w:hint="default" w:ascii="Times New Roman" w:hAnsi="Times New Roman" w:cs="Times New Roman"/>
                <w:color w:val="000000" w:themeColor="text1"/>
                <w:sz w:val="21"/>
                <w:szCs w:val="21"/>
                <w14:textFill>
                  <w14:solidFill>
                    <w14:schemeClr w14:val="tx1"/>
                  </w14:solidFill>
                </w14:textFill>
              </w:rPr>
              <w:t>；枯水期</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；冰封期□</w:t>
            </w:r>
          </w:p>
          <w:p w14:paraId="1001C4DC">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春季</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；夏季</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；秋季</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；冬季□</w:t>
            </w:r>
          </w:p>
        </w:tc>
      </w:tr>
      <w:tr w14:paraId="209937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3426FCF4">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Align w:val="center"/>
          </w:tcPr>
          <w:p w14:paraId="1799151B">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评价结论</w:t>
            </w:r>
          </w:p>
        </w:tc>
        <w:tc>
          <w:tcPr>
            <w:tcW w:w="2622" w:type="pct"/>
            <w:gridSpan w:val="3"/>
            <w:vAlign w:val="center"/>
          </w:tcPr>
          <w:p w14:paraId="33D72546">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水环境功能区或水功能区、近岸海域环境功能区水质达标状况：达标</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；不达标</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sym w:font="Times New Roman" w:char="0000"/>
            </w:r>
          </w:p>
          <w:p w14:paraId="10459C51">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水环境控制单元或断面水质达标状况：达标</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；不达标</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sym w:font="Times New Roman" w:char="0000"/>
            </w:r>
          </w:p>
          <w:p w14:paraId="63150F88">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水环境保护目标质量状况：达标□；不达标</w:t>
            </w:r>
            <w:r>
              <w:rPr>
                <w:rFonts w:hint="default" w:ascii="Times New Roman" w:hAnsi="Times New Roman" w:cs="Times New Roman"/>
                <w:color w:val="000000" w:themeColor="text1"/>
                <w:sz w:val="21"/>
                <w:szCs w:val="21"/>
                <w14:textFill>
                  <w14:solidFill>
                    <w14:schemeClr w14:val="tx1"/>
                  </w14:solidFill>
                </w14:textFill>
              </w:rPr>
              <w:sym w:font="Wingdings 2" w:char="00A3"/>
            </w:r>
          </w:p>
          <w:p w14:paraId="3353C17D">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对照断面、控制断面等代表性断面的水质状况：达标</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；不达标</w:t>
            </w:r>
            <w:r>
              <w:rPr>
                <w:rFonts w:hint="default" w:ascii="Times New Roman" w:hAnsi="Times New Roman" w:cs="Times New Roman"/>
                <w:color w:val="000000" w:themeColor="text1"/>
                <w:sz w:val="21"/>
                <w:szCs w:val="21"/>
                <w14:textFill>
                  <w14:solidFill>
                    <w14:schemeClr w14:val="tx1"/>
                  </w14:solidFill>
                </w14:textFill>
              </w:rPr>
              <w:sym w:font="Times New Roman" w:char="0000"/>
            </w:r>
            <w:r>
              <w:rPr>
                <w:rFonts w:hint="default" w:ascii="Times New Roman" w:hAnsi="Times New Roman" w:cs="Times New Roman"/>
                <w:color w:val="000000" w:themeColor="text1"/>
                <w:sz w:val="21"/>
                <w:szCs w:val="21"/>
                <w14:textFill>
                  <w14:solidFill>
                    <w14:schemeClr w14:val="tx1"/>
                  </w14:solidFill>
                </w14:textFill>
              </w:rPr>
              <w:sym w:font="Wingdings 2" w:char="00A3"/>
            </w:r>
          </w:p>
          <w:p w14:paraId="000B474B">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底泥污染评价□</w:t>
            </w:r>
          </w:p>
          <w:p w14:paraId="68CDBC1C">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水资源与开发利用程度及其水文情势评价□</w:t>
            </w:r>
          </w:p>
          <w:p w14:paraId="027346C9">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水环境质量回顾评价</w:t>
            </w:r>
            <w:r>
              <w:rPr>
                <w:rFonts w:hint="default" w:ascii="Times New Roman" w:hAnsi="Times New Roman" w:cs="Times New Roman"/>
                <w:color w:val="000000" w:themeColor="text1"/>
                <w:sz w:val="21"/>
                <w:szCs w:val="21"/>
                <w14:textFill>
                  <w14:solidFill>
                    <w14:schemeClr w14:val="tx1"/>
                  </w14:solidFill>
                </w14:textFill>
              </w:rPr>
              <w:sym w:font="Wingdings 2" w:char="00A3"/>
            </w:r>
          </w:p>
          <w:p w14:paraId="48FE7291">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流域（区域）水资源（包括水能资源）与开发利用总体状况、生态流量管理要求与现状满足程度、建设项目占用水域空间的水流状况与河湖演变状况□</w:t>
            </w:r>
          </w:p>
          <w:p w14:paraId="22619481">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依托污水处理设施稳定达标排放评价</w:t>
            </w:r>
            <w:r>
              <w:rPr>
                <w:rFonts w:hint="default" w:ascii="Times New Roman" w:hAnsi="Times New Roman" w:cs="Times New Roman"/>
                <w:color w:val="000000" w:themeColor="text1"/>
                <w:sz w:val="21"/>
                <w:szCs w:val="21"/>
                <w14:textFill>
                  <w14:solidFill>
                    <w14:schemeClr w14:val="tx1"/>
                  </w14:solidFill>
                </w14:textFill>
              </w:rPr>
              <w:sym w:font="Wingdings 2" w:char="00A3"/>
            </w:r>
          </w:p>
        </w:tc>
        <w:tc>
          <w:tcPr>
            <w:tcW w:w="1611" w:type="pct"/>
            <w:gridSpan w:val="2"/>
            <w:vAlign w:val="center"/>
          </w:tcPr>
          <w:p w14:paraId="5499039F">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达标区</w:t>
            </w:r>
            <w:r>
              <w:rPr>
                <w:rFonts w:hint="default" w:ascii="Times New Roman" w:hAnsi="Times New Roman" w:cs="Times New Roman"/>
                <w:color w:val="000000" w:themeColor="text1"/>
                <w:sz w:val="21"/>
                <w:szCs w:val="21"/>
                <w14:textFill>
                  <w14:solidFill>
                    <w14:schemeClr w14:val="tx1"/>
                  </w14:solidFill>
                </w14:textFill>
              </w:rPr>
              <w:sym w:font="Wingdings 2" w:char="00A3"/>
            </w:r>
          </w:p>
          <w:p w14:paraId="68126A8B">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不达标区</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sym w:font="Times New Roman" w:char="0000"/>
            </w:r>
          </w:p>
        </w:tc>
      </w:tr>
      <w:tr w14:paraId="2BD61F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restart"/>
            <w:vAlign w:val="center"/>
          </w:tcPr>
          <w:p w14:paraId="0F5434A6">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影响预测</w:t>
            </w:r>
          </w:p>
        </w:tc>
        <w:tc>
          <w:tcPr>
            <w:tcW w:w="624" w:type="pct"/>
            <w:vAlign w:val="center"/>
          </w:tcPr>
          <w:p w14:paraId="01BFEBD2">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预测范围</w:t>
            </w:r>
          </w:p>
        </w:tc>
        <w:tc>
          <w:tcPr>
            <w:tcW w:w="4233" w:type="pct"/>
            <w:gridSpan w:val="5"/>
            <w:vAlign w:val="center"/>
          </w:tcPr>
          <w:p w14:paraId="4E3222C3">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河流：长度（）km；湖库、河口及近岸海域：面积（）km</w:t>
            </w:r>
            <w:r>
              <w:rPr>
                <w:rFonts w:hint="default" w:ascii="Times New Roman" w:hAnsi="Times New Roman" w:cs="Times New Roman"/>
                <w:color w:val="000000" w:themeColor="text1"/>
                <w:sz w:val="21"/>
                <w:szCs w:val="21"/>
                <w:vertAlign w:val="superscript"/>
                <w14:textFill>
                  <w14:solidFill>
                    <w14:schemeClr w14:val="tx1"/>
                  </w14:solidFill>
                </w14:textFill>
              </w:rPr>
              <w:t>2</w:t>
            </w:r>
          </w:p>
        </w:tc>
      </w:tr>
      <w:tr w14:paraId="77F97F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378FBE7D">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Align w:val="center"/>
          </w:tcPr>
          <w:p w14:paraId="3466A47E">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预测因子</w:t>
            </w:r>
          </w:p>
        </w:tc>
        <w:tc>
          <w:tcPr>
            <w:tcW w:w="4233" w:type="pct"/>
            <w:gridSpan w:val="5"/>
            <w:vAlign w:val="center"/>
          </w:tcPr>
          <w:p w14:paraId="7ED1566E">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48A10E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55280C7E">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Align w:val="center"/>
          </w:tcPr>
          <w:p w14:paraId="1ABA2977">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预测时期</w:t>
            </w:r>
          </w:p>
        </w:tc>
        <w:tc>
          <w:tcPr>
            <w:tcW w:w="4233" w:type="pct"/>
            <w:gridSpan w:val="5"/>
            <w:vAlign w:val="center"/>
          </w:tcPr>
          <w:p w14:paraId="38B97297">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丰水期□；平水期□；枯水期□；冰封期□；春季□；夏季□；秋季□；冬季□；设计水文条件□</w:t>
            </w:r>
          </w:p>
        </w:tc>
      </w:tr>
      <w:tr w14:paraId="5F2EEE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3E6C7A5F">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Align w:val="center"/>
          </w:tcPr>
          <w:p w14:paraId="772CA78F">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预测背景</w:t>
            </w:r>
          </w:p>
        </w:tc>
        <w:tc>
          <w:tcPr>
            <w:tcW w:w="4233" w:type="pct"/>
            <w:gridSpan w:val="5"/>
            <w:vAlign w:val="center"/>
          </w:tcPr>
          <w:p w14:paraId="208E04FD">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建设期□；生产运行期□；服务期满后□；正常工况□；非正常工况□；污染控制和减缓措施方案□区（流）域环境质量改善目标要求情景□</w:t>
            </w:r>
          </w:p>
        </w:tc>
      </w:tr>
      <w:tr w14:paraId="10F69C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44A08997">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Align w:val="center"/>
          </w:tcPr>
          <w:p w14:paraId="51742957">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预测方法</w:t>
            </w:r>
          </w:p>
        </w:tc>
        <w:tc>
          <w:tcPr>
            <w:tcW w:w="4233" w:type="pct"/>
            <w:gridSpan w:val="5"/>
            <w:vAlign w:val="center"/>
          </w:tcPr>
          <w:p w14:paraId="5AF30A50">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数值解□：解析解□；其他□导则推荐模式□：其他□</w:t>
            </w:r>
          </w:p>
        </w:tc>
      </w:tr>
      <w:tr w14:paraId="3CC471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restart"/>
            <w:vAlign w:val="center"/>
          </w:tcPr>
          <w:p w14:paraId="1B10B6EC">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影响评价</w:t>
            </w:r>
          </w:p>
        </w:tc>
        <w:tc>
          <w:tcPr>
            <w:tcW w:w="624" w:type="pct"/>
            <w:vAlign w:val="center"/>
          </w:tcPr>
          <w:p w14:paraId="318271B4">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水污染控制和水环境影响减缓措施有效性评价</w:t>
            </w:r>
          </w:p>
        </w:tc>
        <w:tc>
          <w:tcPr>
            <w:tcW w:w="4233" w:type="pct"/>
            <w:gridSpan w:val="5"/>
            <w:vAlign w:val="center"/>
          </w:tcPr>
          <w:p w14:paraId="2A6FA779">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区（流）域水环境质量改善目标</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；替代削减源</w:t>
            </w:r>
            <w:r>
              <w:rPr>
                <w:rFonts w:hint="default" w:ascii="Times New Roman" w:hAnsi="Times New Roman" w:cs="Times New Roman"/>
                <w:color w:val="000000" w:themeColor="text1"/>
                <w:sz w:val="21"/>
                <w:szCs w:val="21"/>
                <w14:textFill>
                  <w14:solidFill>
                    <w14:schemeClr w14:val="tx1"/>
                  </w14:solidFill>
                </w14:textFill>
              </w:rPr>
              <w:sym w:font="Wingdings 2" w:char="00A3"/>
            </w:r>
          </w:p>
        </w:tc>
      </w:tr>
      <w:tr w14:paraId="44DE83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1DC96F8E">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Align w:val="center"/>
          </w:tcPr>
          <w:p w14:paraId="1D6504DF">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水环境影响评价</w:t>
            </w:r>
          </w:p>
        </w:tc>
        <w:tc>
          <w:tcPr>
            <w:tcW w:w="4233" w:type="pct"/>
            <w:gridSpan w:val="5"/>
            <w:vAlign w:val="center"/>
          </w:tcPr>
          <w:p w14:paraId="1171B2A4">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排放口混合区外满足水环境管理要求□</w:t>
            </w:r>
          </w:p>
          <w:p w14:paraId="3EC8AC73">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水环境功能区或水功能区、近岸海域环境功能区水质达标□</w:t>
            </w:r>
          </w:p>
          <w:p w14:paraId="30C8FC32">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满足水环境保护目标水域水环境质量要求□</w:t>
            </w:r>
          </w:p>
          <w:p w14:paraId="1BA21D97">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水环境控制单元或断面水质达标□</w:t>
            </w:r>
          </w:p>
          <w:p w14:paraId="6D23EF4B">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满足重点水污染物排放总量控制指标要求，重点行业建设项目，主要污染物排放满足等量或减量替代要求□</w:t>
            </w:r>
          </w:p>
          <w:p w14:paraId="158796B1">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满足区（流）域水环境质量改善目标要求□</w:t>
            </w:r>
          </w:p>
          <w:p w14:paraId="0EE654F1">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水文要素影响型建设项目同时应包括水文情势变化评价、主要水文特征值影响评价、生态流量符合性评价□</w:t>
            </w:r>
          </w:p>
          <w:p w14:paraId="1DF70284">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对于新设或调整入河（湖库、近岸海域）排放口的建设项目，应包括排放口设置的环境合理性评价□</w:t>
            </w:r>
          </w:p>
          <w:p w14:paraId="3C0DF809">
            <w:pPr>
              <w:snapToGrid w:val="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满足生态保护红线、水环境质量底线、资源利用上线和环境准入清单管理要求</w:t>
            </w:r>
            <w:r>
              <w:rPr>
                <w:rFonts w:hint="default" w:ascii="Times New Roman" w:hAnsi="Times New Roman" w:cs="Times New Roman"/>
                <w:color w:val="000000" w:themeColor="text1"/>
                <w:sz w:val="21"/>
                <w:szCs w:val="21"/>
                <w14:textFill>
                  <w14:solidFill>
                    <w14:schemeClr w14:val="tx1"/>
                  </w14:solidFill>
                </w14:textFill>
              </w:rPr>
              <w:sym w:font="Times New Roman" w:char="0000"/>
            </w:r>
          </w:p>
        </w:tc>
      </w:tr>
      <w:tr w14:paraId="5586EC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088355A0">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Merge w:val="restart"/>
            <w:vAlign w:val="center"/>
          </w:tcPr>
          <w:p w14:paraId="3EF41B6E">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污染物排放量核算</w:t>
            </w:r>
          </w:p>
        </w:tc>
        <w:tc>
          <w:tcPr>
            <w:tcW w:w="1437" w:type="pct"/>
            <w:gridSpan w:val="2"/>
            <w:vAlign w:val="center"/>
          </w:tcPr>
          <w:p w14:paraId="66374750">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污染物名称</w:t>
            </w:r>
          </w:p>
        </w:tc>
        <w:tc>
          <w:tcPr>
            <w:tcW w:w="1185" w:type="pct"/>
            <w:vAlign w:val="center"/>
          </w:tcPr>
          <w:p w14:paraId="12311CE5">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排放量/（t/a）</w:t>
            </w:r>
          </w:p>
        </w:tc>
        <w:tc>
          <w:tcPr>
            <w:tcW w:w="1611" w:type="pct"/>
            <w:gridSpan w:val="2"/>
            <w:vAlign w:val="center"/>
          </w:tcPr>
          <w:p w14:paraId="29C8F3A7">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排放浓度/（mg/L）</w:t>
            </w:r>
          </w:p>
        </w:tc>
      </w:tr>
      <w:tr w14:paraId="6B0562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7A3EE6A7">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Merge w:val="continue"/>
            <w:vAlign w:val="center"/>
          </w:tcPr>
          <w:p w14:paraId="4D6D02AC">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437" w:type="pct"/>
            <w:gridSpan w:val="2"/>
            <w:vAlign w:val="center"/>
          </w:tcPr>
          <w:p w14:paraId="5790CA9B">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185" w:type="pct"/>
            <w:vAlign w:val="center"/>
          </w:tcPr>
          <w:p w14:paraId="4BDF4DEF">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p>
        </w:tc>
        <w:tc>
          <w:tcPr>
            <w:tcW w:w="1611" w:type="pct"/>
            <w:gridSpan w:val="2"/>
            <w:vAlign w:val="center"/>
          </w:tcPr>
          <w:p w14:paraId="6A278D7F">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p>
        </w:tc>
      </w:tr>
      <w:tr w14:paraId="40AD50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62A5D2DD">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Align w:val="center"/>
          </w:tcPr>
          <w:p w14:paraId="3B2CC27A">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替代源排放情况</w:t>
            </w:r>
          </w:p>
        </w:tc>
        <w:tc>
          <w:tcPr>
            <w:tcW w:w="1048" w:type="pct"/>
            <w:vAlign w:val="center"/>
          </w:tcPr>
          <w:p w14:paraId="2DCD82E7">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污染源名称</w:t>
            </w:r>
          </w:p>
        </w:tc>
        <w:tc>
          <w:tcPr>
            <w:tcW w:w="388" w:type="pct"/>
            <w:vAlign w:val="center"/>
          </w:tcPr>
          <w:p w14:paraId="7559DAC2">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排污许可证编号</w:t>
            </w:r>
          </w:p>
        </w:tc>
        <w:tc>
          <w:tcPr>
            <w:tcW w:w="1185" w:type="pct"/>
            <w:vAlign w:val="center"/>
          </w:tcPr>
          <w:p w14:paraId="713D38AE">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污染物名称</w:t>
            </w:r>
          </w:p>
        </w:tc>
        <w:tc>
          <w:tcPr>
            <w:tcW w:w="942" w:type="pct"/>
            <w:vAlign w:val="center"/>
          </w:tcPr>
          <w:p w14:paraId="7BE0E002">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排放量/（t/a）</w:t>
            </w:r>
          </w:p>
        </w:tc>
        <w:tc>
          <w:tcPr>
            <w:tcW w:w="669" w:type="pct"/>
            <w:vAlign w:val="center"/>
          </w:tcPr>
          <w:p w14:paraId="5489DD5C">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排放浓度/（mg/L）</w:t>
            </w:r>
          </w:p>
        </w:tc>
      </w:tr>
      <w:tr w14:paraId="1FBD29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6EF0C910">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Align w:val="center"/>
          </w:tcPr>
          <w:p w14:paraId="7ED80347">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048" w:type="pct"/>
            <w:vAlign w:val="center"/>
          </w:tcPr>
          <w:p w14:paraId="7912D52F">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388" w:type="pct"/>
            <w:vAlign w:val="center"/>
          </w:tcPr>
          <w:p w14:paraId="6733D3A2">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185" w:type="pct"/>
            <w:vAlign w:val="center"/>
          </w:tcPr>
          <w:p w14:paraId="6FB2D477">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942" w:type="pct"/>
            <w:vAlign w:val="center"/>
          </w:tcPr>
          <w:p w14:paraId="4A49F7E6">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669" w:type="pct"/>
            <w:vAlign w:val="center"/>
          </w:tcPr>
          <w:p w14:paraId="647CC016">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46073B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6BDB807A">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Align w:val="center"/>
          </w:tcPr>
          <w:p w14:paraId="19FB74A4">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生态流量确定</w:t>
            </w:r>
          </w:p>
        </w:tc>
        <w:tc>
          <w:tcPr>
            <w:tcW w:w="4233" w:type="pct"/>
            <w:gridSpan w:val="5"/>
            <w:vAlign w:val="center"/>
          </w:tcPr>
          <w:p w14:paraId="08E83606">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生态流量：一般水期（）m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/s；鱼类繁殖期（）m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/s；其他（）m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/s</w:t>
            </w:r>
          </w:p>
          <w:p w14:paraId="1907D762">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生态水位：一般水期（）m；鱼类繁殖期（）m；其他（）m</w:t>
            </w:r>
          </w:p>
        </w:tc>
      </w:tr>
      <w:tr w14:paraId="280C06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restart"/>
            <w:vAlign w:val="center"/>
          </w:tcPr>
          <w:p w14:paraId="012741D5">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防治措施</w:t>
            </w:r>
          </w:p>
        </w:tc>
        <w:tc>
          <w:tcPr>
            <w:tcW w:w="624" w:type="pct"/>
            <w:vAlign w:val="center"/>
          </w:tcPr>
          <w:p w14:paraId="4A2D97B7">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环保措施</w:t>
            </w:r>
          </w:p>
        </w:tc>
        <w:tc>
          <w:tcPr>
            <w:tcW w:w="4233" w:type="pct"/>
            <w:gridSpan w:val="5"/>
            <w:vAlign w:val="center"/>
          </w:tcPr>
          <w:p w14:paraId="414BF61E">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污水处理设施</w:t>
            </w:r>
            <w:r>
              <w:rPr>
                <w:rFonts w:hint="default" w:ascii="Times New Roman" w:hAnsi="Times New Roman" w:eastAsia="MS Mincho"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；水文减缓设施□；生态流量保障设施□；区域削减□；依托其他工程措施</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；其他□</w:t>
            </w:r>
          </w:p>
        </w:tc>
      </w:tr>
      <w:tr w14:paraId="091736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2F384269">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Merge w:val="restart"/>
            <w:vAlign w:val="center"/>
          </w:tcPr>
          <w:p w14:paraId="01082A35">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监测计划</w:t>
            </w:r>
          </w:p>
        </w:tc>
        <w:tc>
          <w:tcPr>
            <w:tcW w:w="1048" w:type="pct"/>
            <w:vAlign w:val="center"/>
          </w:tcPr>
          <w:p w14:paraId="5AFBC712">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573" w:type="pct"/>
            <w:gridSpan w:val="2"/>
            <w:vAlign w:val="center"/>
          </w:tcPr>
          <w:p w14:paraId="074E22DE">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环境质量</w:t>
            </w:r>
          </w:p>
        </w:tc>
        <w:tc>
          <w:tcPr>
            <w:tcW w:w="1611" w:type="pct"/>
            <w:gridSpan w:val="2"/>
            <w:vAlign w:val="center"/>
          </w:tcPr>
          <w:p w14:paraId="265E2E3A">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污染源</w:t>
            </w:r>
          </w:p>
        </w:tc>
      </w:tr>
      <w:tr w14:paraId="0CF8BB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50EDFF30">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Merge w:val="continue"/>
            <w:vAlign w:val="center"/>
          </w:tcPr>
          <w:p w14:paraId="2B61DA40">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048" w:type="pct"/>
            <w:vAlign w:val="center"/>
          </w:tcPr>
          <w:p w14:paraId="6B9E0046">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监测方式</w:t>
            </w:r>
          </w:p>
        </w:tc>
        <w:tc>
          <w:tcPr>
            <w:tcW w:w="1573" w:type="pct"/>
            <w:gridSpan w:val="2"/>
            <w:vAlign w:val="center"/>
          </w:tcPr>
          <w:p w14:paraId="683721F1">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手动</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sym w:font="Times New Roman" w:char="0000"/>
            </w:r>
            <w:r>
              <w:rPr>
                <w:rFonts w:hint="default" w:ascii="Times New Roman" w:hAnsi="Times New Roman" w:cs="Times New Roman"/>
                <w:color w:val="000000" w:themeColor="text1"/>
                <w:sz w:val="21"/>
                <w:szCs w:val="21"/>
                <w14:textFill>
                  <w14:solidFill>
                    <w14:schemeClr w14:val="tx1"/>
                  </w14:solidFill>
                </w14:textFill>
              </w:rPr>
              <w:t>；自动□；无监测</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sym w:font="Times New Roman" w:char="0000"/>
            </w:r>
          </w:p>
        </w:tc>
        <w:tc>
          <w:tcPr>
            <w:tcW w:w="1611" w:type="pct"/>
            <w:gridSpan w:val="2"/>
            <w:vAlign w:val="center"/>
          </w:tcPr>
          <w:p w14:paraId="41507570">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手动</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；自动</w:t>
            </w:r>
            <w:r>
              <w:rPr>
                <w:rFonts w:hint="default" w:ascii="Times New Roman" w:hAnsi="Times New Roman" w:cs="Times New Roman"/>
                <w:color w:val="000000" w:themeColor="text1"/>
                <w:sz w:val="2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sym w:font="Times New Roman" w:char="0000"/>
            </w:r>
            <w:r>
              <w:rPr>
                <w:rFonts w:hint="default" w:ascii="Times New Roman" w:hAnsi="Times New Roman" w:cs="Times New Roman"/>
                <w:color w:val="000000" w:themeColor="text1"/>
                <w:sz w:val="21"/>
                <w:szCs w:val="21"/>
                <w14:textFill>
                  <w14:solidFill>
                    <w14:schemeClr w14:val="tx1"/>
                  </w14:solidFill>
                </w14:textFill>
              </w:rPr>
              <w:t>；无监测</w:t>
            </w:r>
            <w:r>
              <w:rPr>
                <w:rFonts w:hint="default" w:ascii="Times New Roman" w:hAnsi="Times New Roman" w:cs="Times New Roman"/>
                <w:color w:val="000000" w:themeColor="text1"/>
                <w:sz w:val="21"/>
                <w:szCs w:val="21"/>
                <w14:textFill>
                  <w14:solidFill>
                    <w14:schemeClr w14:val="tx1"/>
                  </w14:solidFill>
                </w14:textFill>
              </w:rPr>
              <w:sym w:font="Wingdings 2" w:char="00A3"/>
            </w:r>
          </w:p>
        </w:tc>
      </w:tr>
      <w:tr w14:paraId="545DEF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7F53DDED">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Merge w:val="continue"/>
            <w:vAlign w:val="center"/>
          </w:tcPr>
          <w:p w14:paraId="0D63F427">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048" w:type="pct"/>
            <w:vAlign w:val="center"/>
          </w:tcPr>
          <w:p w14:paraId="73A52C3A">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监测点位</w:t>
            </w:r>
          </w:p>
        </w:tc>
        <w:tc>
          <w:tcPr>
            <w:tcW w:w="1573" w:type="pct"/>
            <w:gridSpan w:val="2"/>
            <w:vAlign w:val="center"/>
          </w:tcPr>
          <w:p w14:paraId="51D0C664">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611" w:type="pct"/>
            <w:gridSpan w:val="2"/>
            <w:vAlign w:val="center"/>
          </w:tcPr>
          <w:p w14:paraId="3E39A58E">
            <w:pPr>
              <w:snapToGrid w:val="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厂区总排口</w:t>
            </w:r>
          </w:p>
        </w:tc>
      </w:tr>
      <w:tr w14:paraId="2A14D8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20503D5E">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Merge w:val="continue"/>
            <w:vAlign w:val="center"/>
          </w:tcPr>
          <w:p w14:paraId="23C7E167">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048" w:type="pct"/>
            <w:vAlign w:val="center"/>
          </w:tcPr>
          <w:p w14:paraId="3364F44E">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监测因子</w:t>
            </w:r>
          </w:p>
        </w:tc>
        <w:tc>
          <w:tcPr>
            <w:tcW w:w="1573" w:type="pct"/>
            <w:gridSpan w:val="2"/>
            <w:vAlign w:val="center"/>
          </w:tcPr>
          <w:p w14:paraId="67E084B1">
            <w:pPr>
              <w:snapToGrid w:val="0"/>
              <w:jc w:val="center"/>
              <w:rPr>
                <w:rFonts w:hint="default" w:ascii="Times New Roman" w:hAnsi="Times New Roman" w:eastAsia="等线" w:cs="Times New Roman"/>
                <w:color w:val="000000" w:themeColor="text1"/>
                <w:sz w:val="21"/>
                <w:szCs w:val="21"/>
                <w14:textFill>
                  <w14:solidFill>
                    <w14:schemeClr w14:val="tx1"/>
                  </w14:solidFill>
                </w14:textFill>
              </w:rPr>
            </w:pPr>
            <w:r>
              <w:rPr>
                <w:rFonts w:hint="default" w:ascii="Times New Roman" w:hAnsi="Times New Roman" w:eastAsia="等线" w:cs="Times New Roman"/>
                <w:color w:val="000000" w:themeColor="text1"/>
                <w:sz w:val="21"/>
                <w:szCs w:val="21"/>
                <w14:textFill>
                  <w14:solidFill>
                    <w14:schemeClr w14:val="tx1"/>
                  </w14:solidFill>
                </w14:textFill>
              </w:rPr>
              <w:t>/</w:t>
            </w:r>
          </w:p>
        </w:tc>
        <w:tc>
          <w:tcPr>
            <w:tcW w:w="1611" w:type="pct"/>
            <w:gridSpan w:val="2"/>
            <w:vAlign w:val="center"/>
          </w:tcPr>
          <w:p w14:paraId="0C1B47A6">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pH、COD</w:t>
            </w:r>
            <w:r>
              <w:rPr>
                <w:rFonts w:hint="default" w:ascii="Times New Roman" w:hAnsi="Times New Roman" w:cs="Times New Roman"/>
                <w:color w:val="000000" w:themeColor="text1"/>
                <w:sz w:val="21"/>
                <w:szCs w:val="21"/>
                <w:vertAlign w:val="subscript"/>
                <w14:textFill>
                  <w14:solidFill>
                    <w14:schemeClr w14:val="tx1"/>
                  </w14:solidFill>
                </w14:textFill>
              </w:rPr>
              <w:t>Cr</w:t>
            </w:r>
            <w:r>
              <w:rPr>
                <w:rFonts w:hint="default" w:ascii="Times New Roman" w:hAnsi="Times New Roman" w:cs="Times New Roman"/>
                <w:color w:val="000000" w:themeColor="text1"/>
                <w:sz w:val="21"/>
                <w:szCs w:val="21"/>
                <w14:textFill>
                  <w14:solidFill>
                    <w14:schemeClr w14:val="tx1"/>
                  </w14:solidFill>
                </w14:textFill>
              </w:rPr>
              <w:t>、BOD</w:t>
            </w:r>
            <w:r>
              <w:rPr>
                <w:rFonts w:hint="default" w:ascii="Times New Roman" w:hAnsi="Times New Roman" w:cs="Times New Roman"/>
                <w:color w:val="000000" w:themeColor="text1"/>
                <w:sz w:val="21"/>
                <w:szCs w:val="21"/>
                <w:vertAlign w:val="subscript"/>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-N、SS、</w:t>
            </w:r>
            <w:r>
              <w:rPr>
                <w:rFonts w:hint="default" w:ascii="Times New Roman" w:hAnsi="Times New Roman" w:cs="Times New Roman"/>
                <w:color w:val="000000" w:themeColor="text1"/>
                <w:sz w:val="21"/>
                <w:szCs w:val="21"/>
                <w:lang w:val="en-US" w:eastAsia="zh-CN"/>
                <w14:textFill>
                  <w14:solidFill>
                    <w14:schemeClr w14:val="tx1"/>
                  </w14:solidFill>
                </w14:textFill>
              </w:rPr>
              <w:t>TP</w:t>
            </w:r>
          </w:p>
        </w:tc>
      </w:tr>
      <w:tr w14:paraId="49644C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 w:type="pct"/>
            <w:vMerge w:val="continue"/>
            <w:vAlign w:val="center"/>
          </w:tcPr>
          <w:p w14:paraId="3DFC5A08">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624" w:type="pct"/>
            <w:vAlign w:val="center"/>
          </w:tcPr>
          <w:p w14:paraId="02E64B23">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污染物排放清单</w:t>
            </w:r>
          </w:p>
        </w:tc>
        <w:tc>
          <w:tcPr>
            <w:tcW w:w="4233" w:type="pct"/>
            <w:gridSpan w:val="5"/>
            <w:vAlign w:val="center"/>
          </w:tcPr>
          <w:p w14:paraId="636376FD">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sym w:font="Wingdings 2" w:char="0052"/>
            </w:r>
          </w:p>
        </w:tc>
      </w:tr>
      <w:tr w14:paraId="112FC8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gridSpan w:val="2"/>
            <w:vAlign w:val="center"/>
          </w:tcPr>
          <w:p w14:paraId="3A794605">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评价结论</w:t>
            </w:r>
          </w:p>
        </w:tc>
        <w:tc>
          <w:tcPr>
            <w:tcW w:w="4233" w:type="pct"/>
            <w:gridSpan w:val="5"/>
            <w:vAlign w:val="center"/>
          </w:tcPr>
          <w:p w14:paraId="3F02DFA4">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可以接受</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；不可以接受□</w:t>
            </w:r>
          </w:p>
        </w:tc>
      </w:tr>
      <w:tr w14:paraId="4E6A7D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7"/>
            <w:vAlign w:val="center"/>
          </w:tcPr>
          <w:p w14:paraId="5C4CFCED">
            <w:pPr>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注：“□”为勾选项，可打√；“（）”为内容填写项；“备注”为其他补充内容。</w:t>
            </w:r>
          </w:p>
        </w:tc>
      </w:tr>
    </w:tbl>
    <w:p w14:paraId="7E56ED87">
      <w:pPr>
        <w:pStyle w:val="251"/>
        <w:ind w:firstLine="480"/>
        <w:rPr>
          <w:rFonts w:hint="default" w:ascii="Times New Roman" w:hAnsi="Times New Roman" w:cs="Times New Roman"/>
          <w:color w:val="000000" w:themeColor="text1"/>
          <w:szCs w:val="24"/>
          <w14:textFill>
            <w14:solidFill>
              <w14:schemeClr w14:val="tx1"/>
            </w14:solidFill>
          </w14:textFill>
        </w:rPr>
      </w:pPr>
    </w:p>
    <w:p w14:paraId="7DCDED71">
      <w:pPr>
        <w:pStyle w:val="251"/>
        <w:ind w:firstLine="480"/>
        <w:rPr>
          <w:rFonts w:hint="default" w:ascii="Times New Roman" w:hAnsi="Times New Roman" w:cs="Times New Roman"/>
          <w:bCs/>
          <w:color w:val="000000" w:themeColor="text1"/>
          <w:szCs w:val="24"/>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bookmarkEnd w:id="122"/>
    <w:bookmarkEnd w:id="123"/>
    <w:p w14:paraId="7139E973">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134" w:name="_Toc173837706"/>
      <w:bookmarkStart w:id="135" w:name="_Toc109135990"/>
      <w:bookmarkStart w:id="136" w:name="_Toc90469117"/>
      <w:r>
        <w:rPr>
          <w:rFonts w:hint="default" w:ascii="Times New Roman" w:hAnsi="Times New Roman" w:eastAsia="黑体" w:cs="Times New Roman"/>
          <w:b w:val="0"/>
          <w:color w:val="000000" w:themeColor="text1"/>
          <w14:textFill>
            <w14:solidFill>
              <w14:schemeClr w14:val="tx1"/>
            </w14:solidFill>
          </w14:textFill>
        </w:rPr>
        <w:t>5.4地下水环境影响分析</w:t>
      </w:r>
      <w:bookmarkEnd w:id="134"/>
      <w:bookmarkEnd w:id="135"/>
      <w:bookmarkEnd w:id="136"/>
    </w:p>
    <w:p w14:paraId="3BE2968B">
      <w:pPr>
        <w:pStyle w:val="3159"/>
        <w:ind w:firstLine="480" w:firstLineChars="200"/>
        <w:rPr>
          <w:rFonts w:hint="default" w:ascii="Times New Roman" w:hAnsi="Times New Roman" w:eastAsia="宋体" w:cs="Times New Roman"/>
          <w:b w:val="0"/>
          <w:bCs w:val="0"/>
          <w:color w:val="000000" w:themeColor="text1"/>
          <w:spacing w:val="0"/>
          <w:kern w:val="2"/>
          <w:sz w:val="24"/>
          <w:szCs w:val="28"/>
          <w:lang w:val="en-US" w:eastAsia="zh-CN" w:bidi="ar-SA"/>
          <w14:textFill>
            <w14:solidFill>
              <w14:schemeClr w14:val="tx1"/>
            </w14:solidFill>
          </w14:textFill>
        </w:rPr>
      </w:pPr>
      <w:bookmarkStart w:id="137" w:name="_Toc173837707"/>
      <w:bookmarkStart w:id="138" w:name="_Toc141627838"/>
      <w:bookmarkStart w:id="139" w:name="_Toc170562211"/>
      <w:r>
        <w:rPr>
          <w:rFonts w:hint="default" w:ascii="Times New Roman" w:hAnsi="Times New Roman" w:eastAsia="宋体" w:cs="Times New Roman"/>
          <w:b w:val="0"/>
          <w:bCs w:val="0"/>
          <w:color w:val="000000" w:themeColor="text1"/>
          <w:spacing w:val="0"/>
          <w:kern w:val="2"/>
          <w:sz w:val="24"/>
          <w:szCs w:val="28"/>
          <w:lang w:val="en-US" w:eastAsia="zh-CN" w:bidi="ar-SA"/>
          <w14:textFill>
            <w14:solidFill>
              <w14:schemeClr w14:val="tx1"/>
            </w14:solidFill>
          </w14:textFill>
        </w:rPr>
        <w:t>根据《环境影响评价技术导则-地下水环境》（HJ610-2016）判定，项目属Ⅲ类建设项目。对照《环境影响评价技术导则-地下水环境》（HJ610-2016），本次地下水环境影响评价工作等级为三级。</w:t>
      </w:r>
    </w:p>
    <w:p w14:paraId="76D8A3A5">
      <w:pPr>
        <w:pStyle w:val="3159"/>
        <w:rPr>
          <w:rFonts w:hint="default" w:ascii="Times New Roman" w:hAnsi="Times New Roman" w:eastAsia="黑体" w:cs="Times New Roman"/>
          <w:b w:val="0"/>
          <w:color w:val="000000" w:themeColor="text1"/>
          <w14:textFill>
            <w14:solidFill>
              <w14:schemeClr w14:val="tx1"/>
            </w14:solidFill>
          </w14:textFill>
        </w:rPr>
      </w:pPr>
      <w:r>
        <w:rPr>
          <w:rFonts w:hint="default" w:ascii="Times New Roman" w:hAnsi="Times New Roman" w:eastAsia="黑体" w:cs="Times New Roman"/>
          <w:b w:val="0"/>
          <w:color w:val="000000" w:themeColor="text1"/>
          <w14:textFill>
            <w14:solidFill>
              <w14:schemeClr w14:val="tx1"/>
            </w14:solidFill>
          </w14:textFill>
        </w:rPr>
        <w:t>5.4.1地质条件</w:t>
      </w:r>
      <w:bookmarkEnd w:id="137"/>
      <w:bookmarkEnd w:id="138"/>
      <w:bookmarkEnd w:id="139"/>
    </w:p>
    <w:p w14:paraId="5FE0610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1、地形地貌</w:t>
      </w:r>
    </w:p>
    <w:p w14:paraId="244E2F14">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厂址区域地貌为江淮丘陵与淮北平原交界地带，地形波状起伏。近场区中部和北部均有低山、丘陵分布，有基岩裸露，其余大部分地区为第四系所覆盖，地貌类型兼有平原和丘陵的特点。项目厂址位于淮河北侧冲积平原上，地势相对平摊，由西北向西南缓倾。近场区水资源丰富，淮河贯穿全境，支流水系、沟渠纵横分布，分布有瓦埠湖、焦岗湖、花家湖、架河和泥河等淮河水系。沿河两岸，由于历次黄、淮泛冲积、堆积的影响，形成低洼河谷平原，由于地壳运动在南部表现出相对上升，北部相对下降，因此，淮河有由北向南摆动的趋势，而形成两岸发育着不对称的一级和二级阶地。淮河以北为黄淮海平原的一部分，海拔高程大都在15~26m之间。淮河以南为江淮丘陵的北缘，海拔25~241m，地貌发育为丘、岗相间。</w:t>
      </w:r>
    </w:p>
    <w:p w14:paraId="66BB7BC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2、区域地质构造</w:t>
      </w:r>
    </w:p>
    <w:p w14:paraId="54DDEAF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厂址位于我国大陆的东部，根据《中国及邻区海陆大地构造图》（张文佑主编，1983），本区域地跨3个一级大地构造单元，大部分处于华北断块区的东南，东南部与扬子断块区相截接，西南与秦岭~大别山断褶带相截接。</w:t>
      </w:r>
    </w:p>
    <w:p w14:paraId="58EC05C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区位于华北地台南缘，区内基地构造属中朝淮地台淮河台坳的淮南陷褶断带。各构造单元均以区域性断裂为界，其基底和盖层存在明显的差异。自晚元古代开始，淮南陷褶断带相对下沉，接受数千米后的盖层沉积。印支运动使盖层褶皱变形，形成淮南复式向斜。印支运动后，区内进入了陆内强烈活动阶段，并形成断陷盆地。第三纪后期地壳比较稳定；第四纪表现为间歇性、差异升降运动，全新世以下沉为主，升降幅度不大，地壳活动比较缓和。从地壳演变过程来看，厂址区域经历了从相对活动转化为相对稳定的过程。</w:t>
      </w:r>
    </w:p>
    <w:p w14:paraId="0E54FC33">
      <w:pPr>
        <w:pStyle w:val="3159"/>
        <w:rPr>
          <w:rFonts w:hint="default" w:ascii="Times New Roman" w:hAnsi="Times New Roman" w:eastAsia="黑体" w:cs="Times New Roman"/>
          <w:b w:val="0"/>
          <w:color w:val="000000" w:themeColor="text1"/>
          <w14:textFill>
            <w14:solidFill>
              <w14:schemeClr w14:val="tx1"/>
            </w14:solidFill>
          </w14:textFill>
        </w:rPr>
      </w:pPr>
      <w:bookmarkStart w:id="140" w:name="_Toc170562212"/>
      <w:bookmarkStart w:id="141" w:name="_Toc141627839"/>
      <w:bookmarkStart w:id="142" w:name="_Toc173837708"/>
      <w:r>
        <w:rPr>
          <w:rFonts w:hint="default" w:ascii="Times New Roman" w:hAnsi="Times New Roman" w:eastAsia="黑体" w:cs="Times New Roman"/>
          <w:b w:val="0"/>
          <w:color w:val="000000" w:themeColor="text1"/>
          <w14:textFill>
            <w14:solidFill>
              <w14:schemeClr w14:val="tx1"/>
            </w14:solidFill>
          </w14:textFill>
        </w:rPr>
        <w:t>5.4.2水文地质条件</w:t>
      </w:r>
      <w:bookmarkEnd w:id="140"/>
      <w:bookmarkEnd w:id="141"/>
      <w:bookmarkEnd w:id="142"/>
    </w:p>
    <w:p w14:paraId="0FB2C72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区内松散岩类孔隙水主要分布在平原区，其次沿河以及山前地带。含水层岩性细砂、含砾粉细砂、含砾中细砂夹薄层粘土为主。空间分布形态为：平原区呈层状或透镜状，沿河呈条带状，山前谷地呈扇形和透镜状。平原区以及河流下游一带，地下水有着连续的补排条件，补给源丰富，地下水位埋藏浅，但含水层单层厚度较小，导水性较差，一般单井出水量可达100~500m3/d。松散岩类含水岩组水质差异较大，局部地表水体污染严重区，与其有补排关系的地下水不宜饮用。山前谷地区，地下水的水质较好，是分散居民良好的饮用水水源；但是地下水补排交替循环受季节性影响大，水量的保证率较低，不宜集中开采。</w:t>
      </w:r>
    </w:p>
    <w:p w14:paraId="2EAF3D8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区内碳酸盐岩类岩溶水岩溶在空间上发育规律：垂直方向自上而下岩溶发育逐渐变差。埋深100m以浅，岩溶发育率占75%；埋深在100~250m之间，岩溶发育率占20%；大于250m岩溶发育很差。水平方向以分布在负向地形的隐伏区岩溶发育最好，其主要地层为：三叠系南陵湖灰岩最发育，其次为二叠系栖霞组的灰岩。</w:t>
      </w:r>
    </w:p>
    <w:p w14:paraId="1258B01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区内基岩裂隙水主要含水岩组由中生代侵入岩、火山岩和古生代志留系、泥盆系石英砂岩、页岩组成。基岩裂隙水的单井涌水量大多小于100m3/d，水质较好，是分散居民和部分村镇集中供水的良好水源，但是由于单井出水量较小，不易形成有规模的供水水源地。</w:t>
      </w:r>
    </w:p>
    <w:p w14:paraId="7E84FD15">
      <w:pPr>
        <w:pStyle w:val="3159"/>
        <w:rPr>
          <w:rFonts w:hint="default" w:ascii="Times New Roman" w:hAnsi="Times New Roman" w:eastAsia="黑体" w:cs="Times New Roman"/>
          <w:b w:val="0"/>
          <w:color w:val="000000" w:themeColor="text1"/>
          <w14:textFill>
            <w14:solidFill>
              <w14:schemeClr w14:val="tx1"/>
            </w14:solidFill>
          </w14:textFill>
        </w:rPr>
      </w:pPr>
      <w:bookmarkStart w:id="143" w:name="_Toc141627840"/>
      <w:bookmarkStart w:id="144" w:name="_Toc133333684"/>
      <w:bookmarkStart w:id="145" w:name="_Toc133176465"/>
      <w:bookmarkStart w:id="146" w:name="_Toc170562213"/>
      <w:bookmarkStart w:id="147" w:name="_Toc173837709"/>
      <w:r>
        <w:rPr>
          <w:rFonts w:hint="default" w:ascii="Times New Roman" w:hAnsi="Times New Roman" w:eastAsia="黑体" w:cs="Times New Roman"/>
          <w:b w:val="0"/>
          <w:color w:val="000000" w:themeColor="text1"/>
          <w14:textFill>
            <w14:solidFill>
              <w14:schemeClr w14:val="tx1"/>
            </w14:solidFill>
          </w14:textFill>
        </w:rPr>
        <w:t>5.4.3</w:t>
      </w:r>
      <w:bookmarkEnd w:id="143"/>
      <w:bookmarkEnd w:id="144"/>
      <w:bookmarkEnd w:id="145"/>
      <w:r>
        <w:rPr>
          <w:rFonts w:hint="default" w:ascii="Times New Roman" w:hAnsi="Times New Roman" w:eastAsia="黑体" w:cs="Times New Roman"/>
          <w:b w:val="0"/>
          <w:color w:val="000000" w:themeColor="text1"/>
          <w14:textFill>
            <w14:solidFill>
              <w14:schemeClr w14:val="tx1"/>
            </w14:solidFill>
          </w14:textFill>
        </w:rPr>
        <w:t>地下水类型、富水特征及补给、径流、排泄条件</w:t>
      </w:r>
      <w:bookmarkEnd w:id="146"/>
      <w:bookmarkEnd w:id="147"/>
    </w:p>
    <w:p w14:paraId="03AA6A6D">
      <w:pPr>
        <w:adjustRightInd w:val="0"/>
        <w:spacing w:line="360" w:lineRule="auto"/>
        <w:ind w:firstLine="472" w:firstLineChars="200"/>
        <w:textAlignment w:val="baseline"/>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浅层地下水：浅层含水层组区内都较发育，主要由第四系全新统、上更新统及部分中更新统组成，含水砂层分选性较好，厚度较大，厚度2.5～28m。岩性以细砂、粉细砂为主；水位埋深2～4m左右，水力性质为潜水～弱承压水。单井涌水量均大于1000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/d，个别地段达2500m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/d；地下水化学类型为HCO</w:t>
      </w:r>
      <w:r>
        <w:rPr>
          <w:rFonts w:hint="default" w:ascii="Times New Roman" w:hAnsi="Times New Roman" w:cs="Times New Roman"/>
          <w:color w:val="000000" w:themeColor="text1"/>
          <w:sz w:val="24"/>
          <w:szCs w:val="24"/>
          <w:vertAlign w:val="sub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C1-K•Na型，矿化度600～1040mg/L。超标组份有总硬度、氟化物、Fe、Mn。浅层地下水的主要补给来源是大气降水入渗补给和灌溉回渗补给，此外浅层地下水还接受少量的区域侧向径流补给和河流补给。地下水流向与地面坡向一致，水力坡度平缓，流向自西北向东南。自然蒸发、农灌开采和自来水水厂开采是地下水的主要排泄方式。</w:t>
      </w:r>
    </w:p>
    <w:p w14:paraId="609520E5">
      <w:pPr>
        <w:adjustRightInd w:val="0"/>
        <w:spacing w:line="360" w:lineRule="auto"/>
        <w:ind w:firstLine="472" w:firstLineChars="200"/>
        <w:textAlignment w:val="baseline"/>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深层地下水：与区域水文地质特征一样，深层地下水赋存于第四系的中、下更新统和上第三系含水层组，全区均有发育，地下水具有一定的承压性，现状主要开采深度为400m以浅在含水层；深层地下水主要的含水层位在160～350m之间。深层含水层组累计厚度一般为50-90m。岩性以细砂、粉细砂为主，局部含砾中砂。水位埋深一般4～6m，单井涌水量小于1000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/d。水化学类型主要有HCO</w:t>
      </w:r>
      <w:r>
        <w:rPr>
          <w:rFonts w:hint="default" w:ascii="Times New Roman" w:hAnsi="Times New Roman" w:cs="Times New Roman"/>
          <w:color w:val="000000" w:themeColor="text1"/>
          <w:sz w:val="24"/>
          <w:szCs w:val="24"/>
          <w:vertAlign w:val="sub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•Cl-Na型，HCO</w:t>
      </w:r>
      <w:r>
        <w:rPr>
          <w:rFonts w:hint="default" w:ascii="Times New Roman" w:hAnsi="Times New Roman" w:cs="Times New Roman"/>
          <w:color w:val="000000" w:themeColor="text1"/>
          <w:sz w:val="24"/>
          <w:szCs w:val="24"/>
          <w:vertAlign w:val="sub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•SO</w:t>
      </w:r>
      <w:r>
        <w:rPr>
          <w:rFonts w:hint="default" w:ascii="Times New Roman" w:hAnsi="Times New Roman" w:cs="Times New Roman"/>
          <w:color w:val="000000" w:themeColor="text1"/>
          <w:sz w:val="24"/>
          <w:szCs w:val="24"/>
          <w:vertAlign w:val="subscript"/>
          <w14:textFill>
            <w14:solidFill>
              <w14:schemeClr w14:val="tx1"/>
            </w14:solidFill>
          </w14:textFill>
        </w:rPr>
        <w:t>4</w:t>
      </w:r>
      <w:r>
        <w:rPr>
          <w:rFonts w:hint="default" w:ascii="Times New Roman" w:hAnsi="Times New Roman" w:cs="Times New Roman"/>
          <w:color w:val="000000" w:themeColor="text1"/>
          <w:sz w:val="24"/>
          <w:szCs w:val="24"/>
          <w14:textFill>
            <w14:solidFill>
              <w14:schemeClr w14:val="tx1"/>
            </w14:solidFill>
          </w14:textFill>
        </w:rPr>
        <w:t>•Cl-Na型，矿化度均小于2000mg/L。深层地下水主要接受来自上游的侧向径流补给和局部浅层地下水的越流补给，径流方向与浅层地下水大体一致，水力坡度平缓，人工开采是深层地下水的主要排泄方式。</w:t>
      </w:r>
    </w:p>
    <w:p w14:paraId="0B50FAAD">
      <w:pPr>
        <w:pStyle w:val="3159"/>
        <w:rPr>
          <w:rFonts w:hint="default" w:ascii="Times New Roman" w:hAnsi="Times New Roman" w:eastAsia="黑体" w:cs="Times New Roman"/>
          <w:b w:val="0"/>
          <w:color w:val="000000" w:themeColor="text1"/>
          <w14:textFill>
            <w14:solidFill>
              <w14:schemeClr w14:val="tx1"/>
            </w14:solidFill>
          </w14:textFill>
        </w:rPr>
      </w:pPr>
      <w:bookmarkStart w:id="148" w:name="_Toc170562214"/>
      <w:bookmarkStart w:id="149" w:name="_Toc173837710"/>
      <w:r>
        <w:rPr>
          <w:rFonts w:hint="default" w:ascii="Times New Roman" w:hAnsi="Times New Roman" w:eastAsia="黑体" w:cs="Times New Roman"/>
          <w:b w:val="0"/>
          <w:color w:val="000000" w:themeColor="text1"/>
          <w14:textFill>
            <w14:solidFill>
              <w14:schemeClr w14:val="tx1"/>
            </w14:solidFill>
          </w14:textFill>
        </w:rPr>
        <w:t>5.4.4环境水文地质条件</w:t>
      </w:r>
      <w:bookmarkEnd w:id="148"/>
      <w:bookmarkEnd w:id="149"/>
    </w:p>
    <w:p w14:paraId="40C8BAA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1、地层岩性</w:t>
      </w:r>
    </w:p>
    <w:p w14:paraId="2AFACDAF">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拟建场地土层从上而下划分如下。</w:t>
      </w:r>
    </w:p>
    <w:p w14:paraId="61BD06B3">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填土(Q4ml)：杂色，填土主要为杂填土和素填土。杂填土，主要为黏性土夹碎石、块石及混凝土块(如K05等区域)；素填土(如K03、K06、K07、K08、K09区域)，主要为黏性土，夹植物根茎。附属钢板灰库区域为杂填土，主要为黏性土混碎石、块石及混凝土块(如K10区域)，该区域浅层堆积拆迁民房的建筑垃圾，以砖块、混凝土为主。该层厚度一般在0.30~2.60m之间，平均厚度0.99m。</w:t>
      </w:r>
    </w:p>
    <w:p w14:paraId="67B32D5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黏土(Q3yal+p1)：黄绿色、灰绿色、灰黄色，硬塑，切面光滑，无摇震反应，干强度高，韧性高，含铁锰质结核，局部浅层较软，局部存在粉土夹层，下部过渡为粉质黏土；具有弱膨胀性。该层在场地内普遍分布，一般层厚4.80~9.60m，平均厚度7.541m，顶埋深0.30~2.60m，层顶标高22.25~24.49m。静探试验锥尖阻力qc为2.2MPa，标贯试验击数N为11.5击。</w:t>
      </w:r>
    </w:p>
    <w:p w14:paraId="0440C20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粉土夹粉质黏土(Q3yal+p1)：黄色，稍密~中密，湿，摇振反应迅速，干强度低，今云母碎片，夹粉质黏土薄层，含少量姜结石，局部为粉土与粉质黏土互层状或粉质黏上夹粉土层。该层在场地内普遍分布，一般层厚3.80~11.70m，平均厚度6.81m，层顶里深5.30~11.20m，层顶标高13.43~19.49m。静探试验锥尖阻力qgc为6.2MPa，标贯式验击数N为15.7击。</w:t>
      </w:r>
    </w:p>
    <w:p w14:paraId="75E07C1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粉质黏土(Q3yal+pl)：灰黄色~黄绿色，硬可塑，有光泽，于强度中等，韧性中等，含铁锰质结核，含少量姜结石。该层在场地内普遍分布，一般层厚3.40~7.00m，平均厚度5.14m，层顶埋深13.00~17.00m，层顶标高7.43~10.91m。静探试验锥尖阻力qc为2.0MPa，标贯试验击数N为13.2击。</w:t>
      </w:r>
    </w:p>
    <w:p w14:paraId="18DC982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5）粉质黏土夹粉土（Q3yal+pl）：灰黄色~灰色，可塑，中密~密实，干强度低，含云母碎片，夹粉土或粉细砂薄层，含贝壳碎屑；局部过渡为粉土夹粉质黏土层。该层在场地内普遍分布，一般层厚6.20~18.10m，平均厚度10.91m，层顶埋深19.40~22.50m，层顶标高2.29~4.85m。静探试验锥尖阻力qc为4.6MPa，标贯试验击数N为21.0击。</w:t>
      </w:r>
    </w:p>
    <w:p w14:paraId="6BCC171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6）粉砂(Q3yal+p)：灰色，饱和，密实，主要成分为长石、石英，其次为云母碎屑，局部为细砂，局部夹薄层粉质黏土及少量贝壳碎屑。该层在场地内普遍分布，一般层厚7.00~10.50m，平均厚度8.48m，层顶埋深27.00~38.90m，层顶标高-6.86~-20.68m。静探试验锥尖阻力qc为17.7MPa，标贯试验击数N为31.6击。</w:t>
      </w:r>
    </w:p>
    <w:p w14:paraId="6A03766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7）细砂(Q3yal+p1)：灰色，饱和，密实，主要成分为长石、石英，分选性好，级配差，局部为中砂，局部夹粉土、粉质黏土薄层。该层在场地内广泛分布，一般层厚4.60~9.50m，平均厚度7.40m，层顶埋深36.00~40.00m，层顶标高-12.46~-15.50m，标贯试验击数N为47.5击。</w:t>
      </w:r>
    </w:p>
    <w:p w14:paraId="0F7DBDC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8）粉质黏土(Q21al+p1)：兰灰色~灰绿色，硬塑，无摇振反应，有光泽，干强度中等，韧性中等，含铁锰质结核。该层在场地内局部缺失，一般层厚2.80~6.30m，平均厚度4.74m，层顶埋深44.00~47.80m，层顶标高-19.21~-23.30m，标贯试验击数N为30.0击。</w:t>
      </w:r>
    </w:p>
    <w:p w14:paraId="417C27CE">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9）细中砂(Q21al+p1)：灰黄色，饱和，密实，主要成分为长石、石英，夹粉质黏土薄层。该层在场地内广泛分布，部分勘探孔未揭穿，一般层厚7.00~13.20m，平均厚度917m，层顶埋深46.80~51.60m，层顶标高-22.01~-27.78m，标贯试验击数N为64.6击。</w:t>
      </w:r>
    </w:p>
    <w:p w14:paraId="501E1A99">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（10）粉质黏土(Q21al+pl1)：灰色，可塑~硬塑，有光泽，干强度中等，韧性中等，含铁锰质结核，夹粉砂薄层。</w:t>
      </w:r>
    </w:p>
    <w:p w14:paraId="6A006C6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2、含水层及地下水基本特征</w:t>
      </w:r>
    </w:p>
    <w:p w14:paraId="40E09B4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场地浅层地下水类型主要为第四系孔隙潜水，少量上层滞水。潜水具微承压性，补给来源主要为大气降水和地表水体补给。地下水位主要受大气降水和地表水影响，水位波动较大，枯水季节地下水水位埋深约3.00~6.00m，雨季时地下水位接近地表，一般埋深在0.50~2.00m之间。根据区域地质资料调查，地下水埋深在0.8-3.2n之间，建议稳定地下水位埋深按0.5m考虑。</w:t>
      </w:r>
    </w:p>
    <w:p w14:paraId="13654E6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评价区内未划分生态脆弱区重点保护区域及水土流失重点防治区；亦未划分出沙化土地封禁保护区和集中式饮用水源地保护区；本区不存在热水、矿泉水、温泉等特殊地下水资源保护区。</w:t>
      </w:r>
      <w:bookmarkStart w:id="150" w:name="_Toc170562215"/>
      <w:bookmarkStart w:id="151" w:name="_Toc173837711"/>
    </w:p>
    <w:p w14:paraId="638EC45A">
      <w:pPr>
        <w:pStyle w:val="251"/>
        <w:ind w:left="0" w:leftChars="0" w:firstLine="0" w:firstLineChars="0"/>
        <w:rPr>
          <w:rFonts w:hint="default" w:ascii="Times New Roman" w:hAnsi="Times New Roman" w:eastAsia="黑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黑体" w:cs="Times New Roman"/>
          <w:color w:val="000000" w:themeColor="text1"/>
          <w:spacing w:val="0"/>
          <w:kern w:val="2"/>
          <w:sz w:val="24"/>
          <w:szCs w:val="28"/>
          <w:lang w:val="en-US" w:eastAsia="zh-CN" w:bidi="ar-SA"/>
          <w14:textFill>
            <w14:solidFill>
              <w14:schemeClr w14:val="tx1"/>
            </w14:solidFill>
          </w14:textFill>
        </w:rPr>
        <w:t>5.4.5地下水环境影响分析</w:t>
      </w:r>
      <w:bookmarkEnd w:id="150"/>
      <w:bookmarkEnd w:id="151"/>
      <w:bookmarkStart w:id="152" w:name="_Toc133333689"/>
      <w:bookmarkStart w:id="153" w:name="_Toc133176470"/>
      <w:bookmarkStart w:id="154" w:name="_Toc173837712"/>
    </w:p>
    <w:p w14:paraId="2F979D90">
      <w:pPr>
        <w:pStyle w:val="251"/>
        <w:ind w:left="0" w:leftChars="0" w:firstLine="0" w:firstLineChars="0"/>
        <w:rPr>
          <w:rFonts w:hint="default" w:ascii="Times New Roman" w:hAnsi="Times New Roman" w:eastAsia="黑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黑体" w:cs="Times New Roman"/>
          <w:color w:val="000000" w:themeColor="text1"/>
          <w:spacing w:val="0"/>
          <w:kern w:val="2"/>
          <w:sz w:val="24"/>
          <w:szCs w:val="28"/>
          <w:lang w:val="en-US" w:eastAsia="zh-CN" w:bidi="ar-SA"/>
          <w14:textFill>
            <w14:solidFill>
              <w14:schemeClr w14:val="tx1"/>
            </w14:solidFill>
          </w14:textFill>
        </w:rPr>
        <w:t>5.4.5.1评价等级</w:t>
      </w:r>
    </w:p>
    <w:p w14:paraId="703F0C39">
      <w:pPr>
        <w:pStyle w:val="251"/>
        <w:ind w:left="0" w:leftChars="0" w:firstLine="0" w:firstLineChars="0"/>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本次评价以项目场地近区及区域约6km2范围作为本次评价区域。本项目运营期</w:t>
      </w:r>
      <w:r>
        <w:rPr>
          <w:rFonts w:hint="eastAsia"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纺丝油剂、</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生产废水等有可能对地下水水质产生影响，根据《环境影响评价技术导则地下水环境》（HJ610-2016），本项目为Ⅲ类建设项目，区域地下水环境不敏感。依据本项目概况以及对项目建设区域地质和水文地质状况的调查，对本次地下水环境影响评价各项指标确定如下：</w:t>
      </w:r>
    </w:p>
    <w:p w14:paraId="63AB04B4">
      <w:pPr>
        <w:pStyle w:val="251"/>
        <w:ind w:left="0" w:leftChars="0" w:firstLine="480" w:firstLineChars="200"/>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①项目场地含水层易污染特征：本项目场地潜水含水层上部岩性主要为素填土。弱承压含水层岩性渗透性弱，且含水层间水力联系不密切。场地与周边地表水体距离远，联系不密切。</w:t>
      </w:r>
    </w:p>
    <w:p w14:paraId="0EDC0B6A">
      <w:pPr>
        <w:pStyle w:val="251"/>
        <w:ind w:left="0" w:leftChars="0" w:firstLine="480" w:firstLineChars="200"/>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②项目场地地下水环境敏感程度：通过现场调查，区内城镇和农村均通自来水（农村少量民用井，主要用于洗衣、冲地），评价区域内不存在浅层地下水集中式与分散式居民饮用水供水水源地，不存在国家或地方政府设定的地下水环境保护区，结合项目所在区域地下水利用现状及规划，拟建场地地下水环境敏感程度判为“不敏感”。</w:t>
      </w:r>
    </w:p>
    <w:p w14:paraId="286B17DA">
      <w:pPr>
        <w:pStyle w:val="251"/>
        <w:ind w:left="0" w:leftChars="0" w:firstLine="480" w:firstLineChars="200"/>
        <w:rPr>
          <w:rFonts w:ascii="Times New Roman" w:hAnsi="Times New Roman" w:eastAsiaTheme="minorEastAsia"/>
          <w:color w:val="000000" w:themeColor="text1"/>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由以上各项地下水环境影响评价工作等级的判别依据，将本项目地下水环境影响评价等级判定为“三级”，判别结果见下表。</w:t>
      </w:r>
    </w:p>
    <w:p w14:paraId="0B283269">
      <w:pPr>
        <w:spacing w:before="63" w:line="226" w:lineRule="auto"/>
        <w:jc w:val="cente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pPr>
      <w:r>
        <w:rPr>
          <w:rFonts w:hint="default" w:ascii="Times New Roman" w:hAnsi="Times New Roman" w:eastAsia="黑体" w:cs="Times New Roman"/>
          <w:b w:val="0"/>
          <w:bCs w:val="0"/>
          <w:color w:val="000000" w:themeColor="text1"/>
          <w:spacing w:val="5"/>
          <w:sz w:val="24"/>
          <w:szCs w:val="24"/>
          <w14:textFill>
            <w14:solidFill>
              <w14:schemeClr w14:val="tx1"/>
            </w14:solidFill>
          </w14:textFill>
        </w:rPr>
        <w:t>表5.4-1  建设项目地下水环境影响评价工作等级判别表</w:t>
      </w:r>
    </w:p>
    <w:tbl>
      <w:tblPr>
        <w:tblStyle w:val="88"/>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569"/>
        <w:gridCol w:w="1984"/>
        <w:gridCol w:w="1984"/>
        <w:gridCol w:w="1982"/>
      </w:tblGrid>
      <w:tr w14:paraId="50191E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508" w:type="pct"/>
            <w:tcBorders>
              <w:tl2br w:val="single" w:color="auto" w:sz="4" w:space="0"/>
            </w:tcBorders>
            <w:vAlign w:val="center"/>
          </w:tcPr>
          <w:p w14:paraId="3D26623A">
            <w:pPr>
              <w:pStyle w:val="4099"/>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z w:val="21"/>
                <w:szCs w:val="21"/>
                <w14:textFill>
                  <w14:solidFill>
                    <w14:schemeClr w14:val="tx1"/>
                  </w14:solidFill>
                </w14:textFill>
              </w:rPr>
              <w:t>项目类别</w:t>
            </w:r>
          </w:p>
          <w:p w14:paraId="635F19A1">
            <w:pPr>
              <w:pStyle w:val="4099"/>
              <w:keepNext w:val="0"/>
              <w:keepLines w:val="0"/>
              <w:pageBreakBefore w:val="0"/>
              <w:suppressLineNumbers w:val="0"/>
              <w:kinsoku/>
              <w:wordWrap/>
              <w:overflowPunct/>
              <w:topLinePunct w:val="0"/>
              <w:bidi w:val="0"/>
              <w:spacing w:before="0" w:beforeAutospacing="0" w:after="0" w:afterAutospacing="0"/>
              <w:ind w:left="0" w:right="0"/>
              <w:jc w:val="both"/>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环境敏感程度</w:t>
            </w:r>
          </w:p>
        </w:tc>
        <w:tc>
          <w:tcPr>
            <w:tcW w:w="1164" w:type="pct"/>
            <w:vAlign w:val="center"/>
          </w:tcPr>
          <w:p w14:paraId="34F68AC5">
            <w:pPr>
              <w:pStyle w:val="4099"/>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bCs/>
                <w:color w:val="000000" w:themeColor="text1"/>
                <w:sz w:val="21"/>
                <w:szCs w:val="21"/>
                <w14:textFill>
                  <w14:solidFill>
                    <w14:schemeClr w14:val="tx1"/>
                  </w14:solidFill>
                </w14:textFill>
              </w:rPr>
              <w:instrText xml:space="preserve"> = 1 \* ROMAN \* MERGEFORMAT </w:instrText>
            </w:r>
            <w:r>
              <w:rPr>
                <w:rFonts w:hint="default" w:ascii="Times New Roman" w:hAnsi="Times New Roman" w:eastAsia="宋体" w:cs="Times New Roman"/>
                <w:b/>
                <w:bCs/>
                <w:color w:val="000000" w:themeColor="text1"/>
                <w:sz w:val="21"/>
                <w:szCs w:val="2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I</w:t>
            </w:r>
            <w:r>
              <w:rPr>
                <w:rFonts w:hint="default" w:ascii="Times New Roman" w:hAnsi="Times New Roman" w:eastAsia="宋体" w:cs="Times New Roman"/>
                <w:b/>
                <w:bCs/>
                <w:color w:val="000000" w:themeColor="text1"/>
                <w:sz w:val="21"/>
                <w:szCs w:val="21"/>
                <w14:textFill>
                  <w14:solidFill>
                    <w14:schemeClr w14:val="tx1"/>
                  </w14:solidFill>
                </w14:textFill>
              </w:rPr>
              <w:fldChar w:fldCharType="end"/>
            </w:r>
            <w:r>
              <w:rPr>
                <w:rFonts w:hint="default" w:ascii="Times New Roman" w:hAnsi="Times New Roman" w:eastAsia="宋体" w:cs="Times New Roman"/>
                <w:b/>
                <w:bCs/>
                <w:color w:val="000000" w:themeColor="text1"/>
                <w:sz w:val="21"/>
                <w:szCs w:val="21"/>
                <w14:textFill>
                  <w14:solidFill>
                    <w14:schemeClr w14:val="tx1"/>
                  </w14:solidFill>
                </w14:textFill>
              </w:rPr>
              <w:t>类项目</w:t>
            </w:r>
          </w:p>
        </w:tc>
        <w:tc>
          <w:tcPr>
            <w:tcW w:w="1164" w:type="pct"/>
            <w:vAlign w:val="center"/>
          </w:tcPr>
          <w:p w14:paraId="5B0268A0">
            <w:pPr>
              <w:pStyle w:val="4099"/>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bCs/>
                <w:color w:val="000000" w:themeColor="text1"/>
                <w:sz w:val="21"/>
                <w:szCs w:val="21"/>
                <w14:textFill>
                  <w14:solidFill>
                    <w14:schemeClr w14:val="tx1"/>
                  </w14:solidFill>
                </w14:textFill>
              </w:rPr>
              <w:instrText xml:space="preserve"> = 2 \* ROMAN \* MERGEFORMAT </w:instrText>
            </w:r>
            <w:r>
              <w:rPr>
                <w:rFonts w:hint="default" w:ascii="Times New Roman" w:hAnsi="Times New Roman" w:eastAsia="宋体" w:cs="Times New Roman"/>
                <w:b/>
                <w:bCs/>
                <w:color w:val="000000" w:themeColor="text1"/>
                <w:sz w:val="21"/>
                <w:szCs w:val="2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II</w:t>
            </w:r>
            <w:r>
              <w:rPr>
                <w:rFonts w:hint="default" w:ascii="Times New Roman" w:hAnsi="Times New Roman" w:eastAsia="宋体" w:cs="Times New Roman"/>
                <w:b/>
                <w:bCs/>
                <w:color w:val="000000" w:themeColor="text1"/>
                <w:sz w:val="21"/>
                <w:szCs w:val="21"/>
                <w14:textFill>
                  <w14:solidFill>
                    <w14:schemeClr w14:val="tx1"/>
                  </w14:solidFill>
                </w14:textFill>
              </w:rPr>
              <w:fldChar w:fldCharType="end"/>
            </w:r>
            <w:r>
              <w:rPr>
                <w:rFonts w:hint="default" w:ascii="Times New Roman" w:hAnsi="Times New Roman" w:eastAsia="宋体" w:cs="Times New Roman"/>
                <w:b/>
                <w:bCs/>
                <w:color w:val="000000" w:themeColor="text1"/>
                <w:sz w:val="21"/>
                <w:szCs w:val="21"/>
                <w14:textFill>
                  <w14:solidFill>
                    <w14:schemeClr w14:val="tx1"/>
                  </w14:solidFill>
                </w14:textFill>
              </w:rPr>
              <w:t>类项目</w:t>
            </w:r>
          </w:p>
        </w:tc>
        <w:tc>
          <w:tcPr>
            <w:tcW w:w="1163" w:type="pct"/>
            <w:vAlign w:val="center"/>
          </w:tcPr>
          <w:p w14:paraId="1ED9A053">
            <w:pPr>
              <w:pStyle w:val="4099"/>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fldChar w:fldCharType="begin"/>
            </w:r>
            <w:r>
              <w:rPr>
                <w:rFonts w:hint="default" w:ascii="Times New Roman" w:hAnsi="Times New Roman" w:eastAsia="宋体" w:cs="Times New Roman"/>
                <w:b/>
                <w:bCs/>
                <w:color w:val="000000" w:themeColor="text1"/>
                <w:sz w:val="21"/>
                <w:szCs w:val="21"/>
                <w14:textFill>
                  <w14:solidFill>
                    <w14:schemeClr w14:val="tx1"/>
                  </w14:solidFill>
                </w14:textFill>
              </w:rPr>
              <w:instrText xml:space="preserve"> = 3 \* ROMAN \* MERGEFORMAT </w:instrText>
            </w:r>
            <w:r>
              <w:rPr>
                <w:rFonts w:hint="default" w:ascii="Times New Roman" w:hAnsi="Times New Roman" w:eastAsia="宋体" w:cs="Times New Roman"/>
                <w:b/>
                <w:bCs/>
                <w:color w:val="000000" w:themeColor="text1"/>
                <w:sz w:val="21"/>
                <w:szCs w:val="21"/>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III</w:t>
            </w:r>
            <w:r>
              <w:rPr>
                <w:rFonts w:hint="default" w:ascii="Times New Roman" w:hAnsi="Times New Roman" w:eastAsia="宋体" w:cs="Times New Roman"/>
                <w:b/>
                <w:bCs/>
                <w:color w:val="000000" w:themeColor="text1"/>
                <w:sz w:val="21"/>
                <w:szCs w:val="21"/>
                <w14:textFill>
                  <w14:solidFill>
                    <w14:schemeClr w14:val="tx1"/>
                  </w14:solidFill>
                </w14:textFill>
              </w:rPr>
              <w:fldChar w:fldCharType="end"/>
            </w:r>
            <w:r>
              <w:rPr>
                <w:rFonts w:hint="default" w:ascii="Times New Roman" w:hAnsi="Times New Roman" w:eastAsia="宋体" w:cs="Times New Roman"/>
                <w:b/>
                <w:bCs/>
                <w:color w:val="000000" w:themeColor="text1"/>
                <w:sz w:val="21"/>
                <w:szCs w:val="21"/>
                <w14:textFill>
                  <w14:solidFill>
                    <w14:schemeClr w14:val="tx1"/>
                  </w14:solidFill>
                </w14:textFill>
              </w:rPr>
              <w:t>类项目</w:t>
            </w:r>
          </w:p>
        </w:tc>
      </w:tr>
      <w:tr w14:paraId="28C478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508" w:type="pct"/>
            <w:vAlign w:val="center"/>
          </w:tcPr>
          <w:p w14:paraId="1EE4D39D">
            <w:pPr>
              <w:pStyle w:val="4099"/>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敏感</w:t>
            </w:r>
          </w:p>
        </w:tc>
        <w:tc>
          <w:tcPr>
            <w:tcW w:w="1164" w:type="pct"/>
            <w:vAlign w:val="center"/>
          </w:tcPr>
          <w:p w14:paraId="60A7271D">
            <w:pPr>
              <w:pStyle w:val="4099"/>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w:t>
            </w:r>
          </w:p>
        </w:tc>
        <w:tc>
          <w:tcPr>
            <w:tcW w:w="1164" w:type="pct"/>
            <w:vAlign w:val="center"/>
          </w:tcPr>
          <w:p w14:paraId="06E01221">
            <w:pPr>
              <w:pStyle w:val="4099"/>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w:t>
            </w:r>
          </w:p>
        </w:tc>
        <w:tc>
          <w:tcPr>
            <w:tcW w:w="1163" w:type="pct"/>
            <w:vAlign w:val="center"/>
          </w:tcPr>
          <w:p w14:paraId="2FA98A25">
            <w:pPr>
              <w:pStyle w:val="4099"/>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w:t>
            </w:r>
          </w:p>
        </w:tc>
      </w:tr>
      <w:tr w14:paraId="4CEB3A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508" w:type="pct"/>
            <w:vAlign w:val="center"/>
          </w:tcPr>
          <w:p w14:paraId="4BCA6F00">
            <w:pPr>
              <w:pStyle w:val="4099"/>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较敏感</w:t>
            </w:r>
          </w:p>
        </w:tc>
        <w:tc>
          <w:tcPr>
            <w:tcW w:w="1164" w:type="pct"/>
            <w:vAlign w:val="center"/>
          </w:tcPr>
          <w:p w14:paraId="09DAD049">
            <w:pPr>
              <w:pStyle w:val="4099"/>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w:t>
            </w:r>
          </w:p>
        </w:tc>
        <w:tc>
          <w:tcPr>
            <w:tcW w:w="1164" w:type="pct"/>
            <w:vAlign w:val="center"/>
          </w:tcPr>
          <w:p w14:paraId="4A5E213B">
            <w:pPr>
              <w:pStyle w:val="4099"/>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w:t>
            </w:r>
          </w:p>
        </w:tc>
        <w:tc>
          <w:tcPr>
            <w:tcW w:w="1163" w:type="pct"/>
            <w:vAlign w:val="center"/>
          </w:tcPr>
          <w:p w14:paraId="0C3231B8">
            <w:pPr>
              <w:pStyle w:val="4099"/>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三</w:t>
            </w:r>
          </w:p>
        </w:tc>
      </w:tr>
      <w:tr w14:paraId="7DCAB2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508" w:type="pct"/>
            <w:shd w:val="clear" w:color="auto" w:fill="auto"/>
            <w:vAlign w:val="center"/>
          </w:tcPr>
          <w:p w14:paraId="6116C0C5">
            <w:pPr>
              <w:pStyle w:val="4099"/>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不敏感</w:t>
            </w:r>
          </w:p>
        </w:tc>
        <w:tc>
          <w:tcPr>
            <w:tcW w:w="1164" w:type="pct"/>
            <w:shd w:val="clear" w:color="auto" w:fill="auto"/>
            <w:vAlign w:val="center"/>
          </w:tcPr>
          <w:p w14:paraId="54730922">
            <w:pPr>
              <w:pStyle w:val="4099"/>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w:t>
            </w:r>
          </w:p>
        </w:tc>
        <w:tc>
          <w:tcPr>
            <w:tcW w:w="1164" w:type="pct"/>
            <w:shd w:val="clear" w:color="auto" w:fill="auto"/>
            <w:vAlign w:val="center"/>
          </w:tcPr>
          <w:p w14:paraId="12A48277">
            <w:pPr>
              <w:pStyle w:val="4099"/>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三</w:t>
            </w:r>
          </w:p>
        </w:tc>
        <w:tc>
          <w:tcPr>
            <w:tcW w:w="1163" w:type="pct"/>
            <w:shd w:val="clear" w:color="auto" w:fill="BEBEBE" w:themeFill="background1" w:themeFillShade="BF"/>
            <w:vAlign w:val="center"/>
          </w:tcPr>
          <w:p w14:paraId="6C4CBD77">
            <w:pPr>
              <w:pStyle w:val="4099"/>
              <w:keepNext w:val="0"/>
              <w:keepLines w:val="0"/>
              <w:pageBreakBefore w:val="0"/>
              <w:suppressLineNumbers w:val="0"/>
              <w:kinsoku/>
              <w:wordWrap/>
              <w:overflowPunct/>
              <w:topLinePunct w:val="0"/>
              <w:bidi w:val="0"/>
              <w:spacing w:before="0" w:beforeAutospacing="0" w:after="0" w:afterAutospacing="0"/>
              <w:ind w:left="0" w:right="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三</w:t>
            </w:r>
          </w:p>
        </w:tc>
      </w:tr>
    </w:tbl>
    <w:p w14:paraId="439D682C">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由表5.4-1可知，根据《环境影响评价技术导则地下水》（HJ610-2016）中表2规定的要求，本项目地下水评价等级为三级。</w:t>
      </w:r>
    </w:p>
    <w:p w14:paraId="46CA86D0">
      <w:pPr>
        <w:keepNext w:val="0"/>
        <w:keepLines w:val="0"/>
        <w:pageBreakBefore w:val="0"/>
        <w:kinsoku/>
        <w:wordWrap/>
        <w:overflowPunct/>
        <w:topLinePunct w:val="0"/>
        <w:bidi w:val="0"/>
        <w:spacing w:line="360" w:lineRule="auto"/>
        <w:textAlignment w:val="auto"/>
        <w:rPr>
          <w:rFonts w:hint="default" w:ascii="Times New Roman" w:hAnsi="Times New Roman" w:eastAsia="黑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黑体" w:cs="Times New Roman"/>
          <w:color w:val="000000" w:themeColor="text1"/>
          <w:spacing w:val="0"/>
          <w:kern w:val="2"/>
          <w:sz w:val="24"/>
          <w:szCs w:val="28"/>
          <w:lang w:val="en-US" w:eastAsia="zh-CN" w:bidi="ar-SA"/>
          <w14:textFill>
            <w14:solidFill>
              <w14:schemeClr w14:val="tx1"/>
            </w14:solidFill>
          </w14:textFill>
        </w:rPr>
        <w:t>5.4.5.2评价范围</w:t>
      </w:r>
    </w:p>
    <w:p w14:paraId="328AE3EB">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根据项目区域水文地质情况，结合地下水水位监测结果，本次评价区域为场地近区及区域约6km</w:t>
      </w:r>
      <w:r>
        <w:rPr>
          <w:rFonts w:hint="default" w:ascii="Times New Roman" w:hAnsi="Times New Roman" w:eastAsia="宋体" w:cs="Times New Roman"/>
          <w:color w:val="000000" w:themeColor="text1"/>
          <w:spacing w:val="0"/>
          <w:kern w:val="2"/>
          <w:sz w:val="24"/>
          <w:szCs w:val="28"/>
          <w:vertAlign w:val="superscript"/>
          <w:lang w:val="en-US" w:eastAsia="zh-CN" w:bidi="ar-SA"/>
          <w14:textFill>
            <w14:solidFill>
              <w14:schemeClr w14:val="tx1"/>
            </w14:solidFill>
          </w14:textFill>
        </w:rPr>
        <w:t>2</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范围，主要针对浅层地下水。</w:t>
      </w:r>
    </w:p>
    <w:p w14:paraId="721FC476">
      <w:pPr>
        <w:keepNext w:val="0"/>
        <w:keepLines w:val="0"/>
        <w:pageBreakBefore w:val="0"/>
        <w:kinsoku/>
        <w:wordWrap/>
        <w:overflowPunct/>
        <w:topLinePunct w:val="0"/>
        <w:bidi w:val="0"/>
        <w:spacing w:line="360" w:lineRule="auto"/>
        <w:textAlignment w:val="auto"/>
        <w:rPr>
          <w:rFonts w:hint="default" w:ascii="Times New Roman" w:hAnsi="Times New Roman" w:eastAsia="黑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黑体" w:cs="Times New Roman"/>
          <w:color w:val="000000" w:themeColor="text1"/>
          <w:spacing w:val="0"/>
          <w:kern w:val="2"/>
          <w:sz w:val="24"/>
          <w:szCs w:val="28"/>
          <w:lang w:val="en-US" w:eastAsia="zh-CN" w:bidi="ar-SA"/>
          <w14:textFill>
            <w14:solidFill>
              <w14:schemeClr w14:val="tx1"/>
            </w14:solidFill>
          </w14:textFill>
        </w:rPr>
        <w:t>5.4.5.3地下水环境保护目标</w:t>
      </w:r>
    </w:p>
    <w:p w14:paraId="6EF1F450">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本项目场地不涉及水源保护区水域。评价区域内不存在浅层地下水集中式或分散式居民饮用水供水水源，由于污染物进入地下水中具有隐蔽性，不易被发现和清除，可能迁移至周边水体，故本次评价水环境保护目标为项目场地下游的潜水含水层中地下水。</w:t>
      </w:r>
      <w:bookmarkStart w:id="155" w:name="_Toc3313"/>
      <w:bookmarkStart w:id="156" w:name="_Toc29086"/>
    </w:p>
    <w:p w14:paraId="320EC495">
      <w:pPr>
        <w:keepNext w:val="0"/>
        <w:keepLines w:val="0"/>
        <w:pageBreakBefore w:val="0"/>
        <w:kinsoku/>
        <w:wordWrap/>
        <w:overflowPunct/>
        <w:topLinePunct w:val="0"/>
        <w:bidi w:val="0"/>
        <w:spacing w:line="360" w:lineRule="auto"/>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黑体" w:cs="Times New Roman"/>
          <w:color w:val="000000" w:themeColor="text1"/>
          <w:spacing w:val="0"/>
          <w:kern w:val="2"/>
          <w:sz w:val="24"/>
          <w:szCs w:val="28"/>
          <w:lang w:val="en-US" w:eastAsia="zh-CN" w:bidi="ar-SA"/>
          <w14:textFill>
            <w14:solidFill>
              <w14:schemeClr w14:val="tx1"/>
            </w14:solidFill>
          </w14:textFill>
        </w:rPr>
        <w:t>5.4.6污染物在土层和地下水中迁移</w:t>
      </w:r>
      <w:bookmarkEnd w:id="155"/>
      <w:bookmarkEnd w:id="156"/>
    </w:p>
    <w:p w14:paraId="1C86F198">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（1）污染物在土层和地下水系统中的迁移转化途径主要有土壤水运移、土壤颗粒对污染物的吸附以及土壤微生物对污染物的降解。</w:t>
      </w:r>
    </w:p>
    <w:p w14:paraId="18DB1FDC">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根据评价区域水文地质条件，污染物进入地下水的过程可分为两个阶段：</w:t>
      </w:r>
    </w:p>
    <w:p w14:paraId="33669416">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①污染物在土壤及非饱和带中的迁移，可视为一维的垂直运动，迁移规律遵循达西定律。</w:t>
      </w:r>
    </w:p>
    <w:p w14:paraId="55B67630">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②污染物在地下水饱和带中的迁移，视为二维水动力弥散运动。</w:t>
      </w:r>
    </w:p>
    <w:p w14:paraId="73A8BE60">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（2）与项目相关的主要地下水污染途径为间歇入渗型、连续入渗型。</w:t>
      </w:r>
    </w:p>
    <w:p w14:paraId="05BD3F3C">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①间歇入渗型：污染物通过大气降水或灌溉水的淋滤，使固体废物、表层土壤或地层中有害物质周期性从污染源通过包气带土层渗入含水层，此途径引起的地下水污染其污染物是呈固体形式赋存于土壤中。</w:t>
      </w:r>
    </w:p>
    <w:p w14:paraId="2ABED90A">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②连续入渗型：各种液体污染物不断地经包气带渗入含水层，最常见的污水蓄积地段的渗漏和被污染的地表水体和污水管道的渗漏。</w:t>
      </w:r>
    </w:p>
    <w:p w14:paraId="733B3D7F">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上述两种途径均经包气带进入含水层，其对地下水污染程度主要取决于包气带的地质结构、物质成分、厚度以及渗透性能等因素。</w:t>
      </w:r>
    </w:p>
    <w:p w14:paraId="3BCF96B7">
      <w:pPr>
        <w:keepNext w:val="0"/>
        <w:keepLines w:val="0"/>
        <w:pageBreakBefore w:val="0"/>
        <w:kinsoku/>
        <w:wordWrap/>
        <w:overflowPunct/>
        <w:topLinePunct w:val="0"/>
        <w:bidi w:val="0"/>
        <w:spacing w:line="360" w:lineRule="auto"/>
        <w:textAlignment w:val="auto"/>
        <w:rPr>
          <w:rFonts w:hint="default" w:ascii="Times New Roman" w:hAnsi="Times New Roman" w:eastAsia="黑体" w:cs="Times New Roman"/>
          <w:color w:val="000000" w:themeColor="text1"/>
          <w:spacing w:val="0"/>
          <w:kern w:val="2"/>
          <w:sz w:val="24"/>
          <w:szCs w:val="28"/>
          <w:lang w:val="en-US" w:eastAsia="zh-CN" w:bidi="ar-SA"/>
          <w14:textFill>
            <w14:solidFill>
              <w14:schemeClr w14:val="tx1"/>
            </w14:solidFill>
          </w14:textFill>
        </w:rPr>
      </w:pPr>
      <w:bookmarkStart w:id="157" w:name="_Toc28908"/>
      <w:bookmarkStart w:id="158" w:name="_Toc29146"/>
      <w:r>
        <w:rPr>
          <w:rFonts w:hint="default" w:ascii="Times New Roman" w:hAnsi="Times New Roman" w:eastAsia="黑体" w:cs="Times New Roman"/>
          <w:color w:val="000000" w:themeColor="text1"/>
          <w:spacing w:val="0"/>
          <w:kern w:val="2"/>
          <w:sz w:val="24"/>
          <w:szCs w:val="28"/>
          <w:lang w:val="en-US" w:eastAsia="zh-CN" w:bidi="ar-SA"/>
          <w14:textFill>
            <w14:solidFill>
              <w14:schemeClr w14:val="tx1"/>
            </w14:solidFill>
          </w14:textFill>
        </w:rPr>
        <w:t>5.4.</w:t>
      </w:r>
      <w:r>
        <w:rPr>
          <w:rFonts w:hint="eastAsia" w:eastAsia="黑体" w:cs="Times New Roman"/>
          <w:color w:val="000000" w:themeColor="text1"/>
          <w:spacing w:val="0"/>
          <w:kern w:val="2"/>
          <w:sz w:val="24"/>
          <w:szCs w:val="28"/>
          <w:lang w:val="en-US" w:eastAsia="zh-CN" w:bidi="ar-SA"/>
          <w14:textFill>
            <w14:solidFill>
              <w14:schemeClr w14:val="tx1"/>
            </w14:solidFill>
          </w14:textFill>
        </w:rPr>
        <w:t>7</w:t>
      </w:r>
      <w:r>
        <w:rPr>
          <w:rFonts w:hint="default" w:ascii="Times New Roman" w:hAnsi="Times New Roman" w:eastAsia="黑体" w:cs="Times New Roman"/>
          <w:color w:val="000000" w:themeColor="text1"/>
          <w:spacing w:val="0"/>
          <w:kern w:val="2"/>
          <w:sz w:val="24"/>
          <w:szCs w:val="28"/>
          <w:lang w:val="en-US" w:eastAsia="zh-CN" w:bidi="ar-SA"/>
          <w14:textFill>
            <w14:solidFill>
              <w14:schemeClr w14:val="tx1"/>
            </w14:solidFill>
          </w14:textFill>
        </w:rPr>
        <w:t>地下水污染的可能途径</w:t>
      </w:r>
      <w:bookmarkEnd w:id="157"/>
      <w:bookmarkEnd w:id="158"/>
    </w:p>
    <w:p w14:paraId="5942BF00">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项目厂区内实行雨污分流排水体制，建设项目产生的废</w:t>
      </w:r>
      <w:r>
        <w:rPr>
          <w:rFonts w:hint="eastAsia" w:cs="Times New Roman"/>
          <w:color w:val="000000" w:themeColor="text1"/>
          <w:spacing w:val="0"/>
          <w:kern w:val="2"/>
          <w:sz w:val="24"/>
          <w:szCs w:val="28"/>
          <w:lang w:val="en-US" w:eastAsia="zh-CN" w:bidi="ar-SA"/>
          <w14:textFill>
            <w14:solidFill>
              <w14:schemeClr w14:val="tx1"/>
            </w14:solidFill>
          </w14:textFill>
        </w:rPr>
        <w:t>润滑</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油由专门的容器盛装后暂存在厂内的危废暂存间中，定期交由有资质单位处置；车间内的</w:t>
      </w:r>
      <w:r>
        <w:rPr>
          <w:rFonts w:hint="eastAsia" w:cs="Times New Roman"/>
          <w:color w:val="000000" w:themeColor="text1"/>
          <w:spacing w:val="0"/>
          <w:kern w:val="2"/>
          <w:sz w:val="24"/>
          <w:szCs w:val="28"/>
          <w:lang w:val="en-US" w:eastAsia="zh-CN" w:bidi="ar-SA"/>
          <w14:textFill>
            <w14:solidFill>
              <w14:schemeClr w14:val="tx1"/>
            </w14:solidFill>
          </w14:textFill>
        </w:rPr>
        <w:t>清洗</w:t>
      </w:r>
      <w:r>
        <w:rPr>
          <w:rFonts w:hint="eastAsia"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区</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w:t>
      </w:r>
      <w:r>
        <w:rPr>
          <w:rFonts w:hint="eastAsia" w:cs="Times New Roman"/>
          <w:color w:val="000000" w:themeColor="text1"/>
          <w:spacing w:val="0"/>
          <w:kern w:val="2"/>
          <w:sz w:val="24"/>
          <w:szCs w:val="28"/>
          <w:lang w:val="en-US" w:eastAsia="zh-CN" w:bidi="ar-SA"/>
          <w14:textFill>
            <w14:solidFill>
              <w14:schemeClr w14:val="tx1"/>
            </w14:solidFill>
          </w14:textFill>
        </w:rPr>
        <w:t>污水站、</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危废暂存间等均设有防渗结构。项目厂区雨水排放采用雨污分流排水方式，即雨水通过道路及场地上的雨水口流入雨水下水道，不会与生产废水汇合。正常状态下，厂区的地表与地下的水力联系基本被切断，废</w:t>
      </w:r>
      <w:r>
        <w:rPr>
          <w:rFonts w:hint="eastAsia" w:cs="Times New Roman"/>
          <w:color w:val="000000" w:themeColor="text1"/>
          <w:spacing w:val="0"/>
          <w:kern w:val="2"/>
          <w:sz w:val="24"/>
          <w:szCs w:val="28"/>
          <w:lang w:val="en-US" w:eastAsia="zh-CN" w:bidi="ar-SA"/>
          <w14:textFill>
            <w14:solidFill>
              <w14:schemeClr w14:val="tx1"/>
            </w14:solidFill>
          </w14:textFill>
        </w:rPr>
        <w:t>润滑油</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等不会渗入地下水。</w:t>
      </w:r>
    </w:p>
    <w:p w14:paraId="2BA208D0">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本项目可能发生的地下水污染主要是在事故状态下，可能发生的污染事故主要是危废暂存间、</w:t>
      </w:r>
      <w:r>
        <w:rPr>
          <w:rFonts w:hint="eastAsia" w:cs="Times New Roman"/>
          <w:color w:val="000000" w:themeColor="text1"/>
          <w:spacing w:val="0"/>
          <w:kern w:val="2"/>
          <w:sz w:val="24"/>
          <w:szCs w:val="28"/>
          <w:lang w:val="en-US" w:eastAsia="zh-CN" w:bidi="ar-SA"/>
          <w14:textFill>
            <w14:solidFill>
              <w14:schemeClr w14:val="tx1"/>
            </w14:solidFill>
          </w14:textFill>
        </w:rPr>
        <w:t>清洗区、污水站</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等渗漏，大量污水、</w:t>
      </w:r>
      <w:r>
        <w:rPr>
          <w:rFonts w:hint="eastAsia" w:cs="Times New Roman"/>
          <w:color w:val="000000" w:themeColor="text1"/>
          <w:spacing w:val="0"/>
          <w:kern w:val="2"/>
          <w:sz w:val="24"/>
          <w:szCs w:val="28"/>
          <w:lang w:val="en-US" w:eastAsia="zh-CN" w:bidi="ar-SA"/>
          <w14:textFill>
            <w14:solidFill>
              <w14:schemeClr w14:val="tx1"/>
            </w14:solidFill>
          </w14:textFill>
        </w:rPr>
        <w:t>危险废物等</w:t>
      </w:r>
      <w:r>
        <w:rPr>
          <w:rFonts w:hint="default" w:ascii="Times New Roman" w:hAnsi="Times New Roman" w:eastAsia="宋体" w:cs="Times New Roman"/>
          <w:color w:val="000000" w:themeColor="text1"/>
          <w:spacing w:val="0"/>
          <w:kern w:val="2"/>
          <w:sz w:val="24"/>
          <w:szCs w:val="28"/>
          <w:lang w:val="en-US" w:eastAsia="zh-CN" w:bidi="ar-SA"/>
          <w14:textFill>
            <w14:solidFill>
              <w14:schemeClr w14:val="tx1"/>
            </w14:solidFill>
          </w14:textFill>
        </w:rPr>
        <w:t>下渗到地下造成地下水污染。一般情况下当污水输送管道破裂时，厂内将立即启动环境风险事故应急预案，短时间内，外泄的污水将通过排污沟收集入应急事故池暂存，引起地下水污染的可能性较小。</w:t>
      </w:r>
    </w:p>
    <w:p w14:paraId="0350B556">
      <w:pPr>
        <w:spacing w:line="360" w:lineRule="auto"/>
        <w:rPr>
          <w:rFonts w:hint="default" w:ascii="Times New Roman" w:hAnsi="Times New Roman" w:eastAsia="黑体" w:cs="Times New Roman"/>
          <w:b w:val="0"/>
          <w:color w:val="000000" w:themeColor="text1"/>
          <w:sz w:val="28"/>
          <w:szCs w:val="28"/>
          <w14:textFill>
            <w14:solidFill>
              <w14:schemeClr w14:val="tx1"/>
            </w14:solidFill>
          </w14:textFill>
        </w:rPr>
      </w:pPr>
      <w:r>
        <w:rPr>
          <w:rFonts w:hint="default" w:ascii="Times New Roman" w:hAnsi="Times New Roman" w:eastAsia="黑体" w:cs="Times New Roman"/>
          <w:b w:val="0"/>
          <w:color w:val="000000" w:themeColor="text1"/>
          <w:sz w:val="28"/>
          <w:szCs w:val="28"/>
          <w14:textFill>
            <w14:solidFill>
              <w14:schemeClr w14:val="tx1"/>
            </w14:solidFill>
          </w14:textFill>
        </w:rPr>
        <w:t>5.5土壤环境影响评价</w:t>
      </w:r>
      <w:bookmarkEnd w:id="152"/>
      <w:bookmarkEnd w:id="153"/>
      <w:bookmarkEnd w:id="154"/>
      <w:bookmarkStart w:id="159" w:name="_Toc170562218"/>
      <w:bookmarkStart w:id="160" w:name="_Toc173837714"/>
      <w:bookmarkStart w:id="161" w:name="_Toc141627845"/>
      <w:bookmarkStart w:id="162" w:name="_Toc133333691"/>
      <w:bookmarkStart w:id="163" w:name="_Toc133176472"/>
    </w:p>
    <w:p w14:paraId="2F5D274A">
      <w:pPr>
        <w:spacing w:line="360" w:lineRule="auto"/>
        <w:rPr>
          <w:rFonts w:hint="default" w:ascii="Times New Roman" w:hAnsi="Times New Roman" w:eastAsia="黑体" w:cs="Times New Roman"/>
          <w:b w:val="0"/>
          <w:color w:val="000000" w:themeColor="text1"/>
          <w:sz w:val="24"/>
          <w:szCs w:val="24"/>
          <w14:textFill>
            <w14:solidFill>
              <w14:schemeClr w14:val="tx1"/>
            </w14:solidFill>
          </w14:textFill>
        </w:rPr>
      </w:pPr>
      <w:r>
        <w:rPr>
          <w:rFonts w:hint="default" w:ascii="Times New Roman" w:hAnsi="Times New Roman" w:eastAsia="黑体" w:cs="Times New Roman"/>
          <w:b w:val="0"/>
          <w:color w:val="000000" w:themeColor="text1"/>
          <w:sz w:val="24"/>
          <w:szCs w:val="24"/>
          <w14:textFill>
            <w14:solidFill>
              <w14:schemeClr w14:val="tx1"/>
            </w14:solidFill>
          </w14:textFill>
        </w:rPr>
        <w:t>5.</w:t>
      </w:r>
      <w:r>
        <w:rPr>
          <w:rFonts w:hint="default" w:ascii="Times New Roman" w:hAnsi="Times New Roman" w:eastAsia="黑体" w:cs="Times New Roman"/>
          <w:b w:val="0"/>
          <w:color w:val="000000" w:themeColor="text1"/>
          <w:sz w:val="24"/>
          <w:szCs w:val="24"/>
          <w:lang w:val="en-US" w:eastAsia="zh-CN"/>
          <w14:textFill>
            <w14:solidFill>
              <w14:schemeClr w14:val="tx1"/>
            </w14:solidFill>
          </w14:textFill>
        </w:rPr>
        <w:t>5</w:t>
      </w:r>
      <w:r>
        <w:rPr>
          <w:rFonts w:hint="default" w:ascii="Times New Roman" w:hAnsi="Times New Roman" w:eastAsia="黑体" w:cs="Times New Roman"/>
          <w:b w:val="0"/>
          <w:color w:val="000000" w:themeColor="text1"/>
          <w:sz w:val="24"/>
          <w:szCs w:val="24"/>
          <w14:textFill>
            <w14:solidFill>
              <w14:schemeClr w14:val="tx1"/>
            </w14:solidFill>
          </w14:textFill>
        </w:rPr>
        <w:t>.1环境影响识别</w:t>
      </w:r>
    </w:p>
    <w:p w14:paraId="46B0325A">
      <w:pPr>
        <w:numPr>
          <w:ilvl w:val="0"/>
          <w:numId w:val="10"/>
        </w:numPr>
        <w:spacing w:line="360" w:lineRule="auto"/>
        <w:ind w:firstLine="480" w:firstLineChars="200"/>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t>项目类别</w:t>
      </w:r>
    </w:p>
    <w:p w14:paraId="35CC4931">
      <w:pPr>
        <w:numPr>
          <w:ilvl w:val="0"/>
          <w:numId w:val="0"/>
        </w:numPr>
        <w:spacing w:line="360" w:lineRule="auto"/>
        <w:ind w:firstLine="464" w:firstLineChars="200"/>
        <w:rPr>
          <w:rFonts w:hint="default" w:ascii="Times New Roman" w:hAnsi="Times New Roman" w:eastAsia="宋体" w:cs="Times New Roman"/>
          <w:b w:val="0"/>
          <w:bCs w:val="0"/>
          <w:color w:val="000000" w:themeColor="text1"/>
          <w:spacing w:val="-4"/>
          <w:sz w:val="24"/>
          <w:szCs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4"/>
          <w:sz w:val="24"/>
          <w:szCs w:val="24"/>
          <w:lang w:val="en-US" w:eastAsia="zh-CN"/>
          <w14:textFill>
            <w14:solidFill>
              <w14:schemeClr w14:val="tx1"/>
            </w14:solidFill>
          </w14:textFill>
        </w:rPr>
        <w:t>根据《环境影响评价技术导则 土壤环境（试行）》（HJ964-2018）附录A 土壤环境影响评价项目类别，本项目属于“环境和公共设施管理业”行业中“废旧资源加工、再生利用”，因此土壤环境影响评价类别为III类。</w:t>
      </w:r>
    </w:p>
    <w:p w14:paraId="0FFFC470">
      <w:pPr>
        <w:numPr>
          <w:ilvl w:val="0"/>
          <w:numId w:val="10"/>
        </w:numPr>
        <w:spacing w:line="360" w:lineRule="auto"/>
        <w:ind w:left="0" w:leftChars="0" w:firstLine="464" w:firstLineChars="200"/>
        <w:rPr>
          <w:rFonts w:hint="default" w:ascii="Times New Roman" w:hAnsi="Times New Roman" w:eastAsia="宋体" w:cs="Times New Roman"/>
          <w:b w:val="0"/>
          <w:bCs w:val="0"/>
          <w:color w:val="000000" w:themeColor="text1"/>
          <w:spacing w:val="-4"/>
          <w:sz w:val="24"/>
          <w:szCs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4"/>
          <w:sz w:val="24"/>
          <w:szCs w:val="24"/>
          <w:lang w:val="en-US" w:eastAsia="zh-CN"/>
          <w14:textFill>
            <w14:solidFill>
              <w14:schemeClr w14:val="tx1"/>
            </w14:solidFill>
          </w14:textFill>
        </w:rPr>
        <w:t>影响类型及途径</w:t>
      </w:r>
    </w:p>
    <w:p w14:paraId="6D0605FD">
      <w:pPr>
        <w:numPr>
          <w:ilvl w:val="0"/>
          <w:numId w:val="0"/>
        </w:numPr>
        <w:spacing w:line="360" w:lineRule="auto"/>
        <w:ind w:firstLine="464" w:firstLineChars="200"/>
        <w:rPr>
          <w:rFonts w:hint="default" w:ascii="Times New Roman" w:hAnsi="Times New Roman" w:eastAsia="宋体" w:cs="Times New Roman"/>
          <w:b w:val="0"/>
          <w:bCs w:val="0"/>
          <w:color w:val="000000" w:themeColor="text1"/>
          <w:spacing w:val="-4"/>
          <w:sz w:val="24"/>
          <w:szCs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4"/>
          <w:sz w:val="24"/>
          <w:szCs w:val="24"/>
          <w:lang w:val="en-US" w:eastAsia="zh-CN"/>
          <w14:textFill>
            <w14:solidFill>
              <w14:schemeClr w14:val="tx1"/>
            </w14:solidFill>
          </w14:textFill>
        </w:rPr>
        <w:t>拟建项目生活污水依托厂区化粪池预处理后的接管毛集实验区污水处理厂，厂区污水站、污水收集及运送管线等均做好防渗措施，正常工况下不会由于废水排放导致地下水污染。当污水收集管线发生泄漏，污水渗入地下造成土壤污染；仓库、危险废物存放库管理不善或发生泄漏，污染物质垂直入渗进入地下造成土壤污染等。同时由于大气沉降作用会导致废气中的挥发性有机物等降落到地面，对土壤产生污染等。综上，本项目土壤影响类型见下表。</w:t>
      </w:r>
    </w:p>
    <w:p w14:paraId="4BAE581D">
      <w:pPr>
        <w:pStyle w:val="251"/>
        <w:ind w:left="0" w:leftChars="0" w:firstLine="0" w:firstLineChars="0"/>
        <w:jc w:val="center"/>
        <w:rPr>
          <w:rFonts w:hint="default" w:ascii="Times New Roman" w:hAnsi="Times New Roman" w:eastAsia="黑体" w:cs="Times New Roman"/>
          <w:color w:val="000000" w:themeColor="text1"/>
          <w:lang w:val="en-US" w:eastAsia="zh-CN"/>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t>表5.</w:t>
      </w:r>
      <w:r>
        <w:rPr>
          <w:rFonts w:hint="eastAsia" w:ascii="Times New Roman" w:hAnsi="Times New Roman" w:eastAsia="黑体" w:cs="Times New Roman"/>
          <w:color w:val="000000" w:themeColor="text1"/>
          <w:lang w:val="en-US" w:eastAsia="zh-CN"/>
          <w14:textFill>
            <w14:solidFill>
              <w14:schemeClr w14:val="tx1"/>
            </w14:solidFill>
          </w14:textFill>
        </w:rPr>
        <w:t>5</w:t>
      </w:r>
      <w:r>
        <w:rPr>
          <w:rFonts w:hint="default" w:ascii="Times New Roman" w:hAnsi="Times New Roman" w:eastAsia="黑体" w:cs="Times New Roman"/>
          <w:color w:val="000000" w:themeColor="text1"/>
          <w14:textFill>
            <w14:solidFill>
              <w14:schemeClr w14:val="tx1"/>
            </w14:solidFill>
          </w14:textFill>
        </w:rPr>
        <w:t>-1建设项目土壤环境影响类型与影响途径表</w:t>
      </w:r>
    </w:p>
    <w:tbl>
      <w:tblPr>
        <w:tblStyle w:val="8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94"/>
        <w:gridCol w:w="1170"/>
        <w:gridCol w:w="1171"/>
        <w:gridCol w:w="1171"/>
        <w:gridCol w:w="726"/>
        <w:gridCol w:w="721"/>
        <w:gridCol w:w="721"/>
        <w:gridCol w:w="721"/>
        <w:gridCol w:w="724"/>
      </w:tblGrid>
      <w:tr w14:paraId="2FE4F6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9" w:type="pct"/>
            <w:vMerge w:val="restart"/>
            <w:vAlign w:val="center"/>
          </w:tcPr>
          <w:p w14:paraId="6A41322F">
            <w:pPr>
              <w:widowControl/>
              <w:spacing w:line="240" w:lineRule="auto"/>
              <w:ind w:firstLine="0" w:firstLineChars="0"/>
              <w:jc w:val="center"/>
              <w:rPr>
                <w:rFonts w:hint="default" w:ascii="Times New Roman" w:hAnsi="Times New Roman" w:cs="Times New Roman"/>
                <w:b/>
                <w:color w:val="000000" w:themeColor="text1"/>
                <w:spacing w:val="-2"/>
                <w:kern w:val="0"/>
                <w:sz w:val="21"/>
                <w:szCs w:val="20"/>
                <w14:textFill>
                  <w14:solidFill>
                    <w14:schemeClr w14:val="tx1"/>
                  </w14:solidFill>
                </w14:textFill>
              </w:rPr>
            </w:pPr>
            <w:r>
              <w:rPr>
                <w:rFonts w:hint="default" w:ascii="Times New Roman" w:hAnsi="Times New Roman" w:cs="Times New Roman"/>
                <w:b/>
                <w:color w:val="000000" w:themeColor="text1"/>
                <w:spacing w:val="-2"/>
                <w:kern w:val="0"/>
                <w:sz w:val="21"/>
                <w:szCs w:val="20"/>
                <w14:textFill>
                  <w14:solidFill>
                    <w14:schemeClr w14:val="tx1"/>
                  </w14:solidFill>
                </w14:textFill>
              </w:rPr>
              <w:t>不同时段</w:t>
            </w:r>
          </w:p>
        </w:tc>
        <w:tc>
          <w:tcPr>
            <w:tcW w:w="2487" w:type="pct"/>
            <w:gridSpan w:val="4"/>
            <w:vAlign w:val="center"/>
          </w:tcPr>
          <w:p w14:paraId="56095E58">
            <w:pPr>
              <w:widowControl/>
              <w:spacing w:line="240" w:lineRule="auto"/>
              <w:ind w:firstLine="0" w:firstLineChars="0"/>
              <w:jc w:val="center"/>
              <w:rPr>
                <w:rFonts w:hint="default" w:ascii="Times New Roman" w:hAnsi="Times New Roman" w:cs="Times New Roman"/>
                <w:b/>
                <w:color w:val="000000" w:themeColor="text1"/>
                <w:spacing w:val="-2"/>
                <w:kern w:val="0"/>
                <w:sz w:val="21"/>
                <w:szCs w:val="20"/>
                <w14:textFill>
                  <w14:solidFill>
                    <w14:schemeClr w14:val="tx1"/>
                  </w14:solidFill>
                </w14:textFill>
              </w:rPr>
            </w:pPr>
            <w:r>
              <w:rPr>
                <w:rFonts w:hint="default" w:ascii="Times New Roman" w:hAnsi="Times New Roman" w:cs="Times New Roman"/>
                <w:b/>
                <w:color w:val="000000" w:themeColor="text1"/>
                <w:spacing w:val="-2"/>
                <w:kern w:val="0"/>
                <w:sz w:val="21"/>
                <w:szCs w:val="20"/>
                <w14:textFill>
                  <w14:solidFill>
                    <w14:schemeClr w14:val="tx1"/>
                  </w14:solidFill>
                </w14:textFill>
              </w:rPr>
              <w:t>污染影响型</w:t>
            </w:r>
          </w:p>
        </w:tc>
        <w:tc>
          <w:tcPr>
            <w:tcW w:w="1693" w:type="pct"/>
            <w:gridSpan w:val="4"/>
            <w:vAlign w:val="center"/>
          </w:tcPr>
          <w:p w14:paraId="01FE5A2C">
            <w:pPr>
              <w:widowControl/>
              <w:spacing w:line="240" w:lineRule="auto"/>
              <w:ind w:firstLine="0" w:firstLineChars="0"/>
              <w:jc w:val="center"/>
              <w:rPr>
                <w:rFonts w:hint="default" w:ascii="Times New Roman" w:hAnsi="Times New Roman" w:cs="Times New Roman"/>
                <w:b/>
                <w:color w:val="000000" w:themeColor="text1"/>
                <w:spacing w:val="-2"/>
                <w:kern w:val="0"/>
                <w:sz w:val="21"/>
                <w:szCs w:val="20"/>
                <w14:textFill>
                  <w14:solidFill>
                    <w14:schemeClr w14:val="tx1"/>
                  </w14:solidFill>
                </w14:textFill>
              </w:rPr>
            </w:pPr>
            <w:r>
              <w:rPr>
                <w:rFonts w:hint="default" w:ascii="Times New Roman" w:hAnsi="Times New Roman" w:cs="Times New Roman"/>
                <w:b/>
                <w:color w:val="000000" w:themeColor="text1"/>
                <w:spacing w:val="-2"/>
                <w:kern w:val="0"/>
                <w:sz w:val="21"/>
                <w:szCs w:val="20"/>
                <w14:textFill>
                  <w14:solidFill>
                    <w14:schemeClr w14:val="tx1"/>
                  </w14:solidFill>
                </w14:textFill>
              </w:rPr>
              <w:t>生态影响型</w:t>
            </w:r>
          </w:p>
        </w:tc>
      </w:tr>
      <w:tr w14:paraId="34E07B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9" w:type="pct"/>
            <w:vMerge w:val="continue"/>
            <w:vAlign w:val="center"/>
          </w:tcPr>
          <w:p w14:paraId="4F3095AE">
            <w:pPr>
              <w:widowControl/>
              <w:spacing w:line="240" w:lineRule="auto"/>
              <w:ind w:firstLine="0" w:firstLineChars="0"/>
              <w:jc w:val="center"/>
              <w:rPr>
                <w:rFonts w:hint="default" w:ascii="Times New Roman" w:hAnsi="Times New Roman" w:cs="Times New Roman"/>
                <w:b/>
                <w:color w:val="000000" w:themeColor="text1"/>
                <w:spacing w:val="-2"/>
                <w:kern w:val="0"/>
                <w:sz w:val="21"/>
                <w:szCs w:val="20"/>
                <w14:textFill>
                  <w14:solidFill>
                    <w14:schemeClr w14:val="tx1"/>
                  </w14:solidFill>
                </w14:textFill>
              </w:rPr>
            </w:pPr>
          </w:p>
        </w:tc>
        <w:tc>
          <w:tcPr>
            <w:tcW w:w="687" w:type="pct"/>
            <w:vAlign w:val="center"/>
          </w:tcPr>
          <w:p w14:paraId="21FE4EFE">
            <w:pPr>
              <w:widowControl/>
              <w:spacing w:line="240" w:lineRule="auto"/>
              <w:ind w:firstLine="0" w:firstLineChars="0"/>
              <w:jc w:val="center"/>
              <w:rPr>
                <w:rFonts w:hint="default" w:ascii="Times New Roman" w:hAnsi="Times New Roman" w:cs="Times New Roman"/>
                <w:b/>
                <w:color w:val="000000" w:themeColor="text1"/>
                <w:spacing w:val="-2"/>
                <w:kern w:val="0"/>
                <w:sz w:val="21"/>
                <w:szCs w:val="20"/>
                <w14:textFill>
                  <w14:solidFill>
                    <w14:schemeClr w14:val="tx1"/>
                  </w14:solidFill>
                </w14:textFill>
              </w:rPr>
            </w:pPr>
            <w:r>
              <w:rPr>
                <w:rFonts w:hint="default" w:ascii="Times New Roman" w:hAnsi="Times New Roman" w:cs="Times New Roman"/>
                <w:b/>
                <w:color w:val="000000" w:themeColor="text1"/>
                <w:spacing w:val="-2"/>
                <w:kern w:val="0"/>
                <w:sz w:val="21"/>
                <w:szCs w:val="20"/>
                <w14:textFill>
                  <w14:solidFill>
                    <w14:schemeClr w14:val="tx1"/>
                  </w14:solidFill>
                </w14:textFill>
              </w:rPr>
              <w:t>大气沉降</w:t>
            </w:r>
          </w:p>
        </w:tc>
        <w:tc>
          <w:tcPr>
            <w:tcW w:w="687" w:type="pct"/>
            <w:vAlign w:val="center"/>
          </w:tcPr>
          <w:p w14:paraId="710BE01D">
            <w:pPr>
              <w:widowControl/>
              <w:spacing w:line="240" w:lineRule="auto"/>
              <w:ind w:firstLine="0" w:firstLineChars="0"/>
              <w:jc w:val="center"/>
              <w:rPr>
                <w:rFonts w:hint="default" w:ascii="Times New Roman" w:hAnsi="Times New Roman" w:cs="Times New Roman"/>
                <w:b/>
                <w:color w:val="000000" w:themeColor="text1"/>
                <w:spacing w:val="-2"/>
                <w:kern w:val="0"/>
                <w:sz w:val="21"/>
                <w:szCs w:val="20"/>
                <w14:textFill>
                  <w14:solidFill>
                    <w14:schemeClr w14:val="tx1"/>
                  </w14:solidFill>
                </w14:textFill>
              </w:rPr>
            </w:pPr>
            <w:r>
              <w:rPr>
                <w:rFonts w:hint="default" w:ascii="Times New Roman" w:hAnsi="Times New Roman" w:cs="Times New Roman"/>
                <w:b/>
                <w:color w:val="000000" w:themeColor="text1"/>
                <w:spacing w:val="-2"/>
                <w:kern w:val="0"/>
                <w:sz w:val="21"/>
                <w:szCs w:val="20"/>
                <w14:textFill>
                  <w14:solidFill>
                    <w14:schemeClr w14:val="tx1"/>
                  </w14:solidFill>
                </w14:textFill>
              </w:rPr>
              <w:t>地面漫流</w:t>
            </w:r>
          </w:p>
        </w:tc>
        <w:tc>
          <w:tcPr>
            <w:tcW w:w="687" w:type="pct"/>
            <w:vAlign w:val="center"/>
          </w:tcPr>
          <w:p w14:paraId="1A3219B3">
            <w:pPr>
              <w:widowControl/>
              <w:spacing w:line="240" w:lineRule="auto"/>
              <w:ind w:firstLine="0" w:firstLineChars="0"/>
              <w:jc w:val="center"/>
              <w:rPr>
                <w:rFonts w:hint="default" w:ascii="Times New Roman" w:hAnsi="Times New Roman" w:cs="Times New Roman"/>
                <w:b/>
                <w:color w:val="000000" w:themeColor="text1"/>
                <w:spacing w:val="-2"/>
                <w:kern w:val="0"/>
                <w:sz w:val="21"/>
                <w:szCs w:val="20"/>
                <w14:textFill>
                  <w14:solidFill>
                    <w14:schemeClr w14:val="tx1"/>
                  </w14:solidFill>
                </w14:textFill>
              </w:rPr>
            </w:pPr>
            <w:r>
              <w:rPr>
                <w:rFonts w:hint="default" w:ascii="Times New Roman" w:hAnsi="Times New Roman" w:cs="Times New Roman"/>
                <w:b/>
                <w:color w:val="000000" w:themeColor="text1"/>
                <w:spacing w:val="-2"/>
                <w:kern w:val="0"/>
                <w:sz w:val="21"/>
                <w:szCs w:val="20"/>
                <w14:textFill>
                  <w14:solidFill>
                    <w14:schemeClr w14:val="tx1"/>
                  </w14:solidFill>
                </w14:textFill>
              </w:rPr>
              <w:t>垂直入渗</w:t>
            </w:r>
          </w:p>
        </w:tc>
        <w:tc>
          <w:tcPr>
            <w:tcW w:w="423" w:type="pct"/>
            <w:vAlign w:val="center"/>
          </w:tcPr>
          <w:p w14:paraId="5280E471">
            <w:pPr>
              <w:widowControl/>
              <w:spacing w:line="240" w:lineRule="auto"/>
              <w:ind w:firstLine="0" w:firstLineChars="0"/>
              <w:jc w:val="center"/>
              <w:rPr>
                <w:rFonts w:hint="default" w:ascii="Times New Roman" w:hAnsi="Times New Roman" w:cs="Times New Roman"/>
                <w:b/>
                <w:color w:val="000000" w:themeColor="text1"/>
                <w:spacing w:val="-2"/>
                <w:kern w:val="0"/>
                <w:sz w:val="21"/>
                <w:szCs w:val="20"/>
                <w14:textFill>
                  <w14:solidFill>
                    <w14:schemeClr w14:val="tx1"/>
                  </w14:solidFill>
                </w14:textFill>
              </w:rPr>
            </w:pPr>
            <w:r>
              <w:rPr>
                <w:rFonts w:hint="default" w:ascii="Times New Roman" w:hAnsi="Times New Roman" w:cs="Times New Roman"/>
                <w:b/>
                <w:color w:val="000000" w:themeColor="text1"/>
                <w:spacing w:val="-2"/>
                <w:kern w:val="0"/>
                <w:sz w:val="21"/>
                <w:szCs w:val="20"/>
                <w14:textFill>
                  <w14:solidFill>
                    <w14:schemeClr w14:val="tx1"/>
                  </w14:solidFill>
                </w14:textFill>
              </w:rPr>
              <w:t>其他</w:t>
            </w:r>
          </w:p>
        </w:tc>
        <w:tc>
          <w:tcPr>
            <w:tcW w:w="423" w:type="pct"/>
            <w:vAlign w:val="center"/>
          </w:tcPr>
          <w:p w14:paraId="126A358F">
            <w:pPr>
              <w:widowControl/>
              <w:spacing w:line="240" w:lineRule="auto"/>
              <w:ind w:firstLine="0" w:firstLineChars="0"/>
              <w:jc w:val="center"/>
              <w:rPr>
                <w:rFonts w:hint="default" w:ascii="Times New Roman" w:hAnsi="Times New Roman" w:cs="Times New Roman"/>
                <w:b/>
                <w:color w:val="000000" w:themeColor="text1"/>
                <w:spacing w:val="-2"/>
                <w:kern w:val="0"/>
                <w:sz w:val="21"/>
                <w:szCs w:val="20"/>
                <w14:textFill>
                  <w14:solidFill>
                    <w14:schemeClr w14:val="tx1"/>
                  </w14:solidFill>
                </w14:textFill>
              </w:rPr>
            </w:pPr>
            <w:r>
              <w:rPr>
                <w:rFonts w:hint="default" w:ascii="Times New Roman" w:hAnsi="Times New Roman" w:cs="Times New Roman"/>
                <w:b/>
                <w:color w:val="000000" w:themeColor="text1"/>
                <w:spacing w:val="-2"/>
                <w:kern w:val="0"/>
                <w:sz w:val="21"/>
                <w:szCs w:val="20"/>
                <w14:textFill>
                  <w14:solidFill>
                    <w14:schemeClr w14:val="tx1"/>
                  </w14:solidFill>
                </w14:textFill>
              </w:rPr>
              <w:t>盐化</w:t>
            </w:r>
          </w:p>
        </w:tc>
        <w:tc>
          <w:tcPr>
            <w:tcW w:w="423" w:type="pct"/>
            <w:vAlign w:val="center"/>
          </w:tcPr>
          <w:p w14:paraId="3EBE4274">
            <w:pPr>
              <w:widowControl/>
              <w:spacing w:line="240" w:lineRule="auto"/>
              <w:ind w:firstLine="0" w:firstLineChars="0"/>
              <w:jc w:val="center"/>
              <w:rPr>
                <w:rFonts w:hint="default" w:ascii="Times New Roman" w:hAnsi="Times New Roman" w:cs="Times New Roman"/>
                <w:b/>
                <w:color w:val="000000" w:themeColor="text1"/>
                <w:spacing w:val="-2"/>
                <w:kern w:val="0"/>
                <w:sz w:val="21"/>
                <w:szCs w:val="20"/>
                <w14:textFill>
                  <w14:solidFill>
                    <w14:schemeClr w14:val="tx1"/>
                  </w14:solidFill>
                </w14:textFill>
              </w:rPr>
            </w:pPr>
            <w:r>
              <w:rPr>
                <w:rFonts w:hint="default" w:ascii="Times New Roman" w:hAnsi="Times New Roman" w:cs="Times New Roman"/>
                <w:b/>
                <w:color w:val="000000" w:themeColor="text1"/>
                <w:spacing w:val="-2"/>
                <w:kern w:val="0"/>
                <w:sz w:val="21"/>
                <w:szCs w:val="20"/>
                <w14:textFill>
                  <w14:solidFill>
                    <w14:schemeClr w14:val="tx1"/>
                  </w14:solidFill>
                </w14:textFill>
              </w:rPr>
              <w:t>碱化</w:t>
            </w:r>
          </w:p>
        </w:tc>
        <w:tc>
          <w:tcPr>
            <w:tcW w:w="423" w:type="pct"/>
            <w:vAlign w:val="center"/>
          </w:tcPr>
          <w:p w14:paraId="5FE42CC1">
            <w:pPr>
              <w:widowControl/>
              <w:spacing w:line="240" w:lineRule="auto"/>
              <w:ind w:firstLine="0" w:firstLineChars="0"/>
              <w:jc w:val="center"/>
              <w:rPr>
                <w:rFonts w:hint="default" w:ascii="Times New Roman" w:hAnsi="Times New Roman" w:cs="Times New Roman"/>
                <w:b/>
                <w:color w:val="000000" w:themeColor="text1"/>
                <w:spacing w:val="-2"/>
                <w:kern w:val="0"/>
                <w:sz w:val="21"/>
                <w:szCs w:val="20"/>
                <w14:textFill>
                  <w14:solidFill>
                    <w14:schemeClr w14:val="tx1"/>
                  </w14:solidFill>
                </w14:textFill>
              </w:rPr>
            </w:pPr>
            <w:r>
              <w:rPr>
                <w:rFonts w:hint="default" w:ascii="Times New Roman" w:hAnsi="Times New Roman" w:cs="Times New Roman"/>
                <w:b/>
                <w:color w:val="000000" w:themeColor="text1"/>
                <w:spacing w:val="-2"/>
                <w:kern w:val="0"/>
                <w:sz w:val="21"/>
                <w:szCs w:val="20"/>
                <w14:textFill>
                  <w14:solidFill>
                    <w14:schemeClr w14:val="tx1"/>
                  </w14:solidFill>
                </w14:textFill>
              </w:rPr>
              <w:t>酸化</w:t>
            </w:r>
          </w:p>
        </w:tc>
        <w:tc>
          <w:tcPr>
            <w:tcW w:w="424" w:type="pct"/>
            <w:vAlign w:val="center"/>
          </w:tcPr>
          <w:p w14:paraId="28AFDDA6">
            <w:pPr>
              <w:widowControl/>
              <w:spacing w:line="240" w:lineRule="auto"/>
              <w:ind w:firstLine="0" w:firstLineChars="0"/>
              <w:jc w:val="center"/>
              <w:rPr>
                <w:rFonts w:hint="default" w:ascii="Times New Roman" w:hAnsi="Times New Roman" w:cs="Times New Roman"/>
                <w:b/>
                <w:color w:val="000000" w:themeColor="text1"/>
                <w:spacing w:val="-2"/>
                <w:kern w:val="0"/>
                <w:sz w:val="21"/>
                <w:szCs w:val="20"/>
                <w14:textFill>
                  <w14:solidFill>
                    <w14:schemeClr w14:val="tx1"/>
                  </w14:solidFill>
                </w14:textFill>
              </w:rPr>
            </w:pPr>
            <w:r>
              <w:rPr>
                <w:rFonts w:hint="default" w:ascii="Times New Roman" w:hAnsi="Times New Roman" w:cs="Times New Roman"/>
                <w:b/>
                <w:color w:val="000000" w:themeColor="text1"/>
                <w:spacing w:val="-2"/>
                <w:kern w:val="0"/>
                <w:sz w:val="21"/>
                <w:szCs w:val="20"/>
                <w14:textFill>
                  <w14:solidFill>
                    <w14:schemeClr w14:val="tx1"/>
                  </w14:solidFill>
                </w14:textFill>
              </w:rPr>
              <w:t>其他</w:t>
            </w:r>
          </w:p>
        </w:tc>
      </w:tr>
      <w:tr w14:paraId="1B0EAD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9" w:type="pct"/>
            <w:vAlign w:val="center"/>
          </w:tcPr>
          <w:p w14:paraId="6CB29A94">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建设期</w:t>
            </w:r>
          </w:p>
        </w:tc>
        <w:tc>
          <w:tcPr>
            <w:tcW w:w="687" w:type="pct"/>
            <w:vAlign w:val="center"/>
          </w:tcPr>
          <w:p w14:paraId="62334ABC">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687" w:type="pct"/>
            <w:vAlign w:val="center"/>
          </w:tcPr>
          <w:p w14:paraId="620B366B">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687" w:type="pct"/>
            <w:vAlign w:val="center"/>
          </w:tcPr>
          <w:p w14:paraId="0731F57F">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423" w:type="pct"/>
            <w:vAlign w:val="center"/>
          </w:tcPr>
          <w:p w14:paraId="4D37F4D4">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423" w:type="pct"/>
            <w:vAlign w:val="center"/>
          </w:tcPr>
          <w:p w14:paraId="2F4072BD">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423" w:type="pct"/>
            <w:vAlign w:val="center"/>
          </w:tcPr>
          <w:p w14:paraId="0EBAF670">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423" w:type="pct"/>
            <w:vAlign w:val="center"/>
          </w:tcPr>
          <w:p w14:paraId="7A2B4DD0">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424" w:type="pct"/>
            <w:vAlign w:val="center"/>
          </w:tcPr>
          <w:p w14:paraId="36E398E2">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r>
      <w:tr w14:paraId="2042A3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9" w:type="pct"/>
            <w:vAlign w:val="center"/>
          </w:tcPr>
          <w:p w14:paraId="31C56B74">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运营期</w:t>
            </w:r>
          </w:p>
        </w:tc>
        <w:tc>
          <w:tcPr>
            <w:tcW w:w="687" w:type="pct"/>
            <w:vAlign w:val="center"/>
          </w:tcPr>
          <w:p w14:paraId="410FC59A">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w:t>
            </w:r>
          </w:p>
        </w:tc>
        <w:tc>
          <w:tcPr>
            <w:tcW w:w="687" w:type="pct"/>
            <w:vAlign w:val="center"/>
          </w:tcPr>
          <w:p w14:paraId="6EC2EA51">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687" w:type="pct"/>
            <w:vAlign w:val="center"/>
          </w:tcPr>
          <w:p w14:paraId="70A31DED">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w:t>
            </w:r>
          </w:p>
        </w:tc>
        <w:tc>
          <w:tcPr>
            <w:tcW w:w="423" w:type="pct"/>
            <w:vAlign w:val="center"/>
          </w:tcPr>
          <w:p w14:paraId="6B4A4D2E">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423" w:type="pct"/>
            <w:vAlign w:val="center"/>
          </w:tcPr>
          <w:p w14:paraId="6F506E4C">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423" w:type="pct"/>
            <w:vAlign w:val="center"/>
          </w:tcPr>
          <w:p w14:paraId="0040241A">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423" w:type="pct"/>
            <w:vAlign w:val="center"/>
          </w:tcPr>
          <w:p w14:paraId="28DB4269">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424" w:type="pct"/>
            <w:vAlign w:val="center"/>
          </w:tcPr>
          <w:p w14:paraId="208BF6AE">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r>
      <w:tr w14:paraId="593DDB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9" w:type="pct"/>
            <w:vAlign w:val="center"/>
          </w:tcPr>
          <w:p w14:paraId="38B386AE">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服务期满后</w:t>
            </w:r>
          </w:p>
        </w:tc>
        <w:tc>
          <w:tcPr>
            <w:tcW w:w="687" w:type="pct"/>
            <w:vAlign w:val="center"/>
          </w:tcPr>
          <w:p w14:paraId="5602BCB0">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687" w:type="pct"/>
            <w:vAlign w:val="center"/>
          </w:tcPr>
          <w:p w14:paraId="0F152B40">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687" w:type="pct"/>
            <w:vAlign w:val="center"/>
          </w:tcPr>
          <w:p w14:paraId="471C965D">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423" w:type="pct"/>
            <w:vAlign w:val="center"/>
          </w:tcPr>
          <w:p w14:paraId="0F582E89">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423" w:type="pct"/>
            <w:vAlign w:val="center"/>
          </w:tcPr>
          <w:p w14:paraId="1E05E1BD">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423" w:type="pct"/>
            <w:vAlign w:val="center"/>
          </w:tcPr>
          <w:p w14:paraId="399AC5FC">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423" w:type="pct"/>
            <w:vAlign w:val="center"/>
          </w:tcPr>
          <w:p w14:paraId="233D5D59">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c>
          <w:tcPr>
            <w:tcW w:w="424" w:type="pct"/>
            <w:vAlign w:val="center"/>
          </w:tcPr>
          <w:p w14:paraId="090667DD">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p>
        </w:tc>
      </w:tr>
      <w:tr w14:paraId="06F0CB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9"/>
            <w:vAlign w:val="center"/>
          </w:tcPr>
          <w:p w14:paraId="6B41D238">
            <w:pPr>
              <w:widowControl/>
              <w:spacing w:line="240" w:lineRule="auto"/>
              <w:ind w:firstLine="0" w:firstLineChars="0"/>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注：在可能产生的土壤环境影响类型处打“√”，列表未涵盖的可自行设计。</w:t>
            </w:r>
          </w:p>
        </w:tc>
      </w:tr>
    </w:tbl>
    <w:p w14:paraId="6592DB42">
      <w:pPr>
        <w:numPr>
          <w:ilvl w:val="0"/>
          <w:numId w:val="0"/>
        </w:numPr>
        <w:spacing w:line="360" w:lineRule="auto"/>
        <w:ind w:firstLine="480" w:firstLineChars="200"/>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t>由上表可知，拟建项目影响途径主要为运营期垂直入渗污染，因此拟建土壤环境影响类型为“污染影响型”。</w:t>
      </w:r>
    </w:p>
    <w:p w14:paraId="738625D1">
      <w:pPr>
        <w:numPr>
          <w:ilvl w:val="0"/>
          <w:numId w:val="10"/>
        </w:numPr>
        <w:spacing w:line="360" w:lineRule="auto"/>
        <w:ind w:left="0" w:leftChars="0" w:firstLine="480" w:firstLineChars="200"/>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t>影响源及影响因子</w:t>
      </w:r>
    </w:p>
    <w:p w14:paraId="14881412">
      <w:pPr>
        <w:numPr>
          <w:ilvl w:val="0"/>
          <w:numId w:val="0"/>
        </w:numPr>
        <w:spacing w:line="360" w:lineRule="auto"/>
        <w:ind w:firstLine="464" w:firstLineChars="200"/>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t>拟建项目土壤环境影响源及影响因子识别结果见表5.</w:t>
      </w:r>
      <w:r>
        <w:rPr>
          <w:rFonts w:hint="eastAsia" w:ascii="Times New Roman" w:hAnsi="Times New Roman" w:cs="Times New Roman"/>
          <w:color w:val="000000" w:themeColor="text1"/>
          <w:spacing w:val="-4"/>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t>-2。</w:t>
      </w:r>
    </w:p>
    <w:p w14:paraId="024EA6BA">
      <w:pPr>
        <w:pStyle w:val="251"/>
        <w:ind w:left="0" w:leftChars="0" w:firstLine="0" w:firstLineChars="0"/>
        <w:jc w:val="center"/>
        <w:rPr>
          <w:rFonts w:hint="default" w:ascii="Times New Roman" w:hAnsi="Times New Roman" w:eastAsia="黑体" w:cs="Times New Roman"/>
          <w:color w:val="000000" w:themeColor="text1"/>
          <w14:textFill>
            <w14:solidFill>
              <w14:schemeClr w14:val="tx1"/>
            </w14:solidFill>
          </w14:textFill>
        </w:rPr>
      </w:pPr>
      <w:r>
        <w:rPr>
          <w:rFonts w:hint="default" w:ascii="Times New Roman" w:hAnsi="Times New Roman" w:eastAsia="黑体" w:cs="Times New Roman"/>
          <w:color w:val="000000" w:themeColor="text1"/>
          <w14:textFill>
            <w14:solidFill>
              <w14:schemeClr w14:val="tx1"/>
            </w14:solidFill>
          </w14:textFill>
        </w:rPr>
        <w:t>表5.</w:t>
      </w:r>
      <w:r>
        <w:rPr>
          <w:rFonts w:hint="eastAsia" w:ascii="Times New Roman" w:hAnsi="Times New Roman" w:eastAsia="黑体" w:cs="Times New Roman"/>
          <w:color w:val="000000" w:themeColor="text1"/>
          <w:lang w:val="en-US" w:eastAsia="zh-CN"/>
          <w14:textFill>
            <w14:solidFill>
              <w14:schemeClr w14:val="tx1"/>
            </w14:solidFill>
          </w14:textFill>
        </w:rPr>
        <w:t>5</w:t>
      </w:r>
      <w:r>
        <w:rPr>
          <w:rFonts w:hint="default" w:ascii="Times New Roman" w:hAnsi="Times New Roman" w:eastAsia="黑体" w:cs="Times New Roman"/>
          <w:color w:val="000000" w:themeColor="text1"/>
          <w14:textFill>
            <w14:solidFill>
              <w14:schemeClr w14:val="tx1"/>
            </w14:solidFill>
          </w14:textFill>
        </w:rPr>
        <w:t>-2土壤环境影响源及影响因子识别表</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5"/>
        <w:gridCol w:w="1516"/>
        <w:gridCol w:w="1122"/>
        <w:gridCol w:w="2223"/>
        <w:gridCol w:w="1603"/>
        <w:gridCol w:w="763"/>
      </w:tblGrid>
      <w:tr w14:paraId="06DC3A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95" w:type="dxa"/>
            <w:vAlign w:val="center"/>
          </w:tcPr>
          <w:p w14:paraId="7E5692F4">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污染源</w:t>
            </w:r>
          </w:p>
        </w:tc>
        <w:tc>
          <w:tcPr>
            <w:tcW w:w="1516" w:type="dxa"/>
            <w:vAlign w:val="center"/>
          </w:tcPr>
          <w:p w14:paraId="7B6F8BF1">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工艺流程/节点</w:t>
            </w:r>
          </w:p>
        </w:tc>
        <w:tc>
          <w:tcPr>
            <w:tcW w:w="1122" w:type="dxa"/>
            <w:vAlign w:val="center"/>
          </w:tcPr>
          <w:p w14:paraId="1A095AA3">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污染途径</w:t>
            </w:r>
          </w:p>
        </w:tc>
        <w:tc>
          <w:tcPr>
            <w:tcW w:w="2223" w:type="dxa"/>
            <w:vAlign w:val="center"/>
          </w:tcPr>
          <w:p w14:paraId="54B906FA">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全部污染物指标</w:t>
            </w:r>
          </w:p>
        </w:tc>
        <w:tc>
          <w:tcPr>
            <w:tcW w:w="1603" w:type="dxa"/>
            <w:vAlign w:val="center"/>
          </w:tcPr>
          <w:p w14:paraId="60E214BF">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特征因子</w:t>
            </w:r>
          </w:p>
        </w:tc>
        <w:tc>
          <w:tcPr>
            <w:tcW w:w="763" w:type="dxa"/>
            <w:vAlign w:val="center"/>
          </w:tcPr>
          <w:p w14:paraId="11FFCD93">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备注</w:t>
            </w:r>
          </w:p>
        </w:tc>
      </w:tr>
      <w:tr w14:paraId="0E518D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95" w:type="dxa"/>
            <w:vAlign w:val="center"/>
          </w:tcPr>
          <w:p w14:paraId="1BED64EA">
            <w:pPr>
              <w:widowControl/>
              <w:spacing w:line="240" w:lineRule="auto"/>
              <w:ind w:firstLine="0" w:firstLineChars="0"/>
              <w:jc w:val="center"/>
              <w:rPr>
                <w:rFonts w:hint="default" w:ascii="Times New Roman" w:hAnsi="Times New Roman" w:cs="Times New Roman"/>
                <w:color w:val="000000" w:themeColor="text1"/>
                <w:spacing w:val="-2"/>
                <w:kern w:val="0"/>
                <w:sz w:val="21"/>
                <w:szCs w:val="20"/>
                <w:lang w:eastAsia="zh-CN"/>
                <w14:textFill>
                  <w14:solidFill>
                    <w14:schemeClr w14:val="tx1"/>
                  </w14:solidFill>
                </w14:textFill>
              </w:rPr>
            </w:pPr>
            <w:r>
              <w:rPr>
                <w:rFonts w:hint="default" w:ascii="Times New Roman" w:hAnsi="Times New Roman" w:cs="Times New Roman"/>
                <w:color w:val="000000" w:themeColor="text1"/>
                <w:spacing w:val="-2"/>
                <w:kern w:val="0"/>
                <w:sz w:val="21"/>
                <w:szCs w:val="20"/>
                <w:lang w:eastAsia="zh-CN"/>
                <w14:textFill>
                  <w14:solidFill>
                    <w14:schemeClr w14:val="tx1"/>
                  </w14:solidFill>
                </w14:textFill>
              </w:rPr>
              <w:t>污水站</w:t>
            </w:r>
          </w:p>
        </w:tc>
        <w:tc>
          <w:tcPr>
            <w:tcW w:w="1516" w:type="dxa"/>
            <w:vAlign w:val="center"/>
          </w:tcPr>
          <w:p w14:paraId="64739F99">
            <w:pPr>
              <w:widowControl/>
              <w:spacing w:line="240" w:lineRule="auto"/>
              <w:ind w:firstLine="0" w:firstLineChars="0"/>
              <w:jc w:val="center"/>
              <w:rPr>
                <w:rFonts w:hint="default" w:ascii="Times New Roman" w:hAnsi="Times New Roman" w:eastAsia="宋体" w:cs="Times New Roman"/>
                <w:color w:val="000000" w:themeColor="text1"/>
                <w:spacing w:val="-2"/>
                <w:kern w:val="0"/>
                <w:sz w:val="21"/>
                <w:szCs w:val="20"/>
                <w:lang w:eastAsia="zh-CN"/>
                <w14:textFill>
                  <w14:solidFill>
                    <w14:schemeClr w14:val="tx1"/>
                  </w14:solidFill>
                </w14:textFill>
              </w:rPr>
            </w:pPr>
            <w:r>
              <w:rPr>
                <w:rFonts w:hint="default" w:ascii="Times New Roman" w:hAnsi="Times New Roman" w:cs="Times New Roman"/>
                <w:color w:val="000000" w:themeColor="text1"/>
                <w:spacing w:val="-2"/>
                <w:kern w:val="0"/>
                <w:sz w:val="21"/>
                <w:szCs w:val="20"/>
                <w:lang w:eastAsia="zh-CN"/>
                <w14:textFill>
                  <w14:solidFill>
                    <w14:schemeClr w14:val="tx1"/>
                  </w14:solidFill>
                </w14:textFill>
              </w:rPr>
              <w:t>污水治理</w:t>
            </w:r>
          </w:p>
        </w:tc>
        <w:tc>
          <w:tcPr>
            <w:tcW w:w="1122" w:type="dxa"/>
            <w:vAlign w:val="center"/>
          </w:tcPr>
          <w:p w14:paraId="4E6B0C54">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垂直入渗</w:t>
            </w:r>
          </w:p>
        </w:tc>
        <w:tc>
          <w:tcPr>
            <w:tcW w:w="2223" w:type="dxa"/>
            <w:vAlign w:val="center"/>
          </w:tcPr>
          <w:p w14:paraId="578F6816">
            <w:pPr>
              <w:widowControl/>
              <w:spacing w:line="240" w:lineRule="auto"/>
              <w:ind w:firstLine="0" w:firstLineChars="0"/>
              <w:jc w:val="center"/>
              <w:rPr>
                <w:rFonts w:hint="default" w:ascii="Times New Roman" w:hAnsi="Times New Roman" w:eastAsia="宋体" w:cs="Times New Roman"/>
                <w:color w:val="000000" w:themeColor="text1"/>
                <w:spacing w:val="-2"/>
                <w:kern w:val="0"/>
                <w:sz w:val="21"/>
                <w:szCs w:val="20"/>
                <w:lang w:val="en-US" w:eastAsia="zh-CN"/>
                <w14:textFill>
                  <w14:solidFill>
                    <w14:schemeClr w14:val="tx1"/>
                  </w14:solidFill>
                </w14:textFill>
              </w:rPr>
            </w:pPr>
            <w:r>
              <w:rPr>
                <w:rFonts w:hint="default" w:ascii="Times New Roman" w:hAnsi="Times New Roman" w:cs="Times New Roman"/>
                <w:color w:val="000000" w:themeColor="text1"/>
                <w:spacing w:val="-2"/>
                <w:kern w:val="0"/>
                <w:sz w:val="21"/>
                <w:szCs w:val="20"/>
                <w:lang w:val="en-US" w:eastAsia="zh-CN"/>
                <w14:textFill>
                  <w14:solidFill>
                    <w14:schemeClr w14:val="tx1"/>
                  </w14:solidFill>
                </w14:textFill>
              </w:rPr>
              <w:t>COD、BOD</w:t>
            </w:r>
            <w:r>
              <w:rPr>
                <w:rFonts w:hint="default" w:ascii="Times New Roman" w:hAnsi="Times New Roman" w:cs="Times New Roman"/>
                <w:color w:val="000000" w:themeColor="text1"/>
                <w:spacing w:val="-2"/>
                <w:kern w:val="0"/>
                <w:sz w:val="21"/>
                <w:szCs w:val="20"/>
                <w:vertAlign w:val="subscript"/>
                <w:lang w:val="en-US" w:eastAsia="zh-CN"/>
                <w14:textFill>
                  <w14:solidFill>
                    <w14:schemeClr w14:val="tx1"/>
                  </w14:solidFill>
                </w14:textFill>
              </w:rPr>
              <w:t>5</w:t>
            </w:r>
            <w:r>
              <w:rPr>
                <w:rFonts w:hint="default" w:ascii="Times New Roman" w:hAnsi="Times New Roman" w:cs="Times New Roman"/>
                <w:color w:val="000000" w:themeColor="text1"/>
                <w:spacing w:val="-2"/>
                <w:kern w:val="0"/>
                <w:sz w:val="21"/>
                <w:szCs w:val="20"/>
                <w:lang w:val="en-US" w:eastAsia="zh-CN"/>
                <w14:textFill>
                  <w14:solidFill>
                    <w14:schemeClr w14:val="tx1"/>
                  </w14:solidFill>
                </w14:textFill>
              </w:rPr>
              <w:t>、SS、氨氮</w:t>
            </w:r>
          </w:p>
        </w:tc>
        <w:tc>
          <w:tcPr>
            <w:tcW w:w="1603" w:type="dxa"/>
            <w:vAlign w:val="center"/>
          </w:tcPr>
          <w:p w14:paraId="215F01A7">
            <w:pPr>
              <w:widowControl/>
              <w:spacing w:line="240" w:lineRule="auto"/>
              <w:ind w:firstLine="0" w:firstLineChars="0"/>
              <w:jc w:val="center"/>
              <w:rPr>
                <w:rFonts w:hint="default" w:ascii="Times New Roman" w:hAnsi="Times New Roman" w:cs="Times New Roman"/>
                <w:color w:val="000000" w:themeColor="text1"/>
                <w:spacing w:val="-2"/>
                <w:kern w:val="0"/>
                <w:sz w:val="21"/>
                <w:szCs w:val="20"/>
                <w:lang w:eastAsia="zh-CN"/>
                <w14:textFill>
                  <w14:solidFill>
                    <w14:schemeClr w14:val="tx1"/>
                  </w14:solidFill>
                </w14:textFill>
              </w:rPr>
            </w:pPr>
            <w:r>
              <w:rPr>
                <w:rFonts w:hint="default" w:ascii="Times New Roman" w:hAnsi="Times New Roman" w:cs="Times New Roman"/>
                <w:color w:val="000000" w:themeColor="text1"/>
                <w:spacing w:val="-2"/>
                <w:kern w:val="0"/>
                <w:sz w:val="21"/>
                <w:szCs w:val="20"/>
                <w:lang w:val="en-US" w:eastAsia="zh-CN"/>
                <w14:textFill>
                  <w14:solidFill>
                    <w14:schemeClr w14:val="tx1"/>
                  </w14:solidFill>
                </w14:textFill>
              </w:rPr>
              <w:t>COD、BOD</w:t>
            </w:r>
            <w:r>
              <w:rPr>
                <w:rFonts w:hint="default" w:ascii="Times New Roman" w:hAnsi="Times New Roman" w:cs="Times New Roman"/>
                <w:color w:val="000000" w:themeColor="text1"/>
                <w:spacing w:val="-2"/>
                <w:kern w:val="0"/>
                <w:sz w:val="21"/>
                <w:szCs w:val="20"/>
                <w:vertAlign w:val="subscript"/>
                <w:lang w:val="en-US" w:eastAsia="zh-CN"/>
                <w14:textFill>
                  <w14:solidFill>
                    <w14:schemeClr w14:val="tx1"/>
                  </w14:solidFill>
                </w14:textFill>
              </w:rPr>
              <w:t>5</w:t>
            </w:r>
            <w:r>
              <w:rPr>
                <w:rFonts w:hint="default" w:ascii="Times New Roman" w:hAnsi="Times New Roman" w:cs="Times New Roman"/>
                <w:color w:val="000000" w:themeColor="text1"/>
                <w:spacing w:val="-2"/>
                <w:kern w:val="0"/>
                <w:sz w:val="21"/>
                <w:szCs w:val="20"/>
                <w:lang w:val="en-US" w:eastAsia="zh-CN"/>
                <w14:textFill>
                  <w14:solidFill>
                    <w14:schemeClr w14:val="tx1"/>
                  </w14:solidFill>
                </w14:textFill>
              </w:rPr>
              <w:t>、SS、氨氮</w:t>
            </w:r>
          </w:p>
        </w:tc>
        <w:tc>
          <w:tcPr>
            <w:tcW w:w="763" w:type="dxa"/>
            <w:vAlign w:val="center"/>
          </w:tcPr>
          <w:p w14:paraId="66ED9C88">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事故工况</w:t>
            </w:r>
          </w:p>
        </w:tc>
      </w:tr>
      <w:tr w14:paraId="549041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95" w:type="dxa"/>
            <w:vAlign w:val="center"/>
          </w:tcPr>
          <w:p w14:paraId="1B3CB49C">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废气</w:t>
            </w:r>
          </w:p>
        </w:tc>
        <w:tc>
          <w:tcPr>
            <w:tcW w:w="1516" w:type="dxa"/>
            <w:vAlign w:val="center"/>
          </w:tcPr>
          <w:p w14:paraId="79E4F3F6">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lang w:eastAsia="zh-CN"/>
                <w14:textFill>
                  <w14:solidFill>
                    <w14:schemeClr w14:val="tx1"/>
                  </w14:solidFill>
                </w14:textFill>
              </w:rPr>
              <w:t>造粒</w:t>
            </w:r>
            <w:r>
              <w:rPr>
                <w:rFonts w:hint="default" w:ascii="Times New Roman" w:hAnsi="Times New Roman" w:cs="Times New Roman"/>
                <w:color w:val="000000" w:themeColor="text1"/>
                <w:spacing w:val="-2"/>
                <w:kern w:val="0"/>
                <w:sz w:val="21"/>
                <w:szCs w:val="20"/>
                <w14:textFill>
                  <w14:solidFill>
                    <w14:schemeClr w14:val="tx1"/>
                  </w14:solidFill>
                </w14:textFill>
              </w:rPr>
              <w:t>、</w:t>
            </w:r>
            <w:r>
              <w:rPr>
                <w:rFonts w:hint="default" w:ascii="Times New Roman" w:hAnsi="Times New Roman" w:cs="Times New Roman"/>
                <w:color w:val="000000" w:themeColor="text1"/>
                <w:spacing w:val="-2"/>
                <w:kern w:val="0"/>
                <w:sz w:val="21"/>
                <w:szCs w:val="20"/>
                <w:lang w:eastAsia="zh-CN"/>
                <w14:textFill>
                  <w14:solidFill>
                    <w14:schemeClr w14:val="tx1"/>
                  </w14:solidFill>
                </w14:textFill>
              </w:rPr>
              <w:t>拆包</w:t>
            </w:r>
            <w:r>
              <w:rPr>
                <w:rFonts w:hint="default" w:ascii="Times New Roman" w:hAnsi="Times New Roman" w:cs="Times New Roman"/>
                <w:color w:val="000000" w:themeColor="text1"/>
                <w:spacing w:val="-2"/>
                <w:kern w:val="0"/>
                <w:sz w:val="21"/>
                <w:szCs w:val="20"/>
                <w14:textFill>
                  <w14:solidFill>
                    <w14:schemeClr w14:val="tx1"/>
                  </w14:solidFill>
                </w14:textFill>
              </w:rPr>
              <w:t>等工序</w:t>
            </w:r>
          </w:p>
        </w:tc>
        <w:tc>
          <w:tcPr>
            <w:tcW w:w="1122" w:type="dxa"/>
            <w:vAlign w:val="center"/>
          </w:tcPr>
          <w:p w14:paraId="0D39497C">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大气沉降</w:t>
            </w:r>
          </w:p>
        </w:tc>
        <w:tc>
          <w:tcPr>
            <w:tcW w:w="2223" w:type="dxa"/>
            <w:vAlign w:val="center"/>
          </w:tcPr>
          <w:p w14:paraId="05DC3B28">
            <w:pPr>
              <w:widowControl/>
              <w:spacing w:line="240" w:lineRule="auto"/>
              <w:ind w:firstLine="0" w:firstLineChars="0"/>
              <w:jc w:val="center"/>
              <w:rPr>
                <w:rFonts w:hint="default" w:ascii="Times New Roman" w:hAnsi="Times New Roman" w:eastAsia="宋体" w:cs="Times New Roman"/>
                <w:color w:val="000000" w:themeColor="text1"/>
                <w:spacing w:val="-2"/>
                <w:kern w:val="0"/>
                <w:sz w:val="21"/>
                <w:szCs w:val="20"/>
                <w:lang w:eastAsia="zh-CN"/>
                <w14:textFill>
                  <w14:solidFill>
                    <w14:schemeClr w14:val="tx1"/>
                  </w14:solidFill>
                </w14:textFill>
              </w:rPr>
            </w:pPr>
            <w:r>
              <w:rPr>
                <w:rFonts w:hint="default" w:ascii="Times New Roman" w:hAnsi="Times New Roman" w:cs="Times New Roman"/>
                <w:color w:val="000000" w:themeColor="text1"/>
                <w:spacing w:val="-2"/>
                <w:kern w:val="0"/>
                <w:sz w:val="21"/>
                <w:szCs w:val="20"/>
                <w:lang w:eastAsia="zh-CN"/>
                <w14:textFill>
                  <w14:solidFill>
                    <w14:schemeClr w14:val="tx1"/>
                  </w14:solidFill>
                </w14:textFill>
              </w:rPr>
              <w:t>颗粒物、挥发性有机物</w:t>
            </w:r>
          </w:p>
        </w:tc>
        <w:tc>
          <w:tcPr>
            <w:tcW w:w="1603" w:type="dxa"/>
            <w:vAlign w:val="center"/>
          </w:tcPr>
          <w:p w14:paraId="5B3E5CD7">
            <w:pPr>
              <w:widowControl/>
              <w:spacing w:line="240" w:lineRule="auto"/>
              <w:ind w:firstLine="0" w:firstLineChars="0"/>
              <w:jc w:val="center"/>
              <w:rPr>
                <w:rFonts w:hint="default" w:ascii="Times New Roman" w:hAnsi="Times New Roman" w:cs="Times New Roman"/>
                <w:color w:val="000000" w:themeColor="text1"/>
                <w:spacing w:val="-2"/>
                <w:kern w:val="0"/>
                <w:sz w:val="21"/>
                <w:szCs w:val="20"/>
                <w:lang w:eastAsia="zh-CN"/>
                <w14:textFill>
                  <w14:solidFill>
                    <w14:schemeClr w14:val="tx1"/>
                  </w14:solidFill>
                </w14:textFill>
              </w:rPr>
            </w:pPr>
            <w:r>
              <w:rPr>
                <w:rFonts w:hint="default" w:ascii="Times New Roman" w:hAnsi="Times New Roman" w:cs="Times New Roman"/>
                <w:color w:val="000000" w:themeColor="text1"/>
                <w:spacing w:val="-2"/>
                <w:kern w:val="0"/>
                <w:sz w:val="21"/>
                <w:szCs w:val="20"/>
                <w:lang w:eastAsia="zh-CN"/>
                <w14:textFill>
                  <w14:solidFill>
                    <w14:schemeClr w14:val="tx1"/>
                  </w14:solidFill>
                </w14:textFill>
              </w:rPr>
              <w:t>挥发性有机物</w:t>
            </w:r>
          </w:p>
        </w:tc>
        <w:tc>
          <w:tcPr>
            <w:tcW w:w="763" w:type="dxa"/>
            <w:vAlign w:val="center"/>
          </w:tcPr>
          <w:p w14:paraId="4771953B">
            <w:pPr>
              <w:widowControl/>
              <w:spacing w:line="240" w:lineRule="auto"/>
              <w:ind w:firstLine="0" w:firstLineChars="0"/>
              <w:jc w:val="center"/>
              <w:rPr>
                <w:rFonts w:hint="default" w:ascii="Times New Roman" w:hAnsi="Times New Roman" w:cs="Times New Roman"/>
                <w:color w:val="000000" w:themeColor="text1"/>
                <w:spacing w:val="-2"/>
                <w:kern w:val="0"/>
                <w:sz w:val="21"/>
                <w:szCs w:val="20"/>
                <w14:textFill>
                  <w14:solidFill>
                    <w14:schemeClr w14:val="tx1"/>
                  </w14:solidFill>
                </w14:textFill>
              </w:rPr>
            </w:pPr>
            <w:r>
              <w:rPr>
                <w:rFonts w:hint="default" w:ascii="Times New Roman" w:hAnsi="Times New Roman" w:cs="Times New Roman"/>
                <w:color w:val="000000" w:themeColor="text1"/>
                <w:spacing w:val="-2"/>
                <w:kern w:val="0"/>
                <w:sz w:val="21"/>
                <w:szCs w:val="20"/>
                <w14:textFill>
                  <w14:solidFill>
                    <w14:schemeClr w14:val="tx1"/>
                  </w14:solidFill>
                </w14:textFill>
              </w:rPr>
              <w:t>/</w:t>
            </w:r>
          </w:p>
        </w:tc>
      </w:tr>
    </w:tbl>
    <w:p w14:paraId="682D2A68">
      <w:pPr>
        <w:numPr>
          <w:ilvl w:val="0"/>
          <w:numId w:val="0"/>
        </w:numPr>
        <w:spacing w:line="360" w:lineRule="auto"/>
        <w:rPr>
          <w:rFonts w:hint="default" w:ascii="Times New Roman" w:hAnsi="Times New Roman" w:eastAsia="黑体" w:cs="Times New Roman"/>
          <w:b w:val="0"/>
          <w:color w:val="000000" w:themeColor="text1"/>
          <w:sz w:val="24"/>
          <w:szCs w:val="24"/>
          <w14:textFill>
            <w14:solidFill>
              <w14:schemeClr w14:val="tx1"/>
            </w14:solidFill>
          </w14:textFill>
        </w:rPr>
      </w:pPr>
      <w:r>
        <w:rPr>
          <w:rFonts w:hint="default" w:ascii="Times New Roman" w:hAnsi="Times New Roman" w:eastAsia="黑体" w:cs="Times New Roman"/>
          <w:b w:val="0"/>
          <w:color w:val="000000" w:themeColor="text1"/>
          <w:sz w:val="24"/>
          <w:szCs w:val="24"/>
          <w14:textFill>
            <w14:solidFill>
              <w14:schemeClr w14:val="tx1"/>
            </w14:solidFill>
          </w14:textFill>
        </w:rPr>
        <w:t>5.</w:t>
      </w:r>
      <w:r>
        <w:rPr>
          <w:rFonts w:hint="default" w:ascii="Times New Roman" w:hAnsi="Times New Roman" w:eastAsia="黑体" w:cs="Times New Roman"/>
          <w:b w:val="0"/>
          <w:color w:val="000000" w:themeColor="text1"/>
          <w:sz w:val="24"/>
          <w:szCs w:val="24"/>
          <w:lang w:val="en-US" w:eastAsia="zh-CN"/>
          <w14:textFill>
            <w14:solidFill>
              <w14:schemeClr w14:val="tx1"/>
            </w14:solidFill>
          </w14:textFill>
        </w:rPr>
        <w:t>5</w:t>
      </w:r>
      <w:r>
        <w:rPr>
          <w:rFonts w:hint="default" w:ascii="Times New Roman" w:hAnsi="Times New Roman" w:eastAsia="黑体" w:cs="Times New Roman"/>
          <w:b w:val="0"/>
          <w:color w:val="000000" w:themeColor="text1"/>
          <w:sz w:val="24"/>
          <w:szCs w:val="24"/>
          <w14:textFill>
            <w14:solidFill>
              <w14:schemeClr w14:val="tx1"/>
            </w14:solidFill>
          </w14:textFill>
        </w:rPr>
        <w:t>.2现状调查与评价</w:t>
      </w:r>
    </w:p>
    <w:p w14:paraId="772AA9EE">
      <w:pPr>
        <w:numPr>
          <w:ilvl w:val="0"/>
          <w:numId w:val="11"/>
        </w:numPr>
        <w:spacing w:line="360" w:lineRule="auto"/>
        <w:ind w:firstLine="480" w:firstLineChars="200"/>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t>调查范围</w:t>
      </w:r>
    </w:p>
    <w:p w14:paraId="04EFDD2D">
      <w:pPr>
        <w:numPr>
          <w:ilvl w:val="0"/>
          <w:numId w:val="0"/>
        </w:numPr>
        <w:spacing w:line="360" w:lineRule="auto"/>
        <w:ind w:firstLine="480" w:firstLineChars="200"/>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t>根据《环境影响评价技术导则土壤环境(试行)》（HJ964-2018），结合项目特性，土壤现状调查范围为项目占地范围及占地范围外50m范围，面积约为1.4hm</w:t>
      </w:r>
      <w:r>
        <w:rPr>
          <w:rFonts w:hint="default" w:ascii="Times New Roman" w:hAnsi="Times New Roman" w:eastAsia="宋体" w:cs="Times New Roman"/>
          <w:b w:val="0"/>
          <w:bCs/>
          <w:color w:val="000000" w:themeColor="text1"/>
          <w:spacing w:val="0"/>
          <w:sz w:val="24"/>
          <w:szCs w:val="28"/>
          <w:vertAlign w:val="superscript"/>
          <w:lang w:val="en-US" w:eastAsia="zh-CN" w:bidi="ar-SA"/>
          <w14:textFill>
            <w14:solidFill>
              <w14:schemeClr w14:val="tx1"/>
            </w14:solidFill>
          </w14:textFill>
        </w:rPr>
        <w:t>2</w:t>
      </w:r>
      <w:r>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t>。</w:t>
      </w:r>
    </w:p>
    <w:p w14:paraId="1000CA94">
      <w:pPr>
        <w:numPr>
          <w:ilvl w:val="0"/>
          <w:numId w:val="11"/>
        </w:numPr>
        <w:spacing w:line="360" w:lineRule="auto"/>
        <w:ind w:left="0" w:leftChars="0" w:firstLine="480" w:firstLineChars="200"/>
        <w:rPr>
          <w:rFonts w:hint="default" w:ascii="Times New Roman" w:hAnsi="Times New Roman" w:cs="Times New Roman"/>
          <w:b w:val="0"/>
          <w:bCs/>
          <w:color w:val="000000" w:themeColor="text1"/>
          <w:spacing w:val="0"/>
          <w:sz w:val="24"/>
          <w:szCs w:val="28"/>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t>敏感目</w:t>
      </w:r>
      <w:r>
        <w:rPr>
          <w:rFonts w:hint="default" w:ascii="Times New Roman" w:hAnsi="Times New Roman" w:cs="Times New Roman"/>
          <w:b w:val="0"/>
          <w:bCs/>
          <w:color w:val="000000" w:themeColor="text1"/>
          <w:spacing w:val="0"/>
          <w:sz w:val="24"/>
          <w:szCs w:val="28"/>
          <w:lang w:val="en-US" w:eastAsia="zh-CN" w:bidi="ar-SA"/>
          <w14:textFill>
            <w14:solidFill>
              <w14:schemeClr w14:val="tx1"/>
            </w14:solidFill>
          </w14:textFill>
        </w:rPr>
        <w:t>标</w:t>
      </w:r>
    </w:p>
    <w:p w14:paraId="6F59CEED">
      <w:pPr>
        <w:numPr>
          <w:ilvl w:val="0"/>
          <w:numId w:val="0"/>
        </w:numPr>
        <w:spacing w:line="360" w:lineRule="auto"/>
        <w:ind w:firstLine="480" w:firstLineChars="200"/>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t>根据《环境影响评价技术导则土壤环境(试行)》（HJ964-2018），本项目厂界外50m内无敏感目标。</w:t>
      </w:r>
    </w:p>
    <w:p w14:paraId="690AA61F">
      <w:pPr>
        <w:numPr>
          <w:ilvl w:val="0"/>
          <w:numId w:val="11"/>
        </w:numPr>
        <w:spacing w:line="360" w:lineRule="auto"/>
        <w:ind w:left="0" w:leftChars="0" w:firstLine="480" w:firstLineChars="200"/>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t>土地利用类型调查</w:t>
      </w:r>
    </w:p>
    <w:p w14:paraId="7AB69853">
      <w:pPr>
        <w:numPr>
          <w:ilvl w:val="0"/>
          <w:numId w:val="0"/>
        </w:numPr>
        <w:spacing w:line="360" w:lineRule="auto"/>
        <w:ind w:firstLine="480" w:firstLineChars="200"/>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sz w:val="24"/>
          <w:szCs w:val="28"/>
          <w:lang w:val="en-US" w:eastAsia="zh-CN" w:bidi="ar-SA"/>
          <w14:textFill>
            <w14:solidFill>
              <w14:schemeClr w14:val="tx1"/>
            </w14:solidFill>
          </w14:textFill>
        </w:rPr>
        <w:t>根据现场调查结果，拟建项目所在地及周边50m范围内土地利用类型主要为工业用地等。</w:t>
      </w:r>
    </w:p>
    <w:p w14:paraId="1A6963B0">
      <w:pPr>
        <w:numPr>
          <w:ilvl w:val="0"/>
          <w:numId w:val="0"/>
        </w:numPr>
        <w:spacing w:line="360" w:lineRule="auto"/>
        <w:rPr>
          <w:rFonts w:hint="default" w:ascii="Times New Roman" w:hAnsi="Times New Roman" w:eastAsia="黑体" w:cs="Times New Roman"/>
          <w:b w:val="0"/>
          <w:color w:val="000000" w:themeColor="text1"/>
          <w:sz w:val="24"/>
          <w:szCs w:val="24"/>
          <w14:textFill>
            <w14:solidFill>
              <w14:schemeClr w14:val="tx1"/>
            </w14:solidFill>
          </w14:textFill>
        </w:rPr>
      </w:pPr>
      <w:r>
        <w:rPr>
          <w:rFonts w:hint="default" w:ascii="Times New Roman" w:hAnsi="Times New Roman" w:eastAsia="黑体" w:cs="Times New Roman"/>
          <w:b w:val="0"/>
          <w:color w:val="000000" w:themeColor="text1"/>
          <w:sz w:val="24"/>
          <w:szCs w:val="24"/>
          <w14:textFill>
            <w14:solidFill>
              <w14:schemeClr w14:val="tx1"/>
            </w14:solidFill>
          </w14:textFill>
        </w:rPr>
        <w:t>5.</w:t>
      </w:r>
      <w:r>
        <w:rPr>
          <w:rFonts w:hint="default" w:ascii="Times New Roman" w:hAnsi="Times New Roman" w:eastAsia="黑体" w:cs="Times New Roman"/>
          <w:b w:val="0"/>
          <w:color w:val="000000" w:themeColor="text1"/>
          <w:sz w:val="24"/>
          <w:szCs w:val="24"/>
          <w:lang w:val="en-US" w:eastAsia="zh-CN"/>
          <w14:textFill>
            <w14:solidFill>
              <w14:schemeClr w14:val="tx1"/>
            </w14:solidFill>
          </w14:textFill>
        </w:rPr>
        <w:t>5</w:t>
      </w:r>
      <w:r>
        <w:rPr>
          <w:rFonts w:hint="default" w:ascii="Times New Roman" w:hAnsi="Times New Roman" w:eastAsia="黑体" w:cs="Times New Roman"/>
          <w:b w:val="0"/>
          <w:color w:val="000000" w:themeColor="text1"/>
          <w:sz w:val="24"/>
          <w:szCs w:val="24"/>
          <w14:textFill>
            <w14:solidFill>
              <w14:schemeClr w14:val="tx1"/>
            </w14:solidFill>
          </w14:textFill>
        </w:rPr>
        <w:t>.3土壤环境影响评价</w:t>
      </w:r>
    </w:p>
    <w:p w14:paraId="4589C161">
      <w:pPr>
        <w:numPr>
          <w:ilvl w:val="0"/>
          <w:numId w:val="12"/>
        </w:numPr>
        <w:spacing w:line="360" w:lineRule="auto"/>
        <w:ind w:firstLine="480" w:firstLineChars="200"/>
        <w:rPr>
          <w:rFonts w:hint="default" w:ascii="Times New Roman" w:hAnsi="Times New Roman" w:cs="Times New Roman"/>
          <w:b w:val="0"/>
          <w:bCs/>
          <w:color w:val="000000" w:themeColor="text1"/>
          <w:spacing w:val="0"/>
          <w:sz w:val="24"/>
          <w:szCs w:val="28"/>
          <w:lang w:val="en-US" w:eastAsia="zh-CN" w:bidi="ar-SA"/>
          <w14:textFill>
            <w14:solidFill>
              <w14:schemeClr w14:val="tx1"/>
            </w14:solidFill>
          </w14:textFill>
        </w:rPr>
      </w:pPr>
      <w:r>
        <w:rPr>
          <w:rFonts w:hint="default" w:ascii="Times New Roman" w:hAnsi="Times New Roman" w:cs="Times New Roman"/>
          <w:b w:val="0"/>
          <w:bCs/>
          <w:color w:val="000000" w:themeColor="text1"/>
          <w:spacing w:val="0"/>
          <w:sz w:val="24"/>
          <w:szCs w:val="28"/>
          <w:lang w:val="en-US" w:eastAsia="zh-CN" w:bidi="ar-SA"/>
          <w14:textFill>
            <w14:solidFill>
              <w14:schemeClr w14:val="tx1"/>
            </w14:solidFill>
          </w14:textFill>
        </w:rPr>
        <w:t>本工程对产生的废水进行合理的治理和综合利用，使用先进工艺，良好的管道、设备和污水储存设施，尽可能从源头上减少污染物产生；严格按照国家相关规范要求，对工艺、管道、设备、污水储存及处理构筑物采取相应的措施，以防止和降低污染物的跑、冒、滴、漏，将环境风险事故降到最低；管线铺设尽量采用“可视为”原则，即管道尽可能地上铺设，做到污染物“早发现、早处理”，以减少由于地埋管道泄漏而可能造成的土壤污染。</w:t>
      </w:r>
    </w:p>
    <w:p w14:paraId="7B62E210">
      <w:pPr>
        <w:numPr>
          <w:ilvl w:val="0"/>
          <w:numId w:val="12"/>
        </w:numPr>
        <w:spacing w:line="360" w:lineRule="auto"/>
        <w:ind w:left="0" w:leftChars="0" w:firstLine="480" w:firstLineChars="200"/>
        <w:rPr>
          <w:rFonts w:hint="default" w:ascii="Times New Roman" w:hAnsi="Times New Roman" w:cs="Times New Roman"/>
          <w:b w:val="0"/>
          <w:bCs/>
          <w:color w:val="000000" w:themeColor="text1"/>
          <w:spacing w:val="0"/>
          <w:sz w:val="24"/>
          <w:szCs w:val="28"/>
          <w:lang w:val="en-US" w:eastAsia="zh-CN" w:bidi="ar-SA"/>
          <w14:textFill>
            <w14:solidFill>
              <w14:schemeClr w14:val="tx1"/>
            </w14:solidFill>
          </w14:textFill>
        </w:rPr>
      </w:pPr>
      <w:r>
        <w:rPr>
          <w:rFonts w:hint="default" w:ascii="Times New Roman" w:hAnsi="Times New Roman" w:cs="Times New Roman"/>
          <w:b w:val="0"/>
          <w:bCs/>
          <w:color w:val="000000" w:themeColor="text1"/>
          <w:spacing w:val="0"/>
          <w:sz w:val="24"/>
          <w:szCs w:val="28"/>
          <w:lang w:val="en-US" w:eastAsia="zh-CN" w:bidi="ar-SA"/>
          <w14:textFill>
            <w14:solidFill>
              <w14:schemeClr w14:val="tx1"/>
            </w14:solidFill>
          </w14:textFill>
        </w:rPr>
        <w:t>对于大气沉降造成的污染，主要控制造粒、拆包等工序颗粒物及有机废气的有效收集和处理，减少过程中的无组织逸散，同时通过采用高效的布袋除尘器和有机废气处理设施，从而减少由于大气沉降造成的土壤污染。</w:t>
      </w:r>
    </w:p>
    <w:p w14:paraId="4F2DA0B3">
      <w:pPr>
        <w:numPr>
          <w:ilvl w:val="0"/>
          <w:numId w:val="0"/>
        </w:numPr>
        <w:spacing w:line="360" w:lineRule="auto"/>
        <w:ind w:firstLine="480" w:firstLineChars="200"/>
        <w:rPr>
          <w:rFonts w:hint="default" w:ascii="Times New Roman" w:hAnsi="Times New Roman" w:cs="Times New Roman"/>
          <w:b w:val="0"/>
          <w:bCs/>
          <w:color w:val="000000" w:themeColor="text1"/>
          <w:spacing w:val="0"/>
          <w:sz w:val="24"/>
          <w:szCs w:val="28"/>
          <w:lang w:val="en-US" w:eastAsia="zh-CN" w:bidi="ar-SA"/>
          <w14:textFill>
            <w14:solidFill>
              <w14:schemeClr w14:val="tx1"/>
            </w14:solidFill>
          </w14:textFill>
        </w:rPr>
      </w:pPr>
      <w:r>
        <w:rPr>
          <w:rFonts w:hint="default" w:ascii="Times New Roman" w:hAnsi="Times New Roman" w:cs="Times New Roman"/>
          <w:b w:val="0"/>
          <w:bCs/>
          <w:color w:val="000000" w:themeColor="text1"/>
          <w:spacing w:val="0"/>
          <w:sz w:val="24"/>
          <w:szCs w:val="28"/>
          <w:lang w:val="en-US" w:eastAsia="zh-CN" w:bidi="ar-SA"/>
          <w14:textFill>
            <w14:solidFill>
              <w14:schemeClr w14:val="tx1"/>
            </w14:solidFill>
          </w14:textFill>
        </w:rPr>
        <w:t>通过采取以上措施，本项目对土壤环境影响较小。</w:t>
      </w:r>
    </w:p>
    <w:p w14:paraId="26E7E0A6">
      <w:pPr>
        <w:numPr>
          <w:ilvl w:val="0"/>
          <w:numId w:val="0"/>
        </w:numPr>
        <w:spacing w:line="360" w:lineRule="auto"/>
        <w:ind w:firstLine="480" w:firstLineChars="200"/>
        <w:rPr>
          <w:rFonts w:hint="default" w:ascii="Times New Roman" w:hAnsi="Times New Roman" w:cs="Times New Roman"/>
          <w:b w:val="0"/>
          <w:bCs/>
          <w:color w:val="000000" w:themeColor="text1"/>
          <w:spacing w:val="0"/>
          <w:sz w:val="24"/>
          <w:szCs w:val="28"/>
          <w:lang w:val="en-US" w:eastAsia="zh-CN" w:bidi="ar-SA"/>
          <w14:textFill>
            <w14:solidFill>
              <w14:schemeClr w14:val="tx1"/>
            </w14:solidFill>
          </w14:textFill>
        </w:rPr>
      </w:pPr>
      <w:r>
        <w:rPr>
          <w:rFonts w:hint="default" w:ascii="Times New Roman" w:hAnsi="Times New Roman" w:cs="Times New Roman"/>
          <w:b w:val="0"/>
          <w:bCs/>
          <w:color w:val="000000" w:themeColor="text1"/>
          <w:spacing w:val="0"/>
          <w:sz w:val="24"/>
          <w:szCs w:val="28"/>
          <w:lang w:val="en-US" w:eastAsia="zh-CN" w:bidi="ar-SA"/>
          <w14:textFill>
            <w14:solidFill>
              <w14:schemeClr w14:val="tx1"/>
            </w14:solidFill>
          </w14:textFill>
        </w:rPr>
        <w:t>根据现状监测结果表明：区域建设用地土壤环境质量执行《土壤环境质量标准 建设用地土壤污染风险管控标准（试行）》（GB36600-2018）中第二类用地风险筛选值要求。</w:t>
      </w:r>
    </w:p>
    <w:bookmarkEnd w:id="159"/>
    <w:bookmarkEnd w:id="160"/>
    <w:p w14:paraId="783D7C48">
      <w:pPr>
        <w:pStyle w:val="3159"/>
        <w:rPr>
          <w:rFonts w:hint="default" w:ascii="Times New Roman" w:hAnsi="Times New Roman" w:eastAsia="黑体" w:cs="Times New Roman"/>
          <w:b w:val="0"/>
          <w:color w:val="000000" w:themeColor="text1"/>
          <w14:textFill>
            <w14:solidFill>
              <w14:schemeClr w14:val="tx1"/>
            </w14:solidFill>
          </w14:textFill>
        </w:rPr>
      </w:pPr>
      <w:bookmarkStart w:id="164" w:name="_Toc170562219"/>
      <w:bookmarkStart w:id="165" w:name="_Toc173837715"/>
      <w:r>
        <w:rPr>
          <w:rFonts w:hint="default" w:ascii="Times New Roman" w:hAnsi="Times New Roman" w:eastAsia="黑体" w:cs="Times New Roman"/>
          <w:b w:val="0"/>
          <w:color w:val="000000" w:themeColor="text1"/>
          <w14:textFill>
            <w14:solidFill>
              <w14:schemeClr w14:val="tx1"/>
            </w14:solidFill>
          </w14:textFill>
        </w:rPr>
        <w:t>5.5.</w:t>
      </w:r>
      <w:r>
        <w:rPr>
          <w:rFonts w:hint="default" w:ascii="Times New Roman" w:hAnsi="Times New Roman" w:eastAsia="黑体" w:cs="Times New Roman"/>
          <w:b w:val="0"/>
          <w:color w:val="000000" w:themeColor="text1"/>
          <w:lang w:val="en-US" w:eastAsia="zh-CN"/>
          <w14:textFill>
            <w14:solidFill>
              <w14:schemeClr w14:val="tx1"/>
            </w14:solidFill>
          </w14:textFill>
        </w:rPr>
        <w:t>4</w:t>
      </w:r>
      <w:r>
        <w:rPr>
          <w:rFonts w:hint="default" w:ascii="Times New Roman" w:hAnsi="Times New Roman" w:eastAsia="黑体" w:cs="Times New Roman"/>
          <w:b w:val="0"/>
          <w:color w:val="000000" w:themeColor="text1"/>
          <w14:textFill>
            <w14:solidFill>
              <w14:schemeClr w14:val="tx1"/>
            </w14:solidFill>
          </w14:textFill>
        </w:rPr>
        <w:t>小结</w:t>
      </w:r>
      <w:bookmarkEnd w:id="164"/>
      <w:bookmarkEnd w:id="165"/>
    </w:p>
    <w:p w14:paraId="357592F9">
      <w:pPr>
        <w:spacing w:line="360" w:lineRule="auto"/>
        <w:ind w:firstLine="472" w:firstLineChars="20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由污染途径及对应措施分析可知，拟建工程对可能产生土壤影响的各项途径均进行有效预防，在确保各项防渗措施得以落实，并加强维护和厂区环境管理的前提下，可有效控制厂区内的废水污染物下渗现象，避免污染土壤，因此拟建工程不会对区域土壤环境产生明显影响。</w:t>
      </w:r>
    </w:p>
    <w:p w14:paraId="498C9BF7">
      <w:pPr>
        <w:spacing w:line="360" w:lineRule="auto"/>
        <w:ind w:firstLine="480"/>
        <w:jc w:val="left"/>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本项目为土壤污染影响型项目，对土壤产生的影响主要是集中在运营期。其影响途径主要是废气沉降，本项目土壤环境评价自查表如下表所示：</w:t>
      </w:r>
    </w:p>
    <w:bookmarkEnd w:id="161"/>
    <w:bookmarkEnd w:id="162"/>
    <w:bookmarkEnd w:id="163"/>
    <w:p w14:paraId="0F61396B">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表5.5-</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黑体" w:cs="Times New Roman"/>
          <w:color w:val="000000" w:themeColor="text1"/>
          <w:sz w:val="24"/>
          <w:szCs w:val="24"/>
          <w14:textFill>
            <w14:solidFill>
              <w14:schemeClr w14:val="tx1"/>
            </w14:solidFill>
          </w14:textFill>
        </w:rPr>
        <w:t>土壤环境影响评价自查表</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13"/>
        <w:gridCol w:w="1524"/>
        <w:gridCol w:w="1474"/>
        <w:gridCol w:w="494"/>
        <w:gridCol w:w="943"/>
        <w:gridCol w:w="963"/>
        <w:gridCol w:w="436"/>
        <w:gridCol w:w="1365"/>
        <w:gridCol w:w="810"/>
      </w:tblGrid>
      <w:tr w14:paraId="3D0484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95" w:type="pct"/>
            <w:gridSpan w:val="2"/>
            <w:shd w:val="clear" w:color="auto" w:fill="auto"/>
            <w:vAlign w:val="center"/>
          </w:tcPr>
          <w:p w14:paraId="1D16B83D">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工作内容</w:t>
            </w:r>
          </w:p>
        </w:tc>
        <w:tc>
          <w:tcPr>
            <w:tcW w:w="3330" w:type="pct"/>
            <w:gridSpan w:val="6"/>
            <w:shd w:val="clear" w:color="auto" w:fill="auto"/>
            <w:vAlign w:val="center"/>
          </w:tcPr>
          <w:p w14:paraId="69C97EBD">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完成情况</w:t>
            </w:r>
          </w:p>
        </w:tc>
        <w:tc>
          <w:tcPr>
            <w:tcW w:w="475" w:type="pct"/>
            <w:shd w:val="clear" w:color="auto" w:fill="auto"/>
            <w:vAlign w:val="center"/>
          </w:tcPr>
          <w:p w14:paraId="2696B060">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备注</w:t>
            </w:r>
          </w:p>
        </w:tc>
      </w:tr>
      <w:tr w14:paraId="651ADA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restart"/>
            <w:shd w:val="clear" w:color="auto" w:fill="auto"/>
            <w:vAlign w:val="center"/>
          </w:tcPr>
          <w:p w14:paraId="6B0DD43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影响识别</w:t>
            </w:r>
          </w:p>
        </w:tc>
        <w:tc>
          <w:tcPr>
            <w:tcW w:w="894" w:type="pct"/>
            <w:shd w:val="clear" w:color="auto" w:fill="auto"/>
            <w:vAlign w:val="center"/>
          </w:tcPr>
          <w:p w14:paraId="789E0F4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影响类型</w:t>
            </w:r>
          </w:p>
        </w:tc>
        <w:tc>
          <w:tcPr>
            <w:tcW w:w="3330" w:type="pct"/>
            <w:gridSpan w:val="6"/>
            <w:shd w:val="clear" w:color="auto" w:fill="auto"/>
            <w:vAlign w:val="center"/>
          </w:tcPr>
          <w:p w14:paraId="5450F49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污染影响型</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；生态影响型口；两种类型兼有口</w:t>
            </w:r>
          </w:p>
        </w:tc>
        <w:tc>
          <w:tcPr>
            <w:tcW w:w="475" w:type="pct"/>
            <w:shd w:val="clear" w:color="auto" w:fill="auto"/>
            <w:vAlign w:val="center"/>
          </w:tcPr>
          <w:p w14:paraId="2B248E4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026816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2D118031">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6EACB23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土地利用类型</w:t>
            </w:r>
          </w:p>
        </w:tc>
        <w:tc>
          <w:tcPr>
            <w:tcW w:w="3330" w:type="pct"/>
            <w:gridSpan w:val="6"/>
            <w:shd w:val="clear" w:color="auto" w:fill="auto"/>
            <w:vAlign w:val="center"/>
          </w:tcPr>
          <w:p w14:paraId="38BE81C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建设用地</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highlight w:val="yellow"/>
                <w14:textFill>
                  <w14:solidFill>
                    <w14:schemeClr w14:val="tx1"/>
                  </w14:solidFill>
                </w14:textFill>
              </w:rPr>
              <w:t>；农用地口</w:t>
            </w:r>
            <w:r>
              <w:rPr>
                <w:rFonts w:hint="default" w:ascii="Times New Roman" w:hAnsi="Times New Roman" w:cs="Times New Roman"/>
                <w:color w:val="000000" w:themeColor="text1"/>
                <w:sz w:val="21"/>
                <w:szCs w:val="21"/>
                <w14:textFill>
                  <w14:solidFill>
                    <w14:schemeClr w14:val="tx1"/>
                  </w14:solidFill>
                </w14:textFill>
              </w:rPr>
              <w:t>；未利用地口</w:t>
            </w:r>
          </w:p>
        </w:tc>
        <w:tc>
          <w:tcPr>
            <w:tcW w:w="475" w:type="pct"/>
            <w:shd w:val="clear" w:color="auto" w:fill="auto"/>
            <w:vAlign w:val="center"/>
          </w:tcPr>
          <w:p w14:paraId="1633404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419780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0720621A">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1DA7054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占地规模</w:t>
            </w:r>
          </w:p>
        </w:tc>
        <w:tc>
          <w:tcPr>
            <w:tcW w:w="3330" w:type="pct"/>
            <w:gridSpan w:val="6"/>
            <w:shd w:val="clear" w:color="auto" w:fill="auto"/>
            <w:vAlign w:val="center"/>
          </w:tcPr>
          <w:p w14:paraId="0AEA3C7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r>
              <w:rPr>
                <w:rFonts w:hint="default" w:ascii="Times New Roman" w:hAnsi="Times New Roman" w:cs="Times New Roman"/>
                <w:color w:val="000000" w:themeColor="text1"/>
                <w:sz w:val="21"/>
                <w:szCs w:val="21"/>
                <w:lang w:val="en-US" w:eastAsia="zh-CN"/>
                <w14:textFill>
                  <w14:solidFill>
                    <w14:schemeClr w14:val="tx1"/>
                  </w14:solidFill>
                </w14:textFill>
              </w:rPr>
              <w:t>4</w:t>
            </w:r>
            <w:r>
              <w:rPr>
                <w:rFonts w:hint="default" w:ascii="Times New Roman" w:hAnsi="Times New Roman" w:cs="Times New Roman"/>
                <w:color w:val="000000" w:themeColor="text1"/>
                <w:sz w:val="21"/>
                <w:szCs w:val="21"/>
                <w14:textFill>
                  <w14:solidFill>
                    <w14:schemeClr w14:val="tx1"/>
                  </w14:solidFill>
                </w14:textFill>
              </w:rPr>
              <w:t>）hm</w:t>
            </w:r>
            <w:r>
              <w:rPr>
                <w:rFonts w:hint="default" w:ascii="Times New Roman" w:hAnsi="Times New Roman" w:cs="Times New Roman"/>
                <w:color w:val="000000" w:themeColor="text1"/>
                <w:sz w:val="21"/>
                <w:szCs w:val="21"/>
                <w:vertAlign w:val="superscript"/>
                <w14:textFill>
                  <w14:solidFill>
                    <w14:schemeClr w14:val="tx1"/>
                  </w14:solidFill>
                </w14:textFill>
              </w:rPr>
              <w:t>2</w:t>
            </w:r>
          </w:p>
        </w:tc>
        <w:tc>
          <w:tcPr>
            <w:tcW w:w="475" w:type="pct"/>
            <w:shd w:val="clear" w:color="auto" w:fill="auto"/>
            <w:vAlign w:val="center"/>
          </w:tcPr>
          <w:p w14:paraId="116D2E6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52A5BB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36847885">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164E931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敏感目标信息</w:t>
            </w:r>
          </w:p>
        </w:tc>
        <w:tc>
          <w:tcPr>
            <w:tcW w:w="3330" w:type="pct"/>
            <w:gridSpan w:val="6"/>
            <w:shd w:val="clear" w:color="auto" w:fill="auto"/>
            <w:vAlign w:val="center"/>
          </w:tcPr>
          <w:p w14:paraId="45D7A00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敏感目标（/）、方位（/）、距离（/）</w:t>
            </w:r>
          </w:p>
        </w:tc>
        <w:tc>
          <w:tcPr>
            <w:tcW w:w="475" w:type="pct"/>
            <w:shd w:val="clear" w:color="auto" w:fill="auto"/>
            <w:vAlign w:val="center"/>
          </w:tcPr>
          <w:p w14:paraId="2AFF5B9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148D52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4AD53DC1">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47082E0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影响途径</w:t>
            </w:r>
          </w:p>
        </w:tc>
        <w:tc>
          <w:tcPr>
            <w:tcW w:w="3330" w:type="pct"/>
            <w:gridSpan w:val="6"/>
            <w:shd w:val="clear" w:color="auto" w:fill="auto"/>
            <w:vAlign w:val="center"/>
          </w:tcPr>
          <w:p w14:paraId="76FF9F7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大气沉降</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；地面漫流口；垂直入渗</w:t>
            </w:r>
            <w:r>
              <w:rPr>
                <w:rFonts w:hint="default" w:ascii="Times New Roman" w:hAnsi="Times New Roman" w:cs="Times New Roman"/>
                <w:color w:val="000000" w:themeColor="text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；地下水位口；其他</w:t>
            </w:r>
          </w:p>
        </w:tc>
        <w:tc>
          <w:tcPr>
            <w:tcW w:w="475" w:type="pct"/>
            <w:shd w:val="clear" w:color="auto" w:fill="auto"/>
            <w:vAlign w:val="center"/>
          </w:tcPr>
          <w:p w14:paraId="7ACE2A5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3EDAAB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16BD30C2">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34B561A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全部污染物</w:t>
            </w:r>
          </w:p>
        </w:tc>
        <w:tc>
          <w:tcPr>
            <w:tcW w:w="3330" w:type="pct"/>
            <w:gridSpan w:val="6"/>
            <w:shd w:val="clear" w:color="auto" w:fill="auto"/>
            <w:vAlign w:val="center"/>
          </w:tcPr>
          <w:p w14:paraId="10C58753">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pH值以及45项基础因子</w:t>
            </w:r>
          </w:p>
        </w:tc>
        <w:tc>
          <w:tcPr>
            <w:tcW w:w="475" w:type="pct"/>
            <w:shd w:val="clear" w:color="auto" w:fill="auto"/>
            <w:vAlign w:val="center"/>
          </w:tcPr>
          <w:p w14:paraId="67A1C63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56D1E3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6368DDBA">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19DE587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特征因子</w:t>
            </w:r>
          </w:p>
        </w:tc>
        <w:tc>
          <w:tcPr>
            <w:tcW w:w="3330" w:type="pct"/>
            <w:gridSpan w:val="6"/>
            <w:shd w:val="clear" w:color="auto" w:fill="auto"/>
            <w:vAlign w:val="center"/>
          </w:tcPr>
          <w:p w14:paraId="0B67189D">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挥发性有机物</w:t>
            </w:r>
          </w:p>
        </w:tc>
        <w:tc>
          <w:tcPr>
            <w:tcW w:w="475" w:type="pct"/>
            <w:shd w:val="clear" w:color="auto" w:fill="auto"/>
            <w:vAlign w:val="center"/>
          </w:tcPr>
          <w:p w14:paraId="1A60D21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301C70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1F6FA79D">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3422D64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所属土壤环境影响评价项目类别</w:t>
            </w:r>
          </w:p>
        </w:tc>
        <w:tc>
          <w:tcPr>
            <w:tcW w:w="3330" w:type="pct"/>
            <w:gridSpan w:val="6"/>
            <w:shd w:val="clear" w:color="auto" w:fill="auto"/>
            <w:vAlign w:val="center"/>
          </w:tcPr>
          <w:p w14:paraId="0A7CCF3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Ⅰ类</w:t>
            </w:r>
            <w:r>
              <w:rPr>
                <w:rFonts w:hint="default" w:ascii="Times New Roman" w:hAnsi="Times New Roman" w:cs="Times New Roman"/>
                <w:color w:val="000000" w:themeColor="text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；Ⅱ类口；Ⅲ类</w:t>
            </w:r>
            <w:r>
              <w:rPr>
                <w:rFonts w:hint="default" w:ascii="Times New Roman" w:hAnsi="Times New Roman" w:cs="Times New Roman"/>
                <w:color w:val="000000" w:themeColor="text1"/>
                <w:sz w:val="2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；Ⅳ类</w:t>
            </w:r>
            <w:r>
              <w:rPr>
                <w:rFonts w:hint="default" w:ascii="Times New Roman" w:hAnsi="Times New Roman" w:cs="Times New Roman"/>
                <w:color w:val="000000" w:themeColor="text1"/>
                <w:szCs w:val="21"/>
                <w14:textFill>
                  <w14:solidFill>
                    <w14:schemeClr w14:val="tx1"/>
                  </w14:solidFill>
                </w14:textFill>
              </w:rPr>
              <w:sym w:font="Wingdings 2" w:char="00A3"/>
            </w:r>
          </w:p>
        </w:tc>
        <w:tc>
          <w:tcPr>
            <w:tcW w:w="475" w:type="pct"/>
            <w:shd w:val="clear" w:color="auto" w:fill="auto"/>
            <w:vAlign w:val="center"/>
          </w:tcPr>
          <w:p w14:paraId="17FD9B4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6655D0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417CA943">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002FBA0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敏感程度</w:t>
            </w:r>
          </w:p>
        </w:tc>
        <w:tc>
          <w:tcPr>
            <w:tcW w:w="3330" w:type="pct"/>
            <w:gridSpan w:val="6"/>
            <w:shd w:val="clear" w:color="auto" w:fill="auto"/>
            <w:vAlign w:val="center"/>
          </w:tcPr>
          <w:p w14:paraId="3B26894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敏感</w:t>
            </w:r>
            <w:r>
              <w:rPr>
                <w:rFonts w:hint="default" w:ascii="Times New Roman" w:hAnsi="Times New Roman" w:cs="Times New Roman"/>
                <w:color w:val="000000" w:themeColor="text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；较敏感口；不敏感</w:t>
            </w:r>
            <w:r>
              <w:rPr>
                <w:rFonts w:hint="default" w:ascii="Times New Roman" w:hAnsi="Times New Roman" w:cs="Times New Roman"/>
                <w:color w:val="000000" w:themeColor="text1"/>
                <w:szCs w:val="21"/>
                <w14:textFill>
                  <w14:solidFill>
                    <w14:schemeClr w14:val="tx1"/>
                  </w14:solidFill>
                </w14:textFill>
              </w:rPr>
              <w:sym w:font="Wingdings 2" w:char="00A3"/>
            </w:r>
            <w:r>
              <w:rPr>
                <w:rFonts w:hint="default" w:ascii="Times New Roman" w:hAnsi="Times New Roman" w:cs="Times New Roman"/>
                <w:color w:val="000000" w:themeColor="text1"/>
                <w:szCs w:val="21"/>
                <w14:textFill>
                  <w14:solidFill>
                    <w14:schemeClr w14:val="tx1"/>
                  </w14:solidFill>
                </w14:textFill>
              </w:rPr>
              <w:t></w:t>
            </w:r>
          </w:p>
        </w:tc>
        <w:tc>
          <w:tcPr>
            <w:tcW w:w="475" w:type="pct"/>
            <w:shd w:val="clear" w:color="auto" w:fill="auto"/>
            <w:vAlign w:val="center"/>
          </w:tcPr>
          <w:p w14:paraId="3559FA0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2FAB40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shd w:val="clear" w:color="auto" w:fill="auto"/>
            <w:vAlign w:val="center"/>
          </w:tcPr>
          <w:p w14:paraId="7912474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1E6F382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评价工作等级</w:t>
            </w:r>
          </w:p>
        </w:tc>
        <w:tc>
          <w:tcPr>
            <w:tcW w:w="3330" w:type="pct"/>
            <w:gridSpan w:val="6"/>
            <w:shd w:val="clear" w:color="auto" w:fill="auto"/>
            <w:vAlign w:val="center"/>
          </w:tcPr>
          <w:p w14:paraId="6AD93D5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一级</w:t>
            </w:r>
            <w:r>
              <w:rPr>
                <w:rFonts w:hint="default" w:ascii="Times New Roman" w:hAnsi="Times New Roman" w:cs="Times New Roman"/>
                <w:color w:val="000000" w:themeColor="text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；二级口；三级</w:t>
            </w:r>
            <w:r>
              <w:rPr>
                <w:rFonts w:hint="default" w:ascii="Times New Roman" w:hAnsi="Times New Roman" w:cs="Times New Roman"/>
                <w:color w:val="000000" w:themeColor="text1"/>
                <w:szCs w:val="21"/>
                <w14:textFill>
                  <w14:solidFill>
                    <w14:schemeClr w14:val="tx1"/>
                  </w14:solidFill>
                </w14:textFill>
              </w:rPr>
              <w:sym w:font="Wingdings 2" w:char="0052"/>
            </w:r>
          </w:p>
        </w:tc>
        <w:tc>
          <w:tcPr>
            <w:tcW w:w="475" w:type="pct"/>
            <w:shd w:val="clear" w:color="auto" w:fill="auto"/>
            <w:vAlign w:val="center"/>
          </w:tcPr>
          <w:p w14:paraId="2A0ACC5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337C36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restart"/>
            <w:shd w:val="clear" w:color="auto" w:fill="auto"/>
            <w:vAlign w:val="center"/>
          </w:tcPr>
          <w:p w14:paraId="0D179CF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现状调查内容</w:t>
            </w:r>
          </w:p>
        </w:tc>
        <w:tc>
          <w:tcPr>
            <w:tcW w:w="894" w:type="pct"/>
            <w:shd w:val="clear" w:color="auto" w:fill="auto"/>
            <w:vAlign w:val="center"/>
          </w:tcPr>
          <w:p w14:paraId="2F5D2D2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资料收集</w:t>
            </w:r>
          </w:p>
        </w:tc>
        <w:tc>
          <w:tcPr>
            <w:tcW w:w="3330" w:type="pct"/>
            <w:gridSpan w:val="6"/>
            <w:shd w:val="clear" w:color="auto" w:fill="auto"/>
            <w:vAlign w:val="center"/>
          </w:tcPr>
          <w:p w14:paraId="5CE2D6C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a）口；b)口；c)口；d)口</w:t>
            </w:r>
          </w:p>
        </w:tc>
        <w:tc>
          <w:tcPr>
            <w:tcW w:w="475" w:type="pct"/>
            <w:shd w:val="clear" w:color="auto" w:fill="auto"/>
            <w:vAlign w:val="center"/>
          </w:tcPr>
          <w:p w14:paraId="23EC971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4859E9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51DB6ED1">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0445C39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理化特性</w:t>
            </w:r>
          </w:p>
        </w:tc>
        <w:tc>
          <w:tcPr>
            <w:tcW w:w="3330" w:type="pct"/>
            <w:gridSpan w:val="6"/>
            <w:shd w:val="clear" w:color="auto" w:fill="auto"/>
            <w:vAlign w:val="center"/>
          </w:tcPr>
          <w:p w14:paraId="51F5040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结构、质地、阳离子交换量、氧化还原电位、饱和导水率、土土壤容重、孔隙度</w:t>
            </w:r>
          </w:p>
        </w:tc>
        <w:tc>
          <w:tcPr>
            <w:tcW w:w="475" w:type="pct"/>
            <w:shd w:val="clear" w:color="auto" w:fill="auto"/>
            <w:vAlign w:val="center"/>
          </w:tcPr>
          <w:p w14:paraId="1D73B67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同附录C</w:t>
            </w:r>
          </w:p>
        </w:tc>
      </w:tr>
      <w:tr w14:paraId="673C5AE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4ECD6857">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vMerge w:val="restart"/>
            <w:shd w:val="clear" w:color="auto" w:fill="auto"/>
            <w:vAlign w:val="center"/>
          </w:tcPr>
          <w:p w14:paraId="2907F34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现状监测点位</w:t>
            </w:r>
          </w:p>
        </w:tc>
        <w:tc>
          <w:tcPr>
            <w:tcW w:w="865" w:type="pct"/>
            <w:shd w:val="clear" w:color="auto" w:fill="auto"/>
            <w:vAlign w:val="center"/>
          </w:tcPr>
          <w:p w14:paraId="6B08879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43" w:type="pct"/>
            <w:gridSpan w:val="2"/>
            <w:shd w:val="clear" w:color="auto" w:fill="auto"/>
            <w:vAlign w:val="center"/>
          </w:tcPr>
          <w:p w14:paraId="7A17F46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占地范围内</w:t>
            </w:r>
          </w:p>
        </w:tc>
        <w:tc>
          <w:tcPr>
            <w:tcW w:w="821" w:type="pct"/>
            <w:gridSpan w:val="2"/>
            <w:shd w:val="clear" w:color="auto" w:fill="auto"/>
            <w:vAlign w:val="center"/>
          </w:tcPr>
          <w:p w14:paraId="76953A9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占地范围外</w:t>
            </w:r>
          </w:p>
        </w:tc>
        <w:tc>
          <w:tcPr>
            <w:tcW w:w="801" w:type="pct"/>
            <w:shd w:val="clear" w:color="auto" w:fill="auto"/>
            <w:vAlign w:val="center"/>
          </w:tcPr>
          <w:p w14:paraId="4DBECB6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深度</w:t>
            </w:r>
          </w:p>
        </w:tc>
        <w:tc>
          <w:tcPr>
            <w:tcW w:w="475" w:type="pct"/>
            <w:vMerge w:val="restart"/>
            <w:shd w:val="clear" w:color="auto" w:fill="auto"/>
            <w:vAlign w:val="center"/>
          </w:tcPr>
          <w:p w14:paraId="2DE5468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点位布置图</w:t>
            </w:r>
          </w:p>
        </w:tc>
      </w:tr>
      <w:tr w14:paraId="70C915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12E02EFE">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vMerge w:val="continue"/>
            <w:shd w:val="clear" w:color="auto" w:fill="auto"/>
            <w:vAlign w:val="center"/>
          </w:tcPr>
          <w:p w14:paraId="5C27AB1F">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65" w:type="pct"/>
            <w:shd w:val="clear" w:color="auto" w:fill="auto"/>
            <w:vAlign w:val="center"/>
          </w:tcPr>
          <w:p w14:paraId="0C173BA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表层样点数</w:t>
            </w:r>
          </w:p>
        </w:tc>
        <w:tc>
          <w:tcPr>
            <w:tcW w:w="843" w:type="pct"/>
            <w:gridSpan w:val="2"/>
            <w:shd w:val="clear" w:color="auto" w:fill="auto"/>
            <w:vAlign w:val="center"/>
          </w:tcPr>
          <w:p w14:paraId="33DD8D2A">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w:t>
            </w:r>
          </w:p>
        </w:tc>
        <w:tc>
          <w:tcPr>
            <w:tcW w:w="821" w:type="pct"/>
            <w:gridSpan w:val="2"/>
            <w:shd w:val="clear" w:color="auto" w:fill="auto"/>
            <w:vAlign w:val="center"/>
          </w:tcPr>
          <w:p w14:paraId="6EC3CC7F">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w:t>
            </w:r>
          </w:p>
        </w:tc>
        <w:tc>
          <w:tcPr>
            <w:tcW w:w="801" w:type="pct"/>
            <w:shd w:val="clear" w:color="auto" w:fill="auto"/>
            <w:vAlign w:val="center"/>
          </w:tcPr>
          <w:p w14:paraId="4303182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0.2m</w:t>
            </w:r>
          </w:p>
        </w:tc>
        <w:tc>
          <w:tcPr>
            <w:tcW w:w="475" w:type="pct"/>
            <w:vMerge w:val="continue"/>
            <w:shd w:val="clear" w:color="auto" w:fill="auto"/>
            <w:vAlign w:val="center"/>
          </w:tcPr>
          <w:p w14:paraId="5BAFEC21">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r>
      <w:tr w14:paraId="2E7F78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50BC4AE5">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vMerge w:val="continue"/>
            <w:shd w:val="clear" w:color="auto" w:fill="auto"/>
            <w:vAlign w:val="center"/>
          </w:tcPr>
          <w:p w14:paraId="3FDC5AF8">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65" w:type="pct"/>
            <w:shd w:val="clear" w:color="auto" w:fill="auto"/>
            <w:vAlign w:val="center"/>
          </w:tcPr>
          <w:p w14:paraId="0BF39B3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柱状样点数</w:t>
            </w:r>
          </w:p>
        </w:tc>
        <w:tc>
          <w:tcPr>
            <w:tcW w:w="843" w:type="pct"/>
            <w:gridSpan w:val="2"/>
            <w:shd w:val="clear" w:color="auto" w:fill="auto"/>
            <w:vAlign w:val="center"/>
          </w:tcPr>
          <w:p w14:paraId="04D9652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p>
        </w:tc>
        <w:tc>
          <w:tcPr>
            <w:tcW w:w="821" w:type="pct"/>
            <w:gridSpan w:val="2"/>
            <w:shd w:val="clear" w:color="auto" w:fill="auto"/>
            <w:vAlign w:val="center"/>
          </w:tcPr>
          <w:p w14:paraId="3DF1B130">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p>
        </w:tc>
        <w:tc>
          <w:tcPr>
            <w:tcW w:w="801" w:type="pct"/>
            <w:shd w:val="clear" w:color="auto" w:fill="auto"/>
            <w:vAlign w:val="center"/>
          </w:tcPr>
          <w:p w14:paraId="1D635747">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475" w:type="pct"/>
            <w:vMerge w:val="continue"/>
            <w:shd w:val="clear" w:color="auto" w:fill="auto"/>
            <w:vAlign w:val="center"/>
          </w:tcPr>
          <w:p w14:paraId="3087C1DC">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r>
      <w:tr w14:paraId="15B825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5120304B">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1AC0D1E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现状监测因子</w:t>
            </w:r>
          </w:p>
        </w:tc>
        <w:tc>
          <w:tcPr>
            <w:tcW w:w="3330" w:type="pct"/>
            <w:gridSpan w:val="6"/>
            <w:shd w:val="clear" w:color="auto" w:fill="auto"/>
            <w:vAlign w:val="center"/>
          </w:tcPr>
          <w:p w14:paraId="0307C16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GB36600-201845项基本因子、特征因子</w:t>
            </w:r>
          </w:p>
        </w:tc>
        <w:tc>
          <w:tcPr>
            <w:tcW w:w="475" w:type="pct"/>
            <w:shd w:val="clear" w:color="auto" w:fill="auto"/>
            <w:vAlign w:val="center"/>
          </w:tcPr>
          <w:p w14:paraId="0F4FF64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21892E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restart"/>
            <w:shd w:val="clear" w:color="auto" w:fill="auto"/>
            <w:vAlign w:val="center"/>
          </w:tcPr>
          <w:p w14:paraId="574A3DC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现状评价</w:t>
            </w:r>
          </w:p>
        </w:tc>
        <w:tc>
          <w:tcPr>
            <w:tcW w:w="894" w:type="pct"/>
            <w:shd w:val="clear" w:color="auto" w:fill="auto"/>
            <w:vAlign w:val="center"/>
          </w:tcPr>
          <w:p w14:paraId="3F2CB68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评价因子</w:t>
            </w:r>
          </w:p>
        </w:tc>
        <w:tc>
          <w:tcPr>
            <w:tcW w:w="3330" w:type="pct"/>
            <w:gridSpan w:val="6"/>
            <w:shd w:val="clear" w:color="auto" w:fill="auto"/>
            <w:vAlign w:val="center"/>
          </w:tcPr>
          <w:p w14:paraId="2EEE1C6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GB36600-201845项基本因子、特征因子</w:t>
            </w:r>
          </w:p>
        </w:tc>
        <w:tc>
          <w:tcPr>
            <w:tcW w:w="475" w:type="pct"/>
            <w:shd w:val="clear" w:color="auto" w:fill="auto"/>
            <w:vAlign w:val="center"/>
          </w:tcPr>
          <w:p w14:paraId="11C6B35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22F6D5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7F9B53FD">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798E55B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评价标准</w:t>
            </w:r>
          </w:p>
        </w:tc>
        <w:tc>
          <w:tcPr>
            <w:tcW w:w="3330" w:type="pct"/>
            <w:gridSpan w:val="6"/>
            <w:shd w:val="clear" w:color="auto" w:fill="auto"/>
            <w:vAlign w:val="center"/>
          </w:tcPr>
          <w:p w14:paraId="4D78E1C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GB15618口；GB36600</w:t>
            </w:r>
            <w:r>
              <w:rPr>
                <w:rFonts w:hint="default" w:ascii="Times New Roman" w:hAnsi="Times New Roman" w:cs="Times New Roman"/>
                <w:color w:val="000000" w:themeColor="text1"/>
                <w:szCs w:val="21"/>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；表D.1口；表D.2口；其他（）</w:t>
            </w:r>
          </w:p>
        </w:tc>
        <w:tc>
          <w:tcPr>
            <w:tcW w:w="475" w:type="pct"/>
            <w:shd w:val="clear" w:color="auto" w:fill="auto"/>
            <w:vAlign w:val="center"/>
          </w:tcPr>
          <w:p w14:paraId="37B504F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17A249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65107894">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5AE738D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现状评价结论</w:t>
            </w:r>
          </w:p>
        </w:tc>
        <w:tc>
          <w:tcPr>
            <w:tcW w:w="3330" w:type="pct"/>
            <w:gridSpan w:val="6"/>
            <w:shd w:val="clear" w:color="auto" w:fill="auto"/>
            <w:vAlign w:val="center"/>
          </w:tcPr>
          <w:p w14:paraId="778F77D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项目</w:t>
            </w:r>
            <w:r>
              <w:rPr>
                <w:rFonts w:hint="eastAsia" w:cs="Times New Roman"/>
                <w:color w:val="000000" w:themeColor="text1"/>
                <w:sz w:val="21"/>
                <w:szCs w:val="21"/>
                <w:lang w:val="en-US" w:eastAsia="zh-CN"/>
                <w14:textFill>
                  <w14:solidFill>
                    <w14:schemeClr w14:val="tx1"/>
                  </w14:solidFill>
                </w14:textFill>
              </w:rPr>
              <w:t>评价</w:t>
            </w:r>
            <w:r>
              <w:rPr>
                <w:rFonts w:hint="default" w:ascii="Times New Roman" w:hAnsi="Times New Roman" w:cs="Times New Roman"/>
                <w:color w:val="000000" w:themeColor="text1"/>
                <w:sz w:val="21"/>
                <w:szCs w:val="21"/>
                <w14:textFill>
                  <w14:solidFill>
                    <w14:schemeClr w14:val="tx1"/>
                  </w14:solidFill>
                </w14:textFill>
              </w:rPr>
              <w:t>范围内土壤监测点位监测结果满足《土壤环境质量建设用地土壤污染风险管控标准》中建设用地土壤污染风险筛选值</w:t>
            </w:r>
          </w:p>
        </w:tc>
        <w:tc>
          <w:tcPr>
            <w:tcW w:w="475" w:type="pct"/>
            <w:shd w:val="clear" w:color="auto" w:fill="auto"/>
            <w:vAlign w:val="center"/>
          </w:tcPr>
          <w:p w14:paraId="1A6F248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686983E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restart"/>
            <w:shd w:val="clear" w:color="auto" w:fill="auto"/>
            <w:vAlign w:val="center"/>
          </w:tcPr>
          <w:p w14:paraId="2067F8E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影响预测</w:t>
            </w:r>
          </w:p>
        </w:tc>
        <w:tc>
          <w:tcPr>
            <w:tcW w:w="894" w:type="pct"/>
            <w:shd w:val="clear" w:color="auto" w:fill="auto"/>
            <w:vAlign w:val="center"/>
          </w:tcPr>
          <w:p w14:paraId="6105251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预测因子</w:t>
            </w:r>
          </w:p>
        </w:tc>
        <w:tc>
          <w:tcPr>
            <w:tcW w:w="3330" w:type="pct"/>
            <w:gridSpan w:val="6"/>
            <w:shd w:val="clear" w:color="auto" w:fill="auto"/>
            <w:vAlign w:val="center"/>
          </w:tcPr>
          <w:p w14:paraId="62D0F18F">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475" w:type="pct"/>
            <w:shd w:val="clear" w:color="auto" w:fill="auto"/>
            <w:vAlign w:val="center"/>
          </w:tcPr>
          <w:p w14:paraId="206E4C5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4641E8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6194009E">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2DE3C67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预测方法</w:t>
            </w:r>
          </w:p>
        </w:tc>
        <w:tc>
          <w:tcPr>
            <w:tcW w:w="3330" w:type="pct"/>
            <w:gridSpan w:val="6"/>
            <w:shd w:val="clear" w:color="auto" w:fill="auto"/>
            <w:vAlign w:val="center"/>
          </w:tcPr>
          <w:p w14:paraId="006C429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附录E</w:t>
            </w:r>
            <w:r>
              <w:rPr>
                <w:rFonts w:hint="default" w:ascii="Times New Roman" w:hAnsi="Times New Roman" w:cs="Times New Roman"/>
                <w:color w:val="000000" w:themeColor="text1"/>
                <w:szCs w:val="21"/>
                <w14:textFill>
                  <w14:solidFill>
                    <w14:schemeClr w14:val="tx1"/>
                  </w14:solidFill>
                </w14:textFill>
              </w:rPr>
              <w:sym w:font="Wingdings 2" w:char="00A3"/>
            </w:r>
            <w:r>
              <w:rPr>
                <w:rFonts w:hint="default" w:ascii="Times New Roman" w:hAnsi="Times New Roman" w:cs="Times New Roman"/>
                <w:color w:val="000000" w:themeColor="text1"/>
                <w:sz w:val="21"/>
                <w:szCs w:val="21"/>
                <w14:textFill>
                  <w14:solidFill>
                    <w14:schemeClr w14:val="tx1"/>
                  </w14:solidFill>
                </w14:textFill>
              </w:rPr>
              <w:t>；附录F口；其他（）</w:t>
            </w:r>
          </w:p>
        </w:tc>
        <w:tc>
          <w:tcPr>
            <w:tcW w:w="475" w:type="pct"/>
            <w:shd w:val="clear" w:color="auto" w:fill="auto"/>
            <w:vAlign w:val="center"/>
          </w:tcPr>
          <w:p w14:paraId="0EDAB77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068105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7546C4BE">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35D9073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预测分析内容</w:t>
            </w:r>
          </w:p>
        </w:tc>
        <w:tc>
          <w:tcPr>
            <w:tcW w:w="3330" w:type="pct"/>
            <w:gridSpan w:val="6"/>
            <w:shd w:val="clear" w:color="auto" w:fill="auto"/>
            <w:vAlign w:val="center"/>
          </w:tcPr>
          <w:p w14:paraId="7D6B71D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475" w:type="pct"/>
            <w:shd w:val="clear" w:color="auto" w:fill="auto"/>
            <w:vAlign w:val="center"/>
          </w:tcPr>
          <w:p w14:paraId="0A9C9B9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6F2DF1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7D6B822E">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7C8EA39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预测结论</w:t>
            </w:r>
          </w:p>
        </w:tc>
        <w:tc>
          <w:tcPr>
            <w:tcW w:w="3330" w:type="pct"/>
            <w:gridSpan w:val="6"/>
            <w:shd w:val="clear" w:color="auto" w:fill="auto"/>
            <w:vAlign w:val="center"/>
          </w:tcPr>
          <w:p w14:paraId="4939EAA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达标结论：a)</w:t>
            </w:r>
            <w:r>
              <w:rPr>
                <w:rFonts w:hint="default" w:ascii="Times New Roman" w:hAnsi="Times New Roman" w:cs="Times New Roman"/>
                <w:color w:val="000000" w:themeColor="text1"/>
                <w:szCs w:val="21"/>
                <w14:textFill>
                  <w14:solidFill>
                    <w14:schemeClr w14:val="tx1"/>
                  </w14:solidFill>
                </w14:textFill>
              </w:rPr>
              <w:sym w:font="Wingdings 2" w:char="0052"/>
            </w:r>
            <w:r>
              <w:rPr>
                <w:rFonts w:hint="default" w:ascii="Times New Roman" w:hAnsi="Times New Roman" w:cs="Times New Roman"/>
                <w:color w:val="000000" w:themeColor="text1"/>
                <w:sz w:val="21"/>
                <w:szCs w:val="21"/>
                <w14:textFill>
                  <w14:solidFill>
                    <w14:schemeClr w14:val="tx1"/>
                  </w14:solidFill>
                </w14:textFill>
              </w:rPr>
              <w:t>；b)口；c)口；</w:t>
            </w:r>
          </w:p>
          <w:p w14:paraId="00EDBBE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不达标结论：a）口；b)口；</w:t>
            </w:r>
          </w:p>
        </w:tc>
        <w:tc>
          <w:tcPr>
            <w:tcW w:w="475" w:type="pct"/>
            <w:shd w:val="clear" w:color="auto" w:fill="auto"/>
            <w:vAlign w:val="center"/>
          </w:tcPr>
          <w:p w14:paraId="341EE66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45D75D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restart"/>
            <w:shd w:val="clear" w:color="auto" w:fill="auto"/>
            <w:vAlign w:val="center"/>
          </w:tcPr>
          <w:p w14:paraId="36BA8C1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防治措施</w:t>
            </w:r>
          </w:p>
        </w:tc>
        <w:tc>
          <w:tcPr>
            <w:tcW w:w="894" w:type="pct"/>
            <w:shd w:val="clear" w:color="auto" w:fill="auto"/>
            <w:vAlign w:val="center"/>
          </w:tcPr>
          <w:p w14:paraId="5CEEDB6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防控措施</w:t>
            </w:r>
          </w:p>
        </w:tc>
        <w:tc>
          <w:tcPr>
            <w:tcW w:w="3330" w:type="pct"/>
            <w:gridSpan w:val="6"/>
            <w:shd w:val="clear" w:color="auto" w:fill="auto"/>
            <w:vAlign w:val="center"/>
          </w:tcPr>
          <w:p w14:paraId="7914EF5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土壤环境质量现状保障口；源头控制</w:t>
            </w:r>
            <w:r>
              <w:rPr>
                <w:rFonts w:hint="default" w:ascii="Times New Roman" w:hAnsi="Times New Roman" w:cs="Times New Roman"/>
                <w:color w:val="000000" w:themeColor="text1"/>
                <w:szCs w:val="21"/>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；过程防控</w:t>
            </w:r>
            <w:r>
              <w:rPr>
                <w:rFonts w:hint="default" w:ascii="Times New Roman" w:hAnsi="Times New Roman" w:cs="Times New Roman"/>
                <w:color w:val="000000" w:themeColor="text1"/>
                <w:szCs w:val="21"/>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；其他（）</w:t>
            </w:r>
          </w:p>
        </w:tc>
        <w:tc>
          <w:tcPr>
            <w:tcW w:w="475" w:type="pct"/>
            <w:shd w:val="clear" w:color="auto" w:fill="auto"/>
            <w:vAlign w:val="center"/>
          </w:tcPr>
          <w:p w14:paraId="075041A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553654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399847E1">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vMerge w:val="restart"/>
            <w:shd w:val="clear" w:color="auto" w:fill="auto"/>
            <w:vAlign w:val="center"/>
          </w:tcPr>
          <w:p w14:paraId="4C2D052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跟踪监测</w:t>
            </w:r>
          </w:p>
        </w:tc>
        <w:tc>
          <w:tcPr>
            <w:tcW w:w="1155" w:type="pct"/>
            <w:gridSpan w:val="2"/>
            <w:shd w:val="clear" w:color="auto" w:fill="auto"/>
            <w:vAlign w:val="center"/>
          </w:tcPr>
          <w:p w14:paraId="49E5C5C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监测点数</w:t>
            </w:r>
          </w:p>
        </w:tc>
        <w:tc>
          <w:tcPr>
            <w:tcW w:w="1118" w:type="pct"/>
            <w:gridSpan w:val="2"/>
            <w:shd w:val="clear" w:color="auto" w:fill="auto"/>
            <w:vAlign w:val="center"/>
          </w:tcPr>
          <w:p w14:paraId="46E82BD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监测指标</w:t>
            </w:r>
          </w:p>
        </w:tc>
        <w:tc>
          <w:tcPr>
            <w:tcW w:w="1057" w:type="pct"/>
            <w:gridSpan w:val="2"/>
            <w:shd w:val="clear" w:color="auto" w:fill="auto"/>
            <w:vAlign w:val="center"/>
          </w:tcPr>
          <w:p w14:paraId="6F23C5F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监测频次</w:t>
            </w:r>
          </w:p>
        </w:tc>
        <w:tc>
          <w:tcPr>
            <w:tcW w:w="475" w:type="pct"/>
            <w:shd w:val="clear" w:color="auto" w:fill="auto"/>
            <w:vAlign w:val="center"/>
          </w:tcPr>
          <w:p w14:paraId="7D0293E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66CFA57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5A534D01">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vMerge w:val="continue"/>
            <w:shd w:val="clear" w:color="auto" w:fill="auto"/>
            <w:vAlign w:val="center"/>
          </w:tcPr>
          <w:p w14:paraId="61CE5D84">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1155" w:type="pct"/>
            <w:gridSpan w:val="2"/>
            <w:shd w:val="clear" w:color="auto" w:fill="auto"/>
            <w:vAlign w:val="center"/>
          </w:tcPr>
          <w:p w14:paraId="1722C572">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highlight w:val="yellow"/>
                <w:lang w:val="en-US" w:eastAsia="zh-CN"/>
                <w14:textFill>
                  <w14:solidFill>
                    <w14:schemeClr w14:val="tx1"/>
                  </w14:solidFill>
                </w14:textFill>
              </w:rPr>
              <w:t>1</w:t>
            </w:r>
          </w:p>
        </w:tc>
        <w:tc>
          <w:tcPr>
            <w:tcW w:w="1118" w:type="pct"/>
            <w:gridSpan w:val="2"/>
            <w:shd w:val="clear" w:color="auto" w:fill="auto"/>
            <w:vAlign w:val="center"/>
          </w:tcPr>
          <w:p w14:paraId="32174CF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挥发性有机物</w:t>
            </w:r>
          </w:p>
        </w:tc>
        <w:tc>
          <w:tcPr>
            <w:tcW w:w="1057" w:type="pct"/>
            <w:gridSpan w:val="2"/>
            <w:shd w:val="clear" w:color="auto" w:fill="auto"/>
            <w:vAlign w:val="center"/>
          </w:tcPr>
          <w:p w14:paraId="2C1C51CB">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一年一次</w:t>
            </w:r>
          </w:p>
        </w:tc>
        <w:tc>
          <w:tcPr>
            <w:tcW w:w="475" w:type="pct"/>
            <w:shd w:val="clear" w:color="auto" w:fill="auto"/>
            <w:vAlign w:val="center"/>
          </w:tcPr>
          <w:p w14:paraId="6BBDEA6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1116DB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vMerge w:val="continue"/>
            <w:shd w:val="clear" w:color="auto" w:fill="auto"/>
            <w:vAlign w:val="center"/>
          </w:tcPr>
          <w:p w14:paraId="76574A73">
            <w:pPr>
              <w:widowControl/>
              <w:spacing w:line="276" w:lineRule="auto"/>
              <w:jc w:val="left"/>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462A620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信息公开指标</w:t>
            </w:r>
          </w:p>
        </w:tc>
        <w:tc>
          <w:tcPr>
            <w:tcW w:w="3330" w:type="pct"/>
            <w:gridSpan w:val="6"/>
            <w:shd w:val="clear" w:color="auto" w:fill="auto"/>
            <w:vAlign w:val="center"/>
          </w:tcPr>
          <w:p w14:paraId="2EB54C5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475" w:type="pct"/>
            <w:shd w:val="clear" w:color="auto" w:fill="auto"/>
            <w:vAlign w:val="center"/>
          </w:tcPr>
          <w:p w14:paraId="44A1E65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7B397A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301" w:type="pct"/>
            <w:shd w:val="clear" w:color="auto" w:fill="auto"/>
            <w:vAlign w:val="center"/>
          </w:tcPr>
          <w:p w14:paraId="289677D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894" w:type="pct"/>
            <w:shd w:val="clear" w:color="auto" w:fill="auto"/>
            <w:vAlign w:val="center"/>
          </w:tcPr>
          <w:p w14:paraId="7C941EA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评价结论</w:t>
            </w:r>
          </w:p>
        </w:tc>
        <w:tc>
          <w:tcPr>
            <w:tcW w:w="3330" w:type="pct"/>
            <w:gridSpan w:val="6"/>
            <w:shd w:val="clear" w:color="auto" w:fill="auto"/>
            <w:vAlign w:val="center"/>
          </w:tcPr>
          <w:p w14:paraId="3F29A86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土壤环境影响环境可以接受</w:t>
            </w:r>
          </w:p>
        </w:tc>
        <w:tc>
          <w:tcPr>
            <w:tcW w:w="475" w:type="pct"/>
            <w:shd w:val="clear" w:color="auto" w:fill="auto"/>
            <w:vAlign w:val="center"/>
          </w:tcPr>
          <w:p w14:paraId="62819D2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bl>
    <w:p w14:paraId="0B554286">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166" w:name="_Toc109135992"/>
      <w:bookmarkStart w:id="167" w:name="_Toc173837716"/>
      <w:r>
        <w:rPr>
          <w:rFonts w:hint="default" w:ascii="Times New Roman" w:hAnsi="Times New Roman" w:eastAsia="黑体" w:cs="Times New Roman"/>
          <w:b w:val="0"/>
          <w:color w:val="000000" w:themeColor="text1"/>
          <w14:textFill>
            <w14:solidFill>
              <w14:schemeClr w14:val="tx1"/>
            </w14:solidFill>
          </w14:textFill>
        </w:rPr>
        <w:t>5.</w:t>
      </w:r>
      <w:bookmarkStart w:id="168" w:name="_Toc388502130"/>
      <w:bookmarkStart w:id="169" w:name="_Toc453772897"/>
      <w:r>
        <w:rPr>
          <w:rFonts w:hint="default" w:ascii="Times New Roman" w:hAnsi="Times New Roman" w:eastAsia="黑体" w:cs="Times New Roman"/>
          <w:b w:val="0"/>
          <w:color w:val="000000" w:themeColor="text1"/>
          <w14:textFill>
            <w14:solidFill>
              <w14:schemeClr w14:val="tx1"/>
            </w14:solidFill>
          </w14:textFill>
        </w:rPr>
        <w:t>6固体废物</w:t>
      </w:r>
      <w:bookmarkEnd w:id="168"/>
      <w:bookmarkEnd w:id="169"/>
      <w:r>
        <w:rPr>
          <w:rFonts w:hint="default" w:ascii="Times New Roman" w:hAnsi="Times New Roman" w:eastAsia="黑体" w:cs="Times New Roman"/>
          <w:b w:val="0"/>
          <w:color w:val="000000" w:themeColor="text1"/>
          <w14:textFill>
            <w14:solidFill>
              <w14:schemeClr w14:val="tx1"/>
            </w14:solidFill>
          </w14:textFill>
        </w:rPr>
        <w:t>影响分析</w:t>
      </w:r>
      <w:bookmarkEnd w:id="166"/>
      <w:bookmarkEnd w:id="167"/>
    </w:p>
    <w:p w14:paraId="0B6D558D">
      <w:pPr>
        <w:pStyle w:val="251"/>
        <w:ind w:firstLine="480"/>
        <w:rPr>
          <w:rFonts w:hint="default" w:ascii="Times New Roman" w:hAnsi="Times New Roman" w:cs="Times New Roman"/>
          <w:color w:val="000000" w:themeColor="text1"/>
          <w14:textFill>
            <w14:solidFill>
              <w14:schemeClr w14:val="tx1"/>
            </w14:solidFill>
          </w14:textFill>
        </w:rPr>
      </w:pPr>
      <w:bookmarkStart w:id="170" w:name="_Toc453772893"/>
      <w:r>
        <w:rPr>
          <w:rFonts w:hint="default" w:ascii="Times New Roman" w:hAnsi="Times New Roman" w:cs="Times New Roman"/>
          <w:color w:val="000000" w:themeColor="text1"/>
          <w14:textFill>
            <w14:solidFill>
              <w14:schemeClr w14:val="tx1"/>
            </w14:solidFill>
          </w14:textFill>
        </w:rPr>
        <w:t>根据工程分析，</w:t>
      </w:r>
      <w:bookmarkStart w:id="171" w:name="_Toc141627848"/>
      <w:bookmarkStart w:id="172" w:name="_Toc173837717"/>
      <w:bookmarkStart w:id="173" w:name="_Toc170562221"/>
      <w:r>
        <w:rPr>
          <w:rFonts w:hint="default" w:ascii="Times New Roman" w:hAnsi="Times New Roman" w:cs="Times New Roman"/>
          <w:color w:val="000000" w:themeColor="text1"/>
          <w14:textFill>
            <w14:solidFill>
              <w14:schemeClr w14:val="tx1"/>
            </w14:solidFill>
          </w14:textFill>
        </w:rPr>
        <w:t>本项目固体废物主要有一般工业固体废物、危险废物和生活垃圾。一般工业固体废物有：</w:t>
      </w:r>
      <w:r>
        <w:rPr>
          <w:rFonts w:hint="default" w:ascii="Times New Roman" w:hAnsi="Times New Roman" w:cs="Times New Roman"/>
          <w:color w:val="000000" w:themeColor="text1"/>
          <w:lang w:eastAsia="zh-CN"/>
          <w14:textFill>
            <w14:solidFill>
              <w14:schemeClr w14:val="tx1"/>
            </w14:solidFill>
          </w14:textFill>
        </w:rPr>
        <w:t>固体杂质、</w:t>
      </w:r>
      <w:r>
        <w:rPr>
          <w:rFonts w:hint="default" w:ascii="Times New Roman" w:hAnsi="Times New Roman" w:cs="Times New Roman"/>
          <w:color w:val="000000" w:themeColor="text1"/>
          <w14:textFill>
            <w14:solidFill>
              <w14:schemeClr w14:val="tx1"/>
            </w14:solidFill>
          </w14:textFill>
        </w:rPr>
        <w:t>布袋除尘器收集粉尘</w:t>
      </w:r>
      <w:r>
        <w:rPr>
          <w:rFonts w:hint="default" w:ascii="Times New Roman" w:hAnsi="Times New Roman" w:cs="Times New Roman"/>
          <w:color w:val="000000" w:themeColor="text1"/>
          <w:lang w:eastAsia="zh-CN"/>
          <w14:textFill>
            <w14:solidFill>
              <w14:schemeClr w14:val="tx1"/>
            </w14:solidFill>
          </w14:textFill>
        </w:rPr>
        <w:t>、废包装材料、废沙、污水站污泥等</w:t>
      </w:r>
      <w:r>
        <w:rPr>
          <w:rFonts w:hint="default" w:ascii="Times New Roman" w:hAnsi="Times New Roman" w:cs="Times New Roman"/>
          <w:color w:val="000000" w:themeColor="text1"/>
          <w14:textFill>
            <w14:solidFill>
              <w14:schemeClr w14:val="tx1"/>
            </w14:solidFill>
          </w14:textFill>
        </w:rPr>
        <w:t>；危险废物有废活性炭、</w:t>
      </w:r>
      <w:r>
        <w:rPr>
          <w:rFonts w:hint="eastAsia" w:ascii="Times New Roman" w:hAnsi="Times New Roman" w:cs="Times New Roman"/>
          <w:color w:val="000000" w:themeColor="text1"/>
          <w:lang w:eastAsia="zh-CN"/>
          <w14:textFill>
            <w14:solidFill>
              <w14:schemeClr w14:val="tx1"/>
            </w14:solidFill>
          </w14:textFill>
        </w:rPr>
        <w:t>废润滑油、废油桶</w:t>
      </w:r>
      <w:r>
        <w:rPr>
          <w:rFonts w:hint="default" w:ascii="Times New Roman" w:hAnsi="Times New Roman" w:cs="Times New Roman"/>
          <w:color w:val="000000" w:themeColor="text1"/>
          <w:lang w:eastAsia="zh-CN"/>
          <w14:textFill>
            <w14:solidFill>
              <w14:schemeClr w14:val="tx1"/>
            </w14:solidFill>
          </w14:textFill>
        </w:rPr>
        <w:t>、含油抹布及手套等；生活垃圾等</w:t>
      </w:r>
      <w:r>
        <w:rPr>
          <w:rFonts w:hint="default" w:ascii="Times New Roman" w:hAnsi="Times New Roman" w:cs="Times New Roman"/>
          <w:color w:val="000000" w:themeColor="text1"/>
          <w14:textFill>
            <w14:solidFill>
              <w14:schemeClr w14:val="tx1"/>
            </w14:solidFill>
          </w14:textFill>
        </w:rPr>
        <w:t>。</w:t>
      </w:r>
    </w:p>
    <w:p w14:paraId="76313B34">
      <w:pPr>
        <w:pStyle w:val="3159"/>
        <w:rPr>
          <w:rFonts w:hint="default" w:ascii="Times New Roman" w:hAnsi="Times New Roman" w:eastAsia="黑体" w:cs="Times New Roman"/>
          <w:b w:val="0"/>
          <w:color w:val="000000" w:themeColor="text1"/>
          <w14:textFill>
            <w14:solidFill>
              <w14:schemeClr w14:val="tx1"/>
            </w14:solidFill>
          </w14:textFill>
        </w:rPr>
      </w:pPr>
      <w:r>
        <w:rPr>
          <w:rFonts w:hint="default" w:ascii="Times New Roman" w:hAnsi="Times New Roman" w:eastAsia="黑体" w:cs="Times New Roman"/>
          <w:b w:val="0"/>
          <w:color w:val="000000" w:themeColor="text1"/>
          <w14:textFill>
            <w14:solidFill>
              <w14:schemeClr w14:val="tx1"/>
            </w14:solidFill>
          </w14:textFill>
        </w:rPr>
        <w:t>5.6.1固体废物收集、暂存、处置措施</w:t>
      </w:r>
      <w:bookmarkEnd w:id="171"/>
      <w:bookmarkEnd w:id="172"/>
      <w:bookmarkEnd w:id="173"/>
    </w:p>
    <w:p w14:paraId="53ED80D7">
      <w:pPr>
        <w:pStyle w:val="251"/>
        <w:ind w:firstLine="480"/>
        <w:rPr>
          <w:rFonts w:hint="default" w:ascii="Times New Roman" w:hAnsi="Times New Roman" w:cs="Times New Roman"/>
          <w:color w:val="000000" w:themeColor="text1"/>
          <w14:textFill>
            <w14:solidFill>
              <w14:schemeClr w14:val="tx1"/>
            </w14:solidFill>
          </w14:textFill>
        </w:rPr>
      </w:pPr>
      <w:bookmarkStart w:id="174" w:name="_Toc141627849"/>
      <w:r>
        <w:rPr>
          <w:rFonts w:hint="default" w:ascii="Times New Roman" w:hAnsi="Times New Roman" w:cs="Times New Roman"/>
          <w:color w:val="000000" w:themeColor="text1"/>
          <w14:textFill>
            <w14:solidFill>
              <w14:schemeClr w14:val="tx1"/>
            </w14:solidFill>
          </w14:textFill>
        </w:rPr>
        <w:t>1、一般工业固体废物收集、暂存、处置措施</w:t>
      </w:r>
      <w:bookmarkEnd w:id="174"/>
    </w:p>
    <w:p w14:paraId="01A06654">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（1）一般工业固体废物收集、暂存、处置措施</w:t>
      </w:r>
    </w:p>
    <w:p w14:paraId="2E6C0E3B">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w:t>
      </w:r>
      <w:r>
        <w:rPr>
          <w:rFonts w:hint="default" w:ascii="Times New Roman" w:hAnsi="Times New Roman" w:cs="Times New Roman"/>
          <w:color w:val="000000" w:themeColor="text1"/>
          <w:lang w:eastAsia="zh-CN"/>
          <w14:textFill>
            <w14:solidFill>
              <w14:schemeClr w14:val="tx1"/>
            </w14:solidFill>
          </w14:textFill>
        </w:rPr>
        <w:t>固体杂质</w:t>
      </w:r>
    </w:p>
    <w:p w14:paraId="30A3553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本项目分选</w:t>
      </w:r>
      <w:r>
        <w:rPr>
          <w:rFonts w:hint="default" w:ascii="Times New Roman" w:hAnsi="Times New Roman" w:cs="Times New Roman"/>
          <w:color w:val="000000" w:themeColor="text1"/>
          <w14:textFill>
            <w14:solidFill>
              <w14:schemeClr w14:val="tx1"/>
            </w14:solidFill>
          </w14:textFill>
        </w:rPr>
        <w:t>产生</w:t>
      </w:r>
      <w:r>
        <w:rPr>
          <w:rFonts w:hint="default" w:ascii="Times New Roman" w:hAnsi="Times New Roman" w:cs="Times New Roman"/>
          <w:color w:val="000000" w:themeColor="text1"/>
          <w:lang w:eastAsia="zh-CN"/>
          <w14:textFill>
            <w14:solidFill>
              <w14:schemeClr w14:val="tx1"/>
            </w14:solidFill>
          </w14:textFill>
        </w:rPr>
        <w:t>的固体杂质</w:t>
      </w:r>
      <w:r>
        <w:rPr>
          <w:rFonts w:hint="default" w:ascii="Times New Roman" w:hAnsi="Times New Roman" w:cs="Times New Roman"/>
          <w:color w:val="000000" w:themeColor="text1"/>
          <w14:textFill>
            <w14:solidFill>
              <w14:schemeClr w14:val="tx1"/>
            </w14:solidFill>
          </w14:textFill>
        </w:rPr>
        <w:t>收集后暂存于厂区一般工业固体废物暂存间，外售综合利用。</w:t>
      </w:r>
    </w:p>
    <w:p w14:paraId="43EA0F12">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w:t>
      </w:r>
      <w:r>
        <w:rPr>
          <w:rFonts w:hint="default" w:ascii="Times New Roman" w:hAnsi="Times New Roman" w:cs="Times New Roman"/>
          <w:color w:val="000000" w:themeColor="text1"/>
          <w:lang w:eastAsia="zh-CN"/>
          <w14:textFill>
            <w14:solidFill>
              <w14:schemeClr w14:val="tx1"/>
            </w14:solidFill>
          </w14:textFill>
        </w:rPr>
        <w:t>废瓶盖</w:t>
      </w:r>
    </w:p>
    <w:p w14:paraId="0FFE548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本项目分选出的废瓶盖</w:t>
      </w:r>
      <w:r>
        <w:rPr>
          <w:rFonts w:hint="default" w:ascii="Times New Roman" w:hAnsi="Times New Roman" w:cs="Times New Roman"/>
          <w:color w:val="000000" w:themeColor="text1"/>
          <w14:textFill>
            <w14:solidFill>
              <w14:schemeClr w14:val="tx1"/>
            </w14:solidFill>
          </w14:textFill>
        </w:rPr>
        <w:t>收集后</w:t>
      </w:r>
      <w:r>
        <w:rPr>
          <w:rFonts w:hint="default" w:ascii="Times New Roman" w:hAnsi="Times New Roman" w:cs="Times New Roman"/>
          <w:color w:val="000000" w:themeColor="text1"/>
          <w:lang w:eastAsia="zh-CN"/>
          <w14:textFill>
            <w14:solidFill>
              <w14:schemeClr w14:val="tx1"/>
            </w14:solidFill>
          </w14:textFill>
        </w:rPr>
        <w:t>回用于生产，处理后作为产品外售</w:t>
      </w:r>
      <w:r>
        <w:rPr>
          <w:rFonts w:hint="default" w:ascii="Times New Roman" w:hAnsi="Times New Roman" w:cs="Times New Roman"/>
          <w:color w:val="000000" w:themeColor="text1"/>
          <w14:textFill>
            <w14:solidFill>
              <w14:schemeClr w14:val="tx1"/>
            </w14:solidFill>
          </w14:textFill>
        </w:rPr>
        <w:t>。</w:t>
      </w:r>
    </w:p>
    <w:p w14:paraId="21A19B80">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废包装材料</w:t>
      </w:r>
    </w:p>
    <w:p w14:paraId="23D9C1A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本项目拆包产生的废包装材料</w:t>
      </w:r>
      <w:r>
        <w:rPr>
          <w:rFonts w:hint="default" w:ascii="Times New Roman" w:hAnsi="Times New Roman" w:cs="Times New Roman"/>
          <w:color w:val="000000" w:themeColor="text1"/>
          <w14:textFill>
            <w14:solidFill>
              <w14:schemeClr w14:val="tx1"/>
            </w14:solidFill>
          </w14:textFill>
        </w:rPr>
        <w:t>收集后暂存于厂区一般工业固体废物暂存间，外售综合利用。</w:t>
      </w:r>
    </w:p>
    <w:p w14:paraId="070DC25F">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废沙</w:t>
      </w:r>
    </w:p>
    <w:p w14:paraId="681ABAB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本项目瓶盖过滤净化使用的黄沙两年更换一次，废沙</w:t>
      </w:r>
      <w:r>
        <w:rPr>
          <w:rFonts w:hint="default" w:ascii="Times New Roman" w:hAnsi="Times New Roman" w:cs="Times New Roman"/>
          <w:color w:val="000000" w:themeColor="text1"/>
          <w14:textFill>
            <w14:solidFill>
              <w14:schemeClr w14:val="tx1"/>
            </w14:solidFill>
          </w14:textFill>
        </w:rPr>
        <w:t>收集后暂存于厂区一般工业固体废物暂存间，外售综合利用。</w:t>
      </w:r>
    </w:p>
    <w:p w14:paraId="2EAFD77D">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污水站污泥</w:t>
      </w:r>
    </w:p>
    <w:p w14:paraId="1BCA02B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本项目污水站污泥压滤成泥饼</w:t>
      </w:r>
      <w:r>
        <w:rPr>
          <w:rFonts w:hint="default" w:ascii="Times New Roman" w:hAnsi="Times New Roman" w:cs="Times New Roman"/>
          <w:color w:val="000000" w:themeColor="text1"/>
          <w14:textFill>
            <w14:solidFill>
              <w14:schemeClr w14:val="tx1"/>
            </w14:solidFill>
          </w14:textFill>
        </w:rPr>
        <w:t>后暂存于厂区一般工业固体废物暂存间，外售综合利用。</w:t>
      </w:r>
    </w:p>
    <w:p w14:paraId="06CF011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（2）危险废物收集、暂存、处置措施</w:t>
      </w:r>
    </w:p>
    <w:p w14:paraId="3A2148C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1）废活性炭</w:t>
      </w:r>
    </w:p>
    <w:p w14:paraId="36FA4074">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w:t>
      </w:r>
      <w:r>
        <w:rPr>
          <w:rFonts w:hint="default" w:ascii="Times New Roman" w:hAnsi="Times New Roman" w:cs="Times New Roman"/>
          <w:color w:val="000000" w:themeColor="text1"/>
          <w:lang w:eastAsia="zh-CN"/>
          <w14:textFill>
            <w14:solidFill>
              <w14:schemeClr w14:val="tx1"/>
            </w14:solidFill>
          </w14:textFill>
        </w:rPr>
        <w:t>废气治理</w:t>
      </w:r>
      <w:r>
        <w:rPr>
          <w:rFonts w:hint="default" w:ascii="Times New Roman" w:hAnsi="Times New Roman" w:cs="Times New Roman"/>
          <w:color w:val="000000" w:themeColor="text1"/>
          <w14:textFill>
            <w14:solidFill>
              <w14:schemeClr w14:val="tx1"/>
            </w14:solidFill>
          </w14:textFill>
        </w:rPr>
        <w:t>产生的废活性炭</w:t>
      </w:r>
      <w:r>
        <w:rPr>
          <w:rFonts w:hint="default" w:ascii="Times New Roman" w:hAnsi="Times New Roman" w:cs="Times New Roman"/>
          <w:color w:val="000000" w:themeColor="text1"/>
          <w:lang w:eastAsia="zh-CN"/>
          <w14:textFill>
            <w14:solidFill>
              <w14:schemeClr w14:val="tx1"/>
            </w14:solidFill>
          </w14:textFill>
        </w:rPr>
        <w:t>收集后</w:t>
      </w:r>
      <w:r>
        <w:rPr>
          <w:rFonts w:hint="default" w:ascii="Times New Roman" w:hAnsi="Times New Roman" w:cs="Times New Roman"/>
          <w:color w:val="000000" w:themeColor="text1"/>
          <w14:textFill>
            <w14:solidFill>
              <w14:schemeClr w14:val="tx1"/>
            </w14:solidFill>
          </w14:textFill>
        </w:rPr>
        <w:t>暂存于厂区危险废物暂存仓库中，委托有资质单位定期处置。</w:t>
      </w:r>
    </w:p>
    <w:p w14:paraId="2482D3EB">
      <w:pPr>
        <w:pStyle w:val="251"/>
        <w:ind w:firstLine="480"/>
        <w:rPr>
          <w:rFonts w:hint="eastAsia"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eastAsia="zh-CN"/>
          <w14:textFill>
            <w14:solidFill>
              <w14:schemeClr w14:val="tx1"/>
            </w14:solidFill>
          </w14:textFill>
        </w:rPr>
        <w:t>废润滑油、废油桶</w:t>
      </w:r>
    </w:p>
    <w:p w14:paraId="16C157D1">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项目机器设备日常维修时会产生一定量的</w:t>
      </w:r>
      <w:r>
        <w:rPr>
          <w:rFonts w:hint="eastAsia" w:ascii="Times New Roman" w:hAnsi="Times New Roman" w:cs="Times New Roman"/>
          <w:color w:val="000000" w:themeColor="text1"/>
          <w:lang w:eastAsia="zh-CN"/>
          <w14:textFill>
            <w14:solidFill>
              <w14:schemeClr w14:val="tx1"/>
            </w14:solidFill>
          </w14:textFill>
        </w:rPr>
        <w:t>废润滑油、废油桶</w:t>
      </w:r>
      <w:r>
        <w:rPr>
          <w:rFonts w:hint="default" w:ascii="Times New Roman" w:hAnsi="Times New Roman" w:cs="Times New Roman"/>
          <w:color w:val="000000" w:themeColor="text1"/>
          <w:lang w:eastAsia="zh-CN"/>
          <w14:textFill>
            <w14:solidFill>
              <w14:schemeClr w14:val="tx1"/>
            </w14:solidFill>
          </w14:textFill>
        </w:rPr>
        <w:t>，收集后</w:t>
      </w:r>
      <w:r>
        <w:rPr>
          <w:rFonts w:hint="default" w:ascii="Times New Roman" w:hAnsi="Times New Roman" w:cs="Times New Roman"/>
          <w:color w:val="000000" w:themeColor="text1"/>
          <w14:textFill>
            <w14:solidFill>
              <w14:schemeClr w14:val="tx1"/>
            </w14:solidFill>
          </w14:textFill>
        </w:rPr>
        <w:t>暂存于厂区危险废物暂存仓库中，委托有资质单位处置。</w:t>
      </w:r>
    </w:p>
    <w:p w14:paraId="032D57FD">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含油抹布及手套</w:t>
      </w:r>
    </w:p>
    <w:p w14:paraId="766B3C1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项目机器设备日常维修时会产生一定量的</w:t>
      </w:r>
      <w:r>
        <w:rPr>
          <w:rFonts w:hint="default" w:ascii="Times New Roman" w:hAnsi="Times New Roman" w:cs="Times New Roman"/>
          <w:color w:val="000000" w:themeColor="text1"/>
          <w:lang w:eastAsia="zh-CN"/>
          <w14:textFill>
            <w14:solidFill>
              <w14:schemeClr w14:val="tx1"/>
            </w14:solidFill>
          </w14:textFill>
        </w:rPr>
        <w:t>含油抹布及手套</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收集后</w:t>
      </w:r>
      <w:r>
        <w:rPr>
          <w:rFonts w:hint="default" w:ascii="Times New Roman" w:hAnsi="Times New Roman" w:cs="Times New Roman"/>
          <w:color w:val="000000" w:themeColor="text1"/>
          <w14:textFill>
            <w14:solidFill>
              <w14:schemeClr w14:val="tx1"/>
            </w14:solidFill>
          </w14:textFill>
        </w:rPr>
        <w:t>暂存于厂区危险废物暂存仓库中，委托有资质单位处置。</w:t>
      </w:r>
      <w:bookmarkStart w:id="175" w:name="_Toc170562222"/>
      <w:bookmarkStart w:id="176" w:name="_Toc173837718"/>
      <w:bookmarkStart w:id="177" w:name="_Toc141627850"/>
    </w:p>
    <w:p w14:paraId="103B0FBB">
      <w:pPr>
        <w:pStyle w:val="251"/>
        <w:ind w:left="0" w:leftChars="0" w:firstLine="0" w:firstLineChars="0"/>
        <w:rPr>
          <w:rFonts w:hint="default" w:ascii="Times New Roman" w:hAnsi="Times New Roman" w:eastAsia="黑体" w:cs="Times New Roman"/>
          <w:b w:val="0"/>
          <w:color w:val="000000" w:themeColor="text1"/>
          <w14:textFill>
            <w14:solidFill>
              <w14:schemeClr w14:val="tx1"/>
            </w14:solidFill>
          </w14:textFill>
        </w:rPr>
      </w:pPr>
      <w:r>
        <w:rPr>
          <w:rFonts w:hint="default" w:ascii="Times New Roman" w:hAnsi="Times New Roman" w:eastAsia="黑体" w:cs="Times New Roman"/>
          <w:b w:val="0"/>
          <w:color w:val="000000" w:themeColor="text1"/>
          <w14:textFill>
            <w14:solidFill>
              <w14:schemeClr w14:val="tx1"/>
            </w14:solidFill>
          </w14:textFill>
        </w:rPr>
        <w:t>5.6.2影响分析</w:t>
      </w:r>
      <w:bookmarkEnd w:id="175"/>
      <w:bookmarkEnd w:id="176"/>
      <w:bookmarkEnd w:id="177"/>
    </w:p>
    <w:p w14:paraId="174A92C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本项目建成运行后产生的固体废物均可以根据各种固废不同的属性，进行相应的处理，从而实现固废的资源化和无害化处理。</w:t>
      </w:r>
    </w:p>
    <w:p w14:paraId="4FE1CAB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1、一般工业固体废物</w:t>
      </w:r>
    </w:p>
    <w:p w14:paraId="5EB9D14D">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企业在生产过程中，一般工业固体废物均能做到综合利用，项目加强现有一般固废库的管理，定点收集堆存，并及时处理，不会对环境造成不利影响。</w:t>
      </w:r>
    </w:p>
    <w:p w14:paraId="6811E013">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2、危险废物</w:t>
      </w:r>
    </w:p>
    <w:p w14:paraId="752C7EAF">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评价根据《建设项目危险废物环境影响评价指南》对危险废物的环境影响进行分析评价。</w:t>
      </w:r>
    </w:p>
    <w:p w14:paraId="46330D9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（1）危险废物贮存设施环境影响分析</w:t>
      </w:r>
    </w:p>
    <w:p w14:paraId="490D4289">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企业建设1座</w:t>
      </w:r>
      <w:r>
        <w:rPr>
          <w:rFonts w:hint="default" w:ascii="Times New Roman" w:hAnsi="Times New Roman" w:cs="Times New Roman"/>
          <w:color w:val="000000" w:themeColor="text1"/>
          <w:highlight w:val="yellow"/>
          <w14:textFill>
            <w14:solidFill>
              <w14:schemeClr w14:val="tx1"/>
            </w14:solidFill>
          </w14:textFill>
        </w:rPr>
        <w:t>占地面积</w:t>
      </w:r>
      <w:r>
        <w:rPr>
          <w:rFonts w:hint="default" w:ascii="Times New Roman" w:hAnsi="Times New Roman" w:cs="Times New Roman"/>
          <w:color w:val="000000" w:themeColor="text1"/>
          <w:highlight w:val="yellow"/>
          <w:lang w:val="en-US" w:eastAsia="zh-CN"/>
          <w14:textFill>
            <w14:solidFill>
              <w14:schemeClr w14:val="tx1"/>
            </w14:solidFill>
          </w14:textFill>
        </w:rPr>
        <w:t>5</w:t>
      </w:r>
      <w:r>
        <w:rPr>
          <w:rFonts w:hint="default" w:ascii="Times New Roman" w:hAnsi="Times New Roman" w:cs="Times New Roman"/>
          <w:color w:val="000000" w:themeColor="text1"/>
          <w:highlight w:val="yellow"/>
          <w14:textFill>
            <w14:solidFill>
              <w14:schemeClr w14:val="tx1"/>
            </w14:solidFill>
          </w14:textFill>
        </w:rPr>
        <w:t>0m</w:t>
      </w:r>
      <w:r>
        <w:rPr>
          <w:rFonts w:hint="default" w:ascii="Times New Roman" w:hAnsi="Times New Roman" w:cs="Times New Roman"/>
          <w:color w:val="000000" w:themeColor="text1"/>
          <w:highlight w:val="yellow"/>
          <w:vertAlign w:val="superscript"/>
          <w14:textFill>
            <w14:solidFill>
              <w14:schemeClr w14:val="tx1"/>
            </w14:solidFill>
          </w14:textFill>
        </w:rPr>
        <w:t>2</w:t>
      </w:r>
      <w:r>
        <w:rPr>
          <w:rFonts w:hint="default" w:ascii="Times New Roman" w:hAnsi="Times New Roman" w:cs="Times New Roman"/>
          <w:color w:val="000000" w:themeColor="text1"/>
          <w:highlight w:val="yellow"/>
          <w14:textFill>
            <w14:solidFill>
              <w14:schemeClr w14:val="tx1"/>
            </w14:solidFill>
          </w14:textFill>
        </w:rPr>
        <w:t>的危</w:t>
      </w:r>
      <w:r>
        <w:rPr>
          <w:rFonts w:hint="default" w:ascii="Times New Roman" w:hAnsi="Times New Roman" w:cs="Times New Roman"/>
          <w:color w:val="000000" w:themeColor="text1"/>
          <w14:textFill>
            <w14:solidFill>
              <w14:schemeClr w14:val="tx1"/>
            </w14:solidFill>
          </w14:textFill>
        </w:rPr>
        <w:t>险废物暂存仓库</w:t>
      </w:r>
      <w:r>
        <w:rPr>
          <w:rFonts w:hint="default" w:ascii="Times New Roman" w:hAnsi="Times New Roman" w:cs="Times New Roman"/>
          <w:color w:val="000000" w:themeColor="text1"/>
          <w:kern w:val="24"/>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并在库内周边设置导流沟，做好防腐防渗。危险废物暂存仓库主要</w:t>
      </w:r>
      <w:r>
        <w:rPr>
          <w:rFonts w:hint="default" w:ascii="Times New Roman" w:hAnsi="Times New Roman" w:cs="Times New Roman"/>
          <w:color w:val="000000" w:themeColor="text1"/>
          <w:kern w:val="24"/>
          <w14:textFill>
            <w14:solidFill>
              <w14:schemeClr w14:val="tx1"/>
            </w14:solidFill>
          </w14:textFill>
        </w:rPr>
        <w:t>用于</w:t>
      </w:r>
      <w:r>
        <w:rPr>
          <w:rFonts w:hint="default" w:ascii="Times New Roman" w:hAnsi="Times New Roman" w:cs="Times New Roman"/>
          <w:color w:val="000000" w:themeColor="text1"/>
          <w14:textFill>
            <w14:solidFill>
              <w14:schemeClr w14:val="tx1"/>
            </w14:solidFill>
          </w14:textFill>
        </w:rPr>
        <w:t>废活性炭、</w:t>
      </w:r>
      <w:r>
        <w:rPr>
          <w:rFonts w:hint="default" w:ascii="Times New Roman" w:hAnsi="Times New Roman" w:cs="Times New Roman"/>
          <w:color w:val="000000" w:themeColor="text1"/>
          <w:lang w:eastAsia="zh-CN"/>
          <w14:textFill>
            <w14:solidFill>
              <w14:schemeClr w14:val="tx1"/>
            </w14:solidFill>
          </w14:textFill>
        </w:rPr>
        <w:t>含油抹布及手套</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eastAsia="zh-CN"/>
          <w14:textFill>
            <w14:solidFill>
              <w14:schemeClr w14:val="tx1"/>
            </w14:solidFill>
          </w14:textFill>
        </w:rPr>
        <w:t>废润滑油、废油桶</w:t>
      </w:r>
      <w:r>
        <w:rPr>
          <w:rFonts w:hint="default" w:ascii="Times New Roman" w:hAnsi="Times New Roman" w:cs="Times New Roman"/>
          <w:color w:val="000000" w:themeColor="text1"/>
          <w14:textFill>
            <w14:solidFill>
              <w14:schemeClr w14:val="tx1"/>
            </w14:solidFill>
          </w14:textFill>
        </w:rPr>
        <w:t>的暂存。</w:t>
      </w:r>
    </w:p>
    <w:p w14:paraId="17F6266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危险废物暂存仓库中不同危险废物必须分开贮存、堆放，不同危废堆存区须设置物理隔断。危险废物暂存仓库地面与裙脚采用达到标准要求防渗的材料建造，其防渗层采用2毫米厚高密度聚乙烯，或至少2毫米厚的其它人工材料，使渗透系数≤10</w:t>
      </w:r>
      <w:r>
        <w:rPr>
          <w:rFonts w:hint="default" w:ascii="Times New Roman" w:hAnsi="Times New Roman" w:cs="Times New Roman"/>
          <w:color w:val="000000" w:themeColor="text1"/>
          <w:vertAlign w:val="superscript"/>
          <w14:textFill>
            <w14:solidFill>
              <w14:schemeClr w14:val="tx1"/>
            </w14:solidFill>
          </w14:textFill>
        </w:rPr>
        <w:t>-10</w:t>
      </w:r>
      <w:r>
        <w:rPr>
          <w:rFonts w:hint="default" w:ascii="Times New Roman" w:hAnsi="Times New Roman" w:cs="Times New Roman"/>
          <w:color w:val="000000" w:themeColor="text1"/>
          <w14:textFill>
            <w14:solidFill>
              <w14:schemeClr w14:val="tx1"/>
            </w14:solidFill>
          </w14:textFill>
        </w:rPr>
        <w:t>厘米/秒，防渗建筑材料须与危险废物相容。</w:t>
      </w:r>
    </w:p>
    <w:p w14:paraId="3A45ECF6">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危险废物暂存仓库内设置有安全照明设施和观察窗口，场所四周设置边沟，建造径流疏导系统，同时做到防风、防雨、防晒、防止危险废物流失、扬散要求。</w:t>
      </w:r>
    </w:p>
    <w:p w14:paraId="073D772B">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安徽楹聚环保科技有限公司</w:t>
      </w:r>
      <w:r>
        <w:rPr>
          <w:rFonts w:hint="default" w:ascii="Times New Roman" w:hAnsi="Times New Roman" w:cs="Times New Roman"/>
          <w:color w:val="000000" w:themeColor="text1"/>
          <w14:textFill>
            <w14:solidFill>
              <w14:schemeClr w14:val="tx1"/>
            </w14:solidFill>
          </w14:textFill>
        </w:rPr>
        <w:t>危险废物暂存仓库按照《危险废物贮存污染控制标准》（GB18597-2023）中规定设置，通过规范危废库，可保证危险废物暂存过程不对周边环境产生明显不利影响。</w:t>
      </w:r>
    </w:p>
    <w:p w14:paraId="29E1F11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（2）危险废物运输及转移过程环境影响分析</w:t>
      </w:r>
    </w:p>
    <w:p w14:paraId="3640E603">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①厂内运输环节</w:t>
      </w:r>
    </w:p>
    <w:p w14:paraId="75ABBC9C">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项目产生的固态、半固态</w:t>
      </w:r>
      <w:r>
        <w:rPr>
          <w:rFonts w:hint="default" w:ascii="Times New Roman" w:hAnsi="Times New Roman" w:cs="Times New Roman"/>
          <w:color w:val="000000" w:themeColor="text1"/>
          <w:kern w:val="24"/>
          <w14:textFill>
            <w14:solidFill>
              <w14:schemeClr w14:val="tx1"/>
            </w14:solidFill>
          </w14:textFill>
        </w:rPr>
        <w:t>危险废物采用袋装或者桶装</w:t>
      </w:r>
      <w:r>
        <w:rPr>
          <w:rFonts w:hint="default" w:ascii="Times New Roman" w:hAnsi="Times New Roman" w:cs="Times New Roman"/>
          <w:color w:val="000000" w:themeColor="text1"/>
          <w14:textFill>
            <w14:solidFill>
              <w14:schemeClr w14:val="tx1"/>
            </w14:solidFill>
          </w14:textFill>
        </w:rPr>
        <w:t>暂存于危废暂存库，危险废物厂内转移应采取专业容器，防洒落遗漏，并由专人负责厂内转移。固态和半固态危废从产生点到危废库运输过程中做到不遗漏，即使发生事故散落也可即使清理，不会对周边环境造成明显影响，</w:t>
      </w:r>
      <w:r>
        <w:rPr>
          <w:rFonts w:hint="default" w:ascii="Times New Roman" w:hAnsi="Times New Roman" w:cs="Times New Roman"/>
          <w:color w:val="000000" w:themeColor="text1"/>
          <w:lang w:eastAsia="zh-CN"/>
          <w14:textFill>
            <w14:solidFill>
              <w14:schemeClr w14:val="tx1"/>
            </w14:solidFill>
          </w14:textFill>
        </w:rPr>
        <w:t>安徽楹聚环保科技有限公司</w:t>
      </w:r>
      <w:r>
        <w:rPr>
          <w:rFonts w:hint="default" w:ascii="Times New Roman" w:hAnsi="Times New Roman" w:cs="Times New Roman"/>
          <w:color w:val="000000" w:themeColor="text1"/>
          <w14:textFill>
            <w14:solidFill>
              <w14:schemeClr w14:val="tx1"/>
            </w14:solidFill>
          </w14:textFill>
        </w:rPr>
        <w:t>将制定严格的危险废物转运制度，正常情况下不会对厂区及厂外的环境产生不利影响。</w:t>
      </w:r>
    </w:p>
    <w:p w14:paraId="5EB0ECE7">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②运输沿线环境敏感点的环境影响</w:t>
      </w:r>
    </w:p>
    <w:p w14:paraId="46571B4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危险废物外运时严格按照国家环境保护总局令第5号文件《危险废物转移联单管理办法》的相关规定报批危险废物转移计划，转移危险废物时按照规定填报危险废物转移联单，并向危险废物移出地和接受地的县级以上地方人民政府环境保护行政主管部门报告。按照《危险货物道路安全管理办法》的相关规定，托运人在托运危险货物时，应当向承运人提交电子或者纸质形式的危险货物托运清单。危险货物托运清单应当载明危险货物的托运人、承运人、收货人、装货人、始发地、目的地、危险货物的类别、项别、品名、编号、包装及规格、数量、应急联系电话等信息，以及危险货物危险特性、运输注意事项、急救措施、消防措施、泄漏应急处置、次生环境污染处置措施等信息。运输危险废物的人员接受专业培训经考核合格后从事运输危险废物的工作；运输危险废物的资质单位应当制定在发生意外事故时采取的应急措施和防范措施方可运输；运输时，发生突发性事故必须立即采取措施消除或者减轻对环境的污染危害，及时通报给附近的单位和居民，并向事故发生地人民政府生态环境行政主管部门和有关部门报告，接受调查处理。运输过程中做到密闭，沿途不抛洒，应有明显的标志，并有防雨、防晒等设施。运输路线按照主管部门制定路线进行运输，同时应配备全球卫星定位和事故报警装置。在运输车辆随意改变运输路线或者运输车辆发生故障的情况下，可发现并启动应急预案。</w:t>
      </w:r>
    </w:p>
    <w:p w14:paraId="23AE6AD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综上所述，项目运输过程做好相关工作对外环境的影响是可以控制的。</w:t>
      </w:r>
    </w:p>
    <w:p w14:paraId="108F9282">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（3）委托处置的环境影响分析</w:t>
      </w:r>
    </w:p>
    <w:p w14:paraId="48EE2044">
      <w:pPr>
        <w:pStyle w:val="251"/>
        <w:ind w:firstLine="48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本项目危险废物主要为废活性炭、</w:t>
      </w:r>
      <w:r>
        <w:rPr>
          <w:rFonts w:hint="default" w:ascii="Times New Roman" w:hAnsi="Times New Roman" w:cs="Times New Roman"/>
          <w:color w:val="000000" w:themeColor="text1"/>
          <w:lang w:eastAsia="zh-CN"/>
          <w14:textFill>
            <w14:solidFill>
              <w14:schemeClr w14:val="tx1"/>
            </w14:solidFill>
          </w14:textFill>
        </w:rPr>
        <w:t>含油抹布及手套</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lang w:eastAsia="zh-CN"/>
          <w14:textFill>
            <w14:solidFill>
              <w14:schemeClr w14:val="tx1"/>
            </w14:solidFill>
          </w14:textFill>
        </w:rPr>
        <w:t>废润滑油、废油桶</w:t>
      </w:r>
      <w:r>
        <w:rPr>
          <w:rFonts w:hint="default" w:ascii="Times New Roman" w:hAnsi="Times New Roman" w:cs="Times New Roman"/>
          <w:color w:val="000000" w:themeColor="text1"/>
          <w14:textFill>
            <w14:solidFill>
              <w14:schemeClr w14:val="tx1"/>
            </w14:solidFill>
          </w14:textFill>
        </w:rPr>
        <w:t>，危废类别为HW</w:t>
      </w:r>
      <w:r>
        <w:rPr>
          <w:rFonts w:hint="default" w:ascii="Times New Roman" w:hAnsi="Times New Roman" w:cs="Times New Roman"/>
          <w:color w:val="000000" w:themeColor="text1"/>
          <w:lang w:val="en-US" w:eastAsia="zh-CN"/>
          <w14:textFill>
            <w14:solidFill>
              <w14:schemeClr w14:val="tx1"/>
            </w14:solidFill>
          </w14:textFill>
        </w:rPr>
        <w:t>49</w:t>
      </w:r>
      <w:r>
        <w:rPr>
          <w:rFonts w:hint="default" w:ascii="Times New Roman" w:hAnsi="Times New Roman" w:cs="Times New Roman"/>
          <w:color w:val="000000" w:themeColor="text1"/>
          <w14:textFill>
            <w14:solidFill>
              <w14:schemeClr w14:val="tx1"/>
            </w14:solidFill>
          </w14:textFill>
        </w:rPr>
        <w:t>、HW</w:t>
      </w:r>
      <w:r>
        <w:rPr>
          <w:rFonts w:hint="default" w:ascii="Times New Roman" w:hAnsi="Times New Roman" w:cs="Times New Roman"/>
          <w:color w:val="000000" w:themeColor="text1"/>
          <w:lang w:val="en-US" w:eastAsia="zh-CN"/>
          <w14:textFill>
            <w14:solidFill>
              <w14:schemeClr w14:val="tx1"/>
            </w14:solidFill>
          </w14:textFill>
        </w:rPr>
        <w:t>0</w:t>
      </w:r>
      <w:r>
        <w:rPr>
          <w:rFonts w:hint="default" w:ascii="Times New Roman" w:hAnsi="Times New Roman" w:cs="Times New Roman"/>
          <w:color w:val="000000" w:themeColor="text1"/>
          <w14:textFill>
            <w14:solidFill>
              <w14:schemeClr w14:val="tx1"/>
            </w14:solidFill>
          </w14:textFill>
        </w:rPr>
        <w:t>8类别。上述危险废物均委托资质单位处置。</w:t>
      </w:r>
    </w:p>
    <w:p w14:paraId="5D8AEA3A">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综上所述，本项目建成运行后，产生的各种固体废物均可以根据各种固废不同的属性，进行相应的处理，从而实现固废的资源化和无害化处理。项目产生的固废不外排，不会对区域环境造成不利影响。</w:t>
      </w:r>
    </w:p>
    <w:p w14:paraId="17FC9A57">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178" w:name="_Toc109135993"/>
      <w:bookmarkStart w:id="179" w:name="_Toc173837719"/>
      <w:bookmarkStart w:id="180" w:name="OLE_LINK3"/>
      <w:r>
        <w:rPr>
          <w:rFonts w:hint="default" w:ascii="Times New Roman" w:hAnsi="Times New Roman" w:eastAsia="黑体" w:cs="Times New Roman"/>
          <w:b w:val="0"/>
          <w:color w:val="000000" w:themeColor="text1"/>
          <w14:textFill>
            <w14:solidFill>
              <w14:schemeClr w14:val="tx1"/>
            </w14:solidFill>
          </w14:textFill>
        </w:rPr>
        <w:t>5.7噪声环境影响评价</w:t>
      </w:r>
      <w:bookmarkEnd w:id="170"/>
      <w:bookmarkEnd w:id="178"/>
      <w:bookmarkEnd w:id="179"/>
    </w:p>
    <w:bookmarkEnd w:id="180"/>
    <w:p w14:paraId="32928024">
      <w:pPr>
        <w:pStyle w:val="3159"/>
        <w:rPr>
          <w:rFonts w:hint="default" w:ascii="Times New Roman" w:hAnsi="Times New Roman" w:eastAsia="黑体" w:cs="Times New Roman"/>
          <w:b w:val="0"/>
          <w:color w:val="000000" w:themeColor="text1"/>
          <w14:textFill>
            <w14:solidFill>
              <w14:schemeClr w14:val="tx1"/>
            </w14:solidFill>
          </w14:textFill>
        </w:rPr>
      </w:pPr>
      <w:bookmarkStart w:id="181" w:name="_Toc453772894"/>
      <w:bookmarkStart w:id="182" w:name="_Toc141627852"/>
      <w:bookmarkStart w:id="183" w:name="_Toc173837720"/>
      <w:bookmarkStart w:id="184" w:name="_Toc170562224"/>
      <w:r>
        <w:rPr>
          <w:rFonts w:hint="default" w:ascii="Times New Roman" w:hAnsi="Times New Roman" w:eastAsia="黑体" w:cs="Times New Roman"/>
          <w:b w:val="0"/>
          <w:color w:val="000000" w:themeColor="text1"/>
          <w14:textFill>
            <w14:solidFill>
              <w14:schemeClr w14:val="tx1"/>
            </w14:solidFill>
          </w14:textFill>
        </w:rPr>
        <w:t>5.7.1主要设备噪声源强</w:t>
      </w:r>
      <w:bookmarkEnd w:id="181"/>
      <w:bookmarkEnd w:id="182"/>
      <w:bookmarkEnd w:id="183"/>
      <w:bookmarkEnd w:id="184"/>
    </w:p>
    <w:p w14:paraId="6F8C9782">
      <w:pPr>
        <w:spacing w:line="360" w:lineRule="auto"/>
        <w:ind w:firstLine="480"/>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本项目主要噪声源为脱水机</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四吸风选机</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涡电流分选一体机</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卧式开包机</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震动筛分机</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粉碎机</w:t>
      </w:r>
      <w:r>
        <w:rPr>
          <w:rFonts w:hint="eastAsia"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破碎机、风机等，类比同类项目，噪声值在80~</w:t>
      </w:r>
      <w:r>
        <w:rPr>
          <w:rFonts w:hint="eastAsia" w:cs="Times New Roman"/>
          <w:color w:val="000000" w:themeColor="text1"/>
          <w:sz w:val="24"/>
          <w:lang w:val="en-US" w:eastAsia="zh-CN"/>
          <w14:textFill>
            <w14:solidFill>
              <w14:schemeClr w14:val="tx1"/>
            </w14:solidFill>
          </w14:textFill>
        </w:rPr>
        <w:t>9</w:t>
      </w:r>
      <w:r>
        <w:rPr>
          <w:rFonts w:hint="default" w:ascii="Times New Roman" w:hAnsi="Times New Roman" w:cs="Times New Roman"/>
          <w:color w:val="000000" w:themeColor="text1"/>
          <w:sz w:val="24"/>
          <w14:textFill>
            <w14:solidFill>
              <w14:schemeClr w14:val="tx1"/>
            </w14:solidFill>
          </w14:textFill>
        </w:rPr>
        <w:t>0dB（A）之间，本项目噪声源强及坐标见表3.</w:t>
      </w:r>
      <w:r>
        <w:rPr>
          <w:rFonts w:hint="eastAsia" w:cs="Times New Roman"/>
          <w:color w:val="000000" w:themeColor="text1"/>
          <w:sz w:val="24"/>
          <w:lang w:val="en-US" w:eastAsia="zh-CN"/>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7</w:t>
      </w:r>
      <w:r>
        <w:rPr>
          <w:rFonts w:hint="default" w:ascii="Times New Roman" w:hAnsi="Times New Roman" w:cs="Times New Roman"/>
          <w:color w:val="000000" w:themeColor="text1"/>
          <w:sz w:val="24"/>
          <w14:textFill>
            <w14:solidFill>
              <w14:schemeClr w14:val="tx1"/>
            </w14:solidFill>
          </w14:textFill>
        </w:rPr>
        <w:t>、表3.</w:t>
      </w:r>
      <w:r>
        <w:rPr>
          <w:rFonts w:hint="eastAsia" w:cs="Times New Roman"/>
          <w:color w:val="000000" w:themeColor="text1"/>
          <w:sz w:val="24"/>
          <w:lang w:val="en-US" w:eastAsia="zh-CN"/>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8</w:t>
      </w:r>
      <w:r>
        <w:rPr>
          <w:rFonts w:hint="default" w:ascii="Times New Roman" w:hAnsi="Times New Roman" w:cs="Times New Roman"/>
          <w:color w:val="000000" w:themeColor="text1"/>
          <w:sz w:val="24"/>
          <w14:textFill>
            <w14:solidFill>
              <w14:schemeClr w14:val="tx1"/>
            </w14:solidFill>
          </w14:textFill>
        </w:rPr>
        <w:t>。</w:t>
      </w:r>
    </w:p>
    <w:p w14:paraId="760EC514">
      <w:pPr>
        <w:pStyle w:val="3159"/>
        <w:rPr>
          <w:rFonts w:hint="default" w:ascii="Times New Roman" w:hAnsi="Times New Roman" w:eastAsia="黑体" w:cs="Times New Roman"/>
          <w:b w:val="0"/>
          <w:color w:val="000000" w:themeColor="text1"/>
          <w14:textFill>
            <w14:solidFill>
              <w14:schemeClr w14:val="tx1"/>
            </w14:solidFill>
          </w14:textFill>
        </w:rPr>
      </w:pPr>
      <w:bookmarkStart w:id="185" w:name="_Toc170562225"/>
      <w:bookmarkStart w:id="186" w:name="_Toc141627853"/>
      <w:bookmarkStart w:id="187" w:name="_Toc173837721"/>
      <w:bookmarkStart w:id="188" w:name="_Toc453772895"/>
      <w:r>
        <w:rPr>
          <w:rFonts w:hint="default" w:ascii="Times New Roman" w:hAnsi="Times New Roman" w:eastAsia="黑体" w:cs="Times New Roman"/>
          <w:b w:val="0"/>
          <w:color w:val="000000" w:themeColor="text1"/>
          <w14:textFill>
            <w14:solidFill>
              <w14:schemeClr w14:val="tx1"/>
            </w14:solidFill>
          </w14:textFill>
        </w:rPr>
        <w:t>5.7.2预测模式</w:t>
      </w:r>
      <w:bookmarkEnd w:id="185"/>
      <w:bookmarkEnd w:id="186"/>
      <w:bookmarkEnd w:id="187"/>
      <w:bookmarkEnd w:id="188"/>
    </w:p>
    <w:p w14:paraId="69FB8518">
      <w:pPr>
        <w:pStyle w:val="251"/>
        <w:ind w:firstLine="480"/>
        <w:rPr>
          <w:rFonts w:hint="default" w:ascii="Times New Roman" w:hAnsi="Times New Roman" w:cs="Times New Roman"/>
          <w:color w:val="000000" w:themeColor="text1"/>
          <w:kern w:val="18"/>
          <w14:textFill>
            <w14:solidFill>
              <w14:schemeClr w14:val="tx1"/>
            </w14:solidFill>
          </w14:textFill>
        </w:rPr>
      </w:pPr>
      <w:bookmarkStart w:id="189" w:name="_Toc453772896"/>
      <w:r>
        <w:rPr>
          <w:rFonts w:hint="default" w:ascii="Times New Roman" w:hAnsi="Times New Roman" w:cs="Times New Roman"/>
          <w:color w:val="000000" w:themeColor="text1"/>
          <w:kern w:val="18"/>
          <w14:textFill>
            <w14:solidFill>
              <w14:schemeClr w14:val="tx1"/>
            </w14:solidFill>
          </w14:textFill>
        </w:rPr>
        <w:t>预测计算选用《环境影响评价技术导则声环境》（HJ2.4-2021）中推荐的工业噪声预测计算模式，模式如下：</w:t>
      </w:r>
    </w:p>
    <w:p w14:paraId="0E58FC19">
      <w:pPr>
        <w:pStyle w:val="251"/>
        <w:ind w:firstLine="480"/>
        <w:rPr>
          <w:rFonts w:hint="default" w:ascii="Times New Roman" w:hAnsi="Times New Roman" w:cs="Times New Roman"/>
          <w:color w:val="000000" w:themeColor="text1"/>
          <w:kern w:val="18"/>
          <w14:textFill>
            <w14:solidFill>
              <w14:schemeClr w14:val="tx1"/>
            </w14:solidFill>
          </w14:textFill>
        </w:rPr>
      </w:pPr>
      <w:r>
        <w:rPr>
          <w:rFonts w:hint="default" w:ascii="Times New Roman" w:hAnsi="Times New Roman" w:cs="Times New Roman"/>
          <w:color w:val="000000" w:themeColor="text1"/>
          <w:kern w:val="18"/>
          <w14:textFill>
            <w14:solidFill>
              <w14:schemeClr w14:val="tx1"/>
            </w14:solidFill>
          </w14:textFill>
        </w:rPr>
        <w:t>1、室内声源等效室外声源声功率级计算方法</w:t>
      </w:r>
    </w:p>
    <w:p w14:paraId="41CCE4C3">
      <w:pPr>
        <w:pStyle w:val="251"/>
        <w:ind w:firstLine="480"/>
        <w:rPr>
          <w:rFonts w:hint="default" w:ascii="Times New Roman" w:hAnsi="Times New Roman" w:cs="Times New Roman"/>
          <w:color w:val="000000" w:themeColor="text1"/>
          <w:kern w:val="18"/>
          <w14:textFill>
            <w14:solidFill>
              <w14:schemeClr w14:val="tx1"/>
            </w14:solidFill>
          </w14:textFill>
        </w:rPr>
      </w:pPr>
      <w:r>
        <w:rPr>
          <w:rFonts w:hint="default" w:ascii="Times New Roman" w:hAnsi="Times New Roman" w:cs="Times New Roman"/>
          <w:color w:val="000000" w:themeColor="text1"/>
          <w:kern w:val="18"/>
          <w14:textFill>
            <w14:solidFill>
              <w14:schemeClr w14:val="tx1"/>
            </w14:solidFill>
          </w14:textFill>
        </w:rPr>
        <w:t>如图所示，声源位于室内，室内声源可采用等效室外声源声功率级法进行计算。设靠近开口处（或窗户）室内、室外某倍频带的声压级分别为L</w:t>
      </w:r>
      <w:r>
        <w:rPr>
          <w:rFonts w:hint="default" w:ascii="Times New Roman" w:hAnsi="Times New Roman" w:cs="Times New Roman"/>
          <w:color w:val="000000" w:themeColor="text1"/>
          <w:kern w:val="18"/>
          <w:vertAlign w:val="subscript"/>
          <w14:textFill>
            <w14:solidFill>
              <w14:schemeClr w14:val="tx1"/>
            </w14:solidFill>
          </w14:textFill>
        </w:rPr>
        <w:t>p1</w:t>
      </w:r>
      <w:r>
        <w:rPr>
          <w:rFonts w:hint="default" w:ascii="Times New Roman" w:hAnsi="Times New Roman" w:cs="Times New Roman"/>
          <w:color w:val="000000" w:themeColor="text1"/>
          <w:kern w:val="18"/>
          <w14:textFill>
            <w14:solidFill>
              <w14:schemeClr w14:val="tx1"/>
            </w14:solidFill>
          </w14:textFill>
        </w:rPr>
        <w:t>和L</w:t>
      </w:r>
      <w:r>
        <w:rPr>
          <w:rFonts w:hint="default" w:ascii="Times New Roman" w:hAnsi="Times New Roman" w:cs="Times New Roman"/>
          <w:color w:val="000000" w:themeColor="text1"/>
          <w:kern w:val="18"/>
          <w:vertAlign w:val="subscript"/>
          <w14:textFill>
            <w14:solidFill>
              <w14:schemeClr w14:val="tx1"/>
            </w14:solidFill>
          </w14:textFill>
        </w:rPr>
        <w:t>p2</w:t>
      </w:r>
      <w:r>
        <w:rPr>
          <w:rFonts w:hint="default" w:ascii="Times New Roman" w:hAnsi="Times New Roman" w:cs="Times New Roman"/>
          <w:color w:val="000000" w:themeColor="text1"/>
          <w:kern w:val="18"/>
          <w14:textFill>
            <w14:solidFill>
              <w14:schemeClr w14:val="tx1"/>
            </w14:solidFill>
          </w14:textFill>
        </w:rPr>
        <w:t>。若声源所在室内声场为近似扩散声场，则可按式1计算某一室内声源靠近围护结构处产生的倍频带声压级：</w:t>
      </w:r>
    </w:p>
    <w:p w14:paraId="4E356910">
      <w:pPr>
        <w:autoSpaceDE w:val="0"/>
        <w:autoSpaceDN w:val="0"/>
        <w:adjustRightInd w:val="0"/>
        <w:spacing w:line="360" w:lineRule="auto"/>
        <w:ind w:firstLine="2"/>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0" distR="0">
            <wp:extent cx="2934335" cy="1383665"/>
            <wp:effectExtent l="19050" t="0" r="0" b="0"/>
            <wp:docPr id="9559964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424" name="图片 24"/>
                    <pic:cNvPicPr>
                      <a:picLocks noChangeAspect="1" noChangeArrowheads="1"/>
                    </pic:cNvPicPr>
                  </pic:nvPicPr>
                  <pic:blipFill>
                    <a:blip r:embed="rId67" cstate="print"/>
                    <a:srcRect t="7907" b="6047"/>
                    <a:stretch>
                      <a:fillRect/>
                    </a:stretch>
                  </pic:blipFill>
                  <pic:spPr>
                    <a:xfrm>
                      <a:off x="0" y="0"/>
                      <a:ext cx="2934335" cy="1383665"/>
                    </a:xfrm>
                    <a:prstGeom prst="rect">
                      <a:avLst/>
                    </a:prstGeom>
                    <a:noFill/>
                    <a:ln w="9525">
                      <a:noFill/>
                      <a:miter lim="800000"/>
                      <a:headEnd/>
                      <a:tailEnd/>
                    </a:ln>
                  </pic:spPr>
                </pic:pic>
              </a:graphicData>
            </a:graphic>
          </wp:inline>
        </w:drawing>
      </w:r>
    </w:p>
    <w:p w14:paraId="72DD334A">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图5.7-1室内声源等效为室外声源图例</w:t>
      </w:r>
    </w:p>
    <w:p w14:paraId="4C388269">
      <w:pPr>
        <w:autoSpaceDE w:val="0"/>
        <w:autoSpaceDN w:val="0"/>
        <w:adjustRightInd w:val="0"/>
        <w:spacing w:line="360" w:lineRule="auto"/>
        <w:ind w:left="1440"/>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i/>
          <w:iCs/>
          <w:color w:val="000000" w:themeColor="text1"/>
          <w14:textFill>
            <w14:solidFill>
              <w14:schemeClr w14:val="tx1"/>
            </w14:solidFill>
          </w14:textFill>
        </w:rPr>
        <w:t>L</w:t>
      </w:r>
      <w:r>
        <w:rPr>
          <w:rFonts w:hint="default" w:ascii="Times New Roman" w:hAnsi="Times New Roman" w:cs="Times New Roman"/>
          <w:i/>
          <w:iCs/>
          <w:color w:val="000000" w:themeColor="text1"/>
          <w:vertAlign w:val="subscript"/>
          <w14:textFill>
            <w14:solidFill>
              <w14:schemeClr w14:val="tx1"/>
            </w14:solidFill>
          </w14:textFill>
        </w:rPr>
        <w:t>P</w:t>
      </w:r>
      <w:r>
        <w:rPr>
          <w:rFonts w:hint="default" w:ascii="Times New Roman" w:hAnsi="Times New Roman" w:cs="Times New Roman"/>
          <w:color w:val="000000" w:themeColor="text1"/>
          <w:vertAlign w:val="subscript"/>
          <w14:textFill>
            <w14:solidFill>
              <w14:schemeClr w14:val="tx1"/>
            </w14:solidFill>
          </w14:textFill>
        </w:rPr>
        <w:t>1</w:t>
      </w:r>
      <w:r>
        <w:rPr>
          <w:rFonts w:hint="default" w:ascii="Times New Roman" w:hAnsi="Times New Roman" w:cs="Times New Roman"/>
          <w:color w:val="000000" w:themeColor="text1"/>
          <w:vertAlign w:val="superscript"/>
          <w14:textFill>
            <w14:solidFill>
              <w14:schemeClr w14:val="tx1"/>
            </w14:solidFill>
          </w14:textFill>
        </w:rPr>
        <w:t>=</w:t>
      </w:r>
      <w:r>
        <w:rPr>
          <w:rFonts w:hint="default" w:ascii="Times New Roman" w:hAnsi="Times New Roman" w:cs="Times New Roman"/>
          <w:i/>
          <w:iCs/>
          <w:color w:val="000000" w:themeColor="text1"/>
          <w14:textFill>
            <w14:solidFill>
              <w14:schemeClr w14:val="tx1"/>
            </w14:solidFill>
          </w14:textFill>
        </w:rPr>
        <w:t>Lw+10lg</w:t>
      </w:r>
      <w:r>
        <w:rPr>
          <w:rFonts w:hint="default" w:ascii="Times New Roman" w:hAnsi="Times New Roman" w:cs="Times New Roman"/>
          <w:iCs/>
          <w:color w:val="000000" w:themeColor="text1"/>
          <w14:textFill>
            <w14:solidFill>
              <w14:schemeClr w14:val="tx1"/>
            </w14:solidFill>
          </w14:textFill>
        </w:rPr>
        <w:t>（</w:t>
      </w:r>
      <w:r>
        <w:rPr>
          <w:rFonts w:hint="default" w:ascii="Times New Roman" w:hAnsi="Times New Roman" w:cs="Times New Roman"/>
          <w:color w:val="000000" w:themeColor="text1"/>
          <w:position w:val="-14"/>
          <w14:textFill>
            <w14:solidFill>
              <w14:schemeClr w14:val="tx1"/>
            </w14:solidFill>
          </w14:textFill>
        </w:rPr>
        <w:drawing>
          <wp:inline distT="0" distB="0" distL="0" distR="0">
            <wp:extent cx="659765" cy="349885"/>
            <wp:effectExtent l="0" t="0" r="0" b="0"/>
            <wp:docPr id="95599642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425" name="图片 23"/>
                    <pic:cNvPicPr>
                      <a:picLocks noChangeAspect="1" noChangeArrowheads="1"/>
                    </pic:cNvPicPr>
                  </pic:nvPicPr>
                  <pic:blipFill>
                    <a:blip r:embed="rId68" cstate="print"/>
                    <a:srcRect/>
                    <a:stretch>
                      <a:fillRect/>
                    </a:stretch>
                  </pic:blipFill>
                  <pic:spPr>
                    <a:xfrm>
                      <a:off x="0" y="0"/>
                      <a:ext cx="659765" cy="349885"/>
                    </a:xfrm>
                    <a:prstGeom prst="rect">
                      <a:avLst/>
                    </a:prstGeom>
                    <a:noFill/>
                    <a:ln w="9525">
                      <a:noFill/>
                      <a:miter lim="800000"/>
                      <a:headEnd/>
                      <a:tailEnd/>
                    </a:ln>
                  </pic:spPr>
                </pic:pic>
              </a:graphicData>
            </a:graphic>
          </wp:inline>
        </w:drawing>
      </w:r>
      <w:r>
        <w:rPr>
          <w:rFonts w:hint="default" w:ascii="Times New Roman" w:hAnsi="Times New Roman" w:cs="Times New Roman"/>
          <w:iCs/>
          <w:color w:val="000000" w:themeColor="text1"/>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（式1）</w:t>
      </w:r>
    </w:p>
    <w:p w14:paraId="4DFBEE3A">
      <w:pPr>
        <w:autoSpaceDE w:val="0"/>
        <w:autoSpaceDN w:val="0"/>
        <w:adjustRightInd w:val="0"/>
        <w:spacing w:line="360" w:lineRule="auto"/>
        <w:ind w:firstLine="472" w:firstLineChars="2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式中：</w:t>
      </w:r>
      <w:r>
        <w:rPr>
          <w:rFonts w:hint="default" w:ascii="Times New Roman" w:hAnsi="Times New Roman" w:cs="Times New Roman"/>
          <w:i/>
          <w:iCs/>
          <w:color w:val="000000" w:themeColor="text1"/>
          <w:sz w:val="24"/>
          <w14:textFill>
            <w14:solidFill>
              <w14:schemeClr w14:val="tx1"/>
            </w14:solidFill>
          </w14:textFill>
        </w:rPr>
        <w:t>Q</w:t>
      </w:r>
      <w:r>
        <w:rPr>
          <w:rFonts w:hint="default" w:ascii="Times New Roman" w:hAnsi="Times New Roman" w:cs="Times New Roman"/>
          <w:color w:val="000000" w:themeColor="text1"/>
          <w:sz w:val="24"/>
          <w14:textFill>
            <w14:solidFill>
              <w14:schemeClr w14:val="tx1"/>
            </w14:solidFill>
          </w14:textFill>
        </w:rPr>
        <w:t>—指向性因数；通常对无指向性声源：</w:t>
      </w:r>
    </w:p>
    <w:p w14:paraId="425EF798">
      <w:pPr>
        <w:autoSpaceDE w:val="0"/>
        <w:autoSpaceDN w:val="0"/>
        <w:adjustRightInd w:val="0"/>
        <w:spacing w:line="360" w:lineRule="auto"/>
        <w:ind w:firstLine="1180" w:firstLineChars="5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当声源放在房间中心时，</w:t>
      </w:r>
      <w:r>
        <w:rPr>
          <w:rFonts w:hint="default" w:ascii="Times New Roman" w:hAnsi="Times New Roman" w:cs="Times New Roman"/>
          <w:i/>
          <w:iCs/>
          <w:color w:val="000000" w:themeColor="text1"/>
          <w:sz w:val="24"/>
          <w14:textFill>
            <w14:solidFill>
              <w14:schemeClr w14:val="tx1"/>
            </w14:solidFill>
          </w14:textFill>
        </w:rPr>
        <w:t>Q</w:t>
      </w:r>
      <w:r>
        <w:rPr>
          <w:rFonts w:hint="default" w:ascii="Times New Roman" w:hAnsi="Times New Roman" w:cs="Times New Roman"/>
          <w:color w:val="000000" w:themeColor="text1"/>
          <w:sz w:val="24"/>
          <w14:textFill>
            <w14:solidFill>
              <w14:schemeClr w14:val="tx1"/>
            </w14:solidFill>
          </w14:textFill>
        </w:rPr>
        <w:t>=1；</w:t>
      </w:r>
    </w:p>
    <w:p w14:paraId="222C27D2">
      <w:pPr>
        <w:autoSpaceDE w:val="0"/>
        <w:autoSpaceDN w:val="0"/>
        <w:adjustRightInd w:val="0"/>
        <w:spacing w:line="360" w:lineRule="auto"/>
        <w:ind w:firstLine="1180" w:firstLineChars="5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当放在一面墙的中心时，</w:t>
      </w:r>
      <w:r>
        <w:rPr>
          <w:rFonts w:hint="default" w:ascii="Times New Roman" w:hAnsi="Times New Roman" w:cs="Times New Roman"/>
          <w:i/>
          <w:iCs/>
          <w:color w:val="000000" w:themeColor="text1"/>
          <w:sz w:val="24"/>
          <w14:textFill>
            <w14:solidFill>
              <w14:schemeClr w14:val="tx1"/>
            </w14:solidFill>
          </w14:textFill>
        </w:rPr>
        <w:t>Q</w:t>
      </w:r>
      <w:r>
        <w:rPr>
          <w:rFonts w:hint="default" w:ascii="Times New Roman" w:hAnsi="Times New Roman" w:cs="Times New Roman"/>
          <w:color w:val="000000" w:themeColor="text1"/>
          <w:sz w:val="24"/>
          <w14:textFill>
            <w14:solidFill>
              <w14:schemeClr w14:val="tx1"/>
            </w14:solidFill>
          </w14:textFill>
        </w:rPr>
        <w:t>=2；</w:t>
      </w:r>
    </w:p>
    <w:p w14:paraId="1F807218">
      <w:pPr>
        <w:autoSpaceDE w:val="0"/>
        <w:autoSpaceDN w:val="0"/>
        <w:adjustRightInd w:val="0"/>
        <w:spacing w:line="360" w:lineRule="auto"/>
        <w:ind w:firstLine="1180" w:firstLineChars="5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当放在两面墙夹角处时，Q=4；</w:t>
      </w:r>
    </w:p>
    <w:p w14:paraId="7CB28834">
      <w:pPr>
        <w:autoSpaceDE w:val="0"/>
        <w:autoSpaceDN w:val="0"/>
        <w:adjustRightInd w:val="0"/>
        <w:spacing w:line="360" w:lineRule="auto"/>
        <w:ind w:firstLine="1180" w:firstLineChars="5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当放在三面墙夹角处时，Q=8。</w:t>
      </w:r>
    </w:p>
    <w:p w14:paraId="29633C59">
      <w:pPr>
        <w:autoSpaceDE w:val="0"/>
        <w:autoSpaceDN w:val="0"/>
        <w:adjustRightInd w:val="0"/>
        <w:spacing w:line="360" w:lineRule="auto"/>
        <w:ind w:firstLine="1180" w:firstLineChars="5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R—房间常数；</w:t>
      </w:r>
    </w:p>
    <w:p w14:paraId="1DFC7FA5">
      <w:pPr>
        <w:autoSpaceDE w:val="0"/>
        <w:autoSpaceDN w:val="0"/>
        <w:adjustRightInd w:val="0"/>
        <w:spacing w:line="360" w:lineRule="auto"/>
        <w:ind w:firstLine="472" w:firstLineChars="200"/>
        <w:jc w:val="center"/>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i/>
          <w:iCs/>
          <w:color w:val="000000" w:themeColor="text1"/>
          <w:sz w:val="24"/>
          <w14:textFill>
            <w14:solidFill>
              <w14:schemeClr w14:val="tx1"/>
            </w14:solidFill>
          </w14:textFill>
        </w:rPr>
        <w:t>R</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i/>
          <w:iCs/>
          <w:color w:val="000000" w:themeColor="text1"/>
          <w:sz w:val="24"/>
          <w14:textFill>
            <w14:solidFill>
              <w14:schemeClr w14:val="tx1"/>
            </w14:solidFill>
          </w14:textFill>
        </w:rPr>
        <w:t>S</w:t>
      </w:r>
      <w:r>
        <w:rPr>
          <w:rFonts w:hint="default" w:ascii="Times New Roman" w:hAnsi="Times New Roman" w:cs="Times New Roman"/>
          <w:color w:val="000000" w:themeColor="text1"/>
          <w:sz w:val="24"/>
          <w14:textFill>
            <w14:solidFill>
              <w14:schemeClr w14:val="tx1"/>
            </w14:solidFill>
          </w14:textFill>
        </w:rPr>
        <w:t>α/(1</w:t>
      </w:r>
      <w:r>
        <w:rPr>
          <w:rFonts w:hint="default" w:ascii="Times New Roman" w:hAnsi="Times New Roman" w:eastAsia="MS Mincho"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α)</w:t>
      </w:r>
    </w:p>
    <w:p w14:paraId="1B3C0CD1">
      <w:pPr>
        <w:autoSpaceDE w:val="0"/>
        <w:autoSpaceDN w:val="0"/>
        <w:adjustRightInd w:val="0"/>
        <w:spacing w:line="360" w:lineRule="auto"/>
        <w:ind w:firstLine="1180" w:firstLineChars="5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S为房间内表面面积，m</w:t>
      </w:r>
      <w:r>
        <w:rPr>
          <w:rFonts w:hint="default" w:ascii="Times New Roman" w:hAnsi="Times New Roman" w:cs="Times New Roman"/>
          <w:color w:val="000000" w:themeColor="text1"/>
          <w:sz w:val="24"/>
          <w:vertAlign w:val="superscript"/>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w:t>
      </w:r>
    </w:p>
    <w:p w14:paraId="317C53DF">
      <w:pPr>
        <w:autoSpaceDE w:val="0"/>
        <w:autoSpaceDN w:val="0"/>
        <w:adjustRightInd w:val="0"/>
        <w:spacing w:line="360" w:lineRule="auto"/>
        <w:ind w:firstLine="1180" w:firstLineChars="5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α为平均吸声系数。</w:t>
      </w:r>
    </w:p>
    <w:p w14:paraId="5B2EE2B5">
      <w:pPr>
        <w:autoSpaceDE w:val="0"/>
        <w:autoSpaceDN w:val="0"/>
        <w:adjustRightInd w:val="0"/>
        <w:spacing w:line="360" w:lineRule="auto"/>
        <w:ind w:firstLine="1180" w:firstLineChars="5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r—声源到靠近围护结构某点处的距离，m。</w:t>
      </w:r>
    </w:p>
    <w:p w14:paraId="390D32CD">
      <w:pPr>
        <w:autoSpaceDE w:val="0"/>
        <w:autoSpaceDN w:val="0"/>
        <w:adjustRightInd w:val="0"/>
        <w:spacing w:line="360" w:lineRule="auto"/>
        <w:ind w:firstLine="472" w:firstLineChars="2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然后按式8-2计算出所有室内声源在围护结构处产生的</w:t>
      </w:r>
      <w:r>
        <w:rPr>
          <w:rFonts w:hint="default" w:ascii="Times New Roman" w:hAnsi="Times New Roman" w:cs="Times New Roman"/>
          <w:i/>
          <w:iCs/>
          <w:color w:val="000000" w:themeColor="text1"/>
          <w:sz w:val="24"/>
          <w14:textFill>
            <w14:solidFill>
              <w14:schemeClr w14:val="tx1"/>
            </w14:solidFill>
          </w14:textFill>
        </w:rPr>
        <w:t>i</w:t>
      </w:r>
      <w:r>
        <w:rPr>
          <w:rFonts w:hint="default" w:ascii="Times New Roman" w:hAnsi="Times New Roman" w:cs="Times New Roman"/>
          <w:color w:val="000000" w:themeColor="text1"/>
          <w:sz w:val="24"/>
          <w14:textFill>
            <w14:solidFill>
              <w14:schemeClr w14:val="tx1"/>
            </w14:solidFill>
          </w14:textFill>
        </w:rPr>
        <w:t>倍频带叠加声压级：</w:t>
      </w:r>
    </w:p>
    <w:p w14:paraId="263D9A60">
      <w:pPr>
        <w:autoSpaceDE w:val="0"/>
        <w:autoSpaceDN w:val="0"/>
        <w:adjustRightInd w:val="0"/>
        <w:spacing w:line="360" w:lineRule="auto"/>
        <w:ind w:firstLine="472" w:firstLineChars="200"/>
        <w:jc w:val="center"/>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i/>
          <w:iCs/>
          <w:color w:val="000000" w:themeColor="text1"/>
          <w:sz w:val="24"/>
          <w14:textFill>
            <w14:solidFill>
              <w14:schemeClr w14:val="tx1"/>
            </w14:solidFill>
          </w14:textFill>
        </w:rPr>
        <w:t>L</w:t>
      </w:r>
      <w:r>
        <w:rPr>
          <w:rFonts w:hint="default" w:ascii="Times New Roman" w:hAnsi="Times New Roman" w:cs="Times New Roman"/>
          <w:i/>
          <w:iCs/>
          <w:color w:val="000000" w:themeColor="text1"/>
          <w:sz w:val="24"/>
          <w:vertAlign w:val="subscript"/>
          <w14:textFill>
            <w14:solidFill>
              <w14:schemeClr w14:val="tx1"/>
            </w14:solidFill>
          </w14:textFill>
        </w:rPr>
        <w:t>P</w:t>
      </w:r>
      <w:r>
        <w:rPr>
          <w:rFonts w:hint="default" w:ascii="Times New Roman" w:hAnsi="Times New Roman" w:cs="Times New Roman"/>
          <w:color w:val="000000" w:themeColor="text1"/>
          <w:sz w:val="24"/>
          <w:vertAlign w:val="subscript"/>
          <w14:textFill>
            <w14:solidFill>
              <w14:schemeClr w14:val="tx1"/>
            </w14:solidFill>
          </w14:textFill>
        </w:rPr>
        <w:t>1</w:t>
      </w:r>
      <w:r>
        <w:rPr>
          <w:rFonts w:hint="default" w:ascii="Times New Roman" w:hAnsi="Times New Roman" w:cs="Times New Roman"/>
          <w:i/>
          <w:iCs/>
          <w:color w:val="000000" w:themeColor="text1"/>
          <w:sz w:val="24"/>
          <w:vertAlign w:val="subscript"/>
          <w14:textFill>
            <w14:solidFill>
              <w14:schemeClr w14:val="tx1"/>
            </w14:solidFill>
          </w14:textFill>
        </w:rPr>
        <w:t>i</w:t>
      </w:r>
      <w:r>
        <w:rPr>
          <w:rFonts w:hint="default" w:ascii="Times New Roman" w:hAnsi="Times New Roman" w:cs="Times New Roman"/>
          <w:color w:val="000000" w:themeColor="text1"/>
          <w:sz w:val="24"/>
          <w14:textFill>
            <w14:solidFill>
              <w14:schemeClr w14:val="tx1"/>
            </w14:solidFill>
          </w14:textFill>
        </w:rPr>
        <w:t>(T)</w:t>
      </w:r>
      <w:r>
        <w:rPr>
          <w:rFonts w:hint="default" w:ascii="Times New Roman" w:hAnsi="Times New Roman" w:cs="Times New Roman"/>
          <w:color w:val="000000" w:themeColor="text1"/>
          <w:position w:val="-15"/>
          <w:sz w:val="24"/>
          <w14:textFill>
            <w14:solidFill>
              <w14:schemeClr w14:val="tx1"/>
            </w14:solidFill>
          </w14:textFill>
        </w:rPr>
        <w:drawing>
          <wp:inline distT="0" distB="0" distL="0" distR="0">
            <wp:extent cx="1169035" cy="286385"/>
            <wp:effectExtent l="19050" t="0" r="0" b="0"/>
            <wp:docPr id="95599642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426" name="图片 61"/>
                    <pic:cNvPicPr>
                      <a:picLocks noChangeAspect="1" noChangeArrowheads="1"/>
                    </pic:cNvPicPr>
                  </pic:nvPicPr>
                  <pic:blipFill>
                    <a:blip r:embed="rId69" cstate="print"/>
                    <a:srcRect/>
                    <a:stretch>
                      <a:fillRect/>
                    </a:stretch>
                  </pic:blipFill>
                  <pic:spPr>
                    <a:xfrm>
                      <a:off x="0" y="0"/>
                      <a:ext cx="1169035" cy="286385"/>
                    </a:xfrm>
                    <a:prstGeom prst="rect">
                      <a:avLst/>
                    </a:prstGeom>
                    <a:noFill/>
                    <a:ln w="9525">
                      <a:noFill/>
                      <a:miter lim="800000"/>
                      <a:headEnd/>
                      <a:tailEnd/>
                    </a:ln>
                  </pic:spPr>
                </pic:pic>
              </a:graphicData>
            </a:graphic>
          </wp:inline>
        </w:drawing>
      </w:r>
      <w:r>
        <w:rPr>
          <w:rFonts w:hint="default" w:ascii="Times New Roman" w:hAnsi="Times New Roman" w:cs="Times New Roman"/>
          <w:color w:val="000000" w:themeColor="text1"/>
          <w:sz w:val="24"/>
          <w14:textFill>
            <w14:solidFill>
              <w14:schemeClr w14:val="tx1"/>
            </w14:solidFill>
          </w14:textFill>
        </w:rPr>
        <w:t>（式2）</w:t>
      </w:r>
    </w:p>
    <w:p w14:paraId="0A6F3B4F">
      <w:pPr>
        <w:autoSpaceDE w:val="0"/>
        <w:autoSpaceDN w:val="0"/>
        <w:adjustRightInd w:val="0"/>
        <w:spacing w:line="360" w:lineRule="auto"/>
        <w:ind w:firstLine="472" w:firstLineChars="2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式中：</w:t>
      </w:r>
    </w:p>
    <w:p w14:paraId="4D879E3A">
      <w:pPr>
        <w:autoSpaceDE w:val="0"/>
        <w:autoSpaceDN w:val="0"/>
        <w:adjustRightInd w:val="0"/>
        <w:spacing w:line="360" w:lineRule="auto"/>
        <w:ind w:firstLine="472" w:firstLineChars="2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i/>
          <w:iCs/>
          <w:color w:val="000000" w:themeColor="text1"/>
          <w:sz w:val="24"/>
          <w14:textFill>
            <w14:solidFill>
              <w14:schemeClr w14:val="tx1"/>
            </w14:solidFill>
          </w14:textFill>
        </w:rPr>
        <w:t>L</w:t>
      </w:r>
      <w:r>
        <w:rPr>
          <w:rFonts w:hint="default" w:ascii="Times New Roman" w:hAnsi="Times New Roman" w:cs="Times New Roman"/>
          <w:i/>
          <w:iCs/>
          <w:color w:val="000000" w:themeColor="text1"/>
          <w:sz w:val="24"/>
          <w:vertAlign w:val="subscript"/>
          <w14:textFill>
            <w14:solidFill>
              <w14:schemeClr w14:val="tx1"/>
            </w14:solidFill>
          </w14:textFill>
        </w:rPr>
        <w:t>P</w:t>
      </w:r>
      <w:r>
        <w:rPr>
          <w:rFonts w:hint="default" w:ascii="Times New Roman" w:hAnsi="Times New Roman" w:cs="Times New Roman"/>
          <w:color w:val="000000" w:themeColor="text1"/>
          <w:sz w:val="24"/>
          <w:vertAlign w:val="subscript"/>
          <w14:textFill>
            <w14:solidFill>
              <w14:schemeClr w14:val="tx1"/>
            </w14:solidFill>
          </w14:textFill>
        </w:rPr>
        <w:t>1</w:t>
      </w:r>
      <w:r>
        <w:rPr>
          <w:rFonts w:hint="default" w:ascii="Times New Roman" w:hAnsi="Times New Roman" w:cs="Times New Roman"/>
          <w:i/>
          <w:iCs/>
          <w:color w:val="000000" w:themeColor="text1"/>
          <w:sz w:val="24"/>
          <w:vertAlign w:val="subscript"/>
          <w14:textFill>
            <w14:solidFill>
              <w14:schemeClr w14:val="tx1"/>
            </w14:solidFill>
          </w14:textFill>
        </w:rPr>
        <w:t>i</w:t>
      </w:r>
      <w:r>
        <w:rPr>
          <w:rFonts w:hint="default" w:ascii="Times New Roman" w:hAnsi="Times New Roman" w:cs="Times New Roman"/>
          <w:color w:val="000000" w:themeColor="text1"/>
          <w:sz w:val="24"/>
          <w14:textFill>
            <w14:solidFill>
              <w14:schemeClr w14:val="tx1"/>
            </w14:solidFill>
          </w14:textFill>
        </w:rPr>
        <w:t>(T)—靠近围护结构处室内N个声源</w:t>
      </w:r>
      <w:r>
        <w:rPr>
          <w:rFonts w:hint="default" w:ascii="Times New Roman" w:hAnsi="Times New Roman" w:cs="Times New Roman"/>
          <w:i/>
          <w:iCs/>
          <w:color w:val="000000" w:themeColor="text1"/>
          <w:sz w:val="24"/>
          <w14:textFill>
            <w14:solidFill>
              <w14:schemeClr w14:val="tx1"/>
            </w14:solidFill>
          </w14:textFill>
        </w:rPr>
        <w:t>i</w:t>
      </w:r>
      <w:r>
        <w:rPr>
          <w:rFonts w:hint="default" w:ascii="Times New Roman" w:hAnsi="Times New Roman" w:cs="Times New Roman"/>
          <w:color w:val="000000" w:themeColor="text1"/>
          <w:sz w:val="24"/>
          <w14:textFill>
            <w14:solidFill>
              <w14:schemeClr w14:val="tx1"/>
            </w14:solidFill>
          </w14:textFill>
        </w:rPr>
        <w:t>倍频带的叠加声压级，dB；</w:t>
      </w:r>
    </w:p>
    <w:p w14:paraId="32DAE253">
      <w:pPr>
        <w:autoSpaceDE w:val="0"/>
        <w:autoSpaceDN w:val="0"/>
        <w:adjustRightInd w:val="0"/>
        <w:spacing w:line="360" w:lineRule="auto"/>
        <w:ind w:firstLine="472" w:firstLineChars="2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i/>
          <w:iCs/>
          <w:color w:val="000000" w:themeColor="text1"/>
          <w:sz w:val="24"/>
          <w14:textFill>
            <w14:solidFill>
              <w14:schemeClr w14:val="tx1"/>
            </w14:solidFill>
          </w14:textFill>
        </w:rPr>
        <w:t>L</w:t>
      </w:r>
      <w:r>
        <w:rPr>
          <w:rFonts w:hint="default" w:ascii="Times New Roman" w:hAnsi="Times New Roman" w:cs="Times New Roman"/>
          <w:i/>
          <w:iCs/>
          <w:color w:val="000000" w:themeColor="text1"/>
          <w:sz w:val="24"/>
          <w:vertAlign w:val="subscript"/>
          <w14:textFill>
            <w14:solidFill>
              <w14:schemeClr w14:val="tx1"/>
            </w14:solidFill>
          </w14:textFill>
        </w:rPr>
        <w:t>P1</w:t>
      </w:r>
      <w:r>
        <w:rPr>
          <w:rFonts w:hint="default" w:ascii="Times New Roman" w:hAnsi="Times New Roman" w:cs="Times New Roman"/>
          <w:color w:val="000000" w:themeColor="text1"/>
          <w:sz w:val="24"/>
          <w:vertAlign w:val="subscript"/>
          <w14:textFill>
            <w14:solidFill>
              <w14:schemeClr w14:val="tx1"/>
            </w14:solidFill>
          </w14:textFill>
        </w:rPr>
        <w:t>ij</w:t>
      </w:r>
      <w:r>
        <w:rPr>
          <w:rFonts w:hint="default" w:ascii="Times New Roman" w:hAnsi="Times New Roman" w:cs="Times New Roman"/>
          <w:color w:val="000000" w:themeColor="text1"/>
          <w:sz w:val="24"/>
          <w14:textFill>
            <w14:solidFill>
              <w14:schemeClr w14:val="tx1"/>
            </w14:solidFill>
          </w14:textFill>
        </w:rPr>
        <w:t>—室内</w:t>
      </w:r>
      <w:r>
        <w:rPr>
          <w:rFonts w:hint="default" w:ascii="Times New Roman" w:hAnsi="Times New Roman" w:cs="Times New Roman"/>
          <w:i/>
          <w:iCs/>
          <w:color w:val="000000" w:themeColor="text1"/>
          <w:sz w:val="24"/>
          <w14:textFill>
            <w14:solidFill>
              <w14:schemeClr w14:val="tx1"/>
            </w14:solidFill>
          </w14:textFill>
        </w:rPr>
        <w:t>j</w:t>
      </w:r>
      <w:r>
        <w:rPr>
          <w:rFonts w:hint="default" w:ascii="Times New Roman" w:hAnsi="Times New Roman" w:cs="Times New Roman"/>
          <w:color w:val="000000" w:themeColor="text1"/>
          <w:sz w:val="24"/>
          <w14:textFill>
            <w14:solidFill>
              <w14:schemeClr w14:val="tx1"/>
            </w14:solidFill>
          </w14:textFill>
        </w:rPr>
        <w:t>声源</w:t>
      </w:r>
      <w:r>
        <w:rPr>
          <w:rFonts w:hint="default" w:ascii="Times New Roman" w:hAnsi="Times New Roman" w:cs="Times New Roman"/>
          <w:i/>
          <w:iCs/>
          <w:color w:val="000000" w:themeColor="text1"/>
          <w:sz w:val="24"/>
          <w14:textFill>
            <w14:solidFill>
              <w14:schemeClr w14:val="tx1"/>
            </w14:solidFill>
          </w14:textFill>
        </w:rPr>
        <w:t>i</w:t>
      </w:r>
      <w:r>
        <w:rPr>
          <w:rFonts w:hint="default" w:ascii="Times New Roman" w:hAnsi="Times New Roman" w:cs="Times New Roman"/>
          <w:color w:val="000000" w:themeColor="text1"/>
          <w:sz w:val="24"/>
          <w14:textFill>
            <w14:solidFill>
              <w14:schemeClr w14:val="tx1"/>
            </w14:solidFill>
          </w14:textFill>
        </w:rPr>
        <w:t>倍频带的声压级，dB；</w:t>
      </w:r>
    </w:p>
    <w:p w14:paraId="49B52E87">
      <w:pPr>
        <w:autoSpaceDE w:val="0"/>
        <w:autoSpaceDN w:val="0"/>
        <w:adjustRightInd w:val="0"/>
        <w:spacing w:line="360" w:lineRule="auto"/>
        <w:ind w:firstLine="472" w:firstLineChars="2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N—室内声源总数。</w:t>
      </w:r>
    </w:p>
    <w:p w14:paraId="379DEC1E">
      <w:pPr>
        <w:autoSpaceDE w:val="0"/>
        <w:autoSpaceDN w:val="0"/>
        <w:adjustRightInd w:val="0"/>
        <w:spacing w:line="360" w:lineRule="auto"/>
        <w:ind w:firstLine="472" w:firstLineChars="2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在室内近似为扩散声场时，按式3计算出靠近室外围护结构处的声压级：</w:t>
      </w:r>
    </w:p>
    <w:p w14:paraId="6F1405D7">
      <w:pPr>
        <w:autoSpaceDE w:val="0"/>
        <w:autoSpaceDN w:val="0"/>
        <w:adjustRightInd w:val="0"/>
        <w:spacing w:line="360" w:lineRule="auto"/>
        <w:ind w:firstLine="472" w:firstLineChars="200"/>
        <w:jc w:val="center"/>
        <w:rPr>
          <w:rFonts w:hint="default" w:ascii="Times New Roman" w:hAnsi="Times New Roman" w:cs="Times New Roman"/>
          <w:color w:val="000000" w:themeColor="text1"/>
          <w:sz w:val="24"/>
          <w:lang w:val="pl-PL"/>
          <w14:textFill>
            <w14:solidFill>
              <w14:schemeClr w14:val="tx1"/>
            </w14:solidFill>
          </w14:textFill>
        </w:rPr>
      </w:pPr>
      <w:r>
        <w:rPr>
          <w:rFonts w:hint="default" w:ascii="Times New Roman" w:hAnsi="Times New Roman" w:cs="Times New Roman"/>
          <w:i/>
          <w:iCs/>
          <w:color w:val="000000" w:themeColor="text1"/>
          <w:sz w:val="24"/>
          <w:lang w:val="pl-PL"/>
          <w14:textFill>
            <w14:solidFill>
              <w14:schemeClr w14:val="tx1"/>
            </w14:solidFill>
          </w14:textFill>
        </w:rPr>
        <w:t>L</w:t>
      </w:r>
      <w:r>
        <w:rPr>
          <w:rFonts w:hint="default" w:ascii="Times New Roman" w:hAnsi="Times New Roman" w:cs="Times New Roman"/>
          <w:i/>
          <w:iCs/>
          <w:color w:val="000000" w:themeColor="text1"/>
          <w:sz w:val="24"/>
          <w:vertAlign w:val="subscript"/>
          <w:lang w:val="pl-PL"/>
          <w14:textFill>
            <w14:solidFill>
              <w14:schemeClr w14:val="tx1"/>
            </w14:solidFill>
          </w14:textFill>
        </w:rPr>
        <w:t>P</w:t>
      </w:r>
      <w:r>
        <w:rPr>
          <w:rFonts w:hint="default" w:ascii="Times New Roman" w:hAnsi="Times New Roman" w:cs="Times New Roman"/>
          <w:color w:val="000000" w:themeColor="text1"/>
          <w:sz w:val="24"/>
          <w:vertAlign w:val="subscript"/>
          <w:lang w:val="pl-PL"/>
          <w14:textFill>
            <w14:solidFill>
              <w14:schemeClr w14:val="tx1"/>
            </w14:solidFill>
          </w14:textFill>
        </w:rPr>
        <w:t>2</w:t>
      </w:r>
      <w:r>
        <w:rPr>
          <w:rFonts w:hint="default" w:ascii="Times New Roman" w:hAnsi="Times New Roman" w:cs="Times New Roman"/>
          <w:i/>
          <w:iCs/>
          <w:color w:val="000000" w:themeColor="text1"/>
          <w:sz w:val="24"/>
          <w:vertAlign w:val="subscript"/>
          <w:lang w:val="pl-PL"/>
          <w14:textFill>
            <w14:solidFill>
              <w14:schemeClr w14:val="tx1"/>
            </w14:solidFill>
          </w14:textFill>
        </w:rPr>
        <w:t>i</w:t>
      </w:r>
      <w:r>
        <w:rPr>
          <w:rFonts w:hint="default" w:ascii="Times New Roman" w:hAnsi="Times New Roman" w:cs="Times New Roman"/>
          <w:color w:val="000000" w:themeColor="text1"/>
          <w:sz w:val="24"/>
          <w:lang w:val="pl-PL"/>
          <w14:textFill>
            <w14:solidFill>
              <w14:schemeClr w14:val="tx1"/>
            </w14:solidFill>
          </w14:textFill>
        </w:rPr>
        <w:t>(T)=</w:t>
      </w:r>
      <w:r>
        <w:rPr>
          <w:rFonts w:hint="default" w:ascii="Times New Roman" w:hAnsi="Times New Roman" w:cs="Times New Roman"/>
          <w:i/>
          <w:iCs/>
          <w:color w:val="000000" w:themeColor="text1"/>
          <w:sz w:val="24"/>
          <w:lang w:val="pl-PL"/>
          <w14:textFill>
            <w14:solidFill>
              <w14:schemeClr w14:val="tx1"/>
            </w14:solidFill>
          </w14:textFill>
        </w:rPr>
        <w:t>L</w:t>
      </w:r>
      <w:r>
        <w:rPr>
          <w:rFonts w:hint="default" w:ascii="Times New Roman" w:hAnsi="Times New Roman" w:cs="Times New Roman"/>
          <w:i/>
          <w:iCs/>
          <w:color w:val="000000" w:themeColor="text1"/>
          <w:sz w:val="24"/>
          <w:vertAlign w:val="subscript"/>
          <w:lang w:val="pl-PL"/>
          <w14:textFill>
            <w14:solidFill>
              <w14:schemeClr w14:val="tx1"/>
            </w14:solidFill>
          </w14:textFill>
        </w:rPr>
        <w:t>P</w:t>
      </w:r>
      <w:r>
        <w:rPr>
          <w:rFonts w:hint="default" w:ascii="Times New Roman" w:hAnsi="Times New Roman" w:cs="Times New Roman"/>
          <w:color w:val="000000" w:themeColor="text1"/>
          <w:sz w:val="24"/>
          <w:vertAlign w:val="subscript"/>
          <w:lang w:val="pl-PL"/>
          <w14:textFill>
            <w14:solidFill>
              <w14:schemeClr w14:val="tx1"/>
            </w14:solidFill>
          </w14:textFill>
        </w:rPr>
        <w:t>1</w:t>
      </w:r>
      <w:r>
        <w:rPr>
          <w:rFonts w:hint="default" w:ascii="Times New Roman" w:hAnsi="Times New Roman" w:cs="Times New Roman"/>
          <w:i/>
          <w:iCs/>
          <w:color w:val="000000" w:themeColor="text1"/>
          <w:sz w:val="24"/>
          <w:vertAlign w:val="subscript"/>
          <w:lang w:val="pl-PL"/>
          <w14:textFill>
            <w14:solidFill>
              <w14:schemeClr w14:val="tx1"/>
            </w14:solidFill>
          </w14:textFill>
        </w:rPr>
        <w:t>i</w:t>
      </w:r>
      <w:r>
        <w:rPr>
          <w:rFonts w:hint="default" w:ascii="Times New Roman" w:hAnsi="Times New Roman" w:cs="Times New Roman"/>
          <w:color w:val="000000" w:themeColor="text1"/>
          <w:sz w:val="24"/>
          <w:lang w:val="pl-PL"/>
          <w14:textFill>
            <w14:solidFill>
              <w14:schemeClr w14:val="tx1"/>
            </w14:solidFill>
          </w14:textFill>
        </w:rPr>
        <w:t>(T)-（TL</w:t>
      </w:r>
      <w:r>
        <w:rPr>
          <w:rFonts w:hint="default" w:ascii="Times New Roman" w:hAnsi="Times New Roman" w:cs="Times New Roman"/>
          <w:color w:val="000000" w:themeColor="text1"/>
          <w:sz w:val="24"/>
          <w:vertAlign w:val="subscript"/>
          <w:lang w:val="pl-PL"/>
          <w14:textFill>
            <w14:solidFill>
              <w14:schemeClr w14:val="tx1"/>
            </w14:solidFill>
          </w14:textFill>
        </w:rPr>
        <w:t>i</w:t>
      </w:r>
      <w:r>
        <w:rPr>
          <w:rFonts w:hint="default" w:ascii="Times New Roman" w:hAnsi="Times New Roman" w:cs="Times New Roman"/>
          <w:color w:val="000000" w:themeColor="text1"/>
          <w:sz w:val="24"/>
          <w:lang w:val="pl-PL"/>
          <w14:textFill>
            <w14:solidFill>
              <w14:schemeClr w14:val="tx1"/>
            </w14:solidFill>
          </w14:textFill>
        </w:rPr>
        <w:t>+6）（</w:t>
      </w:r>
      <w:r>
        <w:rPr>
          <w:rFonts w:hint="default" w:ascii="Times New Roman" w:hAnsi="Times New Roman" w:cs="Times New Roman"/>
          <w:color w:val="000000" w:themeColor="text1"/>
          <w:sz w:val="24"/>
          <w14:textFill>
            <w14:solidFill>
              <w14:schemeClr w14:val="tx1"/>
            </w14:solidFill>
          </w14:textFill>
        </w:rPr>
        <w:t>式</w:t>
      </w:r>
      <w:r>
        <w:rPr>
          <w:rFonts w:hint="default" w:ascii="Times New Roman" w:hAnsi="Times New Roman" w:cs="Times New Roman"/>
          <w:color w:val="000000" w:themeColor="text1"/>
          <w:sz w:val="24"/>
          <w:lang w:val="pl-PL"/>
          <w14:textFill>
            <w14:solidFill>
              <w14:schemeClr w14:val="tx1"/>
            </w14:solidFill>
          </w14:textFill>
        </w:rPr>
        <w:t>3）</w:t>
      </w:r>
    </w:p>
    <w:p w14:paraId="3F6B477F">
      <w:pPr>
        <w:autoSpaceDE w:val="0"/>
        <w:autoSpaceDN w:val="0"/>
        <w:adjustRightInd w:val="0"/>
        <w:spacing w:line="360" w:lineRule="auto"/>
        <w:ind w:firstLine="472" w:firstLineChars="2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式中：</w:t>
      </w:r>
    </w:p>
    <w:p w14:paraId="7C8A6ED5">
      <w:pPr>
        <w:autoSpaceDE w:val="0"/>
        <w:autoSpaceDN w:val="0"/>
        <w:adjustRightInd w:val="0"/>
        <w:spacing w:line="360" w:lineRule="auto"/>
        <w:ind w:firstLine="472" w:firstLineChars="2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i/>
          <w:iCs/>
          <w:color w:val="000000" w:themeColor="text1"/>
          <w:sz w:val="24"/>
          <w14:textFill>
            <w14:solidFill>
              <w14:schemeClr w14:val="tx1"/>
            </w14:solidFill>
          </w14:textFill>
        </w:rPr>
        <w:t>L</w:t>
      </w:r>
      <w:r>
        <w:rPr>
          <w:rFonts w:hint="default" w:ascii="Times New Roman" w:hAnsi="Times New Roman" w:cs="Times New Roman"/>
          <w:i/>
          <w:iCs/>
          <w:color w:val="000000" w:themeColor="text1"/>
          <w:sz w:val="24"/>
          <w:vertAlign w:val="subscript"/>
          <w14:textFill>
            <w14:solidFill>
              <w14:schemeClr w14:val="tx1"/>
            </w14:solidFill>
          </w14:textFill>
        </w:rPr>
        <w:t>P</w:t>
      </w:r>
      <w:r>
        <w:rPr>
          <w:rFonts w:hint="default" w:ascii="Times New Roman" w:hAnsi="Times New Roman" w:cs="Times New Roman"/>
          <w:color w:val="000000" w:themeColor="text1"/>
          <w:sz w:val="24"/>
          <w:vertAlign w:val="subscript"/>
          <w14:textFill>
            <w14:solidFill>
              <w14:schemeClr w14:val="tx1"/>
            </w14:solidFill>
          </w14:textFill>
        </w:rPr>
        <w:t>2</w:t>
      </w:r>
      <w:r>
        <w:rPr>
          <w:rFonts w:hint="default" w:ascii="Times New Roman" w:hAnsi="Times New Roman" w:cs="Times New Roman"/>
          <w:i/>
          <w:iCs/>
          <w:color w:val="000000" w:themeColor="text1"/>
          <w:sz w:val="24"/>
          <w:vertAlign w:val="subscript"/>
          <w14:textFill>
            <w14:solidFill>
              <w14:schemeClr w14:val="tx1"/>
            </w14:solidFill>
          </w14:textFill>
        </w:rPr>
        <w:t>i</w:t>
      </w:r>
      <w:r>
        <w:rPr>
          <w:rFonts w:hint="default" w:ascii="Times New Roman" w:hAnsi="Times New Roman" w:cs="Times New Roman"/>
          <w:color w:val="000000" w:themeColor="text1"/>
          <w:sz w:val="24"/>
          <w14:textFill>
            <w14:solidFill>
              <w14:schemeClr w14:val="tx1"/>
            </w14:solidFill>
          </w14:textFill>
        </w:rPr>
        <w:t>(T)—靠近围护结构处室外N个声源</w:t>
      </w:r>
      <w:r>
        <w:rPr>
          <w:rFonts w:hint="default" w:ascii="Times New Roman" w:hAnsi="Times New Roman" w:cs="Times New Roman"/>
          <w:i/>
          <w:iCs/>
          <w:color w:val="000000" w:themeColor="text1"/>
          <w:sz w:val="24"/>
          <w14:textFill>
            <w14:solidFill>
              <w14:schemeClr w14:val="tx1"/>
            </w14:solidFill>
          </w14:textFill>
        </w:rPr>
        <w:t>i</w:t>
      </w:r>
      <w:r>
        <w:rPr>
          <w:rFonts w:hint="default" w:ascii="Times New Roman" w:hAnsi="Times New Roman" w:cs="Times New Roman"/>
          <w:color w:val="000000" w:themeColor="text1"/>
          <w:sz w:val="24"/>
          <w14:textFill>
            <w14:solidFill>
              <w14:schemeClr w14:val="tx1"/>
            </w14:solidFill>
          </w14:textFill>
        </w:rPr>
        <w:t>倍频带的叠加声压级，dB；</w:t>
      </w:r>
    </w:p>
    <w:p w14:paraId="2166C49C">
      <w:pPr>
        <w:autoSpaceDE w:val="0"/>
        <w:autoSpaceDN w:val="0"/>
        <w:adjustRightInd w:val="0"/>
        <w:spacing w:line="360" w:lineRule="auto"/>
        <w:ind w:firstLine="472" w:firstLineChars="2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i/>
          <w:iCs/>
          <w:color w:val="000000" w:themeColor="text1"/>
          <w:sz w:val="24"/>
          <w14:textFill>
            <w14:solidFill>
              <w14:schemeClr w14:val="tx1"/>
            </w14:solidFill>
          </w14:textFill>
        </w:rPr>
        <w:t>TL</w:t>
      </w:r>
      <w:r>
        <w:rPr>
          <w:rFonts w:hint="default" w:ascii="Times New Roman" w:hAnsi="Times New Roman" w:cs="Times New Roman"/>
          <w:i/>
          <w:iCs/>
          <w:color w:val="000000" w:themeColor="text1"/>
          <w:sz w:val="24"/>
          <w:vertAlign w:val="subscript"/>
          <w14:textFill>
            <w14:solidFill>
              <w14:schemeClr w14:val="tx1"/>
            </w14:solidFill>
          </w14:textFill>
        </w:rPr>
        <w:t>i</w:t>
      </w:r>
      <w:r>
        <w:rPr>
          <w:rFonts w:hint="default" w:ascii="Times New Roman" w:hAnsi="Times New Roman" w:cs="Times New Roman"/>
          <w:color w:val="000000" w:themeColor="text1"/>
          <w:sz w:val="24"/>
          <w14:textFill>
            <w14:solidFill>
              <w14:schemeClr w14:val="tx1"/>
            </w14:solidFill>
          </w14:textFill>
        </w:rPr>
        <w:t>—围护结构</w:t>
      </w:r>
      <w:r>
        <w:rPr>
          <w:rFonts w:hint="default" w:ascii="Times New Roman" w:hAnsi="Times New Roman" w:cs="Times New Roman"/>
          <w:i/>
          <w:iCs/>
          <w:color w:val="000000" w:themeColor="text1"/>
          <w:sz w:val="24"/>
          <w14:textFill>
            <w14:solidFill>
              <w14:schemeClr w14:val="tx1"/>
            </w14:solidFill>
          </w14:textFill>
        </w:rPr>
        <w:t>i</w:t>
      </w:r>
      <w:r>
        <w:rPr>
          <w:rFonts w:hint="default" w:ascii="Times New Roman" w:hAnsi="Times New Roman" w:cs="Times New Roman"/>
          <w:color w:val="000000" w:themeColor="text1"/>
          <w:sz w:val="24"/>
          <w14:textFill>
            <w14:solidFill>
              <w14:schemeClr w14:val="tx1"/>
            </w14:solidFill>
          </w14:textFill>
        </w:rPr>
        <w:t>倍频带的隔声量，dB。</w:t>
      </w:r>
    </w:p>
    <w:p w14:paraId="78E07B99">
      <w:pPr>
        <w:autoSpaceDE w:val="0"/>
        <w:autoSpaceDN w:val="0"/>
        <w:adjustRightInd w:val="0"/>
        <w:spacing w:line="360" w:lineRule="auto"/>
        <w:ind w:firstLine="472" w:firstLineChars="2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然后按下式将室外声源的声压级和透过面积换算成等效的室外声源，计算出中心位置位于透声面积（S）处的等效声源的倍频带声功率级。</w:t>
      </w:r>
    </w:p>
    <w:p w14:paraId="626DBBA1">
      <w:pPr>
        <w:autoSpaceDE w:val="0"/>
        <w:autoSpaceDN w:val="0"/>
        <w:adjustRightInd w:val="0"/>
        <w:spacing w:line="360" w:lineRule="auto"/>
        <w:ind w:firstLine="472" w:firstLineChars="200"/>
        <w:jc w:val="center"/>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i/>
          <w:iCs/>
          <w:color w:val="000000" w:themeColor="text1"/>
          <w:sz w:val="24"/>
          <w14:textFill>
            <w14:solidFill>
              <w14:schemeClr w14:val="tx1"/>
            </w14:solidFill>
          </w14:textFill>
        </w:rPr>
        <w:t>L</w:t>
      </w:r>
      <w:r>
        <w:rPr>
          <w:rFonts w:hint="default" w:ascii="Times New Roman" w:hAnsi="Times New Roman" w:cs="Times New Roman"/>
          <w:i/>
          <w:iCs/>
          <w:color w:val="000000" w:themeColor="text1"/>
          <w:sz w:val="24"/>
          <w:vertAlign w:val="subscript"/>
          <w14:textFill>
            <w14:solidFill>
              <w14:schemeClr w14:val="tx1"/>
            </w14:solidFill>
          </w14:textFill>
        </w:rPr>
        <w:t>W</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i/>
          <w:iCs/>
          <w:color w:val="000000" w:themeColor="text1"/>
          <w:sz w:val="24"/>
          <w14:textFill>
            <w14:solidFill>
              <w14:schemeClr w14:val="tx1"/>
            </w14:solidFill>
          </w14:textFill>
        </w:rPr>
        <w:t>L</w:t>
      </w:r>
      <w:r>
        <w:rPr>
          <w:rFonts w:hint="default" w:ascii="Times New Roman" w:hAnsi="Times New Roman" w:cs="Times New Roman"/>
          <w:i/>
          <w:iCs/>
          <w:color w:val="000000" w:themeColor="text1"/>
          <w:sz w:val="24"/>
          <w:vertAlign w:val="subscript"/>
          <w14:textFill>
            <w14:solidFill>
              <w14:schemeClr w14:val="tx1"/>
            </w14:solidFill>
          </w14:textFill>
        </w:rPr>
        <w:t>P</w:t>
      </w:r>
      <w:r>
        <w:rPr>
          <w:rFonts w:hint="default" w:ascii="Times New Roman" w:hAnsi="Times New Roman" w:cs="Times New Roman"/>
          <w:color w:val="000000" w:themeColor="text1"/>
          <w:sz w:val="24"/>
          <w:vertAlign w:val="subscript"/>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(T)+10lg</w:t>
      </w:r>
      <w:r>
        <w:rPr>
          <w:rFonts w:hint="default" w:ascii="Times New Roman" w:hAnsi="Times New Roman" w:cs="Times New Roman"/>
          <w:i/>
          <w:iCs/>
          <w:color w:val="000000" w:themeColor="text1"/>
          <w:sz w:val="24"/>
          <w14:textFill>
            <w14:solidFill>
              <w14:schemeClr w14:val="tx1"/>
            </w14:solidFill>
          </w14:textFill>
        </w:rPr>
        <w:t>s</w:t>
      </w:r>
      <w:r>
        <w:rPr>
          <w:rFonts w:hint="default" w:ascii="Times New Roman" w:hAnsi="Times New Roman" w:cs="Times New Roman"/>
          <w:color w:val="000000" w:themeColor="text1"/>
          <w:sz w:val="24"/>
          <w14:textFill>
            <w14:solidFill>
              <w14:schemeClr w14:val="tx1"/>
            </w14:solidFill>
          </w14:textFill>
        </w:rPr>
        <w:t>（式4）</w:t>
      </w:r>
    </w:p>
    <w:p w14:paraId="154506E9">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然后按室外声源预测方法计算预测点处的A声级。</w:t>
      </w:r>
    </w:p>
    <w:p w14:paraId="24DFCE10">
      <w:pPr>
        <w:spacing w:line="360" w:lineRule="auto"/>
        <w:ind w:firstLine="472" w:firstLineChars="200"/>
        <w:jc w:val="left"/>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2、室外的点声源在预测点产生的声级计算基本公式</w:t>
      </w:r>
    </w:p>
    <w:p w14:paraId="1E7476BD">
      <w:pPr>
        <w:adjustRightInd w:val="0"/>
        <w:spacing w:line="360" w:lineRule="auto"/>
        <w:ind w:firstLine="472" w:firstLineChars="200"/>
        <w:jc w:val="center"/>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snapToGrid w:val="0"/>
          <w:color w:val="000000" w:themeColor="text1"/>
          <w:sz w:val="24"/>
          <w14:textFill>
            <w14:solidFill>
              <w14:schemeClr w14:val="tx1"/>
            </w14:solidFill>
          </w14:textFill>
        </w:rPr>
        <w:t>L</w:t>
      </w:r>
      <w:r>
        <w:rPr>
          <w:rFonts w:hint="default" w:ascii="Times New Roman" w:hAnsi="Times New Roman" w:cs="Times New Roman"/>
          <w:snapToGrid w:val="0"/>
          <w:color w:val="000000" w:themeColor="text1"/>
          <w:sz w:val="24"/>
          <w:vertAlign w:val="subscript"/>
          <w14:textFill>
            <w14:solidFill>
              <w14:schemeClr w14:val="tx1"/>
            </w14:solidFill>
          </w14:textFill>
        </w:rPr>
        <w:t>A（r）</w:t>
      </w:r>
      <w:r>
        <w:rPr>
          <w:rFonts w:hint="default" w:ascii="Times New Roman" w:hAnsi="Times New Roman" w:cs="Times New Roman"/>
          <w:snapToGrid w:val="0"/>
          <w:color w:val="000000" w:themeColor="text1"/>
          <w:sz w:val="24"/>
          <w14:textFill>
            <w14:solidFill>
              <w14:schemeClr w14:val="tx1"/>
            </w14:solidFill>
          </w14:textFill>
        </w:rPr>
        <w:t>=L</w:t>
      </w:r>
      <w:r>
        <w:rPr>
          <w:rFonts w:hint="default" w:ascii="Times New Roman" w:hAnsi="Times New Roman" w:cs="Times New Roman"/>
          <w:snapToGrid w:val="0"/>
          <w:color w:val="000000" w:themeColor="text1"/>
          <w:sz w:val="24"/>
          <w:vertAlign w:val="subscript"/>
          <w14:textFill>
            <w14:solidFill>
              <w14:schemeClr w14:val="tx1"/>
            </w14:solidFill>
          </w14:textFill>
        </w:rPr>
        <w:t>Aref（r0）</w:t>
      </w:r>
      <w:r>
        <w:rPr>
          <w:rFonts w:hint="default" w:ascii="Times New Roman" w:hAnsi="Times New Roman" w:cs="Times New Roman"/>
          <w:snapToGrid w:val="0"/>
          <w:color w:val="000000" w:themeColor="text1"/>
          <w:sz w:val="24"/>
          <w14:textFill>
            <w14:solidFill>
              <w14:schemeClr w14:val="tx1"/>
            </w14:solidFill>
          </w14:textFill>
        </w:rPr>
        <w:t>+D</w:t>
      </w:r>
      <w:r>
        <w:rPr>
          <w:rFonts w:hint="default" w:ascii="Times New Roman" w:hAnsi="Times New Roman" w:cs="Times New Roman"/>
          <w:snapToGrid w:val="0"/>
          <w:color w:val="000000" w:themeColor="text1"/>
          <w:sz w:val="24"/>
          <w:vertAlign w:val="subscript"/>
          <w14:textFill>
            <w14:solidFill>
              <w14:schemeClr w14:val="tx1"/>
            </w14:solidFill>
          </w14:textFill>
        </w:rPr>
        <w:t>c</w:t>
      </w:r>
      <w:r>
        <w:rPr>
          <w:rFonts w:hint="default" w:ascii="Times New Roman" w:hAnsi="Times New Roman" w:cs="Times New Roman"/>
          <w:snapToGrid w:val="0"/>
          <w:color w:val="000000" w:themeColor="text1"/>
          <w:sz w:val="24"/>
          <w14:textFill>
            <w14:solidFill>
              <w14:schemeClr w14:val="tx1"/>
            </w14:solidFill>
          </w14:textFill>
        </w:rPr>
        <w:t>-（A</w:t>
      </w:r>
      <w:r>
        <w:rPr>
          <w:rFonts w:hint="default" w:ascii="Times New Roman" w:hAnsi="Times New Roman" w:cs="Times New Roman"/>
          <w:snapToGrid w:val="0"/>
          <w:color w:val="000000" w:themeColor="text1"/>
          <w:sz w:val="24"/>
          <w:vertAlign w:val="subscript"/>
          <w14:textFill>
            <w14:solidFill>
              <w14:schemeClr w14:val="tx1"/>
            </w14:solidFill>
          </w14:textFill>
        </w:rPr>
        <w:t>div</w:t>
      </w:r>
      <w:r>
        <w:rPr>
          <w:rFonts w:hint="default" w:ascii="Times New Roman" w:hAnsi="Times New Roman" w:cs="Times New Roman"/>
          <w:snapToGrid w:val="0"/>
          <w:color w:val="000000" w:themeColor="text1"/>
          <w:sz w:val="24"/>
          <w14:textFill>
            <w14:solidFill>
              <w14:schemeClr w14:val="tx1"/>
            </w14:solidFill>
          </w14:textFill>
        </w:rPr>
        <w:t>+A</w:t>
      </w:r>
      <w:r>
        <w:rPr>
          <w:rFonts w:hint="default" w:ascii="Times New Roman" w:hAnsi="Times New Roman" w:cs="Times New Roman"/>
          <w:snapToGrid w:val="0"/>
          <w:color w:val="000000" w:themeColor="text1"/>
          <w:sz w:val="24"/>
          <w:vertAlign w:val="subscript"/>
          <w14:textFill>
            <w14:solidFill>
              <w14:schemeClr w14:val="tx1"/>
            </w14:solidFill>
          </w14:textFill>
        </w:rPr>
        <w:t>bar</w:t>
      </w:r>
      <w:r>
        <w:rPr>
          <w:rFonts w:hint="default" w:ascii="Times New Roman" w:hAnsi="Times New Roman" w:cs="Times New Roman"/>
          <w:snapToGrid w:val="0"/>
          <w:color w:val="000000" w:themeColor="text1"/>
          <w:sz w:val="24"/>
          <w14:textFill>
            <w14:solidFill>
              <w14:schemeClr w14:val="tx1"/>
            </w14:solidFill>
          </w14:textFill>
        </w:rPr>
        <w:t>+A</w:t>
      </w:r>
      <w:r>
        <w:rPr>
          <w:rFonts w:hint="default" w:ascii="Times New Roman" w:hAnsi="Times New Roman" w:cs="Times New Roman"/>
          <w:snapToGrid w:val="0"/>
          <w:color w:val="000000" w:themeColor="text1"/>
          <w:sz w:val="24"/>
          <w:vertAlign w:val="subscript"/>
          <w14:textFill>
            <w14:solidFill>
              <w14:schemeClr w14:val="tx1"/>
            </w14:solidFill>
          </w14:textFill>
        </w:rPr>
        <w:t>atm</w:t>
      </w:r>
      <w:r>
        <w:rPr>
          <w:rFonts w:hint="default" w:ascii="Times New Roman" w:hAnsi="Times New Roman" w:cs="Times New Roman"/>
          <w:snapToGrid w:val="0"/>
          <w:color w:val="000000" w:themeColor="text1"/>
          <w:sz w:val="24"/>
          <w14:textFill>
            <w14:solidFill>
              <w14:schemeClr w14:val="tx1"/>
            </w14:solidFill>
          </w14:textFill>
        </w:rPr>
        <w:t>+A</w:t>
      </w:r>
      <w:r>
        <w:rPr>
          <w:rFonts w:hint="default" w:ascii="Times New Roman" w:hAnsi="Times New Roman" w:cs="Times New Roman"/>
          <w:snapToGrid w:val="0"/>
          <w:color w:val="000000" w:themeColor="text1"/>
          <w:sz w:val="24"/>
          <w:vertAlign w:val="subscript"/>
          <w14:textFill>
            <w14:solidFill>
              <w14:schemeClr w14:val="tx1"/>
            </w14:solidFill>
          </w14:textFill>
        </w:rPr>
        <w:t>gr</w:t>
      </w:r>
      <w:r>
        <w:rPr>
          <w:rFonts w:hint="default" w:ascii="Times New Roman" w:hAnsi="Times New Roman" w:cs="Times New Roman"/>
          <w:snapToGrid w:val="0"/>
          <w:color w:val="000000" w:themeColor="text1"/>
          <w:sz w:val="24"/>
          <w14:textFill>
            <w14:solidFill>
              <w14:schemeClr w14:val="tx1"/>
            </w14:solidFill>
          </w14:textFill>
        </w:rPr>
        <w:t>+A</w:t>
      </w:r>
      <w:r>
        <w:rPr>
          <w:rFonts w:hint="default" w:ascii="Times New Roman" w:hAnsi="Times New Roman" w:cs="Times New Roman"/>
          <w:snapToGrid w:val="0"/>
          <w:color w:val="000000" w:themeColor="text1"/>
          <w:sz w:val="24"/>
          <w:vertAlign w:val="subscript"/>
          <w14:textFill>
            <w14:solidFill>
              <w14:schemeClr w14:val="tx1"/>
            </w14:solidFill>
          </w14:textFill>
        </w:rPr>
        <w:t>misc</w:t>
      </w:r>
      <w:r>
        <w:rPr>
          <w:rFonts w:hint="default" w:ascii="Times New Roman" w:hAnsi="Times New Roman" w:cs="Times New Roman"/>
          <w:snapToGrid w:val="0"/>
          <w:color w:val="000000" w:themeColor="text1"/>
          <w:sz w:val="24"/>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（式5）</w:t>
      </w:r>
    </w:p>
    <w:p w14:paraId="6236819E">
      <w:pPr>
        <w:adjustRightInd w:val="0"/>
        <w:spacing w:line="360" w:lineRule="auto"/>
        <w:ind w:firstLine="472" w:firstLineChars="200"/>
        <w:jc w:val="left"/>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snapToGrid w:val="0"/>
          <w:color w:val="000000" w:themeColor="text1"/>
          <w:sz w:val="24"/>
          <w14:textFill>
            <w14:solidFill>
              <w14:schemeClr w14:val="tx1"/>
            </w14:solidFill>
          </w14:textFill>
        </w:rPr>
        <w:t>式中：</w:t>
      </w:r>
      <w:r>
        <w:rPr>
          <w:rFonts w:hint="default" w:ascii="Times New Roman" w:hAnsi="Times New Roman" w:cs="Times New Roman"/>
          <w:i/>
          <w:snapToGrid w:val="0"/>
          <w:color w:val="000000" w:themeColor="text1"/>
          <w:sz w:val="24"/>
          <w14:textFill>
            <w14:solidFill>
              <w14:schemeClr w14:val="tx1"/>
            </w14:solidFill>
          </w14:textFill>
        </w:rPr>
        <w:t>L</w:t>
      </w:r>
      <w:r>
        <w:rPr>
          <w:rFonts w:hint="default" w:ascii="Times New Roman" w:hAnsi="Times New Roman" w:cs="Times New Roman"/>
          <w:i/>
          <w:snapToGrid w:val="0"/>
          <w:color w:val="000000" w:themeColor="text1"/>
          <w:sz w:val="24"/>
          <w:vertAlign w:val="subscript"/>
          <w14:textFill>
            <w14:solidFill>
              <w14:schemeClr w14:val="tx1"/>
            </w14:solidFill>
          </w14:textFill>
        </w:rPr>
        <w:t>A（r）</w:t>
      </w:r>
      <w:r>
        <w:rPr>
          <w:rFonts w:hint="default" w:ascii="Times New Roman" w:hAnsi="Times New Roman" w:cs="Times New Roman"/>
          <w:snapToGrid w:val="0"/>
          <w:color w:val="000000" w:themeColor="text1"/>
          <w:sz w:val="24"/>
          <w14:textFill>
            <w14:solidFill>
              <w14:schemeClr w14:val="tx1"/>
            </w14:solidFill>
          </w14:textFill>
        </w:rPr>
        <w:t>——距离声源r处A声级，dB（A）；</w:t>
      </w:r>
    </w:p>
    <w:p w14:paraId="0054EE5B">
      <w:pPr>
        <w:adjustRightInd w:val="0"/>
        <w:spacing w:line="360" w:lineRule="auto"/>
        <w:ind w:firstLine="1180" w:firstLineChars="500"/>
        <w:jc w:val="left"/>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snapToGrid w:val="0"/>
          <w:color w:val="000000" w:themeColor="text1"/>
          <w:sz w:val="24"/>
          <w14:textFill>
            <w14:solidFill>
              <w14:schemeClr w14:val="tx1"/>
            </w14:solidFill>
          </w14:textFill>
        </w:rPr>
        <w:t>D</w:t>
      </w:r>
      <w:r>
        <w:rPr>
          <w:rFonts w:hint="default" w:ascii="Times New Roman" w:hAnsi="Times New Roman" w:cs="Times New Roman"/>
          <w:snapToGrid w:val="0"/>
          <w:color w:val="000000" w:themeColor="text1"/>
          <w:sz w:val="24"/>
          <w:vertAlign w:val="subscript"/>
          <w14:textFill>
            <w14:solidFill>
              <w14:schemeClr w14:val="tx1"/>
            </w14:solidFill>
          </w14:textFill>
        </w:rPr>
        <w:t>c</w:t>
      </w:r>
      <w:r>
        <w:rPr>
          <w:rFonts w:hint="default" w:ascii="Times New Roman" w:hAnsi="Times New Roman" w:cs="Times New Roman"/>
          <w:snapToGrid w:val="0"/>
          <w:color w:val="000000" w:themeColor="text1"/>
          <w:sz w:val="24"/>
          <w14:textFill>
            <w14:solidFill>
              <w14:schemeClr w14:val="tx1"/>
            </w14:solidFill>
          </w14:textFill>
        </w:rPr>
        <w:t>——指向性校正，dB(A)，取0；</w:t>
      </w:r>
    </w:p>
    <w:p w14:paraId="5E548C9C">
      <w:pPr>
        <w:adjustRightInd w:val="0"/>
        <w:spacing w:line="360" w:lineRule="auto"/>
        <w:ind w:firstLine="1180" w:firstLineChars="500"/>
        <w:jc w:val="left"/>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i/>
          <w:snapToGrid w:val="0"/>
          <w:color w:val="000000" w:themeColor="text1"/>
          <w:sz w:val="24"/>
          <w14:textFill>
            <w14:solidFill>
              <w14:schemeClr w14:val="tx1"/>
            </w14:solidFill>
          </w14:textFill>
        </w:rPr>
        <w:t>A</w:t>
      </w:r>
      <w:r>
        <w:rPr>
          <w:rFonts w:hint="default" w:ascii="Times New Roman" w:hAnsi="Times New Roman" w:cs="Times New Roman"/>
          <w:i/>
          <w:snapToGrid w:val="0"/>
          <w:color w:val="000000" w:themeColor="text1"/>
          <w:sz w:val="24"/>
          <w:vertAlign w:val="subscript"/>
          <w14:textFill>
            <w14:solidFill>
              <w14:schemeClr w14:val="tx1"/>
            </w14:solidFill>
          </w14:textFill>
        </w:rPr>
        <w:t>Aref（r0）</w:t>
      </w:r>
      <w:r>
        <w:rPr>
          <w:rFonts w:hint="default" w:ascii="Times New Roman" w:hAnsi="Times New Roman" w:cs="Times New Roman"/>
          <w:snapToGrid w:val="0"/>
          <w:color w:val="000000" w:themeColor="text1"/>
          <w:sz w:val="24"/>
          <w14:textFill>
            <w14:solidFill>
              <w14:schemeClr w14:val="tx1"/>
            </w14:solidFill>
          </w14:textFill>
        </w:rPr>
        <w:t>——参考位置r</w:t>
      </w:r>
      <w:r>
        <w:rPr>
          <w:rFonts w:hint="default" w:ascii="Times New Roman" w:hAnsi="Times New Roman" w:cs="Times New Roman"/>
          <w:snapToGrid w:val="0"/>
          <w:color w:val="000000" w:themeColor="text1"/>
          <w:sz w:val="24"/>
          <w:vertAlign w:val="subscript"/>
          <w14:textFill>
            <w14:solidFill>
              <w14:schemeClr w14:val="tx1"/>
            </w14:solidFill>
          </w14:textFill>
        </w:rPr>
        <w:t>0</w:t>
      </w:r>
      <w:r>
        <w:rPr>
          <w:rFonts w:hint="default" w:ascii="Times New Roman" w:hAnsi="Times New Roman" w:cs="Times New Roman"/>
          <w:snapToGrid w:val="0"/>
          <w:color w:val="000000" w:themeColor="text1"/>
          <w:sz w:val="24"/>
          <w14:textFill>
            <w14:solidFill>
              <w14:schemeClr w14:val="tx1"/>
            </w14:solidFill>
          </w14:textFill>
        </w:rPr>
        <w:t>处A声级，dB（A）；</w:t>
      </w:r>
    </w:p>
    <w:p w14:paraId="318EBD0F">
      <w:pPr>
        <w:adjustRightInd w:val="0"/>
        <w:spacing w:line="360" w:lineRule="auto"/>
        <w:ind w:firstLine="1180" w:firstLineChars="500"/>
        <w:jc w:val="left"/>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i/>
          <w:snapToGrid w:val="0"/>
          <w:color w:val="000000" w:themeColor="text1"/>
          <w:sz w:val="24"/>
          <w14:textFill>
            <w14:solidFill>
              <w14:schemeClr w14:val="tx1"/>
            </w14:solidFill>
          </w14:textFill>
        </w:rPr>
        <w:t>A</w:t>
      </w:r>
      <w:r>
        <w:rPr>
          <w:rFonts w:hint="default" w:ascii="Times New Roman" w:hAnsi="Times New Roman" w:cs="Times New Roman"/>
          <w:i/>
          <w:snapToGrid w:val="0"/>
          <w:color w:val="000000" w:themeColor="text1"/>
          <w:sz w:val="24"/>
          <w:vertAlign w:val="subscript"/>
          <w14:textFill>
            <w14:solidFill>
              <w14:schemeClr w14:val="tx1"/>
            </w14:solidFill>
          </w14:textFill>
        </w:rPr>
        <w:t>div</w:t>
      </w:r>
      <w:r>
        <w:rPr>
          <w:rFonts w:hint="default" w:ascii="Times New Roman" w:hAnsi="Times New Roman" w:cs="Times New Roman"/>
          <w:snapToGrid w:val="0"/>
          <w:color w:val="000000" w:themeColor="text1"/>
          <w:sz w:val="24"/>
          <w14:textFill>
            <w14:solidFill>
              <w14:schemeClr w14:val="tx1"/>
            </w14:solidFill>
          </w14:textFill>
        </w:rPr>
        <w:t>——声波几何发散引起的A声级衰减量，dB（A）；</w:t>
      </w:r>
    </w:p>
    <w:p w14:paraId="4D2A1DA4">
      <w:pPr>
        <w:adjustRightInd w:val="0"/>
        <w:spacing w:line="360" w:lineRule="auto"/>
        <w:ind w:firstLine="1180" w:firstLineChars="500"/>
        <w:jc w:val="left"/>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i/>
          <w:snapToGrid w:val="0"/>
          <w:color w:val="000000" w:themeColor="text1"/>
          <w:sz w:val="24"/>
          <w14:textFill>
            <w14:solidFill>
              <w14:schemeClr w14:val="tx1"/>
            </w14:solidFill>
          </w14:textFill>
        </w:rPr>
        <w:t>A</w:t>
      </w:r>
      <w:r>
        <w:rPr>
          <w:rFonts w:hint="default" w:ascii="Times New Roman" w:hAnsi="Times New Roman" w:cs="Times New Roman"/>
          <w:i/>
          <w:snapToGrid w:val="0"/>
          <w:color w:val="000000" w:themeColor="text1"/>
          <w:sz w:val="24"/>
          <w:vertAlign w:val="subscript"/>
          <w14:textFill>
            <w14:solidFill>
              <w14:schemeClr w14:val="tx1"/>
            </w14:solidFill>
          </w14:textFill>
        </w:rPr>
        <w:t>bar</w:t>
      </w:r>
      <w:r>
        <w:rPr>
          <w:rFonts w:hint="default" w:ascii="Times New Roman" w:hAnsi="Times New Roman" w:cs="Times New Roman"/>
          <w:snapToGrid w:val="0"/>
          <w:color w:val="000000" w:themeColor="text1"/>
          <w:sz w:val="24"/>
          <w14:textFill>
            <w14:solidFill>
              <w14:schemeClr w14:val="tx1"/>
            </w14:solidFill>
          </w14:textFill>
        </w:rPr>
        <w:t>——遮挡物引起的A声级衰减量，dB（A）；</w:t>
      </w:r>
    </w:p>
    <w:p w14:paraId="22FBDD97">
      <w:pPr>
        <w:adjustRightInd w:val="0"/>
        <w:spacing w:line="360" w:lineRule="auto"/>
        <w:ind w:firstLine="1180" w:firstLineChars="500"/>
        <w:jc w:val="left"/>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i/>
          <w:snapToGrid w:val="0"/>
          <w:color w:val="000000" w:themeColor="text1"/>
          <w:sz w:val="24"/>
          <w14:textFill>
            <w14:solidFill>
              <w14:schemeClr w14:val="tx1"/>
            </w14:solidFill>
          </w14:textFill>
        </w:rPr>
        <w:t>A</w:t>
      </w:r>
      <w:r>
        <w:rPr>
          <w:rFonts w:hint="default" w:ascii="Times New Roman" w:hAnsi="Times New Roman" w:cs="Times New Roman"/>
          <w:i/>
          <w:snapToGrid w:val="0"/>
          <w:color w:val="000000" w:themeColor="text1"/>
          <w:sz w:val="24"/>
          <w:vertAlign w:val="subscript"/>
          <w14:textFill>
            <w14:solidFill>
              <w14:schemeClr w14:val="tx1"/>
            </w14:solidFill>
          </w14:textFill>
        </w:rPr>
        <w:t>atm</w:t>
      </w:r>
      <w:r>
        <w:rPr>
          <w:rFonts w:hint="default" w:ascii="Times New Roman" w:hAnsi="Times New Roman" w:cs="Times New Roman"/>
          <w:snapToGrid w:val="0"/>
          <w:color w:val="000000" w:themeColor="text1"/>
          <w:sz w:val="24"/>
          <w14:textFill>
            <w14:solidFill>
              <w14:schemeClr w14:val="tx1"/>
            </w14:solidFill>
          </w14:textFill>
        </w:rPr>
        <w:t>——空气吸收引起的A声级衰减量，dB（A）；</w:t>
      </w:r>
    </w:p>
    <w:p w14:paraId="05BAE0AB">
      <w:pPr>
        <w:adjustRightInd w:val="0"/>
        <w:spacing w:line="360" w:lineRule="auto"/>
        <w:ind w:firstLine="1180" w:firstLineChars="500"/>
        <w:jc w:val="left"/>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i/>
          <w:snapToGrid w:val="0"/>
          <w:color w:val="000000" w:themeColor="text1"/>
          <w:sz w:val="24"/>
          <w14:textFill>
            <w14:solidFill>
              <w14:schemeClr w14:val="tx1"/>
            </w14:solidFill>
          </w14:textFill>
        </w:rPr>
        <w:t>A</w:t>
      </w:r>
      <w:r>
        <w:rPr>
          <w:rFonts w:hint="default" w:ascii="Times New Roman" w:hAnsi="Times New Roman" w:cs="Times New Roman"/>
          <w:i/>
          <w:snapToGrid w:val="0"/>
          <w:color w:val="000000" w:themeColor="text1"/>
          <w:sz w:val="24"/>
          <w:vertAlign w:val="subscript"/>
          <w14:textFill>
            <w14:solidFill>
              <w14:schemeClr w14:val="tx1"/>
            </w14:solidFill>
          </w14:textFill>
        </w:rPr>
        <w:t>gr</w:t>
      </w:r>
      <w:r>
        <w:rPr>
          <w:rFonts w:hint="default" w:ascii="Times New Roman" w:hAnsi="Times New Roman" w:cs="Times New Roman"/>
          <w:snapToGrid w:val="0"/>
          <w:color w:val="000000" w:themeColor="text1"/>
          <w:sz w:val="24"/>
          <w14:textFill>
            <w14:solidFill>
              <w14:schemeClr w14:val="tx1"/>
            </w14:solidFill>
          </w14:textFill>
        </w:rPr>
        <w:t>——地面效应衰减量，dB（A）。</w:t>
      </w:r>
    </w:p>
    <w:p w14:paraId="1616085A">
      <w:pPr>
        <w:adjustRightInd w:val="0"/>
        <w:spacing w:line="360" w:lineRule="auto"/>
        <w:ind w:firstLine="1180" w:firstLineChars="500"/>
        <w:jc w:val="left"/>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snapToGrid w:val="0"/>
          <w:color w:val="000000" w:themeColor="text1"/>
          <w:sz w:val="24"/>
          <w14:textFill>
            <w14:solidFill>
              <w14:schemeClr w14:val="tx1"/>
            </w14:solidFill>
          </w14:textFill>
        </w:rPr>
        <w:t>A</w:t>
      </w:r>
      <w:r>
        <w:rPr>
          <w:rFonts w:hint="default" w:ascii="Times New Roman" w:hAnsi="Times New Roman" w:cs="Times New Roman"/>
          <w:snapToGrid w:val="0"/>
          <w:color w:val="000000" w:themeColor="text1"/>
          <w:sz w:val="24"/>
          <w:vertAlign w:val="subscript"/>
          <w14:textFill>
            <w14:solidFill>
              <w14:schemeClr w14:val="tx1"/>
            </w14:solidFill>
          </w14:textFill>
        </w:rPr>
        <w:t>misc</w:t>
      </w:r>
      <w:r>
        <w:rPr>
          <w:rFonts w:hint="default" w:ascii="Times New Roman" w:hAnsi="Times New Roman" w:cs="Times New Roman"/>
          <w:snapToGrid w:val="0"/>
          <w:color w:val="000000" w:themeColor="text1"/>
          <w:sz w:val="24"/>
          <w14:textFill>
            <w14:solidFill>
              <w14:schemeClr w14:val="tx1"/>
            </w14:solidFill>
          </w14:textFill>
        </w:rPr>
        <w:t>——其它方面引起的衰减量，dB(A)</w:t>
      </w:r>
    </w:p>
    <w:p w14:paraId="00771389">
      <w:pPr>
        <w:adjustRightInd w:val="0"/>
        <w:spacing w:line="360" w:lineRule="auto"/>
        <w:ind w:firstLine="472" w:firstLineChars="200"/>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snapToGrid w:val="0"/>
          <w:color w:val="000000" w:themeColor="text1"/>
          <w:sz w:val="24"/>
          <w14:textFill>
            <w14:solidFill>
              <w14:schemeClr w14:val="tx1"/>
            </w14:solidFill>
          </w14:textFill>
        </w:rPr>
        <w:t>根据上述公式，对主要生产设备噪声值进行叠加计算，预测项目实施后对厂界声环境的影响。</w:t>
      </w:r>
    </w:p>
    <w:p w14:paraId="19178B26">
      <w:pPr>
        <w:spacing w:line="360" w:lineRule="auto"/>
        <w:ind w:firstLine="472" w:firstLineChars="2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各预测点声压级按下列公式进行叠加：</w:t>
      </w:r>
    </w:p>
    <w:p w14:paraId="475A1F72">
      <w:pPr>
        <w:spacing w:line="360" w:lineRule="auto"/>
        <w:ind w:firstLine="392" w:firstLineChars="200"/>
        <w:jc w:val="center"/>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pict>
          <v:shape id="对象 1434" o:spid="_x0000_s2050" o:spt="75" type="#_x0000_t75" style="position:absolute;left:0pt;margin-left:142.65pt;margin-top:0.05pt;height:36.9pt;width:164.05pt;z-index:251813888;mso-width-relative:page;mso-height-relative:page;" o:ole="t" fillcolor="#6D6D6D" filled="f" o:preferrelative="t" stroked="f" coordsize="21600,21600">
            <v:path/>
            <v:fill on="f" focussize="0,0"/>
            <v:stroke on="f" joinstyle="miter"/>
            <v:imagedata r:id="rId71" o:title=""/>
            <o:lock v:ext="edit" aspectratio="t"/>
          </v:shape>
          <o:OLEObject Type="Embed" ProgID="Equation.3" ShapeID="对象 1434" DrawAspect="Content" ObjectID="_1468075726" r:id="rId70">
            <o:LockedField>false</o:LockedField>
          </o:OLEObject>
        </w:pict>
      </w: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14912" behindDoc="0" locked="0" layoutInCell="1" allowOverlap="1">
                <wp:simplePos x="0" y="0"/>
                <wp:positionH relativeFrom="column">
                  <wp:posOffset>4411345</wp:posOffset>
                </wp:positionH>
                <wp:positionV relativeFrom="paragraph">
                  <wp:posOffset>67310</wp:posOffset>
                </wp:positionV>
                <wp:extent cx="897890" cy="322580"/>
                <wp:effectExtent l="0" t="0" r="0" b="0"/>
                <wp:wrapNone/>
                <wp:docPr id="236" name="文本框 1435"/>
                <wp:cNvGraphicFramePr/>
                <a:graphic xmlns:a="http://schemas.openxmlformats.org/drawingml/2006/main">
                  <a:graphicData uri="http://schemas.microsoft.com/office/word/2010/wordprocessingShape">
                    <wps:wsp>
                      <wps:cNvSpPr txBox="1">
                        <a:spLocks noChangeArrowheads="1"/>
                      </wps:cNvSpPr>
                      <wps:spPr bwMode="auto">
                        <a:xfrm>
                          <a:off x="0" y="0"/>
                          <a:ext cx="897890" cy="322580"/>
                        </a:xfrm>
                        <a:prstGeom prst="rect">
                          <a:avLst/>
                        </a:prstGeom>
                        <a:noFill/>
                        <a:ln>
                          <a:noFill/>
                        </a:ln>
                        <a:effectLst/>
                      </wps:spPr>
                      <wps:txbx>
                        <w:txbxContent>
                          <w:p w14:paraId="4D73AFA9">
                            <w:r>
                              <w:rPr>
                                <w:rFonts w:hint="eastAsia"/>
                                <w:sz w:val="24"/>
                              </w:rPr>
                              <w:t>（式</w:t>
                            </w:r>
                            <w:r>
                              <w:rPr>
                                <w:sz w:val="24"/>
                              </w:rPr>
                              <w:t>6</w:t>
                            </w:r>
                            <w:r>
                              <w:rPr>
                                <w:rFonts w:hint="eastAsia"/>
                                <w:sz w:val="24"/>
                              </w:rPr>
                              <w:t>）</w:t>
                            </w:r>
                          </w:p>
                        </w:txbxContent>
                      </wps:txbx>
                      <wps:bodyPr rot="0" vert="horz" wrap="square" lIns="91440" tIns="45720" rIns="91440" bIns="45720" anchor="t" anchorCtr="0" upright="1">
                        <a:noAutofit/>
                      </wps:bodyPr>
                    </wps:wsp>
                  </a:graphicData>
                </a:graphic>
              </wp:anchor>
            </w:drawing>
          </mc:Choice>
          <mc:Fallback>
            <w:pict>
              <v:shape id="文本框 1435" o:spid="_x0000_s1026" o:spt="202" type="#_x0000_t202" style="position:absolute;left:0pt;margin-left:347.35pt;margin-top:5.3pt;height:25.4pt;width:70.7pt;z-index:251814912;mso-width-relative:page;mso-height-relative:page;" filled="f" stroked="f" coordsize="21600,21600" o:gfxdata="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tsDjG1gAA&#10;AAkBAAAPAAAAAAAAAAEAIAAAACIAAABkcnMvZG93bnJldi54bWxQSwECFAAUAAAACACHTuJA3hAd&#10;iSACAAAnBAAADgAAAAAAAAABACAAAAAlAQAAZHJzL2Uyb0RvYy54bWxQSwUGAAAAAAYABgBZAQAA&#10;twUAAAAA&#10;">
                <v:fill on="f" focussize="0,0"/>
                <v:stroke on="f"/>
                <v:imagedata o:title=""/>
                <o:lock v:ext="edit" aspectratio="f"/>
                <v:textbox>
                  <w:txbxContent>
                    <w:p w14:paraId="4D73AFA9">
                      <w:r>
                        <w:rPr>
                          <w:rFonts w:hint="eastAsia"/>
                          <w:sz w:val="24"/>
                        </w:rPr>
                        <w:t>（式</w:t>
                      </w:r>
                      <w:r>
                        <w:rPr>
                          <w:sz w:val="24"/>
                        </w:rPr>
                        <w:t>6</w:t>
                      </w:r>
                      <w:r>
                        <w:rPr>
                          <w:rFonts w:hint="eastAsia"/>
                          <w:sz w:val="24"/>
                        </w:rPr>
                        <w:t>）</w:t>
                      </w:r>
                    </w:p>
                  </w:txbxContent>
                </v:textbox>
              </v:shape>
            </w:pict>
          </mc:Fallback>
        </mc:AlternateContent>
      </w:r>
    </w:p>
    <w:p w14:paraId="01FC20CD">
      <w:pPr>
        <w:spacing w:line="360" w:lineRule="auto"/>
        <w:jc w:val="left"/>
        <w:rPr>
          <w:rFonts w:hint="default" w:ascii="Times New Roman" w:hAnsi="Times New Roman" w:cs="Times New Roman"/>
          <w:color w:val="000000" w:themeColor="text1"/>
          <w:sz w:val="24"/>
          <w14:textFill>
            <w14:solidFill>
              <w14:schemeClr w14:val="tx1"/>
            </w14:solidFill>
          </w14:textFill>
        </w:rPr>
      </w:pPr>
    </w:p>
    <w:p w14:paraId="4901A579">
      <w:pPr>
        <w:spacing w:line="360" w:lineRule="auto"/>
        <w:ind w:firstLine="472" w:firstLineChars="2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式中：L</w:t>
      </w:r>
      <w:r>
        <w:rPr>
          <w:rFonts w:hint="default" w:ascii="Times New Roman" w:hAnsi="Times New Roman" w:cs="Times New Roman"/>
          <w:color w:val="000000" w:themeColor="text1"/>
          <w:sz w:val="24"/>
          <w:vertAlign w:val="subscript"/>
          <w14:textFill>
            <w14:solidFill>
              <w14:schemeClr w14:val="tx1"/>
            </w14:solidFill>
          </w14:textFill>
        </w:rPr>
        <w:t>总</w:t>
      </w:r>
      <w:r>
        <w:rPr>
          <w:rFonts w:hint="default" w:ascii="Times New Roman" w:hAnsi="Times New Roman" w:cs="Times New Roman"/>
          <w:color w:val="000000" w:themeColor="text1"/>
          <w:sz w:val="24"/>
          <w14:textFill>
            <w14:solidFill>
              <w14:schemeClr w14:val="tx1"/>
            </w14:solidFill>
          </w14:textFill>
        </w:rPr>
        <w:t>－－预测点总的A声级，dB(A)；</w:t>
      </w:r>
    </w:p>
    <w:p w14:paraId="773E3412">
      <w:pPr>
        <w:spacing w:line="360" w:lineRule="auto"/>
        <w:ind w:firstLine="1180" w:firstLineChars="5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i/>
          <w:color w:val="000000" w:themeColor="text1"/>
          <w:sz w:val="24"/>
          <w14:textFill>
            <w14:solidFill>
              <w14:schemeClr w14:val="tx1"/>
            </w14:solidFill>
          </w14:textFill>
        </w:rPr>
        <w:t>L</w:t>
      </w:r>
      <w:r>
        <w:rPr>
          <w:rFonts w:hint="default" w:ascii="Times New Roman" w:hAnsi="Times New Roman" w:cs="Times New Roman"/>
          <w:i/>
          <w:color w:val="000000" w:themeColor="text1"/>
          <w:sz w:val="24"/>
          <w:vertAlign w:val="subscript"/>
          <w14:textFill>
            <w14:solidFill>
              <w14:schemeClr w14:val="tx1"/>
            </w14:solidFill>
          </w14:textFill>
        </w:rPr>
        <w:t>i</w:t>
      </w:r>
      <w:r>
        <w:rPr>
          <w:rFonts w:hint="default" w:ascii="Times New Roman" w:hAnsi="Times New Roman" w:cs="Times New Roman"/>
          <w:color w:val="000000" w:themeColor="text1"/>
          <w:sz w:val="24"/>
          <w14:textFill>
            <w14:solidFill>
              <w14:schemeClr w14:val="tx1"/>
            </w14:solidFill>
          </w14:textFill>
        </w:rPr>
        <w:t>－－第i个声源到预测点处的声压级，dB(A)；</w:t>
      </w:r>
    </w:p>
    <w:p w14:paraId="1E3B5215">
      <w:pPr>
        <w:spacing w:line="360" w:lineRule="auto"/>
        <w:ind w:firstLine="1180" w:firstLineChars="5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i/>
          <w:color w:val="000000" w:themeColor="text1"/>
          <w:sz w:val="24"/>
          <w14:textFill>
            <w14:solidFill>
              <w14:schemeClr w14:val="tx1"/>
            </w14:solidFill>
          </w14:textFill>
        </w:rPr>
        <w:t>L</w:t>
      </w:r>
      <w:r>
        <w:rPr>
          <w:rFonts w:hint="default" w:ascii="Times New Roman" w:hAnsi="Times New Roman" w:cs="Times New Roman"/>
          <w:i/>
          <w:color w:val="000000" w:themeColor="text1"/>
          <w:sz w:val="24"/>
          <w:vertAlign w:val="subscript"/>
          <w14:textFill>
            <w14:solidFill>
              <w14:schemeClr w14:val="tx1"/>
            </w14:solidFill>
          </w14:textFill>
        </w:rPr>
        <w:t>b</w:t>
      </w:r>
      <w:r>
        <w:rPr>
          <w:rFonts w:hint="default" w:ascii="Times New Roman" w:hAnsi="Times New Roman" w:cs="Times New Roman"/>
          <w:color w:val="000000" w:themeColor="text1"/>
          <w:sz w:val="24"/>
          <w14:textFill>
            <w14:solidFill>
              <w14:schemeClr w14:val="tx1"/>
            </w14:solidFill>
          </w14:textFill>
        </w:rPr>
        <w:t>－－背景噪声值，dB(A)；</w:t>
      </w:r>
    </w:p>
    <w:p w14:paraId="0E68EF93">
      <w:pPr>
        <w:spacing w:line="360" w:lineRule="auto"/>
        <w:ind w:firstLine="1180" w:firstLineChars="5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i/>
          <w:color w:val="000000" w:themeColor="text1"/>
          <w:sz w:val="24"/>
          <w14:textFill>
            <w14:solidFill>
              <w14:schemeClr w14:val="tx1"/>
            </w14:solidFill>
          </w14:textFill>
        </w:rPr>
        <w:t>n</w:t>
      </w:r>
      <w:r>
        <w:rPr>
          <w:rFonts w:hint="default" w:ascii="Times New Roman" w:hAnsi="Times New Roman" w:cs="Times New Roman"/>
          <w:color w:val="000000" w:themeColor="text1"/>
          <w:sz w:val="24"/>
          <w14:textFill>
            <w14:solidFill>
              <w14:schemeClr w14:val="tx1"/>
            </w14:solidFill>
          </w14:textFill>
        </w:rPr>
        <w:t>－－声源个数。</w:t>
      </w:r>
    </w:p>
    <w:p w14:paraId="7A6BB26B">
      <w:pPr>
        <w:adjustRightInd w:val="0"/>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预测参数确定：</w:t>
      </w:r>
    </w:p>
    <w:p w14:paraId="5A990462">
      <w:pPr>
        <w:adjustRightInd w:val="0"/>
        <w:spacing w:line="360" w:lineRule="auto"/>
        <w:ind w:firstLine="472" w:firstLineChars="200"/>
        <w:rPr>
          <w:rFonts w:hint="default" w:ascii="Times New Roman" w:hAnsi="Times New Roman" w:cs="Times New Roman"/>
          <w:snapToGrid w:val="0"/>
          <w:color w:val="000000" w:themeColor="text1"/>
          <w:sz w:val="24"/>
          <w:vertAlign w:val="subscript"/>
          <w14:textFill>
            <w14:solidFill>
              <w14:schemeClr w14:val="tx1"/>
            </w14:solidFill>
          </w14:textFill>
        </w:rPr>
      </w:pPr>
      <w:r>
        <w:rPr>
          <w:rFonts w:hint="default" w:ascii="Times New Roman" w:hAnsi="Times New Roman" w:cs="Times New Roman"/>
          <w:snapToGrid w:val="0"/>
          <w:color w:val="000000" w:themeColor="text1"/>
          <w:sz w:val="24"/>
          <w14:textFill>
            <w14:solidFill>
              <w14:schemeClr w14:val="tx1"/>
            </w14:solidFill>
          </w14:textFill>
        </w:rPr>
        <w:t>①几何发散衰减量A</w:t>
      </w:r>
      <w:r>
        <w:rPr>
          <w:rFonts w:hint="default" w:ascii="Times New Roman" w:hAnsi="Times New Roman" w:cs="Times New Roman"/>
          <w:snapToGrid w:val="0"/>
          <w:color w:val="000000" w:themeColor="text1"/>
          <w:sz w:val="24"/>
          <w:vertAlign w:val="subscript"/>
          <w14:textFill>
            <w14:solidFill>
              <w14:schemeClr w14:val="tx1"/>
            </w14:solidFill>
          </w14:textFill>
        </w:rPr>
        <w:t>div</w:t>
      </w:r>
    </w:p>
    <w:p w14:paraId="13799571">
      <w:pPr>
        <w:spacing w:line="360" w:lineRule="auto"/>
        <w:ind w:firstLine="472" w:firstLineChars="2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选用半自由声场无指向性点声源几何发散衰减基本模式计算：</w:t>
      </w:r>
    </w:p>
    <w:p w14:paraId="2E440170">
      <w:pPr>
        <w:spacing w:line="360" w:lineRule="auto"/>
        <w:ind w:firstLine="472" w:firstLineChars="200"/>
        <w:jc w:val="center"/>
        <w:rPr>
          <w:rFonts w:hint="default" w:ascii="Times New Roman" w:hAnsi="Times New Roman" w:cs="Times New Roman"/>
          <w:i/>
          <w:color w:val="000000" w:themeColor="text1"/>
          <w:sz w:val="24"/>
          <w:lang w:val="pt-BR"/>
          <w14:textFill>
            <w14:solidFill>
              <w14:schemeClr w14:val="tx1"/>
            </w14:solidFill>
          </w14:textFill>
        </w:rPr>
      </w:pPr>
      <w:r>
        <w:rPr>
          <w:rFonts w:hint="default" w:ascii="Times New Roman" w:hAnsi="Times New Roman" w:cs="Times New Roman"/>
          <w:i/>
          <w:snapToGrid w:val="0"/>
          <w:color w:val="000000" w:themeColor="text1"/>
          <w:sz w:val="24"/>
          <w:lang w:val="pt-BR"/>
          <w14:textFill>
            <w14:solidFill>
              <w14:schemeClr w14:val="tx1"/>
            </w14:solidFill>
          </w14:textFill>
        </w:rPr>
        <w:t>A</w:t>
      </w:r>
      <w:r>
        <w:rPr>
          <w:rFonts w:hint="default" w:ascii="Times New Roman" w:hAnsi="Times New Roman" w:cs="Times New Roman"/>
          <w:i/>
          <w:snapToGrid w:val="0"/>
          <w:color w:val="000000" w:themeColor="text1"/>
          <w:sz w:val="24"/>
          <w:vertAlign w:val="subscript"/>
          <w:lang w:val="pt-BR"/>
          <w14:textFill>
            <w14:solidFill>
              <w14:schemeClr w14:val="tx1"/>
            </w14:solidFill>
          </w14:textFill>
        </w:rPr>
        <w:t>div</w:t>
      </w:r>
      <w:r>
        <w:rPr>
          <w:rFonts w:hint="default" w:ascii="Times New Roman" w:hAnsi="Times New Roman" w:cs="Times New Roman"/>
          <w:i/>
          <w:snapToGrid w:val="0"/>
          <w:color w:val="000000" w:themeColor="text1"/>
          <w:sz w:val="24"/>
          <w:lang w:val="pt-BR"/>
          <w14:textFill>
            <w14:solidFill>
              <w14:schemeClr w14:val="tx1"/>
            </w14:solidFill>
          </w14:textFill>
        </w:rPr>
        <w:t>＝20lg（r/r</w:t>
      </w:r>
      <w:r>
        <w:rPr>
          <w:rFonts w:hint="default" w:ascii="Times New Roman" w:hAnsi="Times New Roman" w:cs="Times New Roman"/>
          <w:i/>
          <w:snapToGrid w:val="0"/>
          <w:color w:val="000000" w:themeColor="text1"/>
          <w:sz w:val="24"/>
          <w:vertAlign w:val="subscript"/>
          <w:lang w:val="pt-BR"/>
          <w14:textFill>
            <w14:solidFill>
              <w14:schemeClr w14:val="tx1"/>
            </w14:solidFill>
          </w14:textFill>
        </w:rPr>
        <w:t>0</w:t>
      </w:r>
      <w:r>
        <w:rPr>
          <w:rFonts w:hint="default" w:ascii="Times New Roman" w:hAnsi="Times New Roman" w:cs="Times New Roman"/>
          <w:i/>
          <w:snapToGrid w:val="0"/>
          <w:color w:val="000000" w:themeColor="text1"/>
          <w:sz w:val="24"/>
          <w:lang w:val="pt-BR"/>
          <w14:textFill>
            <w14:solidFill>
              <w14:schemeClr w14:val="tx1"/>
            </w14:solidFill>
          </w14:textFill>
        </w:rPr>
        <w:t>）+8</w:t>
      </w:r>
      <w:r>
        <w:rPr>
          <w:rFonts w:hint="default" w:ascii="Times New Roman" w:hAnsi="Times New Roman" w:cs="Times New Roman"/>
          <w:color w:val="000000" w:themeColor="text1"/>
          <w:sz w:val="24"/>
          <w14:textFill>
            <w14:solidFill>
              <w14:schemeClr w14:val="tx1"/>
            </w14:solidFill>
          </w14:textFill>
        </w:rPr>
        <w:t>（式7）</w:t>
      </w:r>
    </w:p>
    <w:p w14:paraId="683D8C40">
      <w:pPr>
        <w:adjustRightInd w:val="0"/>
        <w:spacing w:line="360" w:lineRule="auto"/>
        <w:ind w:firstLine="472" w:firstLineChars="200"/>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snapToGrid w:val="0"/>
          <w:color w:val="000000" w:themeColor="text1"/>
          <w:sz w:val="24"/>
          <w14:textFill>
            <w14:solidFill>
              <w14:schemeClr w14:val="tx1"/>
            </w14:solidFill>
          </w14:textFill>
        </w:rPr>
        <w:t>②遮挡物衰减量A</w:t>
      </w:r>
      <w:r>
        <w:rPr>
          <w:rFonts w:hint="default" w:ascii="Times New Roman" w:hAnsi="Times New Roman" w:cs="Times New Roman"/>
          <w:snapToGrid w:val="0"/>
          <w:color w:val="000000" w:themeColor="text1"/>
          <w:sz w:val="24"/>
          <w:vertAlign w:val="subscript"/>
          <w14:textFill>
            <w14:solidFill>
              <w14:schemeClr w14:val="tx1"/>
            </w14:solidFill>
          </w14:textFill>
        </w:rPr>
        <w:t>ba</w:t>
      </w:r>
    </w:p>
    <w:p w14:paraId="3C40C4C5">
      <w:pPr>
        <w:adjustRightInd w:val="0"/>
        <w:spacing w:line="360" w:lineRule="auto"/>
        <w:ind w:firstLine="472" w:firstLineChars="200"/>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snapToGrid w:val="0"/>
          <w:color w:val="000000" w:themeColor="text1"/>
          <w:sz w:val="24"/>
          <w14:textFill>
            <w14:solidFill>
              <w14:schemeClr w14:val="tx1"/>
            </w14:solidFill>
          </w14:textFill>
        </w:rPr>
        <w:t>噪声源辐射的噪声由室内传播至室外遇到围墙或建筑物等障碍物时引起的能量衰减。对于安装在厂房内的设备，预测时主要考虑厂房墙壁等围栏结构产生的衰减量。</w:t>
      </w:r>
    </w:p>
    <w:p w14:paraId="401AFD81">
      <w:pPr>
        <w:adjustRightInd w:val="0"/>
        <w:spacing w:line="360" w:lineRule="auto"/>
        <w:ind w:firstLine="472" w:firstLineChars="200"/>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snapToGrid w:val="0"/>
          <w:color w:val="000000" w:themeColor="text1"/>
          <w:sz w:val="24"/>
          <w14:textFill>
            <w14:solidFill>
              <w14:schemeClr w14:val="tx1"/>
            </w14:solidFill>
          </w14:textFill>
        </w:rPr>
        <w:t>③空气吸收衰减量A</w:t>
      </w:r>
      <w:r>
        <w:rPr>
          <w:rFonts w:hint="default" w:ascii="Times New Roman" w:hAnsi="Times New Roman" w:cs="Times New Roman"/>
          <w:snapToGrid w:val="0"/>
          <w:color w:val="000000" w:themeColor="text1"/>
          <w:sz w:val="24"/>
          <w:vertAlign w:val="subscript"/>
          <w14:textFill>
            <w14:solidFill>
              <w14:schemeClr w14:val="tx1"/>
            </w14:solidFill>
          </w14:textFill>
        </w:rPr>
        <w:t>atm</w:t>
      </w:r>
    </w:p>
    <w:p w14:paraId="0B74CAD4">
      <w:pPr>
        <w:spacing w:line="360" w:lineRule="auto"/>
        <w:ind w:firstLine="392" w:firstLineChars="200"/>
        <w:jc w:val="center"/>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mc:AlternateContent>
          <mc:Choice Requires="wps">
            <w:drawing>
              <wp:anchor distT="0" distB="0" distL="114300" distR="114300" simplePos="0" relativeHeight="251815936" behindDoc="0" locked="0" layoutInCell="1" allowOverlap="1">
                <wp:simplePos x="0" y="0"/>
                <wp:positionH relativeFrom="column">
                  <wp:posOffset>3815080</wp:posOffset>
                </wp:positionH>
                <wp:positionV relativeFrom="paragraph">
                  <wp:posOffset>219710</wp:posOffset>
                </wp:positionV>
                <wp:extent cx="897890" cy="322580"/>
                <wp:effectExtent l="0" t="0" r="0" b="0"/>
                <wp:wrapNone/>
                <wp:docPr id="237" name="文本框 1436"/>
                <wp:cNvGraphicFramePr/>
                <a:graphic xmlns:a="http://schemas.openxmlformats.org/drawingml/2006/main">
                  <a:graphicData uri="http://schemas.microsoft.com/office/word/2010/wordprocessingShape">
                    <wps:wsp>
                      <wps:cNvSpPr txBox="1">
                        <a:spLocks noChangeArrowheads="1"/>
                      </wps:cNvSpPr>
                      <wps:spPr bwMode="auto">
                        <a:xfrm>
                          <a:off x="0" y="0"/>
                          <a:ext cx="897890" cy="322580"/>
                        </a:xfrm>
                        <a:prstGeom prst="rect">
                          <a:avLst/>
                        </a:prstGeom>
                        <a:noFill/>
                        <a:ln>
                          <a:noFill/>
                        </a:ln>
                        <a:effectLst/>
                      </wps:spPr>
                      <wps:txbx>
                        <w:txbxContent>
                          <w:p w14:paraId="33819933">
                            <w:r>
                              <w:rPr>
                                <w:rFonts w:hint="eastAsia"/>
                                <w:sz w:val="24"/>
                              </w:rPr>
                              <w:t>（式</w:t>
                            </w:r>
                            <w:r>
                              <w:rPr>
                                <w:sz w:val="24"/>
                              </w:rPr>
                              <w:t>8</w:t>
                            </w:r>
                            <w:r>
                              <w:rPr>
                                <w:rFonts w:hint="eastAsia"/>
                                <w:sz w:val="24"/>
                              </w:rPr>
                              <w:t>）</w:t>
                            </w:r>
                          </w:p>
                        </w:txbxContent>
                      </wps:txbx>
                      <wps:bodyPr rot="0" vert="horz" wrap="square" lIns="91440" tIns="45720" rIns="91440" bIns="45720" anchor="t" anchorCtr="0" upright="1">
                        <a:noAutofit/>
                      </wps:bodyPr>
                    </wps:wsp>
                  </a:graphicData>
                </a:graphic>
              </wp:anchor>
            </w:drawing>
          </mc:Choice>
          <mc:Fallback>
            <w:pict>
              <v:shape id="文本框 1436" o:spid="_x0000_s1026" o:spt="202" type="#_x0000_t202" style="position:absolute;left:0pt;margin-left:300.4pt;margin-top:17.3pt;height:25.4pt;width:70.7pt;z-index:251815936;mso-width-relative:page;mso-height-relative:page;" filled="f" stroked="f" coordsize="21600,21600" o:gfxdata="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yBcct9cA&#10;AAAJAQAADwAAAAAAAAABACAAAAAiAAAAZHJzL2Rvd25yZXYueG1sUEsBAhQAFAAAAAgAh07iQIPl&#10;O6MgAgAAJwQAAA4AAAAAAAAAAQAgAAAAJgEAAGRycy9lMm9Eb2MueG1sUEsFBgAAAAAGAAYAWQEA&#10;ALgFAAAAAA==&#10;">
                <v:fill on="f" focussize="0,0"/>
                <v:stroke on="f"/>
                <v:imagedata o:title=""/>
                <o:lock v:ext="edit" aspectratio="f"/>
                <v:textbox>
                  <w:txbxContent>
                    <w:p w14:paraId="33819933">
                      <w:r>
                        <w:rPr>
                          <w:rFonts w:hint="eastAsia"/>
                          <w:sz w:val="24"/>
                        </w:rPr>
                        <w:t>（式</w:t>
                      </w:r>
                      <w:r>
                        <w:rPr>
                          <w:sz w:val="24"/>
                        </w:rPr>
                        <w:t>8</w:t>
                      </w:r>
                      <w:r>
                        <w:rPr>
                          <w:rFonts w:hint="eastAsia"/>
                          <w:sz w:val="24"/>
                        </w:rPr>
                        <w:t>）</w:t>
                      </w:r>
                    </w:p>
                  </w:txbxContent>
                </v:textbox>
              </v:shape>
            </w:pict>
          </mc:Fallback>
        </mc:AlternateContent>
      </w:r>
      <w:r>
        <w:rPr>
          <w:rFonts w:hint="default" w:ascii="Times New Roman" w:hAnsi="Times New Roman" w:cs="Times New Roman"/>
          <w:color w:val="000000" w:themeColor="text1"/>
          <w:sz w:val="24"/>
          <w14:textFill>
            <w14:solidFill>
              <w14:schemeClr w14:val="tx1"/>
            </w14:solidFill>
          </w14:textFill>
        </w:rPr>
        <w:drawing>
          <wp:inline distT="0" distB="0" distL="0" distR="0">
            <wp:extent cx="1296035" cy="349885"/>
            <wp:effectExtent l="19050" t="0" r="0" b="0"/>
            <wp:docPr id="95599642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427" name="图片 62"/>
                    <pic:cNvPicPr>
                      <a:picLocks noChangeAspect="1" noChangeArrowheads="1"/>
                    </pic:cNvPicPr>
                  </pic:nvPicPr>
                  <pic:blipFill>
                    <a:blip r:embed="rId72" cstate="print">
                      <a:clrChange>
                        <a:clrFrom>
                          <a:srgbClr val="FFFFFF"/>
                        </a:clrFrom>
                        <a:clrTo>
                          <a:srgbClr val="FFFFFF">
                            <a:alpha val="0"/>
                          </a:srgbClr>
                        </a:clrTo>
                      </a:clrChange>
                    </a:blip>
                    <a:srcRect/>
                    <a:stretch>
                      <a:fillRect/>
                    </a:stretch>
                  </pic:blipFill>
                  <pic:spPr>
                    <a:xfrm>
                      <a:off x="0" y="0"/>
                      <a:ext cx="1296035" cy="349885"/>
                    </a:xfrm>
                    <a:prstGeom prst="rect">
                      <a:avLst/>
                    </a:prstGeom>
                    <a:noFill/>
                    <a:ln w="9525">
                      <a:noFill/>
                      <a:miter lim="800000"/>
                      <a:headEnd/>
                      <a:tailEnd/>
                    </a:ln>
                  </pic:spPr>
                </pic:pic>
              </a:graphicData>
            </a:graphic>
          </wp:inline>
        </w:drawing>
      </w:r>
    </w:p>
    <w:p w14:paraId="3B008643">
      <w:pPr>
        <w:spacing w:line="360" w:lineRule="auto"/>
        <w:ind w:firstLine="472" w:firstLineChars="2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式中：</w:t>
      </w:r>
      <w:r>
        <w:rPr>
          <w:rFonts w:hint="default" w:ascii="Times New Roman" w:hAnsi="Times New Roman" w:cs="Times New Roman"/>
          <w:i/>
          <w:iCs/>
          <w:color w:val="000000" w:themeColor="text1"/>
          <w:sz w:val="24"/>
          <w14:textFill>
            <w14:solidFill>
              <w14:schemeClr w14:val="tx1"/>
            </w14:solidFill>
          </w14:textFill>
        </w:rPr>
        <w:t>a</w:t>
      </w:r>
      <w:r>
        <w:rPr>
          <w:rFonts w:hint="default" w:ascii="Times New Roman" w:hAnsi="Times New Roman" w:cs="Times New Roman"/>
          <w:color w:val="000000" w:themeColor="text1"/>
          <w:sz w:val="24"/>
          <w14:textFill>
            <w14:solidFill>
              <w14:schemeClr w14:val="tx1"/>
            </w14:solidFill>
          </w14:textFill>
        </w:rPr>
        <w:t>为温度、湿度和声波频率的函数。</w:t>
      </w:r>
    </w:p>
    <w:p w14:paraId="6D080FA0">
      <w:pPr>
        <w:spacing w:line="360" w:lineRule="auto"/>
        <w:ind w:firstLine="472" w:firstLineChars="200"/>
        <w:jc w:val="left"/>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snapToGrid w:val="0"/>
          <w:color w:val="000000" w:themeColor="text1"/>
          <w:sz w:val="24"/>
          <w14:textFill>
            <w14:solidFill>
              <w14:schemeClr w14:val="tx1"/>
            </w14:solidFill>
          </w14:textFill>
        </w:rPr>
        <w:t>空气吸收衰减量与几何发散衰减量相比很小，本次预测计算中忽略空气吸收衰减量。</w:t>
      </w:r>
    </w:p>
    <w:p w14:paraId="4184C316">
      <w:pPr>
        <w:adjustRightInd w:val="0"/>
        <w:spacing w:line="360" w:lineRule="auto"/>
        <w:ind w:firstLine="472" w:firstLineChars="200"/>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snapToGrid w:val="0"/>
          <w:color w:val="000000" w:themeColor="text1"/>
          <w:sz w:val="24"/>
          <w14:textFill>
            <w14:solidFill>
              <w14:schemeClr w14:val="tx1"/>
            </w14:solidFill>
          </w14:textFill>
        </w:rPr>
        <w:t>④地面衰减量</w:t>
      </w:r>
      <w:r>
        <w:rPr>
          <w:rFonts w:hint="default" w:ascii="Times New Roman" w:hAnsi="Times New Roman" w:cs="Times New Roman"/>
          <w:i/>
          <w:snapToGrid w:val="0"/>
          <w:color w:val="000000" w:themeColor="text1"/>
          <w:sz w:val="24"/>
          <w14:textFill>
            <w14:solidFill>
              <w14:schemeClr w14:val="tx1"/>
            </w14:solidFill>
          </w14:textFill>
        </w:rPr>
        <w:t>A</w:t>
      </w:r>
      <w:r>
        <w:rPr>
          <w:rFonts w:hint="default" w:ascii="Times New Roman" w:hAnsi="Times New Roman" w:cs="Times New Roman"/>
          <w:i/>
          <w:snapToGrid w:val="0"/>
          <w:color w:val="000000" w:themeColor="text1"/>
          <w:sz w:val="24"/>
          <w:vertAlign w:val="subscript"/>
          <w14:textFill>
            <w14:solidFill>
              <w14:schemeClr w14:val="tx1"/>
            </w14:solidFill>
          </w14:textFill>
        </w:rPr>
        <w:t>gr</w:t>
      </w:r>
    </w:p>
    <w:p w14:paraId="021B1A14">
      <w:pPr>
        <w:adjustRightInd w:val="0"/>
        <w:spacing w:line="360" w:lineRule="auto"/>
        <w:ind w:firstLine="472" w:firstLineChars="200"/>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snapToGrid w:val="0"/>
          <w:color w:val="000000" w:themeColor="text1"/>
          <w:sz w:val="24"/>
          <w14:textFill>
            <w14:solidFill>
              <w14:schemeClr w14:val="tx1"/>
            </w14:solidFill>
          </w14:textFill>
        </w:rPr>
        <w:t>本次评价忽略。</w:t>
      </w:r>
    </w:p>
    <w:p w14:paraId="59896220">
      <w:pPr>
        <w:adjustRightInd w:val="0"/>
        <w:spacing w:line="360" w:lineRule="auto"/>
        <w:ind w:firstLine="472" w:firstLineChars="200"/>
        <w:rPr>
          <w:rFonts w:hint="default" w:ascii="Times New Roman" w:hAnsi="Times New Roman" w:cs="Times New Roman"/>
          <w:snapToGrid w:val="0"/>
          <w:color w:val="000000" w:themeColor="text1"/>
          <w:sz w:val="24"/>
          <w14:textFill>
            <w14:solidFill>
              <w14:schemeClr w14:val="tx1"/>
            </w14:solidFill>
          </w14:textFill>
        </w:rPr>
      </w:pPr>
      <w:r>
        <w:rPr>
          <w:rFonts w:hint="default" w:ascii="Times New Roman" w:hAnsi="Times New Roman" w:cs="Times New Roman"/>
          <w:snapToGrid w:val="0"/>
          <w:color w:val="000000" w:themeColor="text1"/>
          <w:sz w:val="24"/>
          <w14:textFill>
            <w14:solidFill>
              <w14:schemeClr w14:val="tx1"/>
            </w14:solidFill>
          </w14:textFill>
        </w:rPr>
        <w:t>⑤其它方面衰减量</w:t>
      </w:r>
      <w:r>
        <w:rPr>
          <w:rFonts w:hint="default" w:ascii="Times New Roman" w:hAnsi="Times New Roman" w:cs="Times New Roman"/>
          <w:i/>
          <w:snapToGrid w:val="0"/>
          <w:color w:val="000000" w:themeColor="text1"/>
          <w:sz w:val="24"/>
          <w14:textFill>
            <w14:solidFill>
              <w14:schemeClr w14:val="tx1"/>
            </w14:solidFill>
          </w14:textFill>
        </w:rPr>
        <w:t>A</w:t>
      </w:r>
      <w:r>
        <w:rPr>
          <w:rFonts w:hint="default" w:ascii="Times New Roman" w:hAnsi="Times New Roman" w:cs="Times New Roman"/>
          <w:i/>
          <w:snapToGrid w:val="0"/>
          <w:color w:val="000000" w:themeColor="text1"/>
          <w:sz w:val="24"/>
          <w:vertAlign w:val="subscript"/>
          <w14:textFill>
            <w14:solidFill>
              <w14:schemeClr w14:val="tx1"/>
            </w14:solidFill>
          </w14:textFill>
        </w:rPr>
        <w:t>misc</w:t>
      </w:r>
      <w:r>
        <w:rPr>
          <w:rFonts w:hint="default" w:ascii="Times New Roman" w:hAnsi="Times New Roman" w:cs="Times New Roman"/>
          <w:i/>
          <w:snapToGrid w:val="0"/>
          <w:color w:val="000000" w:themeColor="text1"/>
          <w:sz w:val="24"/>
          <w14:textFill>
            <w14:solidFill>
              <w14:schemeClr w14:val="tx1"/>
            </w14:solidFill>
          </w14:textFill>
        </w:rPr>
        <w:t>，</w:t>
      </w:r>
      <w:r>
        <w:rPr>
          <w:rFonts w:hint="default" w:ascii="Times New Roman" w:hAnsi="Times New Roman" w:cs="Times New Roman"/>
          <w:snapToGrid w:val="0"/>
          <w:color w:val="000000" w:themeColor="text1"/>
          <w:sz w:val="24"/>
          <w14:textFill>
            <w14:solidFill>
              <w14:schemeClr w14:val="tx1"/>
            </w14:solidFill>
          </w14:textFill>
        </w:rPr>
        <w:t>本次评价忽略。</w:t>
      </w:r>
    </w:p>
    <w:p w14:paraId="3432DC5F">
      <w:pPr>
        <w:pStyle w:val="3159"/>
        <w:rPr>
          <w:rFonts w:hint="default" w:ascii="Times New Roman" w:hAnsi="Times New Roman" w:eastAsia="黑体" w:cs="Times New Roman"/>
          <w:b w:val="0"/>
          <w:color w:val="000000" w:themeColor="text1"/>
          <w14:textFill>
            <w14:solidFill>
              <w14:schemeClr w14:val="tx1"/>
            </w14:solidFill>
          </w14:textFill>
        </w:rPr>
      </w:pPr>
      <w:bookmarkStart w:id="190" w:name="_Toc170562226"/>
      <w:bookmarkStart w:id="191" w:name="_Toc173837722"/>
      <w:bookmarkStart w:id="192" w:name="_Toc141627854"/>
      <w:r>
        <w:rPr>
          <w:rFonts w:hint="default" w:ascii="Times New Roman" w:hAnsi="Times New Roman" w:eastAsia="黑体" w:cs="Times New Roman"/>
          <w:b w:val="0"/>
          <w:color w:val="000000" w:themeColor="text1"/>
          <w14:textFill>
            <w14:solidFill>
              <w14:schemeClr w14:val="tx1"/>
            </w14:solidFill>
          </w14:textFill>
        </w:rPr>
        <w:t>5.7.3预测结果</w:t>
      </w:r>
      <w:bookmarkEnd w:id="189"/>
      <w:bookmarkEnd w:id="190"/>
      <w:bookmarkEnd w:id="191"/>
      <w:bookmarkEnd w:id="192"/>
    </w:p>
    <w:p w14:paraId="5CFA239B">
      <w:pPr>
        <w:spacing w:line="360" w:lineRule="auto"/>
        <w:ind w:firstLine="57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环境噪声预测结果见表5.7-</w:t>
      </w:r>
      <w:r>
        <w:rPr>
          <w:rFonts w:hint="eastAsia" w:cs="Times New Roman"/>
          <w:color w:val="000000" w:themeColor="text1"/>
          <w:sz w:val="24"/>
          <w:lang w:val="en-US" w:eastAsia="zh-CN"/>
          <w14:textFill>
            <w14:solidFill>
              <w14:schemeClr w14:val="tx1"/>
            </w14:solidFill>
          </w14:textFill>
        </w:rPr>
        <w:t>1</w:t>
      </w:r>
      <w:r>
        <w:rPr>
          <w:rFonts w:hint="default" w:ascii="Times New Roman" w:hAnsi="Times New Roman" w:cs="Times New Roman"/>
          <w:color w:val="000000" w:themeColor="text1"/>
          <w:sz w:val="24"/>
          <w14:textFill>
            <w14:solidFill>
              <w14:schemeClr w14:val="tx1"/>
            </w14:solidFill>
          </w14:textFill>
        </w:rPr>
        <w:t>。</w:t>
      </w:r>
    </w:p>
    <w:p w14:paraId="1CB35146">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表5.7-</w:t>
      </w:r>
      <w:r>
        <w:rPr>
          <w:rFonts w:hint="eastAsia" w:eastAsia="黑体" w:cs="Times New Roman"/>
          <w:color w:val="000000" w:themeColor="text1"/>
          <w:sz w:val="24"/>
          <w:szCs w:val="24"/>
          <w:lang w:val="en-US" w:eastAsia="zh-CN"/>
          <w14:textFill>
            <w14:solidFill>
              <w14:schemeClr w14:val="tx1"/>
            </w14:solidFill>
          </w14:textFill>
        </w:rPr>
        <w:t>1</w:t>
      </w:r>
      <w:r>
        <w:rPr>
          <w:rFonts w:hint="default" w:ascii="Times New Roman" w:hAnsi="Times New Roman" w:eastAsia="黑体" w:cs="Times New Roman"/>
          <w:color w:val="000000" w:themeColor="text1"/>
          <w:sz w:val="24"/>
          <w:szCs w:val="24"/>
          <w14:textFill>
            <w14:solidFill>
              <w14:schemeClr w14:val="tx1"/>
            </w14:solidFill>
          </w14:textFill>
        </w:rPr>
        <w:t>厂界噪声预测评价结果单位：dB(A)</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2631"/>
        <w:gridCol w:w="1498"/>
        <w:gridCol w:w="1498"/>
        <w:gridCol w:w="1352"/>
        <w:gridCol w:w="1327"/>
      </w:tblGrid>
      <w:tr w14:paraId="281833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584" w:type="pct"/>
            <w:vMerge w:val="restart"/>
            <w:vAlign w:val="center"/>
          </w:tcPr>
          <w:p w14:paraId="7C7C772C">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预测点位</w:t>
            </w:r>
          </w:p>
        </w:tc>
        <w:tc>
          <w:tcPr>
            <w:tcW w:w="1804" w:type="pct"/>
            <w:gridSpan w:val="2"/>
            <w:vAlign w:val="center"/>
          </w:tcPr>
          <w:p w14:paraId="1DE93C3F">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eastAsia" w:cs="Times New Roman"/>
                <w:b/>
                <w:bCs/>
                <w:color w:val="000000" w:themeColor="text1"/>
                <w:sz w:val="21"/>
                <w:szCs w:val="21"/>
                <w:lang w:val="en-US" w:eastAsia="zh-CN"/>
                <w14:textFill>
                  <w14:solidFill>
                    <w14:schemeClr w14:val="tx1"/>
                  </w14:solidFill>
                </w14:textFill>
              </w:rPr>
              <w:t>预测</w:t>
            </w:r>
            <w:r>
              <w:rPr>
                <w:rFonts w:hint="default" w:ascii="Times New Roman" w:hAnsi="Times New Roman" w:cs="Times New Roman"/>
                <w:b/>
                <w:bCs/>
                <w:color w:val="000000" w:themeColor="text1"/>
                <w:sz w:val="21"/>
                <w:szCs w:val="21"/>
                <w14:textFill>
                  <w14:solidFill>
                    <w14:schemeClr w14:val="tx1"/>
                  </w14:solidFill>
                </w14:textFill>
              </w:rPr>
              <w:t>值</w:t>
            </w:r>
          </w:p>
        </w:tc>
        <w:tc>
          <w:tcPr>
            <w:tcW w:w="1612" w:type="pct"/>
            <w:gridSpan w:val="2"/>
            <w:vAlign w:val="center"/>
          </w:tcPr>
          <w:p w14:paraId="1FC7A6BE">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标准值</w:t>
            </w:r>
          </w:p>
        </w:tc>
      </w:tr>
      <w:tr w14:paraId="3FE10D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584" w:type="pct"/>
            <w:vMerge w:val="continue"/>
            <w:vAlign w:val="center"/>
          </w:tcPr>
          <w:p w14:paraId="3CB69DF6">
            <w:pPr>
              <w:widowControl/>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p>
        </w:tc>
        <w:tc>
          <w:tcPr>
            <w:tcW w:w="902" w:type="pct"/>
            <w:tcBorders>
              <w:right w:val="single" w:color="auto" w:sz="4" w:space="0"/>
            </w:tcBorders>
            <w:vAlign w:val="center"/>
          </w:tcPr>
          <w:p w14:paraId="2853A211">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昼间</w:t>
            </w:r>
          </w:p>
        </w:tc>
        <w:tc>
          <w:tcPr>
            <w:tcW w:w="902" w:type="pct"/>
            <w:tcBorders>
              <w:left w:val="single" w:color="auto" w:sz="4" w:space="0"/>
            </w:tcBorders>
            <w:vAlign w:val="center"/>
          </w:tcPr>
          <w:p w14:paraId="0AB381D1">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夜间</w:t>
            </w:r>
          </w:p>
        </w:tc>
        <w:tc>
          <w:tcPr>
            <w:tcW w:w="814" w:type="pct"/>
            <w:vAlign w:val="center"/>
          </w:tcPr>
          <w:p w14:paraId="68B261BE">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昼间</w:t>
            </w:r>
          </w:p>
        </w:tc>
        <w:tc>
          <w:tcPr>
            <w:tcW w:w="798" w:type="pct"/>
            <w:vAlign w:val="center"/>
          </w:tcPr>
          <w:p w14:paraId="78F7F116">
            <w:pPr>
              <w:spacing w:line="276"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夜间</w:t>
            </w:r>
          </w:p>
        </w:tc>
      </w:tr>
      <w:tr w14:paraId="66B8FA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584" w:type="pct"/>
            <w:vAlign w:val="center"/>
          </w:tcPr>
          <w:p w14:paraId="032A3FA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1#东厂界</w:t>
            </w:r>
          </w:p>
        </w:tc>
        <w:tc>
          <w:tcPr>
            <w:tcW w:w="902" w:type="pct"/>
            <w:tcBorders>
              <w:right w:val="single" w:color="auto" w:sz="4" w:space="0"/>
            </w:tcBorders>
            <w:vAlign w:val="center"/>
          </w:tcPr>
          <w:p w14:paraId="717F2774">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5</w:t>
            </w:r>
          </w:p>
        </w:tc>
        <w:tc>
          <w:tcPr>
            <w:tcW w:w="902" w:type="pct"/>
            <w:tcBorders>
              <w:left w:val="single" w:color="auto" w:sz="4" w:space="0"/>
            </w:tcBorders>
            <w:vAlign w:val="center"/>
          </w:tcPr>
          <w:p w14:paraId="37136496">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42</w:t>
            </w:r>
            <w:r>
              <w:rPr>
                <w:rFonts w:hint="default" w:ascii="Times New Roman" w:hAnsi="Times New Roman"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5</w:t>
            </w:r>
          </w:p>
        </w:tc>
        <w:tc>
          <w:tcPr>
            <w:tcW w:w="814" w:type="pct"/>
            <w:vAlign w:val="center"/>
          </w:tcPr>
          <w:p w14:paraId="67B0A82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65</w:t>
            </w:r>
          </w:p>
        </w:tc>
        <w:tc>
          <w:tcPr>
            <w:tcW w:w="798" w:type="pct"/>
            <w:vAlign w:val="center"/>
          </w:tcPr>
          <w:p w14:paraId="5ED4460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55</w:t>
            </w:r>
          </w:p>
        </w:tc>
      </w:tr>
      <w:tr w14:paraId="70B644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584" w:type="pct"/>
            <w:vAlign w:val="center"/>
          </w:tcPr>
          <w:p w14:paraId="128AC95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2#南厂界</w:t>
            </w:r>
          </w:p>
        </w:tc>
        <w:tc>
          <w:tcPr>
            <w:tcW w:w="902" w:type="pct"/>
            <w:tcBorders>
              <w:right w:val="single" w:color="auto" w:sz="4" w:space="0"/>
            </w:tcBorders>
            <w:vAlign w:val="center"/>
          </w:tcPr>
          <w:p w14:paraId="1F49D206">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45.1</w:t>
            </w:r>
          </w:p>
        </w:tc>
        <w:tc>
          <w:tcPr>
            <w:tcW w:w="902" w:type="pct"/>
            <w:tcBorders>
              <w:left w:val="single" w:color="auto" w:sz="4" w:space="0"/>
            </w:tcBorders>
            <w:vAlign w:val="center"/>
          </w:tcPr>
          <w:p w14:paraId="58075697">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45.1</w:t>
            </w:r>
          </w:p>
        </w:tc>
        <w:tc>
          <w:tcPr>
            <w:tcW w:w="814" w:type="pct"/>
            <w:vAlign w:val="center"/>
          </w:tcPr>
          <w:p w14:paraId="7C8DA92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65</w:t>
            </w:r>
          </w:p>
        </w:tc>
        <w:tc>
          <w:tcPr>
            <w:tcW w:w="798" w:type="pct"/>
            <w:vAlign w:val="center"/>
          </w:tcPr>
          <w:p w14:paraId="236661E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55</w:t>
            </w:r>
          </w:p>
        </w:tc>
      </w:tr>
      <w:tr w14:paraId="34E712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584" w:type="pct"/>
            <w:vAlign w:val="center"/>
          </w:tcPr>
          <w:p w14:paraId="5DAC430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3#西厂界</w:t>
            </w:r>
          </w:p>
        </w:tc>
        <w:tc>
          <w:tcPr>
            <w:tcW w:w="902" w:type="pct"/>
            <w:tcBorders>
              <w:right w:val="single" w:color="auto" w:sz="4" w:space="0"/>
            </w:tcBorders>
            <w:vAlign w:val="center"/>
          </w:tcPr>
          <w:p w14:paraId="09C72C9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r>
              <w:rPr>
                <w:rFonts w:hint="default" w:ascii="Times New Roman" w:hAnsi="Times New Roman" w:cs="Times New Roman"/>
                <w:color w:val="000000" w:themeColor="text1"/>
                <w:sz w:val="21"/>
                <w:szCs w:val="21"/>
                <w14:textFill>
                  <w14:solidFill>
                    <w14:schemeClr w14:val="tx1"/>
                  </w14:solidFill>
                </w14:textFill>
              </w:rPr>
              <w:t>7.7</w:t>
            </w:r>
          </w:p>
        </w:tc>
        <w:tc>
          <w:tcPr>
            <w:tcW w:w="902" w:type="pct"/>
            <w:tcBorders>
              <w:left w:val="single" w:color="auto" w:sz="4" w:space="0"/>
            </w:tcBorders>
            <w:vAlign w:val="center"/>
          </w:tcPr>
          <w:p w14:paraId="5F0ECC8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r>
              <w:rPr>
                <w:rFonts w:hint="default" w:ascii="Times New Roman" w:hAnsi="Times New Roman" w:cs="Times New Roman"/>
                <w:color w:val="000000" w:themeColor="text1"/>
                <w:sz w:val="21"/>
                <w:szCs w:val="21"/>
                <w14:textFill>
                  <w14:solidFill>
                    <w14:schemeClr w14:val="tx1"/>
                  </w14:solidFill>
                </w14:textFill>
              </w:rPr>
              <w:t>7.7</w:t>
            </w:r>
          </w:p>
        </w:tc>
        <w:tc>
          <w:tcPr>
            <w:tcW w:w="814" w:type="pct"/>
            <w:vAlign w:val="center"/>
          </w:tcPr>
          <w:p w14:paraId="3A2CF80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65</w:t>
            </w:r>
          </w:p>
        </w:tc>
        <w:tc>
          <w:tcPr>
            <w:tcW w:w="798" w:type="pct"/>
            <w:vAlign w:val="center"/>
          </w:tcPr>
          <w:p w14:paraId="6B78D12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55</w:t>
            </w:r>
          </w:p>
        </w:tc>
      </w:tr>
      <w:tr w14:paraId="04EA2E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584" w:type="pct"/>
            <w:vAlign w:val="center"/>
          </w:tcPr>
          <w:p w14:paraId="22826E2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4#北厂界</w:t>
            </w:r>
          </w:p>
        </w:tc>
        <w:tc>
          <w:tcPr>
            <w:tcW w:w="902" w:type="pct"/>
            <w:tcBorders>
              <w:right w:val="single" w:color="auto" w:sz="4" w:space="0"/>
            </w:tcBorders>
            <w:vAlign w:val="center"/>
          </w:tcPr>
          <w:p w14:paraId="3695C2E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r>
              <w:rPr>
                <w:rFonts w:hint="default" w:ascii="Times New Roman" w:hAnsi="Times New Roman" w:cs="Times New Roman"/>
                <w:color w:val="000000" w:themeColor="text1"/>
                <w:sz w:val="21"/>
                <w:szCs w:val="21"/>
                <w14:textFill>
                  <w14:solidFill>
                    <w14:schemeClr w14:val="tx1"/>
                  </w14:solidFill>
                </w14:textFill>
              </w:rPr>
              <w:t>9.3</w:t>
            </w:r>
          </w:p>
        </w:tc>
        <w:tc>
          <w:tcPr>
            <w:tcW w:w="902" w:type="pct"/>
            <w:tcBorders>
              <w:left w:val="single" w:color="auto" w:sz="4" w:space="0"/>
            </w:tcBorders>
            <w:vAlign w:val="center"/>
          </w:tcPr>
          <w:p w14:paraId="0A743AB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w:t>
            </w:r>
            <w:r>
              <w:rPr>
                <w:rFonts w:hint="default" w:ascii="Times New Roman" w:hAnsi="Times New Roman" w:cs="Times New Roman"/>
                <w:color w:val="000000" w:themeColor="text1"/>
                <w:sz w:val="21"/>
                <w:szCs w:val="21"/>
                <w14:textFill>
                  <w14:solidFill>
                    <w14:schemeClr w14:val="tx1"/>
                  </w14:solidFill>
                </w14:textFill>
              </w:rPr>
              <w:t>9.3</w:t>
            </w:r>
          </w:p>
        </w:tc>
        <w:tc>
          <w:tcPr>
            <w:tcW w:w="814" w:type="pct"/>
            <w:vAlign w:val="center"/>
          </w:tcPr>
          <w:p w14:paraId="169C875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65</w:t>
            </w:r>
          </w:p>
        </w:tc>
        <w:tc>
          <w:tcPr>
            <w:tcW w:w="798" w:type="pct"/>
            <w:vAlign w:val="center"/>
          </w:tcPr>
          <w:p w14:paraId="3DF2978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55</w:t>
            </w:r>
          </w:p>
        </w:tc>
      </w:tr>
    </w:tbl>
    <w:p w14:paraId="14449CE1">
      <w:pPr>
        <w:spacing w:line="360" w:lineRule="auto"/>
        <w:ind w:firstLine="57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由预测结果表明，各厂界环境噪声预测值满足《工业企业厂界环境噪声排放标准》（GB12348-2008）中3类标准要求，</w:t>
      </w:r>
      <w:r>
        <w:rPr>
          <w:rFonts w:hint="default" w:ascii="Times New Roman" w:hAnsi="Times New Roman" w:cs="Times New Roman"/>
          <w:color w:val="000000" w:themeColor="text1"/>
          <w:sz w:val="24"/>
          <w:szCs w:val="28"/>
          <w14:textFill>
            <w14:solidFill>
              <w14:schemeClr w14:val="tx1"/>
            </w14:solidFill>
          </w14:textFill>
        </w:rPr>
        <w:t>项目建设对周边环境影响较小。</w:t>
      </w:r>
    </w:p>
    <w:p w14:paraId="1DE64DD1">
      <w:pPr>
        <w:pStyle w:val="3159"/>
        <w:rPr>
          <w:rFonts w:hint="default" w:ascii="Times New Roman" w:hAnsi="Times New Roman" w:eastAsia="黑体" w:cs="Times New Roman"/>
          <w:b w:val="0"/>
          <w:color w:val="000000" w:themeColor="text1"/>
          <w14:textFill>
            <w14:solidFill>
              <w14:schemeClr w14:val="tx1"/>
            </w14:solidFill>
          </w14:textFill>
        </w:rPr>
      </w:pPr>
      <w:bookmarkStart w:id="193" w:name="_Toc173837723"/>
      <w:bookmarkStart w:id="194" w:name="_Toc141627855"/>
      <w:bookmarkStart w:id="195" w:name="_Toc170562227"/>
      <w:r>
        <w:rPr>
          <w:rFonts w:hint="default" w:ascii="Times New Roman" w:hAnsi="Times New Roman" w:eastAsia="黑体" w:cs="Times New Roman"/>
          <w:b w:val="0"/>
          <w:color w:val="000000" w:themeColor="text1"/>
          <w14:textFill>
            <w14:solidFill>
              <w14:schemeClr w14:val="tx1"/>
            </w14:solidFill>
          </w14:textFill>
        </w:rPr>
        <w:t>5.7.4声环境影响评价自查表</w:t>
      </w:r>
      <w:bookmarkEnd w:id="193"/>
      <w:bookmarkEnd w:id="194"/>
      <w:bookmarkEnd w:id="195"/>
    </w:p>
    <w:p w14:paraId="0D08EDB5">
      <w:pPr>
        <w:spacing w:line="360" w:lineRule="auto"/>
        <w:ind w:firstLine="472" w:firstLineChars="200"/>
        <w:rPr>
          <w:rFonts w:hint="default" w:ascii="Times New Roman" w:hAnsi="Times New Roman" w:cs="Times New Roman"/>
          <w:color w:val="000000" w:themeColor="text1"/>
          <w:sz w:val="24"/>
          <w:szCs w:val="28"/>
          <w14:textFill>
            <w14:solidFill>
              <w14:schemeClr w14:val="tx1"/>
            </w14:solidFill>
          </w14:textFill>
        </w:rPr>
      </w:pPr>
      <w:r>
        <w:rPr>
          <w:rFonts w:hint="default" w:ascii="Times New Roman" w:hAnsi="Times New Roman" w:cs="Times New Roman"/>
          <w:color w:val="000000" w:themeColor="text1"/>
          <w:sz w:val="24"/>
          <w:szCs w:val="28"/>
          <w14:textFill>
            <w14:solidFill>
              <w14:schemeClr w14:val="tx1"/>
            </w14:solidFill>
          </w14:textFill>
        </w:rPr>
        <w:t>建设项目声环境影响评价自查表如下表所示。</w:t>
      </w:r>
    </w:p>
    <w:p w14:paraId="279FA31B">
      <w:pPr>
        <w:spacing w:line="360" w:lineRule="auto"/>
        <w:jc w:val="center"/>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表5.7-</w:t>
      </w:r>
      <w:r>
        <w:rPr>
          <w:rFonts w:hint="eastAsia" w:eastAsia="黑体" w:cs="Times New Roman"/>
          <w:color w:val="000000" w:themeColor="text1"/>
          <w:sz w:val="24"/>
          <w:lang w:val="en-US" w:eastAsia="zh-CN"/>
          <w14:textFill>
            <w14:solidFill>
              <w14:schemeClr w14:val="tx1"/>
            </w14:solidFill>
          </w14:textFill>
        </w:rPr>
        <w:t>2</w:t>
      </w:r>
      <w:r>
        <w:rPr>
          <w:rFonts w:hint="default" w:ascii="Times New Roman" w:hAnsi="Times New Roman" w:eastAsia="黑体" w:cs="Times New Roman"/>
          <w:color w:val="000000" w:themeColor="text1"/>
          <w:sz w:val="24"/>
          <w14:textFill>
            <w14:solidFill>
              <w14:schemeClr w14:val="tx1"/>
            </w14:solidFill>
          </w14:textFill>
        </w:rPr>
        <w:t>声环境影响评价自查表</w:t>
      </w:r>
    </w:p>
    <w:tbl>
      <w:tblPr>
        <w:tblStyle w:val="88"/>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103"/>
        <w:gridCol w:w="1133"/>
        <w:gridCol w:w="1047"/>
        <w:gridCol w:w="525"/>
        <w:gridCol w:w="412"/>
        <w:gridCol w:w="111"/>
        <w:gridCol w:w="1048"/>
        <w:gridCol w:w="1048"/>
        <w:gridCol w:w="523"/>
        <w:gridCol w:w="525"/>
        <w:gridCol w:w="1047"/>
      </w:tblGrid>
      <w:tr w14:paraId="74D477B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1311" w:type="pct"/>
            <w:gridSpan w:val="2"/>
            <w:vAlign w:val="center"/>
          </w:tcPr>
          <w:p w14:paraId="0E636049">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工作内容</w:t>
            </w:r>
          </w:p>
        </w:tc>
        <w:tc>
          <w:tcPr>
            <w:tcW w:w="3689" w:type="pct"/>
            <w:gridSpan w:val="9"/>
            <w:vAlign w:val="center"/>
          </w:tcPr>
          <w:p w14:paraId="1728BC13">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自查项目</w:t>
            </w:r>
          </w:p>
        </w:tc>
      </w:tr>
      <w:tr w14:paraId="0FBD104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Merge w:val="restart"/>
            <w:vAlign w:val="center"/>
          </w:tcPr>
          <w:p w14:paraId="5D7425E3">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评价等级与范围</w:t>
            </w:r>
          </w:p>
        </w:tc>
        <w:tc>
          <w:tcPr>
            <w:tcW w:w="665" w:type="pct"/>
            <w:vAlign w:val="center"/>
          </w:tcPr>
          <w:p w14:paraId="052A90C2">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评价等级</w:t>
            </w:r>
          </w:p>
        </w:tc>
        <w:tc>
          <w:tcPr>
            <w:tcW w:w="3689" w:type="pct"/>
            <w:gridSpan w:val="9"/>
            <w:vAlign w:val="center"/>
          </w:tcPr>
          <w:p w14:paraId="427B7C47">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一级□二级□三级</w:t>
            </w:r>
            <w:r>
              <w:rPr>
                <w:rFonts w:hint="default" w:ascii="Times New Roman" w:hAnsi="Times New Roman" w:cs="Times New Roman"/>
                <w:color w:val="000000" w:themeColor="text1"/>
                <w:kern w:val="2"/>
                <w:sz w:val="21"/>
                <w:szCs w:val="21"/>
                <w14:textFill>
                  <w14:solidFill>
                    <w14:schemeClr w14:val="tx1"/>
                  </w14:solidFill>
                </w14:textFill>
              </w:rPr>
              <w:sym w:font="Wingdings 2" w:char="0052"/>
            </w:r>
          </w:p>
        </w:tc>
      </w:tr>
      <w:tr w14:paraId="3E44FEE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Merge w:val="continue"/>
            <w:vAlign w:val="center"/>
          </w:tcPr>
          <w:p w14:paraId="74D5BE6A">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p>
        </w:tc>
        <w:tc>
          <w:tcPr>
            <w:tcW w:w="665" w:type="pct"/>
            <w:vAlign w:val="center"/>
          </w:tcPr>
          <w:p w14:paraId="2732A47B">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评价范围</w:t>
            </w:r>
          </w:p>
        </w:tc>
        <w:tc>
          <w:tcPr>
            <w:tcW w:w="3689" w:type="pct"/>
            <w:gridSpan w:val="9"/>
            <w:vAlign w:val="center"/>
          </w:tcPr>
          <w:p w14:paraId="5F31EEC2">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200m□大于200m□小于200m</w:t>
            </w:r>
            <w:r>
              <w:rPr>
                <w:rFonts w:hint="default" w:ascii="Times New Roman" w:hAnsi="Times New Roman" w:cs="Times New Roman"/>
                <w:color w:val="000000" w:themeColor="text1"/>
                <w:kern w:val="2"/>
                <w:sz w:val="21"/>
                <w:szCs w:val="21"/>
                <w14:textFill>
                  <w14:solidFill>
                    <w14:schemeClr w14:val="tx1"/>
                  </w14:solidFill>
                </w14:textFill>
              </w:rPr>
              <w:sym w:font="Wingdings 2" w:char="0052"/>
            </w:r>
          </w:p>
        </w:tc>
      </w:tr>
      <w:tr w14:paraId="2F63670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Align w:val="center"/>
          </w:tcPr>
          <w:p w14:paraId="62EAA095">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评价因子</w:t>
            </w:r>
          </w:p>
        </w:tc>
        <w:tc>
          <w:tcPr>
            <w:tcW w:w="665" w:type="pct"/>
            <w:vAlign w:val="center"/>
          </w:tcPr>
          <w:p w14:paraId="58CF192C">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评价因子</w:t>
            </w:r>
          </w:p>
        </w:tc>
        <w:tc>
          <w:tcPr>
            <w:tcW w:w="3689" w:type="pct"/>
            <w:gridSpan w:val="9"/>
            <w:vAlign w:val="center"/>
          </w:tcPr>
          <w:p w14:paraId="0CCF986C">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等效连续A声级</w:t>
            </w:r>
            <w:r>
              <w:rPr>
                <w:rFonts w:hint="default" w:ascii="Times New Roman" w:hAnsi="Times New Roman" w:cs="Times New Roman"/>
                <w:color w:val="000000" w:themeColor="text1"/>
                <w:kern w:val="2"/>
                <w:sz w:val="21"/>
                <w:szCs w:val="21"/>
                <w14:textFill>
                  <w14:solidFill>
                    <w14:schemeClr w14:val="tx1"/>
                  </w14:solidFill>
                </w14:textFill>
              </w:rPr>
              <w:sym w:font="Wingdings 2" w:char="0052"/>
            </w:r>
            <w:r>
              <w:rPr>
                <w:rFonts w:hint="default" w:ascii="Times New Roman" w:hAnsi="Times New Roman" w:cs="Times New Roman"/>
                <w:color w:val="000000" w:themeColor="text1"/>
                <w:kern w:val="2"/>
                <w:sz w:val="21"/>
                <w:szCs w:val="21"/>
                <w14:textFill>
                  <w14:solidFill>
                    <w14:schemeClr w14:val="tx1"/>
                  </w14:solidFill>
                </w14:textFill>
              </w:rPr>
              <w:t>最大A声级□计权等效连续感觉噪声级□</w:t>
            </w:r>
          </w:p>
        </w:tc>
      </w:tr>
      <w:tr w14:paraId="70E29C6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Align w:val="center"/>
          </w:tcPr>
          <w:p w14:paraId="4CB1B3D3">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评价标准</w:t>
            </w:r>
          </w:p>
        </w:tc>
        <w:tc>
          <w:tcPr>
            <w:tcW w:w="665" w:type="pct"/>
            <w:vAlign w:val="center"/>
          </w:tcPr>
          <w:p w14:paraId="1948B86B">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评价标准</w:t>
            </w:r>
          </w:p>
        </w:tc>
        <w:tc>
          <w:tcPr>
            <w:tcW w:w="3689" w:type="pct"/>
            <w:gridSpan w:val="9"/>
            <w:vAlign w:val="center"/>
          </w:tcPr>
          <w:p w14:paraId="394D9338">
            <w:pPr>
              <w:pStyle w:val="30"/>
              <w:spacing w:line="276" w:lineRule="auto"/>
              <w:jc w:val="left"/>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国家标准</w:t>
            </w:r>
            <w:r>
              <w:rPr>
                <w:rFonts w:hint="default" w:ascii="Times New Roman" w:hAnsi="Times New Roman" w:cs="Times New Roman"/>
                <w:color w:val="000000" w:themeColor="text1"/>
                <w:kern w:val="2"/>
                <w:sz w:val="21"/>
                <w:szCs w:val="21"/>
                <w14:textFill>
                  <w14:solidFill>
                    <w14:schemeClr w14:val="tx1"/>
                  </w14:solidFill>
                </w14:textFill>
              </w:rPr>
              <w:sym w:font="Wingdings 2" w:char="0052"/>
            </w:r>
            <w:r>
              <w:rPr>
                <w:rFonts w:hint="default" w:ascii="Times New Roman" w:hAnsi="Times New Roman" w:cs="Times New Roman"/>
                <w:color w:val="000000" w:themeColor="text1"/>
                <w:kern w:val="2"/>
                <w:sz w:val="21"/>
                <w:szCs w:val="21"/>
                <w14:textFill>
                  <w14:solidFill>
                    <w14:schemeClr w14:val="tx1"/>
                  </w14:solidFill>
                </w14:textFill>
              </w:rPr>
              <w:t>地方标准□国外标准□</w:t>
            </w:r>
          </w:p>
        </w:tc>
      </w:tr>
      <w:tr w14:paraId="7979983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Merge w:val="restart"/>
            <w:vAlign w:val="center"/>
          </w:tcPr>
          <w:p w14:paraId="7481ABF9">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现状评价</w:t>
            </w:r>
          </w:p>
        </w:tc>
        <w:tc>
          <w:tcPr>
            <w:tcW w:w="665" w:type="pct"/>
            <w:vAlign w:val="center"/>
          </w:tcPr>
          <w:p w14:paraId="4465FB71">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环境功能区</w:t>
            </w:r>
          </w:p>
        </w:tc>
        <w:tc>
          <w:tcPr>
            <w:tcW w:w="614" w:type="pct"/>
            <w:vAlign w:val="center"/>
          </w:tcPr>
          <w:p w14:paraId="05828347">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0类区□</w:t>
            </w:r>
          </w:p>
        </w:tc>
        <w:tc>
          <w:tcPr>
            <w:tcW w:w="615" w:type="pct"/>
            <w:gridSpan w:val="3"/>
            <w:vAlign w:val="center"/>
          </w:tcPr>
          <w:p w14:paraId="378D0908">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1类区□</w:t>
            </w:r>
          </w:p>
        </w:tc>
        <w:tc>
          <w:tcPr>
            <w:tcW w:w="615" w:type="pct"/>
            <w:vAlign w:val="center"/>
          </w:tcPr>
          <w:p w14:paraId="128C9CA0">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2类区□</w:t>
            </w:r>
          </w:p>
        </w:tc>
        <w:tc>
          <w:tcPr>
            <w:tcW w:w="615" w:type="pct"/>
            <w:vAlign w:val="center"/>
          </w:tcPr>
          <w:p w14:paraId="29469A4A">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3类区</w:t>
            </w:r>
            <w:r>
              <w:rPr>
                <w:rFonts w:hint="default" w:ascii="Times New Roman" w:hAnsi="Times New Roman" w:cs="Times New Roman"/>
                <w:color w:val="000000" w:themeColor="text1"/>
                <w:kern w:val="2"/>
                <w:sz w:val="21"/>
                <w:szCs w:val="21"/>
                <w14:textFill>
                  <w14:solidFill>
                    <w14:schemeClr w14:val="tx1"/>
                  </w14:solidFill>
                </w14:textFill>
              </w:rPr>
              <w:sym w:font="Wingdings 2" w:char="0052"/>
            </w:r>
          </w:p>
        </w:tc>
        <w:tc>
          <w:tcPr>
            <w:tcW w:w="615" w:type="pct"/>
            <w:gridSpan w:val="2"/>
            <w:vAlign w:val="center"/>
          </w:tcPr>
          <w:p w14:paraId="75079549">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4a类区□</w:t>
            </w:r>
          </w:p>
        </w:tc>
        <w:tc>
          <w:tcPr>
            <w:tcW w:w="615" w:type="pct"/>
            <w:vAlign w:val="center"/>
          </w:tcPr>
          <w:p w14:paraId="7337D0C5">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4b类区□</w:t>
            </w:r>
          </w:p>
        </w:tc>
      </w:tr>
      <w:tr w14:paraId="2743306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Merge w:val="continue"/>
            <w:vAlign w:val="center"/>
          </w:tcPr>
          <w:p w14:paraId="6578F26F">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p>
        </w:tc>
        <w:tc>
          <w:tcPr>
            <w:tcW w:w="665" w:type="pct"/>
            <w:vAlign w:val="center"/>
          </w:tcPr>
          <w:p w14:paraId="051BBA5D">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评价年度</w:t>
            </w:r>
          </w:p>
        </w:tc>
        <w:tc>
          <w:tcPr>
            <w:tcW w:w="922" w:type="pct"/>
            <w:gridSpan w:val="2"/>
            <w:vAlign w:val="center"/>
          </w:tcPr>
          <w:p w14:paraId="14C75C2D">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初期□</w:t>
            </w:r>
          </w:p>
        </w:tc>
        <w:tc>
          <w:tcPr>
            <w:tcW w:w="922" w:type="pct"/>
            <w:gridSpan w:val="3"/>
            <w:vAlign w:val="center"/>
          </w:tcPr>
          <w:p w14:paraId="385B6207">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近期</w:t>
            </w:r>
            <w:r>
              <w:rPr>
                <w:rFonts w:hint="default" w:ascii="Times New Roman" w:hAnsi="Times New Roman" w:cs="Times New Roman"/>
                <w:color w:val="000000" w:themeColor="text1"/>
                <w:kern w:val="2"/>
                <w:sz w:val="21"/>
                <w:szCs w:val="21"/>
                <w14:textFill>
                  <w14:solidFill>
                    <w14:schemeClr w14:val="tx1"/>
                  </w14:solidFill>
                </w14:textFill>
              </w:rPr>
              <w:sym w:font="Wingdings 2" w:char="0052"/>
            </w:r>
          </w:p>
        </w:tc>
        <w:tc>
          <w:tcPr>
            <w:tcW w:w="922" w:type="pct"/>
            <w:gridSpan w:val="2"/>
            <w:vAlign w:val="center"/>
          </w:tcPr>
          <w:p w14:paraId="0DA260F5">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中期□</w:t>
            </w:r>
          </w:p>
        </w:tc>
        <w:tc>
          <w:tcPr>
            <w:tcW w:w="923" w:type="pct"/>
            <w:gridSpan w:val="2"/>
            <w:vAlign w:val="center"/>
          </w:tcPr>
          <w:p w14:paraId="1E6B9862">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远期□</w:t>
            </w:r>
          </w:p>
        </w:tc>
      </w:tr>
      <w:tr w14:paraId="3399EB3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Merge w:val="continue"/>
            <w:vAlign w:val="center"/>
          </w:tcPr>
          <w:p w14:paraId="1B5F9ED1">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p>
        </w:tc>
        <w:tc>
          <w:tcPr>
            <w:tcW w:w="665" w:type="pct"/>
            <w:vAlign w:val="center"/>
          </w:tcPr>
          <w:p w14:paraId="2378BFD4">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现状调查方法</w:t>
            </w:r>
          </w:p>
        </w:tc>
        <w:tc>
          <w:tcPr>
            <w:tcW w:w="3689" w:type="pct"/>
            <w:gridSpan w:val="9"/>
            <w:vAlign w:val="center"/>
          </w:tcPr>
          <w:p w14:paraId="339DA10B">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现场实测法</w:t>
            </w:r>
            <w:r>
              <w:rPr>
                <w:rFonts w:hint="default" w:ascii="Times New Roman" w:hAnsi="Times New Roman" w:cs="Times New Roman"/>
                <w:color w:val="000000" w:themeColor="text1"/>
                <w:kern w:val="2"/>
                <w:sz w:val="21"/>
                <w:szCs w:val="21"/>
                <w14:textFill>
                  <w14:solidFill>
                    <w14:schemeClr w14:val="tx1"/>
                  </w14:solidFill>
                </w14:textFill>
              </w:rPr>
              <w:sym w:font="Wingdings 2" w:char="0052"/>
            </w:r>
            <w:r>
              <w:rPr>
                <w:rFonts w:hint="default" w:ascii="Times New Roman" w:hAnsi="Times New Roman" w:cs="Times New Roman"/>
                <w:color w:val="000000" w:themeColor="text1"/>
                <w:kern w:val="2"/>
                <w:sz w:val="21"/>
                <w:szCs w:val="21"/>
                <w14:textFill>
                  <w14:solidFill>
                    <w14:schemeClr w14:val="tx1"/>
                  </w14:solidFill>
                </w14:textFill>
              </w:rPr>
              <w:t>现场实测加模型计算法□收集资料□</w:t>
            </w:r>
          </w:p>
        </w:tc>
      </w:tr>
      <w:tr w14:paraId="2B31182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Merge w:val="continue"/>
            <w:vAlign w:val="center"/>
          </w:tcPr>
          <w:p w14:paraId="3002A0CB">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p>
        </w:tc>
        <w:tc>
          <w:tcPr>
            <w:tcW w:w="665" w:type="pct"/>
            <w:vAlign w:val="center"/>
          </w:tcPr>
          <w:p w14:paraId="4CED0C22">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现状评价</w:t>
            </w:r>
          </w:p>
        </w:tc>
        <w:tc>
          <w:tcPr>
            <w:tcW w:w="1164" w:type="pct"/>
            <w:gridSpan w:val="3"/>
            <w:vAlign w:val="center"/>
          </w:tcPr>
          <w:p w14:paraId="4BD65EE6">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达标百分比</w:t>
            </w:r>
          </w:p>
        </w:tc>
        <w:tc>
          <w:tcPr>
            <w:tcW w:w="2525" w:type="pct"/>
            <w:gridSpan w:val="6"/>
            <w:vAlign w:val="center"/>
          </w:tcPr>
          <w:p w14:paraId="6A1BB417">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100%</w:t>
            </w:r>
          </w:p>
        </w:tc>
      </w:tr>
      <w:tr w14:paraId="3B6426B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Align w:val="center"/>
          </w:tcPr>
          <w:p w14:paraId="597F1352">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噪声源调查</w:t>
            </w:r>
          </w:p>
        </w:tc>
        <w:tc>
          <w:tcPr>
            <w:tcW w:w="665" w:type="pct"/>
            <w:vAlign w:val="center"/>
          </w:tcPr>
          <w:p w14:paraId="3DA26C31">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噪声源调查方法</w:t>
            </w:r>
          </w:p>
        </w:tc>
        <w:tc>
          <w:tcPr>
            <w:tcW w:w="3689" w:type="pct"/>
            <w:gridSpan w:val="9"/>
            <w:vAlign w:val="center"/>
          </w:tcPr>
          <w:p w14:paraId="597E3BA3">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现场实测□已有资料</w:t>
            </w:r>
            <w:r>
              <w:rPr>
                <w:rFonts w:hint="default" w:ascii="Times New Roman" w:hAnsi="Times New Roman" w:cs="Times New Roman"/>
                <w:color w:val="000000" w:themeColor="text1"/>
                <w:kern w:val="2"/>
                <w:sz w:val="21"/>
                <w:szCs w:val="21"/>
                <w14:textFill>
                  <w14:solidFill>
                    <w14:schemeClr w14:val="tx1"/>
                  </w14:solidFill>
                </w14:textFill>
              </w:rPr>
              <w:sym w:font="Wingdings 2" w:char="0052"/>
            </w:r>
            <w:r>
              <w:rPr>
                <w:rFonts w:hint="default" w:ascii="Times New Roman" w:hAnsi="Times New Roman" w:cs="Times New Roman"/>
                <w:color w:val="000000" w:themeColor="text1"/>
                <w:kern w:val="2"/>
                <w:sz w:val="21"/>
                <w:szCs w:val="21"/>
                <w14:textFill>
                  <w14:solidFill>
                    <w14:schemeClr w14:val="tx1"/>
                  </w14:solidFill>
                </w14:textFill>
              </w:rPr>
              <w:t>研究成果□</w:t>
            </w:r>
          </w:p>
        </w:tc>
      </w:tr>
      <w:tr w14:paraId="5E1157C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Merge w:val="restart"/>
            <w:vAlign w:val="center"/>
          </w:tcPr>
          <w:p w14:paraId="494D1A23">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声环境影响预测与评价</w:t>
            </w:r>
          </w:p>
        </w:tc>
        <w:tc>
          <w:tcPr>
            <w:tcW w:w="665" w:type="pct"/>
            <w:vAlign w:val="center"/>
          </w:tcPr>
          <w:p w14:paraId="00CE6768">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预测模型</w:t>
            </w:r>
          </w:p>
        </w:tc>
        <w:tc>
          <w:tcPr>
            <w:tcW w:w="3689" w:type="pct"/>
            <w:gridSpan w:val="9"/>
            <w:vAlign w:val="center"/>
          </w:tcPr>
          <w:p w14:paraId="4DE4F12D">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导则推荐模型</w:t>
            </w:r>
            <w:r>
              <w:rPr>
                <w:rFonts w:hint="default" w:ascii="Times New Roman" w:hAnsi="Times New Roman" w:cs="Times New Roman"/>
                <w:color w:val="000000" w:themeColor="text1"/>
                <w:kern w:val="2"/>
                <w:sz w:val="21"/>
                <w:szCs w:val="21"/>
                <w14:textFill>
                  <w14:solidFill>
                    <w14:schemeClr w14:val="tx1"/>
                  </w14:solidFill>
                </w14:textFill>
              </w:rPr>
              <w:sym w:font="Wingdings 2" w:char="0052"/>
            </w:r>
            <w:r>
              <w:rPr>
                <w:rFonts w:hint="default" w:ascii="Times New Roman" w:hAnsi="Times New Roman" w:cs="Times New Roman"/>
                <w:color w:val="000000" w:themeColor="text1"/>
                <w:kern w:val="2"/>
                <w:sz w:val="21"/>
                <w:szCs w:val="21"/>
                <w14:textFill>
                  <w14:solidFill>
                    <w14:schemeClr w14:val="tx1"/>
                  </w14:solidFill>
                </w14:textFill>
              </w:rPr>
              <w:t>其他□</w:t>
            </w:r>
          </w:p>
        </w:tc>
      </w:tr>
      <w:tr w14:paraId="0069076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Merge w:val="continue"/>
            <w:vAlign w:val="center"/>
          </w:tcPr>
          <w:p w14:paraId="75657CF8">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p>
        </w:tc>
        <w:tc>
          <w:tcPr>
            <w:tcW w:w="665" w:type="pct"/>
            <w:vAlign w:val="center"/>
          </w:tcPr>
          <w:p w14:paraId="6E2D74DF">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预测范围</w:t>
            </w:r>
          </w:p>
        </w:tc>
        <w:tc>
          <w:tcPr>
            <w:tcW w:w="3689" w:type="pct"/>
            <w:gridSpan w:val="9"/>
            <w:vAlign w:val="center"/>
          </w:tcPr>
          <w:p w14:paraId="1EBCCB21">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200m□大于200m□小于200m</w:t>
            </w:r>
            <w:r>
              <w:rPr>
                <w:rFonts w:hint="default" w:ascii="Times New Roman" w:hAnsi="Times New Roman" w:cs="Times New Roman"/>
                <w:color w:val="000000" w:themeColor="text1"/>
                <w:kern w:val="2"/>
                <w:sz w:val="21"/>
                <w:szCs w:val="21"/>
                <w14:textFill>
                  <w14:solidFill>
                    <w14:schemeClr w14:val="tx1"/>
                  </w14:solidFill>
                </w14:textFill>
              </w:rPr>
              <w:sym w:font="Wingdings 2" w:char="0052"/>
            </w:r>
          </w:p>
        </w:tc>
      </w:tr>
      <w:tr w14:paraId="72D2F90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Merge w:val="continue"/>
            <w:vAlign w:val="center"/>
          </w:tcPr>
          <w:p w14:paraId="257C17C7">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p>
        </w:tc>
        <w:tc>
          <w:tcPr>
            <w:tcW w:w="665" w:type="pct"/>
            <w:vAlign w:val="center"/>
          </w:tcPr>
          <w:p w14:paraId="4E8897C0">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预测因子</w:t>
            </w:r>
          </w:p>
        </w:tc>
        <w:tc>
          <w:tcPr>
            <w:tcW w:w="3689" w:type="pct"/>
            <w:gridSpan w:val="9"/>
            <w:vAlign w:val="center"/>
          </w:tcPr>
          <w:p w14:paraId="2D7BAC5C">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等效连续A声级</w:t>
            </w:r>
            <w:r>
              <w:rPr>
                <w:rFonts w:hint="default" w:ascii="Times New Roman" w:hAnsi="Times New Roman" w:cs="Times New Roman"/>
                <w:color w:val="000000" w:themeColor="text1"/>
                <w:kern w:val="2"/>
                <w:sz w:val="21"/>
                <w:szCs w:val="21"/>
                <w14:textFill>
                  <w14:solidFill>
                    <w14:schemeClr w14:val="tx1"/>
                  </w14:solidFill>
                </w14:textFill>
              </w:rPr>
              <w:sym w:font="Wingdings 2" w:char="0052"/>
            </w:r>
            <w:r>
              <w:rPr>
                <w:rFonts w:hint="default" w:ascii="Times New Roman" w:hAnsi="Times New Roman" w:cs="Times New Roman"/>
                <w:color w:val="000000" w:themeColor="text1"/>
                <w:kern w:val="2"/>
                <w:sz w:val="21"/>
                <w:szCs w:val="21"/>
                <w14:textFill>
                  <w14:solidFill>
                    <w14:schemeClr w14:val="tx1"/>
                  </w14:solidFill>
                </w14:textFill>
              </w:rPr>
              <w:t>最大A声级□计权等效连续感觉噪声级□</w:t>
            </w:r>
          </w:p>
        </w:tc>
      </w:tr>
      <w:tr w14:paraId="6077782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Merge w:val="continue"/>
            <w:vAlign w:val="center"/>
          </w:tcPr>
          <w:p w14:paraId="1A6DE5B1">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p>
        </w:tc>
        <w:tc>
          <w:tcPr>
            <w:tcW w:w="665" w:type="pct"/>
            <w:vAlign w:val="center"/>
          </w:tcPr>
          <w:p w14:paraId="79D3B1B8">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厂界噪声贡献值</w:t>
            </w:r>
          </w:p>
        </w:tc>
        <w:tc>
          <w:tcPr>
            <w:tcW w:w="3689" w:type="pct"/>
            <w:gridSpan w:val="9"/>
            <w:vAlign w:val="center"/>
          </w:tcPr>
          <w:p w14:paraId="1E05E032">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达标</w:t>
            </w:r>
            <w:r>
              <w:rPr>
                <w:rFonts w:hint="default" w:ascii="Times New Roman" w:hAnsi="Times New Roman" w:cs="Times New Roman"/>
                <w:color w:val="000000" w:themeColor="text1"/>
                <w:kern w:val="2"/>
                <w:sz w:val="21"/>
                <w:szCs w:val="21"/>
                <w14:textFill>
                  <w14:solidFill>
                    <w14:schemeClr w14:val="tx1"/>
                  </w14:solidFill>
                </w14:textFill>
              </w:rPr>
              <w:sym w:font="Wingdings 2" w:char="0052"/>
            </w:r>
            <w:r>
              <w:rPr>
                <w:rFonts w:hint="default" w:ascii="Times New Roman" w:hAnsi="Times New Roman" w:cs="Times New Roman"/>
                <w:color w:val="000000" w:themeColor="text1"/>
                <w:kern w:val="2"/>
                <w:sz w:val="21"/>
                <w:szCs w:val="21"/>
                <w14:textFill>
                  <w14:solidFill>
                    <w14:schemeClr w14:val="tx1"/>
                  </w14:solidFill>
                </w14:textFill>
              </w:rPr>
              <w:t>不达标□</w:t>
            </w:r>
          </w:p>
        </w:tc>
      </w:tr>
      <w:tr w14:paraId="491A482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Merge w:val="continue"/>
            <w:vAlign w:val="center"/>
          </w:tcPr>
          <w:p w14:paraId="51D05E65">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p>
        </w:tc>
        <w:tc>
          <w:tcPr>
            <w:tcW w:w="665" w:type="pct"/>
            <w:vAlign w:val="center"/>
          </w:tcPr>
          <w:p w14:paraId="267061E4">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声环境保护目标处噪声值</w:t>
            </w:r>
          </w:p>
        </w:tc>
        <w:tc>
          <w:tcPr>
            <w:tcW w:w="3689" w:type="pct"/>
            <w:gridSpan w:val="9"/>
            <w:vAlign w:val="center"/>
          </w:tcPr>
          <w:p w14:paraId="48B0E4DE">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达标□不达标□</w:t>
            </w:r>
          </w:p>
        </w:tc>
      </w:tr>
      <w:tr w14:paraId="7E2D7AF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Merge w:val="restart"/>
            <w:vAlign w:val="center"/>
          </w:tcPr>
          <w:p w14:paraId="5316F2F3">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环境监测计划</w:t>
            </w:r>
          </w:p>
        </w:tc>
        <w:tc>
          <w:tcPr>
            <w:tcW w:w="665" w:type="pct"/>
            <w:vAlign w:val="center"/>
          </w:tcPr>
          <w:p w14:paraId="68286216">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排放监测</w:t>
            </w:r>
          </w:p>
        </w:tc>
        <w:tc>
          <w:tcPr>
            <w:tcW w:w="3689" w:type="pct"/>
            <w:gridSpan w:val="9"/>
            <w:vAlign w:val="center"/>
          </w:tcPr>
          <w:p w14:paraId="3B301465">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厂界监测</w:t>
            </w:r>
            <w:r>
              <w:rPr>
                <w:rFonts w:hint="default" w:ascii="Times New Roman" w:hAnsi="Times New Roman" w:cs="Times New Roman"/>
                <w:color w:val="000000" w:themeColor="text1"/>
                <w:kern w:val="2"/>
                <w:sz w:val="21"/>
                <w:szCs w:val="21"/>
                <w14:textFill>
                  <w14:solidFill>
                    <w14:schemeClr w14:val="tx1"/>
                  </w14:solidFill>
                </w14:textFill>
              </w:rPr>
              <w:sym w:font="Wingdings 2" w:char="0052"/>
            </w:r>
            <w:r>
              <w:rPr>
                <w:rFonts w:hint="default" w:ascii="Times New Roman" w:hAnsi="Times New Roman" w:cs="Times New Roman"/>
                <w:color w:val="000000" w:themeColor="text1"/>
                <w:kern w:val="2"/>
                <w:sz w:val="21"/>
                <w:szCs w:val="21"/>
                <w14:textFill>
                  <w14:solidFill>
                    <w14:schemeClr w14:val="tx1"/>
                  </w14:solidFill>
                </w14:textFill>
              </w:rPr>
              <w:t>固定位置监测□自动监测□手动监测</w:t>
            </w:r>
            <w:r>
              <w:rPr>
                <w:rFonts w:hint="default" w:ascii="Times New Roman" w:hAnsi="Times New Roman" w:cs="Times New Roman"/>
                <w:color w:val="000000" w:themeColor="text1"/>
                <w:kern w:val="2"/>
                <w:sz w:val="21"/>
                <w:szCs w:val="21"/>
                <w14:textFill>
                  <w14:solidFill>
                    <w14:schemeClr w14:val="tx1"/>
                  </w14:solidFill>
                </w14:textFill>
              </w:rPr>
              <w:sym w:font="Wingdings 2" w:char="0052"/>
            </w:r>
            <w:r>
              <w:rPr>
                <w:rFonts w:hint="default" w:ascii="Times New Roman" w:hAnsi="Times New Roman" w:cs="Times New Roman"/>
                <w:color w:val="000000" w:themeColor="text1"/>
                <w:kern w:val="2"/>
                <w:sz w:val="21"/>
                <w:szCs w:val="21"/>
                <w14:textFill>
                  <w14:solidFill>
                    <w14:schemeClr w14:val="tx1"/>
                  </w14:solidFill>
                </w14:textFill>
              </w:rPr>
              <w:t>无监测□</w:t>
            </w:r>
          </w:p>
        </w:tc>
      </w:tr>
      <w:tr w14:paraId="6EFD0CE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Merge w:val="continue"/>
            <w:vAlign w:val="center"/>
          </w:tcPr>
          <w:p w14:paraId="001274FD">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p>
        </w:tc>
        <w:tc>
          <w:tcPr>
            <w:tcW w:w="665" w:type="pct"/>
            <w:vAlign w:val="center"/>
          </w:tcPr>
          <w:p w14:paraId="2D5A4432">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声环境保护目标处噪声监测</w:t>
            </w:r>
          </w:p>
        </w:tc>
        <w:tc>
          <w:tcPr>
            <w:tcW w:w="1229" w:type="pct"/>
            <w:gridSpan w:val="4"/>
            <w:vAlign w:val="center"/>
          </w:tcPr>
          <w:p w14:paraId="24F77EFA">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监测因子（/）</w:t>
            </w:r>
          </w:p>
        </w:tc>
        <w:tc>
          <w:tcPr>
            <w:tcW w:w="1230" w:type="pct"/>
            <w:gridSpan w:val="2"/>
            <w:vAlign w:val="center"/>
          </w:tcPr>
          <w:p w14:paraId="4D6C4B5D">
            <w:pPr>
              <w:pStyle w:val="3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监测点位数（/）</w:t>
            </w:r>
          </w:p>
        </w:tc>
        <w:tc>
          <w:tcPr>
            <w:tcW w:w="1230" w:type="pct"/>
            <w:gridSpan w:val="3"/>
            <w:vAlign w:val="center"/>
          </w:tcPr>
          <w:p w14:paraId="73064BE5">
            <w:pPr>
              <w:pStyle w:val="30"/>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无监测</w:t>
            </w:r>
            <w:r>
              <w:rPr>
                <w:rFonts w:hint="default" w:ascii="Times New Roman" w:hAnsi="Times New Roman" w:cs="Times New Roman"/>
                <w:color w:val="000000" w:themeColor="text1"/>
                <w:kern w:val="2"/>
                <w:sz w:val="21"/>
                <w:szCs w:val="21"/>
                <w14:textFill>
                  <w14:solidFill>
                    <w14:schemeClr w14:val="tx1"/>
                  </w14:solidFill>
                </w14:textFill>
              </w:rPr>
              <w:sym w:font="Wingdings 2" w:char="0052"/>
            </w:r>
          </w:p>
        </w:tc>
      </w:tr>
      <w:tr w14:paraId="46B856F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647" w:type="pct"/>
            <w:vAlign w:val="center"/>
          </w:tcPr>
          <w:p w14:paraId="6A59A740">
            <w:pPr>
              <w:pStyle w:val="30"/>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评价结论</w:t>
            </w:r>
          </w:p>
        </w:tc>
        <w:tc>
          <w:tcPr>
            <w:tcW w:w="665" w:type="pct"/>
            <w:vAlign w:val="center"/>
          </w:tcPr>
          <w:p w14:paraId="5ED7D363">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环境影响</w:t>
            </w:r>
          </w:p>
        </w:tc>
        <w:tc>
          <w:tcPr>
            <w:tcW w:w="3689" w:type="pct"/>
            <w:gridSpan w:val="9"/>
            <w:vAlign w:val="center"/>
          </w:tcPr>
          <w:p w14:paraId="0028812C">
            <w:pPr>
              <w:pStyle w:val="30"/>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可行</w:t>
            </w:r>
            <w:r>
              <w:rPr>
                <w:rFonts w:hint="default" w:ascii="Times New Roman" w:hAnsi="Times New Roman" w:cs="Times New Roman"/>
                <w:color w:val="000000" w:themeColor="text1"/>
                <w:kern w:val="2"/>
                <w:sz w:val="21"/>
                <w:szCs w:val="21"/>
                <w14:textFill>
                  <w14:solidFill>
                    <w14:schemeClr w14:val="tx1"/>
                  </w14:solidFill>
                </w14:textFill>
              </w:rPr>
              <w:sym w:font="Wingdings 2" w:char="0052"/>
            </w:r>
            <w:r>
              <w:rPr>
                <w:rFonts w:hint="default" w:ascii="Times New Roman" w:hAnsi="Times New Roman" w:cs="Times New Roman"/>
                <w:color w:val="000000" w:themeColor="text1"/>
                <w:kern w:val="2"/>
                <w:sz w:val="21"/>
                <w:szCs w:val="21"/>
                <w14:textFill>
                  <w14:solidFill>
                    <w14:schemeClr w14:val="tx1"/>
                  </w14:solidFill>
                </w14:textFill>
              </w:rPr>
              <w:t>不可行□</w:t>
            </w:r>
          </w:p>
        </w:tc>
      </w:tr>
      <w:tr w14:paraId="6F3C806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7" w:hRule="atLeast"/>
        </w:trPr>
        <w:tc>
          <w:tcPr>
            <w:tcW w:w="5000" w:type="pct"/>
            <w:gridSpan w:val="11"/>
            <w:vAlign w:val="center"/>
          </w:tcPr>
          <w:p w14:paraId="6C8B6F77">
            <w:pPr>
              <w:pStyle w:val="30"/>
              <w:spacing w:line="276" w:lineRule="auto"/>
              <w:jc w:val="left"/>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注：“□”为勾选项，可√；“（）”为内容填写项</w:t>
            </w:r>
          </w:p>
        </w:tc>
      </w:tr>
    </w:tbl>
    <w:p w14:paraId="32CB34C3">
      <w:pPr>
        <w:pStyle w:val="3159"/>
        <w:rPr>
          <w:rFonts w:hint="default" w:ascii="Times New Roman" w:hAnsi="Times New Roman" w:eastAsia="黑体" w:cs="Times New Roman"/>
          <w:b w:val="0"/>
          <w:color w:val="000000" w:themeColor="text1"/>
          <w14:textFill>
            <w14:solidFill>
              <w14:schemeClr w14:val="tx1"/>
            </w14:solidFill>
          </w14:textFill>
        </w:rPr>
      </w:pPr>
      <w:bookmarkStart w:id="196" w:name="_Toc133325598"/>
      <w:bookmarkStart w:id="197" w:name="_Toc173837724"/>
      <w:r>
        <w:rPr>
          <w:rFonts w:hint="default" w:ascii="Times New Roman" w:hAnsi="Times New Roman" w:eastAsia="黑体" w:cs="Times New Roman"/>
          <w:b w:val="0"/>
          <w:color w:val="000000" w:themeColor="text1"/>
          <w:sz w:val="28"/>
          <w:szCs w:val="32"/>
          <w14:textFill>
            <w14:solidFill>
              <w14:schemeClr w14:val="tx1"/>
            </w14:solidFill>
          </w14:textFill>
        </w:rPr>
        <w:t>5.</w:t>
      </w:r>
      <w:r>
        <w:rPr>
          <w:rFonts w:hint="default" w:ascii="Times New Roman" w:hAnsi="Times New Roman" w:eastAsia="黑体" w:cs="Times New Roman"/>
          <w:b w:val="0"/>
          <w:color w:val="000000" w:themeColor="text1"/>
          <w:sz w:val="28"/>
          <w:szCs w:val="32"/>
          <w:lang w:val="en-US" w:eastAsia="zh-CN"/>
          <w14:textFill>
            <w14:solidFill>
              <w14:schemeClr w14:val="tx1"/>
            </w14:solidFill>
          </w14:textFill>
        </w:rPr>
        <w:t>8</w:t>
      </w:r>
      <w:r>
        <w:rPr>
          <w:rFonts w:hint="default" w:ascii="Times New Roman" w:hAnsi="Times New Roman" w:eastAsia="黑体" w:cs="Times New Roman"/>
          <w:b w:val="0"/>
          <w:color w:val="000000" w:themeColor="text1"/>
          <w:sz w:val="28"/>
          <w:szCs w:val="32"/>
          <w14:textFill>
            <w14:solidFill>
              <w14:schemeClr w14:val="tx1"/>
            </w14:solidFill>
          </w14:textFill>
        </w:rPr>
        <w:t>营运期环境风险分析与评价</w:t>
      </w:r>
      <w:bookmarkEnd w:id="196"/>
    </w:p>
    <w:p w14:paraId="5846CCEA">
      <w:pPr>
        <w:pStyle w:val="3159"/>
        <w:spacing w:line="360" w:lineRule="auto"/>
        <w:rPr>
          <w:rFonts w:hint="default" w:ascii="Times New Roman" w:hAnsi="Times New Roman" w:eastAsia="宋体" w:cs="Times New Roman"/>
          <w:b w:val="0"/>
          <w:color w:val="000000" w:themeColor="text1"/>
          <w:sz w:val="24"/>
          <w:szCs w:val="24"/>
          <w14:textFill>
            <w14:solidFill>
              <w14:schemeClr w14:val="tx1"/>
            </w14:solidFill>
          </w14:textFill>
        </w:rPr>
      </w:pPr>
      <w:r>
        <w:rPr>
          <w:rFonts w:hint="default" w:ascii="Times New Roman" w:hAnsi="Times New Roman" w:eastAsia="黑体" w:cs="Times New Roman"/>
          <w:b w:val="0"/>
          <w:color w:val="000000" w:themeColor="text1"/>
          <w:sz w:val="24"/>
          <w:szCs w:val="24"/>
          <w14:textFill>
            <w14:solidFill>
              <w14:schemeClr w14:val="tx1"/>
            </w14:solidFill>
          </w14:textFill>
        </w:rPr>
        <w:t>5.</w:t>
      </w:r>
      <w:r>
        <w:rPr>
          <w:rFonts w:hint="default" w:ascii="Times New Roman" w:hAnsi="Times New Roman" w:eastAsia="黑体" w:cs="Times New Roman"/>
          <w:b w:val="0"/>
          <w:color w:val="000000" w:themeColor="text1"/>
          <w:sz w:val="24"/>
          <w:szCs w:val="24"/>
          <w:lang w:val="en-US" w:eastAsia="zh-CN"/>
          <w14:textFill>
            <w14:solidFill>
              <w14:schemeClr w14:val="tx1"/>
            </w14:solidFill>
          </w14:textFill>
        </w:rPr>
        <w:t>8</w:t>
      </w:r>
      <w:r>
        <w:rPr>
          <w:rFonts w:hint="default" w:ascii="Times New Roman" w:hAnsi="Times New Roman" w:eastAsia="黑体" w:cs="Times New Roman"/>
          <w:b w:val="0"/>
          <w:color w:val="000000" w:themeColor="text1"/>
          <w:sz w:val="24"/>
          <w:szCs w:val="24"/>
          <w14:textFill>
            <w14:solidFill>
              <w14:schemeClr w14:val="tx1"/>
            </w14:solidFill>
          </w14:textFill>
        </w:rPr>
        <w:t>.1一般性原则</w:t>
      </w:r>
    </w:p>
    <w:p w14:paraId="61C2988D">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5EC2B6A7">
      <w:pPr>
        <w:pStyle w:val="4097"/>
        <w:spacing w:line="360" w:lineRule="auto"/>
        <w:ind w:left="0" w:leftChars="0" w:firstLine="0" w:firstLineChars="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黑体" w:cs="Times New Roman"/>
          <w:b w:val="0"/>
          <w:color w:val="000000" w:themeColor="text1"/>
          <w:kern w:val="2"/>
          <w:sz w:val="24"/>
          <w:szCs w:val="24"/>
          <w:lang w:val="en-US" w:eastAsia="zh-CN" w:bidi="ar-SA"/>
          <w14:textFill>
            <w14:solidFill>
              <w14:schemeClr w14:val="tx1"/>
            </w14:solidFill>
          </w14:textFill>
        </w:rPr>
        <w:t>5.8.2环境风险识别</w:t>
      </w:r>
    </w:p>
    <w:p w14:paraId="6771536E">
      <w:pPr>
        <w:pStyle w:val="4096"/>
        <w:spacing w:line="360" w:lineRule="auto"/>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5.</w:t>
      </w:r>
      <w:r>
        <w:rPr>
          <w:rFonts w:hint="eastAsia" w:ascii="Times New Roman" w:hAnsi="Times New Roman" w:cs="Times New Roman"/>
          <w:color w:val="000000" w:themeColor="text1"/>
          <w:sz w:val="24"/>
          <w:szCs w:val="24"/>
          <w:lang w:val="en-US" w:eastAsia="zh-CN"/>
          <w14:textFill>
            <w14:solidFill>
              <w14:schemeClr w14:val="tx1"/>
            </w14:solidFill>
          </w14:textFill>
        </w:rPr>
        <w:t>8</w:t>
      </w:r>
      <w:r>
        <w:rPr>
          <w:rFonts w:hint="default" w:ascii="Times New Roman" w:hAnsi="Times New Roman" w:eastAsia="黑体" w:cs="Times New Roman"/>
          <w:color w:val="000000" w:themeColor="text1"/>
          <w:sz w:val="24"/>
          <w:szCs w:val="24"/>
          <w14:textFill>
            <w14:solidFill>
              <w14:schemeClr w14:val="tx1"/>
            </w14:solidFill>
          </w14:textFill>
        </w:rPr>
        <w:t>.2.1风险识别内容</w:t>
      </w:r>
    </w:p>
    <w:p w14:paraId="3719F0EB">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建设项目环境风险评价技术导则》（HJ/T169-2018）的规定，风险识别内容包括：物质危险性识别、生产系统危险性识别和危险物质向环境转移的途径识别。物质危险性识别为主要原辅材料、燃料、中间产品、副产品、最终产品、污染物、火灾和爆炸伴生/次生物等；生产系统危险性识别为主要生产装置、储运系统、公用工程系统和辅助生产设施，以及环境保护设施等；危险物质向环境转移的途径识别包括分析危险物质特性及可能的环境风险类型，识别危险物质影响环境的途径，分析可能影响的环境敏感目标。</w:t>
      </w:r>
    </w:p>
    <w:p w14:paraId="0043C6F4">
      <w:pPr>
        <w:pStyle w:val="4096"/>
        <w:spacing w:line="360" w:lineRule="auto"/>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5.</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8</w:t>
      </w:r>
      <w:r>
        <w:rPr>
          <w:rFonts w:hint="default" w:ascii="Times New Roman" w:hAnsi="Times New Roman" w:eastAsia="黑体" w:cs="Times New Roman"/>
          <w:color w:val="000000" w:themeColor="text1"/>
          <w:sz w:val="24"/>
          <w:szCs w:val="24"/>
          <w14:textFill>
            <w14:solidFill>
              <w14:schemeClr w14:val="tx1"/>
            </w14:solidFill>
          </w14:textFill>
        </w:rPr>
        <w:t>.2.2物质危险性识别</w:t>
      </w:r>
    </w:p>
    <w:p w14:paraId="6FFB02A9">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依据《建设项目环境风险评价技术导则》（HJ/T169-2018），对拟建项目主要原辅材料、燃料、中间产品、副产品、最终产品、污染物、火灾和爆炸伴生/次生物等进行判别。</w:t>
      </w:r>
    </w:p>
    <w:p w14:paraId="692F1FB3">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1、物质风险识别</w:t>
      </w:r>
    </w:p>
    <w:p w14:paraId="04D9CF8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（1）外购原辅材料</w:t>
      </w:r>
    </w:p>
    <w:p w14:paraId="67F446D7">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拟建项目使用的原辅材料有</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PET瓶砖等</w:t>
      </w:r>
      <w:r>
        <w:rPr>
          <w:rFonts w:hint="default" w:ascii="Times New Roman" w:hAnsi="Times New Roman" w:eastAsia="宋体" w:cs="Times New Roman"/>
          <w:color w:val="000000" w:themeColor="text1"/>
          <w:sz w:val="24"/>
          <w:szCs w:val="24"/>
          <w14:textFill>
            <w14:solidFill>
              <w14:schemeClr w14:val="tx1"/>
            </w14:solidFill>
          </w14:textFill>
        </w:rPr>
        <w:t>。</w:t>
      </w:r>
    </w:p>
    <w:p w14:paraId="53967D36">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（2）产品</w:t>
      </w:r>
    </w:p>
    <w:p w14:paraId="65640676">
      <w:pPr>
        <w:spacing w:line="360" w:lineRule="auto"/>
        <w:ind w:firstLine="480"/>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拟建项目</w:t>
      </w:r>
      <w:r>
        <w:rPr>
          <w:rFonts w:hint="default" w:ascii="Times New Roman" w:hAnsi="Times New Roman" w:eastAsia="宋体" w:cs="Times New Roman"/>
          <w:color w:val="000000" w:themeColor="text1"/>
          <w:sz w:val="24"/>
          <w:szCs w:val="24"/>
          <w:lang w:eastAsia="zh-CN"/>
          <w14:textFill>
            <w14:solidFill>
              <w14:schemeClr w14:val="tx1"/>
            </w14:solidFill>
          </w14:textFill>
        </w:rPr>
        <w:t>产品</w:t>
      </w:r>
      <w:r>
        <w:rPr>
          <w:rFonts w:hint="default" w:ascii="Times New Roman" w:hAnsi="Times New Roman" w:eastAsia="宋体" w:cs="Times New Roman"/>
          <w:color w:val="000000" w:themeColor="text1"/>
          <w:sz w:val="24"/>
          <w:szCs w:val="24"/>
          <w14:textFill>
            <w14:solidFill>
              <w14:schemeClr w14:val="tx1"/>
            </w14:solidFill>
          </w14:textFill>
        </w:rPr>
        <w:t>主要有</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PET瓶片、改性粒子、标签纸、瓶盖</w:t>
      </w:r>
      <w:r>
        <w:rPr>
          <w:rFonts w:hint="default" w:ascii="Times New Roman" w:hAnsi="Times New Roman" w:eastAsia="宋体" w:cs="Times New Roman"/>
          <w:color w:val="000000" w:themeColor="text1"/>
          <w:sz w:val="24"/>
          <w:szCs w:val="24"/>
          <w14:textFill>
            <w14:solidFill>
              <w14:schemeClr w14:val="tx1"/>
            </w14:solidFill>
          </w14:textFill>
        </w:rPr>
        <w:t>等</w:t>
      </w:r>
      <w:r>
        <w:rPr>
          <w:rFonts w:hint="default" w:ascii="Times New Roman" w:hAnsi="Times New Roman" w:eastAsia="宋体" w:cs="Times New Roman"/>
          <w:color w:val="000000" w:themeColor="text1"/>
          <w:sz w:val="24"/>
          <w:szCs w:val="24"/>
          <w:lang w:eastAsia="zh-CN"/>
          <w14:textFill>
            <w14:solidFill>
              <w14:schemeClr w14:val="tx1"/>
            </w14:solidFill>
          </w14:textFill>
        </w:rPr>
        <w:t>，均为可燃物。</w:t>
      </w:r>
    </w:p>
    <w:p w14:paraId="7FEB5ADB">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拟建项目主要危险有害物质危险特性识别结果如下表：</w:t>
      </w:r>
    </w:p>
    <w:p w14:paraId="0F80442A">
      <w:pPr>
        <w:spacing w:line="360" w:lineRule="auto"/>
        <w:jc w:val="cente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4"/>
          <w:szCs w:val="24"/>
          <w:lang w:val="en-US" w:eastAsia="zh-CN" w:bidi="ar-SA"/>
          <w14:textFill>
            <w14:solidFill>
              <w14:schemeClr w14:val="tx1"/>
            </w14:solidFill>
          </w14:textFill>
        </w:rPr>
        <w:t>表5.8-1拟建项目物质危险性判别一览表</w:t>
      </w:r>
    </w:p>
    <w:tbl>
      <w:tblPr>
        <w:tblStyle w:val="8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0"/>
        <w:gridCol w:w="1474"/>
        <w:gridCol w:w="2011"/>
        <w:gridCol w:w="1212"/>
        <w:gridCol w:w="3002"/>
      </w:tblGrid>
      <w:tr w14:paraId="0A089E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tcBorders>
              <w:tl2br w:val="nil"/>
              <w:tr2bl w:val="nil"/>
            </w:tcBorders>
            <w:vAlign w:val="center"/>
          </w:tcPr>
          <w:p w14:paraId="6C83B90F">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序号</w:t>
            </w:r>
          </w:p>
        </w:tc>
        <w:tc>
          <w:tcPr>
            <w:tcW w:w="865" w:type="pct"/>
            <w:tcBorders>
              <w:tl2br w:val="nil"/>
              <w:tr2bl w:val="nil"/>
            </w:tcBorders>
            <w:vAlign w:val="center"/>
          </w:tcPr>
          <w:p w14:paraId="282142FB">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类别</w:t>
            </w:r>
          </w:p>
        </w:tc>
        <w:tc>
          <w:tcPr>
            <w:tcW w:w="1180" w:type="pct"/>
            <w:tcBorders>
              <w:tl2br w:val="nil"/>
              <w:tr2bl w:val="nil"/>
            </w:tcBorders>
            <w:vAlign w:val="center"/>
          </w:tcPr>
          <w:p w14:paraId="4A586493">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物质名称</w:t>
            </w:r>
          </w:p>
        </w:tc>
        <w:tc>
          <w:tcPr>
            <w:tcW w:w="711" w:type="pct"/>
            <w:tcBorders>
              <w:tl2br w:val="nil"/>
              <w:tr2bl w:val="nil"/>
            </w:tcBorders>
            <w:vAlign w:val="center"/>
          </w:tcPr>
          <w:p w14:paraId="2474A38B">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形态</w:t>
            </w:r>
          </w:p>
        </w:tc>
        <w:tc>
          <w:tcPr>
            <w:tcW w:w="1761" w:type="pct"/>
            <w:tcBorders>
              <w:tl2br w:val="nil"/>
              <w:tr2bl w:val="nil"/>
            </w:tcBorders>
            <w:vAlign w:val="center"/>
          </w:tcPr>
          <w:p w14:paraId="2C93EBE6">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物质类别</w:t>
            </w:r>
          </w:p>
        </w:tc>
      </w:tr>
      <w:tr w14:paraId="56E207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tcBorders>
              <w:tl2br w:val="nil"/>
              <w:tr2bl w:val="nil"/>
            </w:tcBorders>
            <w:vAlign w:val="center"/>
          </w:tcPr>
          <w:p w14:paraId="2CB90AD0">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w:t>
            </w:r>
          </w:p>
        </w:tc>
        <w:tc>
          <w:tcPr>
            <w:tcW w:w="865" w:type="pct"/>
            <w:vMerge w:val="restart"/>
            <w:tcBorders>
              <w:tl2br w:val="nil"/>
              <w:tr2bl w:val="nil"/>
            </w:tcBorders>
            <w:vAlign w:val="center"/>
          </w:tcPr>
          <w:p w14:paraId="2820DF4B">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原辅材料</w:t>
            </w:r>
          </w:p>
        </w:tc>
        <w:tc>
          <w:tcPr>
            <w:tcW w:w="1180" w:type="pct"/>
            <w:tcBorders>
              <w:tl2br w:val="nil"/>
              <w:tr2bl w:val="nil"/>
            </w:tcBorders>
            <w:vAlign w:val="center"/>
          </w:tcPr>
          <w:p w14:paraId="514B9417">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PET瓶砖</w:t>
            </w:r>
          </w:p>
        </w:tc>
        <w:tc>
          <w:tcPr>
            <w:tcW w:w="711" w:type="pct"/>
            <w:tcBorders>
              <w:tl2br w:val="nil"/>
              <w:tr2bl w:val="nil"/>
            </w:tcBorders>
            <w:vAlign w:val="center"/>
          </w:tcPr>
          <w:p w14:paraId="1A076BDD">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固态</w:t>
            </w:r>
          </w:p>
        </w:tc>
        <w:tc>
          <w:tcPr>
            <w:tcW w:w="1761" w:type="pct"/>
            <w:tcBorders>
              <w:tl2br w:val="nil"/>
              <w:tr2bl w:val="nil"/>
            </w:tcBorders>
            <w:vAlign w:val="center"/>
          </w:tcPr>
          <w:p w14:paraId="30D15AD8">
            <w:pPr>
              <w:pStyle w:val="30"/>
              <w:spacing w:line="276" w:lineRule="auto"/>
              <w:jc w:val="center"/>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非危险物质</w:t>
            </w:r>
          </w:p>
        </w:tc>
      </w:tr>
      <w:tr w14:paraId="3BCC36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tcBorders>
              <w:tl2br w:val="nil"/>
              <w:tr2bl w:val="nil"/>
            </w:tcBorders>
            <w:vAlign w:val="center"/>
          </w:tcPr>
          <w:p w14:paraId="08215A38">
            <w:pPr>
              <w:pStyle w:val="30"/>
              <w:spacing w:line="276" w:lineRule="auto"/>
              <w:jc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2</w:t>
            </w:r>
          </w:p>
        </w:tc>
        <w:tc>
          <w:tcPr>
            <w:tcW w:w="865" w:type="pct"/>
            <w:vMerge w:val="continue"/>
            <w:tcBorders>
              <w:tl2br w:val="nil"/>
              <w:tr2bl w:val="nil"/>
            </w:tcBorders>
            <w:vAlign w:val="center"/>
          </w:tcPr>
          <w:p w14:paraId="1EDCDDF4">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p>
        </w:tc>
        <w:tc>
          <w:tcPr>
            <w:tcW w:w="1180" w:type="pct"/>
            <w:tcBorders>
              <w:tl2br w:val="nil"/>
              <w:tr2bl w:val="nil"/>
            </w:tcBorders>
            <w:vAlign w:val="center"/>
          </w:tcPr>
          <w:p w14:paraId="03F6C331">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润滑油</w:t>
            </w:r>
          </w:p>
        </w:tc>
        <w:tc>
          <w:tcPr>
            <w:tcW w:w="711" w:type="pct"/>
            <w:tcBorders>
              <w:tl2br w:val="nil"/>
              <w:tr2bl w:val="nil"/>
            </w:tcBorders>
            <w:vAlign w:val="center"/>
          </w:tcPr>
          <w:p w14:paraId="3EE895FC">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液态</w:t>
            </w:r>
          </w:p>
        </w:tc>
        <w:tc>
          <w:tcPr>
            <w:tcW w:w="1761" w:type="pct"/>
            <w:tcBorders>
              <w:tl2br w:val="nil"/>
              <w:tr2bl w:val="nil"/>
            </w:tcBorders>
            <w:vAlign w:val="center"/>
          </w:tcPr>
          <w:p w14:paraId="09ABDFE0">
            <w:pPr>
              <w:pStyle w:val="30"/>
              <w:spacing w:line="276" w:lineRule="auto"/>
              <w:jc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可燃</w:t>
            </w:r>
          </w:p>
        </w:tc>
      </w:tr>
      <w:tr w14:paraId="463F76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tcBorders>
              <w:tl2br w:val="nil"/>
              <w:tr2bl w:val="nil"/>
            </w:tcBorders>
            <w:vAlign w:val="center"/>
          </w:tcPr>
          <w:p w14:paraId="6143684E">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3</w:t>
            </w:r>
          </w:p>
        </w:tc>
        <w:tc>
          <w:tcPr>
            <w:tcW w:w="865" w:type="pct"/>
            <w:vMerge w:val="restart"/>
            <w:tcBorders>
              <w:tl2br w:val="nil"/>
              <w:tr2bl w:val="nil"/>
            </w:tcBorders>
            <w:vAlign w:val="center"/>
          </w:tcPr>
          <w:p w14:paraId="09935201">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产品</w:t>
            </w:r>
          </w:p>
        </w:tc>
        <w:tc>
          <w:tcPr>
            <w:tcW w:w="1180" w:type="pct"/>
            <w:tcBorders>
              <w:tl2br w:val="nil"/>
              <w:tr2bl w:val="nil"/>
            </w:tcBorders>
            <w:vAlign w:val="center"/>
          </w:tcPr>
          <w:p w14:paraId="1A4AEFEF">
            <w:pPr>
              <w:pStyle w:val="30"/>
              <w:spacing w:line="276" w:lineRule="auto"/>
              <w:jc w:val="center"/>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PET瓶片</w:t>
            </w:r>
          </w:p>
        </w:tc>
        <w:tc>
          <w:tcPr>
            <w:tcW w:w="711" w:type="pct"/>
            <w:tcBorders>
              <w:tl2br w:val="nil"/>
              <w:tr2bl w:val="nil"/>
            </w:tcBorders>
            <w:vAlign w:val="center"/>
          </w:tcPr>
          <w:p w14:paraId="39C20D24">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固态</w:t>
            </w:r>
          </w:p>
        </w:tc>
        <w:tc>
          <w:tcPr>
            <w:tcW w:w="1761" w:type="pct"/>
            <w:tcBorders>
              <w:tl2br w:val="nil"/>
              <w:tr2bl w:val="nil"/>
            </w:tcBorders>
            <w:vAlign w:val="center"/>
          </w:tcPr>
          <w:p w14:paraId="7CB309DC">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非危险物质</w:t>
            </w:r>
          </w:p>
        </w:tc>
      </w:tr>
      <w:tr w14:paraId="061AE2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tcBorders>
              <w:tl2br w:val="nil"/>
              <w:tr2bl w:val="nil"/>
            </w:tcBorders>
            <w:vAlign w:val="center"/>
          </w:tcPr>
          <w:p w14:paraId="03318AA7">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4</w:t>
            </w:r>
          </w:p>
        </w:tc>
        <w:tc>
          <w:tcPr>
            <w:tcW w:w="865" w:type="pct"/>
            <w:vMerge w:val="continue"/>
            <w:tcBorders>
              <w:tl2br w:val="nil"/>
              <w:tr2bl w:val="nil"/>
            </w:tcBorders>
            <w:vAlign w:val="center"/>
          </w:tcPr>
          <w:p w14:paraId="41C03725">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p>
        </w:tc>
        <w:tc>
          <w:tcPr>
            <w:tcW w:w="1180" w:type="pct"/>
            <w:tcBorders>
              <w:tl2br w:val="nil"/>
              <w:tr2bl w:val="nil"/>
            </w:tcBorders>
            <w:vAlign w:val="center"/>
          </w:tcPr>
          <w:p w14:paraId="0ED75FDE">
            <w:pPr>
              <w:pStyle w:val="30"/>
              <w:spacing w:line="276" w:lineRule="auto"/>
              <w:jc w:val="center"/>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标签纸</w:t>
            </w:r>
          </w:p>
        </w:tc>
        <w:tc>
          <w:tcPr>
            <w:tcW w:w="711" w:type="pct"/>
            <w:tcBorders>
              <w:tl2br w:val="nil"/>
              <w:tr2bl w:val="nil"/>
            </w:tcBorders>
            <w:vAlign w:val="center"/>
          </w:tcPr>
          <w:p w14:paraId="77D36C0C">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固态</w:t>
            </w:r>
          </w:p>
        </w:tc>
        <w:tc>
          <w:tcPr>
            <w:tcW w:w="1761" w:type="pct"/>
            <w:tcBorders>
              <w:tl2br w:val="nil"/>
              <w:tr2bl w:val="nil"/>
            </w:tcBorders>
            <w:vAlign w:val="center"/>
          </w:tcPr>
          <w:p w14:paraId="6847C169">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非危险物质</w:t>
            </w:r>
          </w:p>
        </w:tc>
      </w:tr>
      <w:tr w14:paraId="3D5B8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tcBorders>
              <w:tl2br w:val="nil"/>
              <w:tr2bl w:val="nil"/>
            </w:tcBorders>
            <w:vAlign w:val="center"/>
          </w:tcPr>
          <w:p w14:paraId="38871E44">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5</w:t>
            </w:r>
          </w:p>
        </w:tc>
        <w:tc>
          <w:tcPr>
            <w:tcW w:w="865" w:type="pct"/>
            <w:vMerge w:val="continue"/>
            <w:tcBorders>
              <w:tl2br w:val="nil"/>
              <w:tr2bl w:val="nil"/>
            </w:tcBorders>
            <w:vAlign w:val="center"/>
          </w:tcPr>
          <w:p w14:paraId="59D83620">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p>
        </w:tc>
        <w:tc>
          <w:tcPr>
            <w:tcW w:w="1180" w:type="pct"/>
            <w:tcBorders>
              <w:tl2br w:val="nil"/>
              <w:tr2bl w:val="nil"/>
            </w:tcBorders>
            <w:vAlign w:val="center"/>
          </w:tcPr>
          <w:p w14:paraId="70B82E46">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瓶盖</w:t>
            </w:r>
          </w:p>
        </w:tc>
        <w:tc>
          <w:tcPr>
            <w:tcW w:w="711" w:type="pct"/>
            <w:tcBorders>
              <w:tl2br w:val="nil"/>
              <w:tr2bl w:val="nil"/>
            </w:tcBorders>
            <w:vAlign w:val="center"/>
          </w:tcPr>
          <w:p w14:paraId="4417EBAF">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固态</w:t>
            </w:r>
          </w:p>
        </w:tc>
        <w:tc>
          <w:tcPr>
            <w:tcW w:w="1761" w:type="pct"/>
            <w:tcBorders>
              <w:tl2br w:val="nil"/>
              <w:tr2bl w:val="nil"/>
            </w:tcBorders>
            <w:vAlign w:val="center"/>
          </w:tcPr>
          <w:p w14:paraId="6F5C9F87">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非危险物质</w:t>
            </w:r>
          </w:p>
        </w:tc>
      </w:tr>
      <w:tr w14:paraId="2137D4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tcBorders>
              <w:tl2br w:val="nil"/>
              <w:tr2bl w:val="nil"/>
            </w:tcBorders>
            <w:vAlign w:val="center"/>
          </w:tcPr>
          <w:p w14:paraId="73425365">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6</w:t>
            </w:r>
          </w:p>
        </w:tc>
        <w:tc>
          <w:tcPr>
            <w:tcW w:w="865" w:type="pct"/>
            <w:vMerge w:val="continue"/>
            <w:tcBorders>
              <w:tl2br w:val="nil"/>
              <w:tr2bl w:val="nil"/>
            </w:tcBorders>
            <w:vAlign w:val="center"/>
          </w:tcPr>
          <w:p w14:paraId="6E352E4E">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p>
        </w:tc>
        <w:tc>
          <w:tcPr>
            <w:tcW w:w="1180" w:type="pct"/>
            <w:tcBorders>
              <w:tl2br w:val="nil"/>
              <w:tr2bl w:val="nil"/>
            </w:tcBorders>
            <w:vAlign w:val="center"/>
          </w:tcPr>
          <w:p w14:paraId="0532EC59">
            <w:pPr>
              <w:pStyle w:val="30"/>
              <w:spacing w:line="276" w:lineRule="auto"/>
              <w:jc w:val="center"/>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改性粒子</w:t>
            </w:r>
          </w:p>
        </w:tc>
        <w:tc>
          <w:tcPr>
            <w:tcW w:w="711" w:type="pct"/>
            <w:tcBorders>
              <w:tl2br w:val="nil"/>
              <w:tr2bl w:val="nil"/>
            </w:tcBorders>
            <w:vAlign w:val="center"/>
          </w:tcPr>
          <w:p w14:paraId="2B8B8FC1">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固态</w:t>
            </w:r>
          </w:p>
        </w:tc>
        <w:tc>
          <w:tcPr>
            <w:tcW w:w="1761" w:type="pct"/>
            <w:tcBorders>
              <w:tl2br w:val="nil"/>
              <w:tr2bl w:val="nil"/>
            </w:tcBorders>
            <w:vAlign w:val="center"/>
          </w:tcPr>
          <w:p w14:paraId="2B716F96">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非危险物质</w:t>
            </w:r>
          </w:p>
        </w:tc>
      </w:tr>
      <w:tr w14:paraId="3EACD0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tcBorders>
              <w:tl2br w:val="nil"/>
              <w:tr2bl w:val="nil"/>
            </w:tcBorders>
            <w:vAlign w:val="center"/>
          </w:tcPr>
          <w:p w14:paraId="0F86F149">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7</w:t>
            </w:r>
          </w:p>
        </w:tc>
        <w:tc>
          <w:tcPr>
            <w:tcW w:w="865" w:type="pct"/>
            <w:vMerge w:val="restart"/>
            <w:tcBorders>
              <w:tl2br w:val="nil"/>
              <w:tr2bl w:val="nil"/>
            </w:tcBorders>
            <w:vAlign w:val="center"/>
          </w:tcPr>
          <w:p w14:paraId="00DEFC0E">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“三废”污染物</w:t>
            </w:r>
          </w:p>
        </w:tc>
        <w:tc>
          <w:tcPr>
            <w:tcW w:w="1180" w:type="pct"/>
            <w:tcBorders>
              <w:tl2br w:val="nil"/>
              <w:tr2bl w:val="nil"/>
            </w:tcBorders>
            <w:vAlign w:val="center"/>
          </w:tcPr>
          <w:p w14:paraId="6C679073">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粉尘</w:t>
            </w:r>
          </w:p>
        </w:tc>
        <w:tc>
          <w:tcPr>
            <w:tcW w:w="711" w:type="pct"/>
            <w:tcBorders>
              <w:tl2br w:val="nil"/>
              <w:tr2bl w:val="nil"/>
            </w:tcBorders>
            <w:vAlign w:val="center"/>
          </w:tcPr>
          <w:p w14:paraId="3709D9E6">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气态</w:t>
            </w:r>
          </w:p>
        </w:tc>
        <w:tc>
          <w:tcPr>
            <w:tcW w:w="1761" w:type="pct"/>
            <w:tcBorders>
              <w:tl2br w:val="nil"/>
              <w:tr2bl w:val="nil"/>
            </w:tcBorders>
            <w:vAlign w:val="center"/>
          </w:tcPr>
          <w:p w14:paraId="3CE630D3">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非危险物质</w:t>
            </w:r>
          </w:p>
        </w:tc>
      </w:tr>
      <w:tr w14:paraId="6E93E2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tcBorders>
              <w:tl2br w:val="nil"/>
              <w:tr2bl w:val="nil"/>
            </w:tcBorders>
            <w:vAlign w:val="center"/>
          </w:tcPr>
          <w:p w14:paraId="3E2CB5BF">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8</w:t>
            </w:r>
          </w:p>
        </w:tc>
        <w:tc>
          <w:tcPr>
            <w:tcW w:w="865" w:type="pct"/>
            <w:vMerge w:val="continue"/>
            <w:tcBorders>
              <w:tl2br w:val="nil"/>
              <w:tr2bl w:val="nil"/>
            </w:tcBorders>
            <w:vAlign w:val="center"/>
          </w:tcPr>
          <w:p w14:paraId="65E245A5">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p>
        </w:tc>
        <w:tc>
          <w:tcPr>
            <w:tcW w:w="1180" w:type="pct"/>
            <w:tcBorders>
              <w:tl2br w:val="nil"/>
              <w:tr2bl w:val="nil"/>
            </w:tcBorders>
            <w:vAlign w:val="center"/>
          </w:tcPr>
          <w:p w14:paraId="44864B5F">
            <w:pPr>
              <w:pStyle w:val="30"/>
              <w:spacing w:line="276" w:lineRule="auto"/>
              <w:jc w:val="center"/>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非甲烷总烃</w:t>
            </w:r>
          </w:p>
        </w:tc>
        <w:tc>
          <w:tcPr>
            <w:tcW w:w="711" w:type="pct"/>
            <w:tcBorders>
              <w:tl2br w:val="nil"/>
              <w:tr2bl w:val="nil"/>
            </w:tcBorders>
            <w:vAlign w:val="center"/>
          </w:tcPr>
          <w:p w14:paraId="476B5D6E">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气态</w:t>
            </w:r>
          </w:p>
        </w:tc>
        <w:tc>
          <w:tcPr>
            <w:tcW w:w="1761" w:type="pct"/>
            <w:tcBorders>
              <w:tl2br w:val="nil"/>
              <w:tr2bl w:val="nil"/>
            </w:tcBorders>
            <w:vAlign w:val="center"/>
          </w:tcPr>
          <w:p w14:paraId="30D423D1">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非危险物质</w:t>
            </w:r>
          </w:p>
        </w:tc>
      </w:tr>
      <w:tr w14:paraId="4FCFEC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1" w:type="pct"/>
            <w:tcBorders>
              <w:tl2br w:val="nil"/>
              <w:tr2bl w:val="nil"/>
            </w:tcBorders>
            <w:vAlign w:val="center"/>
          </w:tcPr>
          <w:p w14:paraId="14454D1F">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9</w:t>
            </w:r>
          </w:p>
        </w:tc>
        <w:tc>
          <w:tcPr>
            <w:tcW w:w="865" w:type="pct"/>
            <w:vMerge w:val="continue"/>
            <w:tcBorders>
              <w:tl2br w:val="nil"/>
              <w:tr2bl w:val="nil"/>
            </w:tcBorders>
            <w:vAlign w:val="center"/>
          </w:tcPr>
          <w:p w14:paraId="3BC78496">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p>
        </w:tc>
        <w:tc>
          <w:tcPr>
            <w:tcW w:w="1180" w:type="pct"/>
            <w:tcBorders>
              <w:tl2br w:val="nil"/>
              <w:tr2bl w:val="nil"/>
            </w:tcBorders>
            <w:vAlign w:val="center"/>
          </w:tcPr>
          <w:p w14:paraId="781D51E6">
            <w:pPr>
              <w:pStyle w:val="30"/>
              <w:spacing w:line="276" w:lineRule="auto"/>
              <w:jc w:val="center"/>
              <w:rPr>
                <w:rFonts w:hint="eastAsia" w:ascii="Times New Roman" w:hAnsi="Times New Roman" w:eastAsia="宋体" w:cs="Times New Roman"/>
                <w:color w:val="000000" w:themeColor="text1"/>
                <w:kern w:val="2"/>
                <w:sz w:val="21"/>
                <w:szCs w:val="21"/>
                <w:lang w:eastAsia="zh-CN"/>
                <w14:textFill>
                  <w14:solidFill>
                    <w14:schemeClr w14:val="tx1"/>
                  </w14:solidFill>
                </w14:textFill>
              </w:rPr>
            </w:pPr>
            <w:r>
              <w:rPr>
                <w:rFonts w:hint="eastAsia" w:cs="Times New Roman"/>
                <w:color w:val="000000" w:themeColor="text1"/>
                <w:kern w:val="2"/>
                <w:sz w:val="21"/>
                <w:szCs w:val="21"/>
                <w:lang w:eastAsia="zh-CN"/>
                <w14:textFill>
                  <w14:solidFill>
                    <w14:schemeClr w14:val="tx1"/>
                  </w14:solidFill>
                </w14:textFill>
              </w:rPr>
              <w:t>废润滑油</w:t>
            </w:r>
          </w:p>
        </w:tc>
        <w:tc>
          <w:tcPr>
            <w:tcW w:w="711" w:type="pct"/>
            <w:tcBorders>
              <w:tl2br w:val="nil"/>
              <w:tr2bl w:val="nil"/>
            </w:tcBorders>
            <w:vAlign w:val="center"/>
          </w:tcPr>
          <w:p w14:paraId="6BFF1653">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液态</w:t>
            </w:r>
          </w:p>
        </w:tc>
        <w:tc>
          <w:tcPr>
            <w:tcW w:w="1761" w:type="pct"/>
            <w:tcBorders>
              <w:tl2br w:val="nil"/>
              <w:tr2bl w:val="nil"/>
            </w:tcBorders>
            <w:vAlign w:val="center"/>
          </w:tcPr>
          <w:p w14:paraId="6071B00C">
            <w:pPr>
              <w:pStyle w:val="30"/>
              <w:spacing w:line="276" w:lineRule="auto"/>
              <w:jc w:val="center"/>
              <w:rPr>
                <w:rFonts w:hint="eastAsia" w:ascii="Times New Roman" w:hAnsi="Times New Roman" w:eastAsia="宋体" w:cs="Times New Roman"/>
                <w:color w:val="000000" w:themeColor="text1"/>
                <w:kern w:val="2"/>
                <w:sz w:val="21"/>
                <w:szCs w:val="21"/>
                <w:lang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可燃</w:t>
            </w:r>
          </w:p>
        </w:tc>
      </w:tr>
    </w:tbl>
    <w:p w14:paraId="01965366">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根据上表可知，拟建项目所涉及的主要危险物质为</w:t>
      </w:r>
      <w:r>
        <w:rPr>
          <w:rFonts w:hint="eastAsia" w:cs="Times New Roman"/>
          <w:color w:val="000000" w:themeColor="text1"/>
          <w:sz w:val="24"/>
          <w:szCs w:val="24"/>
          <w:lang w:val="en-US" w:eastAsia="zh-CN"/>
          <w14:textFill>
            <w14:solidFill>
              <w14:schemeClr w14:val="tx1"/>
            </w14:solidFill>
          </w14:textFill>
        </w:rPr>
        <w:t>润滑油和</w:t>
      </w:r>
      <w:r>
        <w:rPr>
          <w:rFonts w:hint="eastAsia" w:cs="Times New Roman"/>
          <w:color w:val="000000" w:themeColor="text1"/>
          <w:sz w:val="24"/>
          <w:szCs w:val="24"/>
          <w:lang w:eastAsia="zh-CN"/>
          <w14:textFill>
            <w14:solidFill>
              <w14:schemeClr w14:val="tx1"/>
            </w14:solidFill>
          </w14:textFill>
        </w:rPr>
        <w:t>废润滑油</w:t>
      </w:r>
      <w:r>
        <w:rPr>
          <w:rFonts w:hint="default" w:ascii="Times New Roman" w:hAnsi="Times New Roman" w:eastAsia="宋体" w:cs="Times New Roman"/>
          <w:color w:val="000000" w:themeColor="text1"/>
          <w:sz w:val="24"/>
          <w:szCs w:val="24"/>
          <w14:textFill>
            <w14:solidFill>
              <w14:schemeClr w14:val="tx1"/>
            </w14:solidFill>
          </w14:textFill>
        </w:rPr>
        <w:t>。</w:t>
      </w:r>
    </w:p>
    <w:p w14:paraId="7D16A132">
      <w:pPr>
        <w:numPr>
          <w:ilvl w:val="0"/>
          <w:numId w:val="13"/>
        </w:num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生产系统风险识别</w:t>
      </w:r>
    </w:p>
    <w:p w14:paraId="5C9EC55F">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本项目生产系统危险性识别包括以下单元：</w:t>
      </w:r>
    </w:p>
    <w:p w14:paraId="00369534">
      <w:pPr>
        <w:pStyle w:val="34"/>
        <w:numPr>
          <w:ilvl w:val="0"/>
          <w:numId w:val="0"/>
        </w:numPr>
        <w:spacing w:after="0" w:line="360" w:lineRule="auto"/>
        <w:ind w:firstLine="472"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14:textFill>
            <w14:solidFill>
              <w14:schemeClr w14:val="tx1"/>
            </w14:solidFill>
          </w14:textFill>
        </w:rPr>
        <w:t>生产单元：包括</w:t>
      </w:r>
      <w:r>
        <w:rPr>
          <w:rFonts w:hint="default" w:ascii="Times New Roman" w:hAnsi="Times New Roman" w:eastAsia="宋体" w:cs="Times New Roman"/>
          <w:color w:val="000000" w:themeColor="text1"/>
          <w:sz w:val="24"/>
          <w:szCs w:val="24"/>
          <w:lang w:eastAsia="zh-CN"/>
          <w14:textFill>
            <w14:solidFill>
              <w14:schemeClr w14:val="tx1"/>
            </w14:solidFill>
          </w14:textFill>
        </w:rPr>
        <w:t>破碎、清洗、造粒</w:t>
      </w:r>
      <w:r>
        <w:rPr>
          <w:rFonts w:hint="default" w:ascii="Times New Roman" w:hAnsi="Times New Roman" w:eastAsia="宋体" w:cs="Times New Roman"/>
          <w:color w:val="000000" w:themeColor="text1"/>
          <w:sz w:val="24"/>
          <w:szCs w:val="24"/>
          <w14:textFill>
            <w14:solidFill>
              <w14:schemeClr w14:val="tx1"/>
            </w14:solidFill>
          </w14:textFill>
        </w:rPr>
        <w:t>等工序；</w:t>
      </w:r>
    </w:p>
    <w:p w14:paraId="0D665F00">
      <w:pPr>
        <w:numPr>
          <w:ilvl w:val="0"/>
          <w:numId w:val="0"/>
        </w:numPr>
        <w:spacing w:line="360" w:lineRule="auto"/>
        <w:ind w:firstLine="472"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储运单元：包括项目</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PET瓶砖</w:t>
      </w:r>
      <w:r>
        <w:rPr>
          <w:rFonts w:hint="default" w:ascii="Times New Roman" w:hAnsi="Times New Roman" w:eastAsia="宋体" w:cs="Times New Roman"/>
          <w:color w:val="000000" w:themeColor="text1"/>
          <w:sz w:val="24"/>
          <w:szCs w:val="24"/>
          <w14:textFill>
            <w14:solidFill>
              <w14:schemeClr w14:val="tx1"/>
            </w14:solidFill>
          </w14:textFill>
        </w:rPr>
        <w:t>储存区域等；</w:t>
      </w:r>
    </w:p>
    <w:p w14:paraId="28EA3C8D">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3）公用工程单元：包括项目供水、供电系统等；</w:t>
      </w:r>
    </w:p>
    <w:p w14:paraId="4401389F">
      <w:pPr>
        <w:spacing w:line="360" w:lineRule="auto"/>
        <w:ind w:firstLine="480"/>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4）环保单元：包括废气处理装置、废水处理设施、危险废物临时贮存场等设施</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p>
    <w:p w14:paraId="4735BB20">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5）生产辅助单元：包括各种机械、设备、仪表维修等设施。</w:t>
      </w:r>
    </w:p>
    <w:p w14:paraId="59A4E1CB">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本项目主要危险物料贮存、使用情况见</w:t>
      </w:r>
      <w:r>
        <w:rPr>
          <w:rFonts w:hint="default" w:ascii="Times New Roman" w:hAnsi="Times New Roman" w:eastAsia="宋体" w:cs="Times New Roman"/>
          <w:color w:val="000000" w:themeColor="text1"/>
          <w:sz w:val="24"/>
          <w:szCs w:val="24"/>
          <w:lang w:eastAsia="zh-CN"/>
          <w14:textFill>
            <w14:solidFill>
              <w14:schemeClr w14:val="tx1"/>
            </w14:solidFill>
          </w14:textFill>
        </w:rPr>
        <w:t>下表</w:t>
      </w:r>
      <w:r>
        <w:rPr>
          <w:rFonts w:hint="default" w:ascii="Times New Roman" w:hAnsi="Times New Roman" w:eastAsia="宋体" w:cs="Times New Roman"/>
          <w:color w:val="000000" w:themeColor="text1"/>
          <w:sz w:val="24"/>
          <w:szCs w:val="24"/>
          <w14:textFill>
            <w14:solidFill>
              <w14:schemeClr w14:val="tx1"/>
            </w14:solidFill>
          </w14:textFill>
        </w:rPr>
        <w:t>。</w:t>
      </w:r>
    </w:p>
    <w:p w14:paraId="7B903032">
      <w:pPr>
        <w:spacing w:line="360" w:lineRule="auto"/>
        <w:jc w:val="cente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4"/>
          <w:szCs w:val="24"/>
          <w:lang w:val="en-US" w:eastAsia="zh-CN" w:bidi="ar-SA"/>
          <w14:textFill>
            <w14:solidFill>
              <w14:schemeClr w14:val="tx1"/>
            </w14:solidFill>
          </w14:textFill>
        </w:rPr>
        <w:t>表5.8-2主要危险物料的贮存、使用情况一览表</w:t>
      </w:r>
    </w:p>
    <w:tbl>
      <w:tblPr>
        <w:tblStyle w:val="8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75"/>
        <w:gridCol w:w="941"/>
        <w:gridCol w:w="1083"/>
        <w:gridCol w:w="1250"/>
        <w:gridCol w:w="1201"/>
        <w:gridCol w:w="950"/>
        <w:gridCol w:w="1122"/>
      </w:tblGrid>
      <w:tr w14:paraId="2B9965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1158" w:type="pct"/>
            <w:tcBorders>
              <w:tl2br w:val="nil"/>
              <w:tr2bl w:val="nil"/>
            </w:tcBorders>
            <w:vAlign w:val="center"/>
          </w:tcPr>
          <w:p w14:paraId="3402CF4E">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物料</w:t>
            </w:r>
          </w:p>
        </w:tc>
        <w:tc>
          <w:tcPr>
            <w:tcW w:w="552" w:type="pct"/>
            <w:tcBorders>
              <w:tl2br w:val="nil"/>
              <w:tr2bl w:val="nil"/>
            </w:tcBorders>
            <w:vAlign w:val="center"/>
          </w:tcPr>
          <w:p w14:paraId="70749A0C">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规格</w:t>
            </w:r>
          </w:p>
        </w:tc>
        <w:tc>
          <w:tcPr>
            <w:tcW w:w="635" w:type="pct"/>
            <w:tcBorders>
              <w:tl2br w:val="nil"/>
              <w:tr2bl w:val="nil"/>
            </w:tcBorders>
            <w:vAlign w:val="center"/>
          </w:tcPr>
          <w:p w14:paraId="10F17631">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贮存情况</w:t>
            </w:r>
          </w:p>
        </w:tc>
        <w:tc>
          <w:tcPr>
            <w:tcW w:w="733" w:type="pct"/>
            <w:tcBorders>
              <w:tl2br w:val="nil"/>
              <w:tr2bl w:val="nil"/>
            </w:tcBorders>
            <w:vAlign w:val="center"/>
          </w:tcPr>
          <w:p w14:paraId="25A41E3A">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贮存量（t）</w:t>
            </w:r>
          </w:p>
        </w:tc>
        <w:tc>
          <w:tcPr>
            <w:tcW w:w="704" w:type="pct"/>
            <w:tcBorders>
              <w:tl2br w:val="nil"/>
              <w:tr2bl w:val="nil"/>
            </w:tcBorders>
            <w:vAlign w:val="center"/>
          </w:tcPr>
          <w:p w14:paraId="612BFA4A">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在线量（t）</w:t>
            </w:r>
          </w:p>
        </w:tc>
        <w:tc>
          <w:tcPr>
            <w:tcW w:w="557" w:type="pct"/>
            <w:tcBorders>
              <w:tl2br w:val="nil"/>
              <w:tr2bl w:val="nil"/>
            </w:tcBorders>
            <w:vAlign w:val="center"/>
          </w:tcPr>
          <w:p w14:paraId="5F917783">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合计（t）</w:t>
            </w:r>
          </w:p>
        </w:tc>
        <w:tc>
          <w:tcPr>
            <w:tcW w:w="658" w:type="pct"/>
            <w:tcBorders>
              <w:tl2br w:val="nil"/>
              <w:tr2bl w:val="nil"/>
            </w:tcBorders>
            <w:vAlign w:val="center"/>
          </w:tcPr>
          <w:p w14:paraId="681471EC">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临界量（t）</w:t>
            </w:r>
          </w:p>
        </w:tc>
      </w:tr>
      <w:tr w14:paraId="55A902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58" w:type="pct"/>
            <w:tcBorders>
              <w:tl2br w:val="nil"/>
              <w:tr2bl w:val="nil"/>
            </w:tcBorders>
            <w:vAlign w:val="center"/>
          </w:tcPr>
          <w:p w14:paraId="640E9741">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矿物油（</w:t>
            </w:r>
            <w:r>
              <w:rPr>
                <w:rFonts w:hint="default" w:ascii="Times New Roman" w:hAnsi="Times New Roman" w:eastAsia="宋体" w:cs="Times New Roman"/>
                <w:color w:val="000000" w:themeColor="text1"/>
                <w:kern w:val="2"/>
                <w:sz w:val="21"/>
                <w:szCs w:val="21"/>
                <w14:textFill>
                  <w14:solidFill>
                    <w14:schemeClr w14:val="tx1"/>
                  </w14:solidFill>
                </w14:textFill>
              </w:rPr>
              <w:t>润滑油</w:t>
            </w: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w:t>
            </w:r>
          </w:p>
        </w:tc>
        <w:tc>
          <w:tcPr>
            <w:tcW w:w="552" w:type="pct"/>
            <w:tcBorders>
              <w:tl2br w:val="nil"/>
              <w:tr2bl w:val="nil"/>
            </w:tcBorders>
            <w:vAlign w:val="center"/>
          </w:tcPr>
          <w:p w14:paraId="706C97E9">
            <w:pPr>
              <w:pStyle w:val="30"/>
              <w:spacing w:line="276" w:lineRule="auto"/>
              <w:jc w:val="center"/>
              <w:rPr>
                <w:rFonts w:hint="eastAsia" w:ascii="Times New Roman" w:hAnsi="Times New Roman" w:eastAsia="宋体" w:cs="Times New Roman"/>
                <w:color w:val="000000" w:themeColor="text1"/>
                <w:kern w:val="2"/>
                <w:sz w:val="21"/>
                <w:szCs w:val="21"/>
                <w:lang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w:t>
            </w:r>
          </w:p>
        </w:tc>
        <w:tc>
          <w:tcPr>
            <w:tcW w:w="635" w:type="pct"/>
            <w:tcBorders>
              <w:tl2br w:val="nil"/>
              <w:tr2bl w:val="nil"/>
            </w:tcBorders>
            <w:vAlign w:val="center"/>
          </w:tcPr>
          <w:p w14:paraId="7CBE719B">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设备中</w:t>
            </w:r>
          </w:p>
        </w:tc>
        <w:tc>
          <w:tcPr>
            <w:tcW w:w="733" w:type="pct"/>
            <w:tcBorders>
              <w:tl2br w:val="nil"/>
              <w:tr2bl w:val="nil"/>
            </w:tcBorders>
            <w:vAlign w:val="center"/>
          </w:tcPr>
          <w:p w14:paraId="6217A921">
            <w:pPr>
              <w:pStyle w:val="30"/>
              <w:spacing w:line="276" w:lineRule="auto"/>
              <w:jc w:val="center"/>
              <w:rPr>
                <w:rFonts w:hint="eastAsia" w:ascii="Times New Roman" w:hAnsi="Times New Roman" w:eastAsia="宋体" w:cs="Times New Roman"/>
                <w:color w:val="000000" w:themeColor="text1"/>
                <w:kern w:val="2"/>
                <w:sz w:val="21"/>
                <w:szCs w:val="21"/>
                <w:lang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w:t>
            </w:r>
          </w:p>
        </w:tc>
        <w:tc>
          <w:tcPr>
            <w:tcW w:w="704" w:type="pct"/>
            <w:tcBorders>
              <w:tl2br w:val="nil"/>
              <w:tr2bl w:val="nil"/>
            </w:tcBorders>
            <w:vAlign w:val="center"/>
          </w:tcPr>
          <w:p w14:paraId="3D0161A8">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2</w:t>
            </w:r>
          </w:p>
        </w:tc>
        <w:tc>
          <w:tcPr>
            <w:tcW w:w="557" w:type="pct"/>
            <w:tcBorders>
              <w:tl2br w:val="nil"/>
              <w:tr2bl w:val="nil"/>
            </w:tcBorders>
            <w:vAlign w:val="center"/>
          </w:tcPr>
          <w:p w14:paraId="42766266">
            <w:pPr>
              <w:pStyle w:val="30"/>
              <w:spacing w:line="276" w:lineRule="auto"/>
              <w:jc w:val="center"/>
              <w:rPr>
                <w:rFonts w:hint="eastAsia" w:ascii="Times New Roman" w:hAnsi="Times New Roman" w:eastAsia="宋体" w:cs="Times New Roman"/>
                <w:color w:val="000000" w:themeColor="text1"/>
                <w:kern w:val="2"/>
                <w:sz w:val="21"/>
                <w:szCs w:val="21"/>
                <w:lang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2</w:t>
            </w:r>
          </w:p>
        </w:tc>
        <w:tc>
          <w:tcPr>
            <w:tcW w:w="658" w:type="pct"/>
            <w:tcBorders>
              <w:tl2br w:val="nil"/>
              <w:tr2bl w:val="nil"/>
            </w:tcBorders>
            <w:vAlign w:val="center"/>
          </w:tcPr>
          <w:p w14:paraId="1E231F13">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2500</w:t>
            </w:r>
          </w:p>
        </w:tc>
      </w:tr>
      <w:tr w14:paraId="12FCD6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58" w:type="pct"/>
            <w:tcBorders>
              <w:tl2br w:val="nil"/>
              <w:tr2bl w:val="nil"/>
            </w:tcBorders>
            <w:vAlign w:val="center"/>
          </w:tcPr>
          <w:p w14:paraId="045C4019">
            <w:pPr>
              <w:pStyle w:val="30"/>
              <w:spacing w:line="276" w:lineRule="auto"/>
              <w:jc w:val="center"/>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矿物油（</w:t>
            </w:r>
            <w:r>
              <w:rPr>
                <w:rFonts w:hint="eastAsia" w:cs="Times New Roman"/>
                <w:color w:val="000000" w:themeColor="text1"/>
                <w:kern w:val="2"/>
                <w:sz w:val="21"/>
                <w:szCs w:val="21"/>
                <w:lang w:eastAsia="zh-CN"/>
                <w14:textFill>
                  <w14:solidFill>
                    <w14:schemeClr w14:val="tx1"/>
                  </w14:solidFill>
                </w14:textFill>
              </w:rPr>
              <w:t>废润滑油</w:t>
            </w: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w:t>
            </w:r>
          </w:p>
        </w:tc>
        <w:tc>
          <w:tcPr>
            <w:tcW w:w="552" w:type="pct"/>
            <w:tcBorders>
              <w:tl2br w:val="nil"/>
              <w:tr2bl w:val="nil"/>
            </w:tcBorders>
            <w:vAlign w:val="center"/>
          </w:tcPr>
          <w:p w14:paraId="12D4714C">
            <w:pPr>
              <w:pStyle w:val="30"/>
              <w:spacing w:line="276" w:lineRule="auto"/>
              <w:jc w:val="center"/>
              <w:rPr>
                <w:rFonts w:hint="default"/>
                <w:color w:val="000000" w:themeColor="text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50kg/桶</w:t>
            </w:r>
          </w:p>
        </w:tc>
        <w:tc>
          <w:tcPr>
            <w:tcW w:w="635" w:type="pct"/>
            <w:tcBorders>
              <w:tl2br w:val="nil"/>
              <w:tr2bl w:val="nil"/>
            </w:tcBorders>
            <w:vAlign w:val="center"/>
          </w:tcPr>
          <w:p w14:paraId="6C6A990D">
            <w:pPr>
              <w:pStyle w:val="30"/>
              <w:spacing w:line="276" w:lineRule="auto"/>
              <w:jc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危废间</w:t>
            </w:r>
          </w:p>
        </w:tc>
        <w:tc>
          <w:tcPr>
            <w:tcW w:w="733" w:type="pct"/>
            <w:tcBorders>
              <w:tl2br w:val="nil"/>
              <w:tr2bl w:val="nil"/>
            </w:tcBorders>
            <w:vAlign w:val="center"/>
          </w:tcPr>
          <w:p w14:paraId="487D0F42">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2</w:t>
            </w:r>
          </w:p>
        </w:tc>
        <w:tc>
          <w:tcPr>
            <w:tcW w:w="704" w:type="pct"/>
            <w:tcBorders>
              <w:tl2br w:val="nil"/>
              <w:tr2bl w:val="nil"/>
            </w:tcBorders>
            <w:vAlign w:val="center"/>
          </w:tcPr>
          <w:p w14:paraId="0B93AE19">
            <w:pPr>
              <w:pStyle w:val="30"/>
              <w:spacing w:line="276" w:lineRule="auto"/>
              <w:jc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w:t>
            </w:r>
          </w:p>
        </w:tc>
        <w:tc>
          <w:tcPr>
            <w:tcW w:w="557" w:type="pct"/>
            <w:tcBorders>
              <w:tl2br w:val="nil"/>
              <w:tr2bl w:val="nil"/>
            </w:tcBorders>
            <w:vAlign w:val="center"/>
          </w:tcPr>
          <w:p w14:paraId="48C4BA0C">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2</w:t>
            </w:r>
          </w:p>
        </w:tc>
        <w:tc>
          <w:tcPr>
            <w:tcW w:w="658" w:type="pct"/>
            <w:tcBorders>
              <w:tl2br w:val="nil"/>
              <w:tr2bl w:val="nil"/>
            </w:tcBorders>
            <w:vAlign w:val="center"/>
          </w:tcPr>
          <w:p w14:paraId="52C19825">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50</w:t>
            </w:r>
          </w:p>
        </w:tc>
      </w:tr>
    </w:tbl>
    <w:p w14:paraId="50DBD222">
      <w:pPr>
        <w:spacing w:line="360" w:lineRule="auto"/>
        <w:ind w:firstLine="472"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、重大危险源识别</w:t>
      </w:r>
    </w:p>
    <w:p w14:paraId="365A87D0">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（1）危险物质及工艺系统危险性（P）分级</w:t>
      </w:r>
    </w:p>
    <w:p w14:paraId="4492080E">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根据拟建项目所以化学情况，划分功能单元。凡生产、加工、运输、使用或贮存危险性物质，且危险性物质的数量等于或超过临界值的功能单元，定位重大危险源。</w:t>
      </w:r>
    </w:p>
    <w:p w14:paraId="2C81D830">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结合《危险化学品重大危险源辨识》（GB18218-2018）与《建筑项目环境风险评价技术导则》（HJ169-2018）附录 B 中辨识重大危险源的依据和方法，对拟建项目所有重大危险源进行识别，判别方法如下：</w:t>
      </w:r>
    </w:p>
    <w:p w14:paraId="4D091AD0">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单元内存在的危险物质为单一品种，则该物质的数量即为单元内危险物质的总量。若等于或超过相应的临界值，则定为重大危险源。</w:t>
      </w:r>
    </w:p>
    <w:p w14:paraId="686D5E67">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position w:val="-28"/>
          <w:sz w:val="24"/>
          <w:szCs w:val="24"/>
          <w14:textFill>
            <w14:solidFill>
              <w14:schemeClr w14:val="tx1"/>
            </w14:solidFill>
          </w14:textFill>
        </w:rPr>
        <w:drawing>
          <wp:anchor distT="0" distB="0" distL="114300" distR="114300" simplePos="0" relativeHeight="251820032" behindDoc="0" locked="0" layoutInCell="1" allowOverlap="1">
            <wp:simplePos x="0" y="0"/>
            <wp:positionH relativeFrom="column">
              <wp:posOffset>2102485</wp:posOffset>
            </wp:positionH>
            <wp:positionV relativeFrom="paragraph">
              <wp:posOffset>394970</wp:posOffset>
            </wp:positionV>
            <wp:extent cx="1371600" cy="431800"/>
            <wp:effectExtent l="0" t="0" r="0" b="5080"/>
            <wp:wrapTopAndBottom/>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73"/>
                    <a:stretch>
                      <a:fillRect/>
                    </a:stretch>
                  </pic:blipFill>
                  <pic:spPr>
                    <a:xfrm>
                      <a:off x="0" y="0"/>
                      <a:ext cx="1371600" cy="431800"/>
                    </a:xfrm>
                    <a:prstGeom prst="rect">
                      <a:avLst/>
                    </a:prstGeom>
                    <a:noFill/>
                    <a:ln>
                      <a:noFill/>
                    </a:ln>
                  </pic:spPr>
                </pic:pic>
              </a:graphicData>
            </a:graphic>
          </wp:anchor>
        </w:drawing>
      </w:r>
      <w:r>
        <w:rPr>
          <w:rFonts w:hint="default" w:ascii="Times New Roman" w:hAnsi="Times New Roman" w:eastAsia="宋体" w:cs="Times New Roman"/>
          <w:color w:val="000000" w:themeColor="text1"/>
          <w:sz w:val="24"/>
          <w:szCs w:val="24"/>
          <w14:textFill>
            <w14:solidFill>
              <w14:schemeClr w14:val="tx1"/>
            </w14:solidFill>
          </w14:textFill>
        </w:rPr>
        <w:t>单元存在的危险物质为多品种时，则按下式计算，若满足下式，则定位重大危险源。</w:t>
      </w:r>
    </w:p>
    <w:p w14:paraId="2394848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式中：q</w:t>
      </w:r>
      <w:r>
        <w:rPr>
          <w:rFonts w:hint="default" w:ascii="Times New Roman" w:hAnsi="Times New Roman" w:eastAsia="宋体" w:cs="Times New Roman"/>
          <w:color w:val="000000" w:themeColor="text1"/>
          <w:sz w:val="24"/>
          <w:szCs w:val="24"/>
          <w:vertAlign w:val="subscript"/>
          <w14:textFill>
            <w14:solidFill>
              <w14:schemeClr w14:val="tx1"/>
            </w14:solidFill>
          </w14:textFill>
        </w:rPr>
        <w:t>1</w:t>
      </w:r>
      <w:r>
        <w:rPr>
          <w:rFonts w:hint="default" w:ascii="Times New Roman" w:hAnsi="Times New Roman" w:eastAsia="宋体" w:cs="Times New Roman"/>
          <w:color w:val="000000" w:themeColor="text1"/>
          <w:sz w:val="24"/>
          <w:szCs w:val="24"/>
          <w14:textFill>
            <w14:solidFill>
              <w14:schemeClr w14:val="tx1"/>
            </w14:solidFill>
          </w14:textFill>
        </w:rPr>
        <w:t>、q</w:t>
      </w:r>
      <w:r>
        <w:rPr>
          <w:rFonts w:hint="default" w:ascii="Times New Roman" w:hAnsi="Times New Roman" w:eastAsia="宋体" w:cs="Times New Roman"/>
          <w:color w:val="000000" w:themeColor="text1"/>
          <w:sz w:val="24"/>
          <w:szCs w:val="24"/>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、q</w:t>
      </w:r>
      <w:r>
        <w:rPr>
          <w:rFonts w:hint="default" w:ascii="Times New Roman" w:hAnsi="Times New Roman" w:eastAsia="宋体" w:cs="Times New Roman"/>
          <w:color w:val="000000" w:themeColor="text1"/>
          <w:sz w:val="24"/>
          <w:szCs w:val="24"/>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、…、q</w:t>
      </w:r>
      <w:r>
        <w:rPr>
          <w:rFonts w:hint="default" w:ascii="Times New Roman" w:hAnsi="Times New Roman" w:eastAsia="宋体" w:cs="Times New Roman"/>
          <w:color w:val="000000" w:themeColor="text1"/>
          <w:sz w:val="24"/>
          <w:szCs w:val="24"/>
          <w:vertAlign w:val="subscript"/>
          <w14:textFill>
            <w14:solidFill>
              <w14:schemeClr w14:val="tx1"/>
            </w14:solidFill>
          </w14:textFill>
        </w:rPr>
        <w:t>n</w:t>
      </w:r>
      <w:r>
        <w:rPr>
          <w:rFonts w:hint="default" w:ascii="Times New Roman" w:hAnsi="Times New Roman" w:eastAsia="宋体" w:cs="Times New Roman"/>
          <w:color w:val="000000" w:themeColor="text1"/>
          <w:sz w:val="24"/>
          <w:szCs w:val="24"/>
          <w14:textFill>
            <w14:solidFill>
              <w14:schemeClr w14:val="tx1"/>
            </w14:solidFill>
          </w14:textFill>
        </w:rPr>
        <w:t>——每种危险物质的最大存在量，t；</w:t>
      </w:r>
    </w:p>
    <w:p w14:paraId="2045C407">
      <w:pPr>
        <w:spacing w:line="360" w:lineRule="auto"/>
        <w:ind w:firstLine="1180" w:firstLineChars="5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Q</w:t>
      </w:r>
      <w:r>
        <w:rPr>
          <w:rFonts w:hint="default" w:ascii="Times New Roman" w:hAnsi="Times New Roman" w:eastAsia="宋体" w:cs="Times New Roman"/>
          <w:color w:val="000000" w:themeColor="text1"/>
          <w:sz w:val="24"/>
          <w:szCs w:val="24"/>
          <w:vertAlign w:val="subscript"/>
          <w14:textFill>
            <w14:solidFill>
              <w14:schemeClr w14:val="tx1"/>
            </w14:solidFill>
          </w14:textFill>
        </w:rPr>
        <w:t>1</w:t>
      </w:r>
      <w:r>
        <w:rPr>
          <w:rFonts w:hint="default" w:ascii="Times New Roman" w:hAnsi="Times New Roman" w:eastAsia="宋体" w:cs="Times New Roman"/>
          <w:color w:val="000000" w:themeColor="text1"/>
          <w:sz w:val="24"/>
          <w:szCs w:val="24"/>
          <w14:textFill>
            <w14:solidFill>
              <w14:schemeClr w14:val="tx1"/>
            </w14:solidFill>
          </w14:textFill>
        </w:rPr>
        <w:t>、Q</w:t>
      </w:r>
      <w:r>
        <w:rPr>
          <w:rFonts w:hint="default" w:ascii="Times New Roman" w:hAnsi="Times New Roman" w:eastAsia="宋体" w:cs="Times New Roman"/>
          <w:color w:val="000000" w:themeColor="text1"/>
          <w:sz w:val="24"/>
          <w:szCs w:val="24"/>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、Q</w:t>
      </w:r>
      <w:r>
        <w:rPr>
          <w:rFonts w:hint="default" w:ascii="Times New Roman" w:hAnsi="Times New Roman" w:eastAsia="宋体" w:cs="Times New Roman"/>
          <w:color w:val="000000" w:themeColor="text1"/>
          <w:sz w:val="24"/>
          <w:szCs w:val="24"/>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、…、Q</w:t>
      </w:r>
      <w:r>
        <w:rPr>
          <w:rFonts w:hint="default" w:ascii="Times New Roman" w:hAnsi="Times New Roman" w:eastAsia="宋体" w:cs="Times New Roman"/>
          <w:color w:val="000000" w:themeColor="text1"/>
          <w:sz w:val="24"/>
          <w:szCs w:val="24"/>
          <w:vertAlign w:val="subscript"/>
          <w14:textFill>
            <w14:solidFill>
              <w14:schemeClr w14:val="tx1"/>
            </w14:solidFill>
          </w14:textFill>
        </w:rPr>
        <w:t>n</w:t>
      </w:r>
      <w:r>
        <w:rPr>
          <w:rFonts w:hint="default" w:ascii="Times New Roman" w:hAnsi="Times New Roman" w:eastAsia="宋体" w:cs="Times New Roman"/>
          <w:color w:val="000000" w:themeColor="text1"/>
          <w:sz w:val="24"/>
          <w:szCs w:val="24"/>
          <w14:textFill>
            <w14:solidFill>
              <w14:schemeClr w14:val="tx1"/>
            </w14:solidFill>
          </w14:textFill>
        </w:rPr>
        <w:t>——每种危险物质的临界量，t。</w:t>
      </w:r>
    </w:p>
    <w:p w14:paraId="4E63401B">
      <w:pPr>
        <w:adjustRightInd/>
        <w:snapToGrid/>
        <w:spacing w:line="360" w:lineRule="auto"/>
        <w:ind w:firstLine="1180" w:firstLineChars="5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当Q＜1时，该项目环境风险潜势为Ⅰ；</w:t>
      </w:r>
    </w:p>
    <w:p w14:paraId="1D1DCB79">
      <w:pPr>
        <w:adjustRightInd/>
        <w:snapToGrid/>
        <w:spacing w:line="360" w:lineRule="auto"/>
        <w:ind w:firstLine="1180" w:firstLineChars="5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当Q≥1时，将Q值划分为：1≤Q＜10；10≤Q＜100；Q≥100。</w:t>
      </w:r>
    </w:p>
    <w:p w14:paraId="2310F65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本项目废气产生的危险物主要有</w:t>
      </w:r>
      <w:r>
        <w:rPr>
          <w:rFonts w:hint="eastAsia" w:cs="Times New Roman"/>
          <w:color w:val="000000" w:themeColor="text1"/>
          <w:sz w:val="24"/>
          <w:szCs w:val="24"/>
          <w:lang w:eastAsia="zh-CN"/>
          <w14:textFill>
            <w14:solidFill>
              <w14:schemeClr w14:val="tx1"/>
            </w14:solidFill>
          </w14:textFill>
        </w:rPr>
        <w:t>润滑油和废润滑油</w:t>
      </w:r>
      <w:r>
        <w:rPr>
          <w:rFonts w:hint="default" w:ascii="Times New Roman" w:hAnsi="Times New Roman" w:eastAsia="宋体" w:cs="Times New Roman"/>
          <w:color w:val="000000" w:themeColor="text1"/>
          <w:sz w:val="24"/>
          <w:szCs w:val="24"/>
          <w14:textFill>
            <w14:solidFill>
              <w14:schemeClr w14:val="tx1"/>
            </w14:solidFill>
          </w14:textFill>
        </w:rPr>
        <w:t>等。拟建项目原辅材料及危险化学品等</w:t>
      </w:r>
      <w:r>
        <w:rPr>
          <w:rFonts w:hint="eastAsia" w:cs="Times New Roman"/>
          <w:color w:val="000000" w:themeColor="text1"/>
          <w:sz w:val="24"/>
          <w:szCs w:val="24"/>
          <w:lang w:eastAsia="zh-CN"/>
          <w14:textFill>
            <w14:solidFill>
              <w14:schemeClr w14:val="tx1"/>
            </w14:solidFill>
          </w14:textFill>
        </w:rPr>
        <w:t>最大存在量</w:t>
      </w:r>
      <w:r>
        <w:rPr>
          <w:rFonts w:hint="default" w:ascii="Times New Roman" w:hAnsi="Times New Roman" w:eastAsia="宋体" w:cs="Times New Roman"/>
          <w:color w:val="000000" w:themeColor="text1"/>
          <w:sz w:val="24"/>
          <w:szCs w:val="24"/>
          <w14:textFill>
            <w14:solidFill>
              <w14:schemeClr w14:val="tx1"/>
            </w14:solidFill>
          </w14:textFill>
        </w:rPr>
        <w:t>详见下表。</w:t>
      </w:r>
    </w:p>
    <w:p w14:paraId="5236C48A">
      <w:pPr>
        <w:spacing w:line="360" w:lineRule="auto"/>
        <w:jc w:val="cente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4"/>
          <w:szCs w:val="24"/>
          <w:lang w:val="en-US" w:eastAsia="zh-CN" w:bidi="ar-SA"/>
          <w14:textFill>
            <w14:solidFill>
              <w14:schemeClr w14:val="tx1"/>
            </w14:solidFill>
          </w14:textFill>
        </w:rPr>
        <w:t>表5.8-3项目涉物料、产品、污染物等Q值核算表</w:t>
      </w:r>
    </w:p>
    <w:tbl>
      <w:tblPr>
        <w:tblStyle w:val="8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4"/>
        <w:gridCol w:w="2236"/>
        <w:gridCol w:w="1732"/>
        <w:gridCol w:w="1700"/>
        <w:gridCol w:w="1750"/>
      </w:tblGrid>
      <w:tr w14:paraId="369CF6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1104" w:type="dxa"/>
            <w:tcBorders>
              <w:tl2br w:val="nil"/>
              <w:tr2bl w:val="nil"/>
            </w:tcBorders>
            <w:vAlign w:val="center"/>
          </w:tcPr>
          <w:p w14:paraId="0B0EA5EF">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序号</w:t>
            </w:r>
          </w:p>
        </w:tc>
        <w:tc>
          <w:tcPr>
            <w:tcW w:w="2236" w:type="dxa"/>
            <w:tcBorders>
              <w:tl2br w:val="nil"/>
              <w:tr2bl w:val="nil"/>
            </w:tcBorders>
            <w:vAlign w:val="center"/>
          </w:tcPr>
          <w:p w14:paraId="0559DDC3">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危险物质名称</w:t>
            </w:r>
          </w:p>
        </w:tc>
        <w:tc>
          <w:tcPr>
            <w:tcW w:w="1732" w:type="dxa"/>
            <w:tcBorders>
              <w:tl2br w:val="nil"/>
              <w:tr2bl w:val="nil"/>
            </w:tcBorders>
            <w:vAlign w:val="center"/>
          </w:tcPr>
          <w:p w14:paraId="7225ABE9">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eastAsia" w:cs="Times New Roman"/>
                <w:color w:val="000000" w:themeColor="text1"/>
                <w:kern w:val="2"/>
                <w:sz w:val="21"/>
                <w:szCs w:val="21"/>
                <w:lang w:eastAsia="zh-CN"/>
                <w14:textFill>
                  <w14:solidFill>
                    <w14:schemeClr w14:val="tx1"/>
                  </w14:solidFill>
                </w14:textFill>
              </w:rPr>
              <w:t>最大存在量</w:t>
            </w:r>
            <w:r>
              <w:rPr>
                <w:rFonts w:hint="default" w:ascii="Times New Roman" w:hAnsi="Times New Roman" w:eastAsia="宋体" w:cs="Times New Roman"/>
                <w:color w:val="000000" w:themeColor="text1"/>
                <w:kern w:val="2"/>
                <w:sz w:val="21"/>
                <w:szCs w:val="21"/>
                <w14:textFill>
                  <w14:solidFill>
                    <w14:schemeClr w14:val="tx1"/>
                  </w14:solidFill>
                </w14:textFill>
              </w:rPr>
              <w:t>t</w:t>
            </w:r>
          </w:p>
        </w:tc>
        <w:tc>
          <w:tcPr>
            <w:tcW w:w="1700" w:type="dxa"/>
            <w:tcBorders>
              <w:tl2br w:val="nil"/>
              <w:tr2bl w:val="nil"/>
            </w:tcBorders>
            <w:vAlign w:val="center"/>
          </w:tcPr>
          <w:p w14:paraId="6C91B43F">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临界量t</w:t>
            </w:r>
          </w:p>
        </w:tc>
        <w:tc>
          <w:tcPr>
            <w:tcW w:w="1750" w:type="dxa"/>
            <w:tcBorders>
              <w:tl2br w:val="nil"/>
              <w:tr2bl w:val="nil"/>
            </w:tcBorders>
            <w:vAlign w:val="center"/>
          </w:tcPr>
          <w:p w14:paraId="39A2C310">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Q值</w:t>
            </w:r>
          </w:p>
        </w:tc>
      </w:tr>
      <w:tr w14:paraId="3D57EE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4" w:type="dxa"/>
            <w:tcBorders>
              <w:tl2br w:val="nil"/>
              <w:tr2bl w:val="nil"/>
            </w:tcBorders>
            <w:vAlign w:val="center"/>
          </w:tcPr>
          <w:p w14:paraId="22D2EDB6">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1</w:t>
            </w:r>
          </w:p>
        </w:tc>
        <w:tc>
          <w:tcPr>
            <w:tcW w:w="2236" w:type="dxa"/>
            <w:tcBorders>
              <w:tl2br w:val="nil"/>
              <w:tr2bl w:val="nil"/>
            </w:tcBorders>
            <w:vAlign w:val="center"/>
          </w:tcPr>
          <w:p w14:paraId="53D3B147">
            <w:pPr>
              <w:pStyle w:val="30"/>
              <w:spacing w:line="276"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矿物油（</w:t>
            </w:r>
            <w:r>
              <w:rPr>
                <w:rFonts w:hint="eastAsia" w:cs="Times New Roman"/>
                <w:color w:val="000000" w:themeColor="text1"/>
                <w:kern w:val="2"/>
                <w:sz w:val="21"/>
                <w:szCs w:val="21"/>
                <w:lang w:eastAsia="zh-CN"/>
                <w14:textFill>
                  <w14:solidFill>
                    <w14:schemeClr w14:val="tx1"/>
                  </w14:solidFill>
                </w14:textFill>
              </w:rPr>
              <w:t>润滑油</w:t>
            </w: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w:t>
            </w:r>
          </w:p>
        </w:tc>
        <w:tc>
          <w:tcPr>
            <w:tcW w:w="1732" w:type="dxa"/>
            <w:tcBorders>
              <w:tl2br w:val="nil"/>
              <w:tr2bl w:val="nil"/>
            </w:tcBorders>
            <w:vAlign w:val="center"/>
          </w:tcPr>
          <w:p w14:paraId="46D4BE8B">
            <w:pPr>
              <w:pStyle w:val="30"/>
              <w:spacing w:line="276" w:lineRule="auto"/>
              <w:jc w:val="center"/>
              <w:rPr>
                <w:rFonts w:hint="eastAsia" w:ascii="Times New Roman" w:hAnsi="Times New Roman" w:eastAsia="宋体" w:cs="Times New Roman"/>
                <w:color w:val="000000" w:themeColor="text1"/>
                <w:kern w:val="2"/>
                <w:sz w:val="21"/>
                <w:szCs w:val="21"/>
                <w:lang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2</w:t>
            </w:r>
          </w:p>
        </w:tc>
        <w:tc>
          <w:tcPr>
            <w:tcW w:w="1700" w:type="dxa"/>
            <w:tcBorders>
              <w:tl2br w:val="nil"/>
              <w:tr2bl w:val="nil"/>
            </w:tcBorders>
            <w:vAlign w:val="center"/>
          </w:tcPr>
          <w:p w14:paraId="76B1E107">
            <w:pPr>
              <w:pStyle w:val="30"/>
              <w:spacing w:line="276" w:lineRule="auto"/>
              <w:jc w:val="center"/>
              <w:rPr>
                <w:rFonts w:hint="default" w:ascii="Times New Roman" w:hAnsi="Times New Roman" w:eastAsia="宋体" w:cs="Times New Roman"/>
                <w:color w:val="000000" w:themeColor="text1"/>
                <w:kern w:val="2"/>
                <w:sz w:val="21"/>
                <w:szCs w:val="21"/>
                <w:lang w:val="en-US"/>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2500</w:t>
            </w:r>
          </w:p>
        </w:tc>
        <w:tc>
          <w:tcPr>
            <w:tcW w:w="1750" w:type="dxa"/>
            <w:tcBorders>
              <w:tl2br w:val="nil"/>
              <w:tr2bl w:val="nil"/>
            </w:tcBorders>
            <w:vAlign w:val="center"/>
          </w:tcPr>
          <w:p w14:paraId="2CA7D271">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0.00</w:t>
            </w:r>
            <w:r>
              <w:rPr>
                <w:rFonts w:hint="eastAsia" w:cs="Times New Roman"/>
                <w:color w:val="000000" w:themeColor="text1"/>
                <w:kern w:val="2"/>
                <w:sz w:val="21"/>
                <w:szCs w:val="21"/>
                <w:lang w:val="en-US" w:eastAsia="zh-CN"/>
                <w14:textFill>
                  <w14:solidFill>
                    <w14:schemeClr w14:val="tx1"/>
                  </w14:solidFill>
                </w14:textFill>
              </w:rPr>
              <w:t>08</w:t>
            </w:r>
          </w:p>
        </w:tc>
      </w:tr>
      <w:tr w14:paraId="204D76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4" w:type="dxa"/>
            <w:tcBorders>
              <w:tl2br w:val="nil"/>
              <w:tr2bl w:val="nil"/>
            </w:tcBorders>
            <w:vAlign w:val="center"/>
          </w:tcPr>
          <w:p w14:paraId="49BE029F">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2</w:t>
            </w:r>
          </w:p>
        </w:tc>
        <w:tc>
          <w:tcPr>
            <w:tcW w:w="2236" w:type="dxa"/>
            <w:tcBorders>
              <w:tl2br w:val="nil"/>
              <w:tr2bl w:val="nil"/>
            </w:tcBorders>
            <w:shd w:val="clear" w:color="auto" w:fill="auto"/>
            <w:vAlign w:val="center"/>
          </w:tcPr>
          <w:p w14:paraId="0B2B46AE">
            <w:pPr>
              <w:pStyle w:val="30"/>
              <w:spacing w:line="276" w:lineRule="auto"/>
              <w:jc w:val="center"/>
              <w:rPr>
                <w:rFonts w:hint="default"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矿物油（</w:t>
            </w:r>
            <w:r>
              <w:rPr>
                <w:rFonts w:hint="eastAsia" w:cs="Times New Roman"/>
                <w:color w:val="000000" w:themeColor="text1"/>
                <w:kern w:val="2"/>
                <w:sz w:val="21"/>
                <w:szCs w:val="21"/>
                <w:lang w:eastAsia="zh-CN"/>
                <w14:textFill>
                  <w14:solidFill>
                    <w14:schemeClr w14:val="tx1"/>
                  </w14:solidFill>
                </w14:textFill>
              </w:rPr>
              <w:t>废润滑油</w:t>
            </w: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w:t>
            </w:r>
          </w:p>
        </w:tc>
        <w:tc>
          <w:tcPr>
            <w:tcW w:w="1732" w:type="dxa"/>
            <w:tcBorders>
              <w:tl2br w:val="nil"/>
              <w:tr2bl w:val="nil"/>
            </w:tcBorders>
            <w:shd w:val="clear" w:color="auto" w:fill="auto"/>
            <w:vAlign w:val="center"/>
          </w:tcPr>
          <w:p w14:paraId="38E65154">
            <w:pPr>
              <w:pStyle w:val="30"/>
              <w:spacing w:line="276" w:lineRule="auto"/>
              <w:jc w:val="cente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2</w:t>
            </w:r>
          </w:p>
        </w:tc>
        <w:tc>
          <w:tcPr>
            <w:tcW w:w="1700" w:type="dxa"/>
            <w:tcBorders>
              <w:tl2br w:val="nil"/>
              <w:tr2bl w:val="nil"/>
            </w:tcBorders>
            <w:shd w:val="clear" w:color="auto" w:fill="auto"/>
            <w:vAlign w:val="center"/>
          </w:tcPr>
          <w:p w14:paraId="06ED8400">
            <w:pPr>
              <w:pStyle w:val="30"/>
              <w:spacing w:line="276" w:lineRule="auto"/>
              <w:jc w:val="center"/>
              <w:rPr>
                <w:rFonts w:hint="default"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kern w:val="2"/>
                <w:sz w:val="21"/>
                <w:szCs w:val="21"/>
                <w14:textFill>
                  <w14:solidFill>
                    <w14:schemeClr w14:val="tx1"/>
                  </w14:solidFill>
                </w14:textFill>
              </w:rPr>
              <w:t>0</w:t>
            </w:r>
          </w:p>
        </w:tc>
        <w:tc>
          <w:tcPr>
            <w:tcW w:w="1750" w:type="dxa"/>
            <w:tcBorders>
              <w:tl2br w:val="nil"/>
              <w:tr2bl w:val="nil"/>
            </w:tcBorders>
            <w:shd w:val="clear" w:color="auto" w:fill="auto"/>
            <w:vAlign w:val="center"/>
          </w:tcPr>
          <w:p w14:paraId="4EEABD5B">
            <w:pPr>
              <w:pStyle w:val="30"/>
              <w:spacing w:line="276" w:lineRule="auto"/>
              <w:jc w:val="cente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0.0</w:t>
            </w:r>
            <w:r>
              <w:rPr>
                <w:rFonts w:hint="eastAsia" w:cs="Times New Roman"/>
                <w:color w:val="000000" w:themeColor="text1"/>
                <w:kern w:val="2"/>
                <w:sz w:val="21"/>
                <w:szCs w:val="21"/>
                <w:lang w:val="en-US" w:eastAsia="zh-CN"/>
                <w14:textFill>
                  <w14:solidFill>
                    <w14:schemeClr w14:val="tx1"/>
                  </w14:solidFill>
                </w14:textFill>
              </w:rPr>
              <w:t>4</w:t>
            </w:r>
          </w:p>
        </w:tc>
      </w:tr>
      <w:tr w14:paraId="611623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4" w:type="dxa"/>
            <w:tcBorders>
              <w:tl2br w:val="nil"/>
              <w:tr2bl w:val="nil"/>
            </w:tcBorders>
            <w:vAlign w:val="center"/>
          </w:tcPr>
          <w:p w14:paraId="3ED8B0EE">
            <w:pPr>
              <w:pStyle w:val="30"/>
              <w:spacing w:line="276" w:lineRule="auto"/>
              <w:jc w:val="center"/>
              <w:rPr>
                <w:rFonts w:hint="default"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合计</w:t>
            </w:r>
          </w:p>
        </w:tc>
        <w:tc>
          <w:tcPr>
            <w:tcW w:w="2236" w:type="dxa"/>
            <w:tcBorders>
              <w:tl2br w:val="nil"/>
              <w:tr2bl w:val="nil"/>
            </w:tcBorders>
            <w:shd w:val="clear" w:color="auto" w:fill="auto"/>
            <w:vAlign w:val="center"/>
          </w:tcPr>
          <w:p w14:paraId="62E123AD">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w:t>
            </w:r>
          </w:p>
        </w:tc>
        <w:tc>
          <w:tcPr>
            <w:tcW w:w="1732" w:type="dxa"/>
            <w:tcBorders>
              <w:tl2br w:val="nil"/>
              <w:tr2bl w:val="nil"/>
            </w:tcBorders>
            <w:shd w:val="clear" w:color="auto" w:fill="auto"/>
            <w:vAlign w:val="center"/>
          </w:tcPr>
          <w:p w14:paraId="1B0630C5">
            <w:pPr>
              <w:pStyle w:val="30"/>
              <w:spacing w:line="276" w:lineRule="auto"/>
              <w:jc w:val="center"/>
              <w:rPr>
                <w:rFonts w:hint="eastAsia"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w:t>
            </w:r>
          </w:p>
        </w:tc>
        <w:tc>
          <w:tcPr>
            <w:tcW w:w="1700" w:type="dxa"/>
            <w:tcBorders>
              <w:tl2br w:val="nil"/>
              <w:tr2bl w:val="nil"/>
            </w:tcBorders>
            <w:shd w:val="clear" w:color="auto" w:fill="auto"/>
            <w:vAlign w:val="center"/>
          </w:tcPr>
          <w:p w14:paraId="78404635">
            <w:pPr>
              <w:pStyle w:val="30"/>
              <w:spacing w:line="276" w:lineRule="auto"/>
              <w:jc w:val="center"/>
              <w:rPr>
                <w:rFonts w:hint="default"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w:t>
            </w:r>
          </w:p>
        </w:tc>
        <w:tc>
          <w:tcPr>
            <w:tcW w:w="1750" w:type="dxa"/>
            <w:tcBorders>
              <w:tl2br w:val="nil"/>
              <w:tr2bl w:val="nil"/>
            </w:tcBorders>
            <w:shd w:val="clear" w:color="auto" w:fill="auto"/>
            <w:vAlign w:val="center"/>
          </w:tcPr>
          <w:p w14:paraId="522C7B62">
            <w:pPr>
              <w:pStyle w:val="30"/>
              <w:spacing w:line="276" w:lineRule="auto"/>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0.0408</w:t>
            </w:r>
          </w:p>
        </w:tc>
      </w:tr>
    </w:tbl>
    <w:p w14:paraId="2C90CFFD">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根据前面识别出的重大危险物的实际存在量及临界值，计算得出拟建项目生产单元及储存单元的Q值为</w:t>
      </w:r>
      <w:r>
        <w:rPr>
          <w:rFonts w:hint="eastAsia" w:cs="Times New Roman"/>
          <w:color w:val="000000" w:themeColor="text1"/>
          <w:sz w:val="24"/>
          <w:szCs w:val="24"/>
          <w:lang w:eastAsia="zh-CN"/>
          <w14:textFill>
            <w14:solidFill>
              <w14:schemeClr w14:val="tx1"/>
            </w14:solidFill>
          </w14:textFill>
        </w:rPr>
        <w:t>0.0408</w:t>
      </w:r>
      <w:r>
        <w:rPr>
          <w:rFonts w:hint="default" w:ascii="Times New Roman" w:hAnsi="Times New Roman" w:eastAsia="宋体" w:cs="Times New Roman"/>
          <w:color w:val="000000" w:themeColor="text1"/>
          <w:sz w:val="24"/>
          <w:szCs w:val="24"/>
          <w14:textFill>
            <w14:solidFill>
              <w14:schemeClr w14:val="tx1"/>
            </w14:solidFill>
          </w14:textFill>
        </w:rPr>
        <w:t>，Q&lt;1，项目环境风险潜势为Ⅰ，评价工作等级为简单分析。</w:t>
      </w:r>
    </w:p>
    <w:p w14:paraId="45451ECC">
      <w:pPr>
        <w:pStyle w:val="4097"/>
        <w:spacing w:line="360" w:lineRule="auto"/>
        <w:ind w:left="0" w:leftChars="0" w:firstLine="0" w:firstLineChars="0"/>
        <w:rPr>
          <w:rFonts w:hint="default" w:ascii="Times New Roman" w:hAnsi="Times New Roman" w:eastAsia="黑体" w:cs="Times New Roman"/>
          <w:b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黑体" w:cs="Times New Roman"/>
          <w:b w:val="0"/>
          <w:color w:val="000000" w:themeColor="text1"/>
          <w:kern w:val="2"/>
          <w:sz w:val="24"/>
          <w:szCs w:val="24"/>
          <w:lang w:val="en-US" w:eastAsia="zh-CN" w:bidi="ar-SA"/>
          <w14:textFill>
            <w14:solidFill>
              <w14:schemeClr w14:val="tx1"/>
            </w14:solidFill>
          </w14:textFill>
        </w:rPr>
        <w:t>5.8.3源项分析</w:t>
      </w:r>
    </w:p>
    <w:p w14:paraId="4597889B">
      <w:pPr>
        <w:pStyle w:val="4096"/>
        <w:spacing w:line="360" w:lineRule="auto"/>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5.</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8</w:t>
      </w:r>
      <w:r>
        <w:rPr>
          <w:rFonts w:hint="default" w:ascii="Times New Roman" w:hAnsi="Times New Roman" w:eastAsia="黑体" w:cs="Times New Roman"/>
          <w:color w:val="000000" w:themeColor="text1"/>
          <w:sz w:val="24"/>
          <w:szCs w:val="24"/>
          <w14:textFill>
            <w14:solidFill>
              <w14:schemeClr w14:val="tx1"/>
            </w14:solidFill>
          </w14:textFill>
        </w:rPr>
        <w:t>.3.1风险事故类型</w:t>
      </w:r>
    </w:p>
    <w:p w14:paraId="17703D9F">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本项目所用原辅材料主要为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PET瓶砖</w:t>
      </w:r>
      <w:r>
        <w:rPr>
          <w:rFonts w:hint="default" w:ascii="Times New Roman" w:hAnsi="Times New Roman" w:eastAsia="宋体" w:cs="Times New Roman"/>
          <w:color w:val="000000" w:themeColor="text1"/>
          <w:sz w:val="24"/>
          <w:szCs w:val="24"/>
          <w14:textFill>
            <w14:solidFill>
              <w14:schemeClr w14:val="tx1"/>
            </w14:solidFill>
          </w14:textFill>
        </w:rPr>
        <w:t>，属于</w:t>
      </w:r>
      <w:r>
        <w:rPr>
          <w:rFonts w:hint="default" w:ascii="Times New Roman" w:hAnsi="Times New Roman" w:eastAsia="宋体" w:cs="Times New Roman"/>
          <w:color w:val="000000" w:themeColor="text1"/>
          <w:sz w:val="24"/>
          <w:szCs w:val="24"/>
          <w:lang w:eastAsia="zh-CN"/>
          <w14:textFill>
            <w14:solidFill>
              <w14:schemeClr w14:val="tx1"/>
            </w14:solidFill>
          </w14:textFill>
        </w:rPr>
        <w:t>可</w:t>
      </w:r>
      <w:r>
        <w:rPr>
          <w:rFonts w:hint="default" w:ascii="Times New Roman" w:hAnsi="Times New Roman" w:eastAsia="宋体" w:cs="Times New Roman"/>
          <w:color w:val="000000" w:themeColor="text1"/>
          <w:sz w:val="24"/>
          <w:szCs w:val="24"/>
          <w14:textFill>
            <w14:solidFill>
              <w14:schemeClr w14:val="tx1"/>
            </w14:solidFill>
          </w14:textFill>
        </w:rPr>
        <w:t>燃物质，因此本项目原料库有火灾事故的风险。本项目废气排放量较大，因此若废气处理设施出现故障，会有污染物不达标排放的风险。</w:t>
      </w:r>
    </w:p>
    <w:p w14:paraId="75B0FFE9">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（1）火灾</w:t>
      </w:r>
    </w:p>
    <w:p w14:paraId="1A0A3667">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火灾是工业生产过程常见的风险事故，项目</w:t>
      </w:r>
      <w:r>
        <w:rPr>
          <w:rFonts w:hint="eastAsia" w:cs="Times New Roman"/>
          <w:color w:val="000000" w:themeColor="text1"/>
          <w:sz w:val="24"/>
          <w:szCs w:val="24"/>
          <w:lang w:eastAsia="zh-CN"/>
          <w14:textFill>
            <w14:solidFill>
              <w14:schemeClr w14:val="tx1"/>
            </w14:solidFill>
          </w14:textFill>
        </w:rPr>
        <w:t>废塑料瓶</w:t>
      </w:r>
      <w:r>
        <w:rPr>
          <w:rFonts w:hint="default" w:ascii="Times New Roman" w:hAnsi="Times New Roman" w:eastAsia="宋体" w:cs="Times New Roman"/>
          <w:color w:val="000000" w:themeColor="text1"/>
          <w:sz w:val="24"/>
          <w:szCs w:val="24"/>
          <w14:textFill>
            <w14:solidFill>
              <w14:schemeClr w14:val="tx1"/>
            </w14:solidFill>
          </w14:textFill>
        </w:rPr>
        <w:t>等</w:t>
      </w:r>
      <w:r>
        <w:rPr>
          <w:rFonts w:hint="default" w:ascii="Times New Roman" w:hAnsi="Times New Roman" w:eastAsia="宋体" w:cs="Times New Roman"/>
          <w:color w:val="000000" w:themeColor="text1"/>
          <w:sz w:val="24"/>
          <w:szCs w:val="24"/>
          <w:lang w:eastAsia="zh-CN"/>
          <w14:textFill>
            <w14:solidFill>
              <w14:schemeClr w14:val="tx1"/>
            </w14:solidFill>
          </w14:textFill>
        </w:rPr>
        <w:t>可</w:t>
      </w:r>
      <w:r>
        <w:rPr>
          <w:rFonts w:hint="default" w:ascii="Times New Roman" w:hAnsi="Times New Roman" w:eastAsia="宋体" w:cs="Times New Roman"/>
          <w:color w:val="000000" w:themeColor="text1"/>
          <w:sz w:val="24"/>
          <w:szCs w:val="24"/>
          <w14:textFill>
            <w14:solidFill>
              <w14:schemeClr w14:val="tx1"/>
            </w14:solidFill>
          </w14:textFill>
        </w:rPr>
        <w:t>燃的物料造成火灾的影响。</w:t>
      </w:r>
    </w:p>
    <w:p w14:paraId="68A89829">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）火灾爆炸过程中的伴生/次生污染</w:t>
      </w:r>
    </w:p>
    <w:p w14:paraId="55410C93">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①消防灭火产生的事故消防水，如果措施采取不当可能会造成消防事故污水进入附近水体，造成污染。</w:t>
      </w:r>
    </w:p>
    <w:p w14:paraId="22E4E679">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②产生的烟尘、CO、NO</w:t>
      </w:r>
      <w:r>
        <w:rPr>
          <w:rFonts w:hint="default" w:ascii="Times New Roman" w:hAnsi="Times New Roman" w:eastAsia="宋体" w:cs="Times New Roman"/>
          <w:color w:val="000000" w:themeColor="text1"/>
          <w:sz w:val="24"/>
          <w:szCs w:val="24"/>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及其它有毒有害化学物质，对周围大气环境及人群产生影响。</w:t>
      </w:r>
    </w:p>
    <w:p w14:paraId="08F2753D">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）废气非正常排放</w:t>
      </w:r>
    </w:p>
    <w:p w14:paraId="6942F21A">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项目使用废气处理装置对产生的颗粒物、</w:t>
      </w:r>
      <w:r>
        <w:rPr>
          <w:rFonts w:hint="default" w:ascii="Times New Roman" w:hAnsi="Times New Roman" w:eastAsia="宋体" w:cs="Times New Roman"/>
          <w:color w:val="000000" w:themeColor="text1"/>
          <w:sz w:val="24"/>
          <w:szCs w:val="24"/>
          <w:lang w:eastAsia="zh-CN"/>
          <w14:textFill>
            <w14:solidFill>
              <w14:schemeClr w14:val="tx1"/>
            </w14:solidFill>
          </w14:textFill>
        </w:rPr>
        <w:t>有机废气</w:t>
      </w:r>
      <w:r>
        <w:rPr>
          <w:rFonts w:hint="default" w:ascii="Times New Roman" w:hAnsi="Times New Roman" w:eastAsia="宋体" w:cs="Times New Roman"/>
          <w:color w:val="000000" w:themeColor="text1"/>
          <w:sz w:val="24"/>
          <w:szCs w:val="24"/>
          <w14:textFill>
            <w14:solidFill>
              <w14:schemeClr w14:val="tx1"/>
            </w14:solidFill>
          </w14:textFill>
        </w:rPr>
        <w:t>进行处理，当废气处理设施故障时，废气污染物直接排放，对区域大气环境造成影响。</w:t>
      </w:r>
    </w:p>
    <w:p w14:paraId="047EAE4A">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根据对同类项目的类比调查分析，本工程评价确定的风险类型为火灾爆炸事故及其伴生/次生污染的影响。</w:t>
      </w:r>
    </w:p>
    <w:p w14:paraId="126C9540">
      <w:pPr>
        <w:spacing w:line="360" w:lineRule="auto"/>
        <w:ind w:firstLine="480"/>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5.</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8</w:t>
      </w:r>
      <w:r>
        <w:rPr>
          <w:rFonts w:hint="default" w:ascii="Times New Roman" w:hAnsi="Times New Roman" w:eastAsia="黑体" w:cs="Times New Roman"/>
          <w:color w:val="000000" w:themeColor="text1"/>
          <w:sz w:val="24"/>
          <w:szCs w:val="24"/>
          <w14:textFill>
            <w14:solidFill>
              <w14:schemeClr w14:val="tx1"/>
            </w14:solidFill>
          </w14:textFill>
        </w:rPr>
        <w:t>.3.2最大可信事故</w:t>
      </w:r>
    </w:p>
    <w:p w14:paraId="2DD35FCC">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最大可信事故是指，在所有预测的概率不为零的事故中，对环境（或健康）危害最严重的重大事故。最大可信事故确定的目的是针对典型事故进行环境风险分析，并不意味着其它事故不具环境风险。在项目生产、贮存、运输等过程中，存在诸多事故风险因素，风险评价不可能面面具到，只能考虑对环境危害最大的事故风险。</w:t>
      </w:r>
    </w:p>
    <w:p w14:paraId="7906D753">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针对本项目的生产特点，对可能发生的事故风险进行环境影响分析很有必要，以便提出防范及应急措施，力求将环境风险降至最低。根据上述潜在事故危险分析，本项目虽有多个事故风险源，但从生产过程及危险废物暂存分析，建设项目的最大可信风险事故为：火灾。</w:t>
      </w:r>
    </w:p>
    <w:p w14:paraId="02BD6E1E">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本项目在废气等处理设施发生事故立即停止生产，因此，本次环境风险评价以可燃物引起火灾为最大可信事故进行分析和评价。</w:t>
      </w:r>
    </w:p>
    <w:p w14:paraId="2E5F0D6F">
      <w:pPr>
        <w:spacing w:line="360" w:lineRule="auto"/>
        <w:ind w:firstLine="480"/>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5.</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8</w:t>
      </w:r>
      <w:r>
        <w:rPr>
          <w:rFonts w:hint="default" w:ascii="Times New Roman" w:hAnsi="Times New Roman" w:eastAsia="黑体" w:cs="Times New Roman"/>
          <w:color w:val="000000" w:themeColor="text1"/>
          <w:sz w:val="24"/>
          <w:szCs w:val="24"/>
          <w14:textFill>
            <w14:solidFill>
              <w14:schemeClr w14:val="tx1"/>
            </w14:solidFill>
          </w14:textFill>
        </w:rPr>
        <w:t>.3.3最大可信事故概率</w:t>
      </w:r>
    </w:p>
    <w:p w14:paraId="574BB4FA">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危险源发生事故均属于不可预见性，引发事故的因素较多。污染物排放的差异，对风险事故概率及事故危害的量化难度较大。</w:t>
      </w:r>
    </w:p>
    <w:p w14:paraId="1CA9F58C">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事故统计分析据资料报道，1987年前的25年间，在95个国家登记的化学品所发生突发性化学事故中，贮运事故高达 66.2%，且以机械故障和碰撞为主。其中阀门管线泄漏是主要事故原因，其次是设备故障和操作失误。对本项目而言，废电池仓库发生事故的主要原因可能是，废电池碰撞破裂引发泄漏、中毒并造成火灾。</w:t>
      </w:r>
    </w:p>
    <w:p w14:paraId="34B216DA">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由国内外化学品储运事故概率调查统计，化工企业事故单元造成不同程度事故的发生概率汇总见</w:t>
      </w:r>
      <w:r>
        <w:rPr>
          <w:rFonts w:hint="default" w:ascii="Times New Roman" w:hAnsi="Times New Roman" w:eastAsia="宋体" w:cs="Times New Roman"/>
          <w:color w:val="000000" w:themeColor="text1"/>
          <w:sz w:val="24"/>
          <w:szCs w:val="24"/>
          <w:lang w:eastAsia="zh-CN"/>
          <w14:textFill>
            <w14:solidFill>
              <w14:schemeClr w14:val="tx1"/>
            </w14:solidFill>
          </w14:textFill>
        </w:rPr>
        <w:t>下表</w:t>
      </w:r>
      <w:r>
        <w:rPr>
          <w:rFonts w:hint="default" w:ascii="Times New Roman" w:hAnsi="Times New Roman" w:eastAsia="宋体" w:cs="Times New Roman"/>
          <w:color w:val="000000" w:themeColor="text1"/>
          <w:sz w:val="24"/>
          <w:szCs w:val="24"/>
          <w14:textFill>
            <w14:solidFill>
              <w14:schemeClr w14:val="tx1"/>
            </w14:solidFill>
          </w14:textFill>
        </w:rPr>
        <w:t>。由此确定本项目最大可信事故的发生概率为10</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次/年。</w:t>
      </w:r>
    </w:p>
    <w:p w14:paraId="057796F9">
      <w:pPr>
        <w:spacing w:line="360" w:lineRule="auto"/>
        <w:jc w:val="center"/>
        <w:rPr>
          <w:rFonts w:hint="default" w:ascii="Times New Roman" w:hAnsi="Times New Roman" w:eastAsia="黑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4"/>
          <w:szCs w:val="24"/>
          <w:lang w:val="en-US" w:eastAsia="zh-CN" w:bidi="ar-SA"/>
          <w14:textFill>
            <w14:solidFill>
              <w14:schemeClr w14:val="tx1"/>
            </w14:solidFill>
          </w14:textFill>
        </w:rPr>
        <w:t>表5.8-4不同程度事故发生的概率与对策措施</w:t>
      </w:r>
    </w:p>
    <w:tbl>
      <w:tblPr>
        <w:tblStyle w:val="8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873"/>
        <w:gridCol w:w="2072"/>
        <w:gridCol w:w="1078"/>
        <w:gridCol w:w="1499"/>
      </w:tblGrid>
      <w:tr w14:paraId="453DEB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73" w:type="dxa"/>
            <w:tcBorders>
              <w:tl2br w:val="nil"/>
              <w:tr2bl w:val="nil"/>
            </w:tcBorders>
            <w:vAlign w:val="center"/>
          </w:tcPr>
          <w:p w14:paraId="15C108A0">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事故名称</w:t>
            </w:r>
          </w:p>
        </w:tc>
        <w:tc>
          <w:tcPr>
            <w:tcW w:w="2072" w:type="dxa"/>
            <w:tcBorders>
              <w:tl2br w:val="nil"/>
              <w:tr2bl w:val="nil"/>
            </w:tcBorders>
            <w:vAlign w:val="center"/>
          </w:tcPr>
          <w:p w14:paraId="7C8894F1">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发生概率（次/年）</w:t>
            </w:r>
          </w:p>
        </w:tc>
        <w:tc>
          <w:tcPr>
            <w:tcW w:w="1078" w:type="dxa"/>
            <w:tcBorders>
              <w:tl2br w:val="nil"/>
              <w:tr2bl w:val="nil"/>
            </w:tcBorders>
            <w:vAlign w:val="center"/>
          </w:tcPr>
          <w:p w14:paraId="5900D7D7">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发生频率</w:t>
            </w:r>
          </w:p>
        </w:tc>
        <w:tc>
          <w:tcPr>
            <w:tcW w:w="1499" w:type="dxa"/>
            <w:tcBorders>
              <w:tl2br w:val="nil"/>
              <w:tr2bl w:val="nil"/>
            </w:tcBorders>
            <w:vAlign w:val="center"/>
          </w:tcPr>
          <w:p w14:paraId="040DEEBF">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对策反应</w:t>
            </w:r>
          </w:p>
        </w:tc>
      </w:tr>
      <w:tr w14:paraId="5C4A63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73" w:type="dxa"/>
            <w:tcBorders>
              <w:tl2br w:val="nil"/>
              <w:tr2bl w:val="nil"/>
            </w:tcBorders>
            <w:vAlign w:val="center"/>
          </w:tcPr>
          <w:p w14:paraId="79D18B7A">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管道、输送泵、阀门、槽车等损坏小型泄漏事故</w:t>
            </w:r>
          </w:p>
        </w:tc>
        <w:tc>
          <w:tcPr>
            <w:tcW w:w="2072" w:type="dxa"/>
            <w:tcBorders>
              <w:tl2br w:val="nil"/>
              <w:tr2bl w:val="nil"/>
            </w:tcBorders>
            <w:vAlign w:val="center"/>
          </w:tcPr>
          <w:p w14:paraId="0B95C247">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10</w:t>
            </w:r>
            <w:r>
              <w:rPr>
                <w:rFonts w:hint="default" w:ascii="Times New Roman" w:hAnsi="Times New Roman" w:eastAsia="宋体" w:cs="Times New Roman"/>
                <w:color w:val="000000" w:themeColor="text1"/>
                <w:kern w:val="2"/>
                <w:sz w:val="21"/>
                <w:szCs w:val="21"/>
                <w:vertAlign w:val="superscript"/>
                <w14:textFill>
                  <w14:solidFill>
                    <w14:schemeClr w14:val="tx1"/>
                  </w14:solidFill>
                </w14:textFill>
              </w:rPr>
              <w:t>-1</w:t>
            </w:r>
          </w:p>
        </w:tc>
        <w:tc>
          <w:tcPr>
            <w:tcW w:w="1078" w:type="dxa"/>
            <w:tcBorders>
              <w:tl2br w:val="nil"/>
              <w:tr2bl w:val="nil"/>
            </w:tcBorders>
            <w:vAlign w:val="center"/>
          </w:tcPr>
          <w:p w14:paraId="4D9222B1">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可能发生</w:t>
            </w:r>
          </w:p>
        </w:tc>
        <w:tc>
          <w:tcPr>
            <w:tcW w:w="1499" w:type="dxa"/>
            <w:tcBorders>
              <w:tl2br w:val="nil"/>
              <w:tr2bl w:val="nil"/>
            </w:tcBorders>
            <w:vAlign w:val="center"/>
          </w:tcPr>
          <w:p w14:paraId="2638AC88">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必须采取措施</w:t>
            </w:r>
          </w:p>
        </w:tc>
      </w:tr>
      <w:tr w14:paraId="09A4A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73" w:type="dxa"/>
            <w:tcBorders>
              <w:tl2br w:val="nil"/>
              <w:tr2bl w:val="nil"/>
            </w:tcBorders>
            <w:vAlign w:val="center"/>
          </w:tcPr>
          <w:p w14:paraId="6011C84B">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管线、储罐、反应釜等破裂泄漏事故</w:t>
            </w:r>
          </w:p>
        </w:tc>
        <w:tc>
          <w:tcPr>
            <w:tcW w:w="2072" w:type="dxa"/>
            <w:tcBorders>
              <w:tl2br w:val="nil"/>
              <w:tr2bl w:val="nil"/>
            </w:tcBorders>
            <w:vAlign w:val="center"/>
          </w:tcPr>
          <w:p w14:paraId="53538203">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10</w:t>
            </w:r>
            <w:r>
              <w:rPr>
                <w:rFonts w:hint="default" w:ascii="Times New Roman" w:hAnsi="Times New Roman" w:eastAsia="宋体" w:cs="Times New Roman"/>
                <w:color w:val="000000" w:themeColor="text1"/>
                <w:kern w:val="2"/>
                <w:sz w:val="21"/>
                <w:szCs w:val="21"/>
                <w:vertAlign w:val="superscript"/>
                <w14:textFill>
                  <w14:solidFill>
                    <w14:schemeClr w14:val="tx1"/>
                  </w14:solidFill>
                </w14:textFill>
              </w:rPr>
              <w:t>-2</w:t>
            </w:r>
          </w:p>
        </w:tc>
        <w:tc>
          <w:tcPr>
            <w:tcW w:w="1078" w:type="dxa"/>
            <w:tcBorders>
              <w:tl2br w:val="nil"/>
              <w:tr2bl w:val="nil"/>
            </w:tcBorders>
            <w:vAlign w:val="center"/>
          </w:tcPr>
          <w:p w14:paraId="1C757B3F">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偶尔发生</w:t>
            </w:r>
          </w:p>
        </w:tc>
        <w:tc>
          <w:tcPr>
            <w:tcW w:w="1499" w:type="dxa"/>
            <w:tcBorders>
              <w:tl2br w:val="nil"/>
              <w:tr2bl w:val="nil"/>
            </w:tcBorders>
            <w:vAlign w:val="center"/>
          </w:tcPr>
          <w:p w14:paraId="79E51446">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需要采取措施</w:t>
            </w:r>
          </w:p>
        </w:tc>
      </w:tr>
      <w:tr w14:paraId="584362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73" w:type="dxa"/>
            <w:tcBorders>
              <w:tl2br w:val="nil"/>
              <w:tr2bl w:val="nil"/>
            </w:tcBorders>
            <w:vAlign w:val="center"/>
          </w:tcPr>
          <w:p w14:paraId="4DFC5565">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管线、阀门、储罐等严重泄露事故</w:t>
            </w:r>
          </w:p>
        </w:tc>
        <w:tc>
          <w:tcPr>
            <w:tcW w:w="2072" w:type="dxa"/>
            <w:tcBorders>
              <w:tl2br w:val="nil"/>
              <w:tr2bl w:val="nil"/>
            </w:tcBorders>
            <w:vAlign w:val="center"/>
          </w:tcPr>
          <w:p w14:paraId="7CC3DEA1">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10</w:t>
            </w:r>
            <w:r>
              <w:rPr>
                <w:rFonts w:hint="default" w:ascii="Times New Roman" w:hAnsi="Times New Roman" w:eastAsia="宋体" w:cs="Times New Roman"/>
                <w:color w:val="000000" w:themeColor="text1"/>
                <w:kern w:val="2"/>
                <w:sz w:val="21"/>
                <w:szCs w:val="21"/>
                <w:vertAlign w:val="superscript"/>
                <w14:textFill>
                  <w14:solidFill>
                    <w14:schemeClr w14:val="tx1"/>
                  </w14:solidFill>
                </w14:textFill>
              </w:rPr>
              <w:t>-3</w:t>
            </w:r>
          </w:p>
        </w:tc>
        <w:tc>
          <w:tcPr>
            <w:tcW w:w="1078" w:type="dxa"/>
            <w:tcBorders>
              <w:tl2br w:val="nil"/>
              <w:tr2bl w:val="nil"/>
            </w:tcBorders>
            <w:vAlign w:val="center"/>
          </w:tcPr>
          <w:p w14:paraId="6D9DC37A">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偶尔发生</w:t>
            </w:r>
          </w:p>
        </w:tc>
        <w:tc>
          <w:tcPr>
            <w:tcW w:w="1499" w:type="dxa"/>
            <w:tcBorders>
              <w:tl2br w:val="nil"/>
              <w:tr2bl w:val="nil"/>
            </w:tcBorders>
            <w:vAlign w:val="center"/>
          </w:tcPr>
          <w:p w14:paraId="4C08875D">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采取对策</w:t>
            </w:r>
          </w:p>
        </w:tc>
      </w:tr>
      <w:tr w14:paraId="1EFE55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73" w:type="dxa"/>
            <w:tcBorders>
              <w:tl2br w:val="nil"/>
              <w:tr2bl w:val="nil"/>
            </w:tcBorders>
            <w:vAlign w:val="center"/>
          </w:tcPr>
          <w:p w14:paraId="6B435AED">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储罐、桶等出现重大爆炸、爆裂事故</w:t>
            </w:r>
          </w:p>
        </w:tc>
        <w:tc>
          <w:tcPr>
            <w:tcW w:w="2072" w:type="dxa"/>
            <w:tcBorders>
              <w:tl2br w:val="nil"/>
              <w:tr2bl w:val="nil"/>
            </w:tcBorders>
            <w:vAlign w:val="center"/>
          </w:tcPr>
          <w:p w14:paraId="00498146">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10</w:t>
            </w:r>
            <w:r>
              <w:rPr>
                <w:rFonts w:hint="default" w:ascii="Times New Roman" w:hAnsi="Times New Roman" w:eastAsia="宋体" w:cs="Times New Roman"/>
                <w:color w:val="000000" w:themeColor="text1"/>
                <w:kern w:val="2"/>
                <w:sz w:val="21"/>
                <w:szCs w:val="21"/>
                <w:vertAlign w:val="superscript"/>
                <w14:textFill>
                  <w14:solidFill>
                    <w14:schemeClr w14:val="tx1"/>
                  </w14:solidFill>
                </w14:textFill>
              </w:rPr>
              <w:t>-4</w:t>
            </w:r>
          </w:p>
        </w:tc>
        <w:tc>
          <w:tcPr>
            <w:tcW w:w="1078" w:type="dxa"/>
            <w:tcBorders>
              <w:tl2br w:val="nil"/>
              <w:tr2bl w:val="nil"/>
            </w:tcBorders>
            <w:vAlign w:val="center"/>
          </w:tcPr>
          <w:p w14:paraId="6D65E345">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极少发生</w:t>
            </w:r>
          </w:p>
        </w:tc>
        <w:tc>
          <w:tcPr>
            <w:tcW w:w="1499" w:type="dxa"/>
            <w:tcBorders>
              <w:tl2br w:val="nil"/>
              <w:tr2bl w:val="nil"/>
            </w:tcBorders>
            <w:vAlign w:val="center"/>
          </w:tcPr>
          <w:p w14:paraId="50C044ED">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关心和防范</w:t>
            </w:r>
          </w:p>
        </w:tc>
      </w:tr>
      <w:tr w14:paraId="082C34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73" w:type="dxa"/>
            <w:tcBorders>
              <w:tl2br w:val="nil"/>
              <w:tr2bl w:val="nil"/>
            </w:tcBorders>
            <w:vAlign w:val="center"/>
          </w:tcPr>
          <w:p w14:paraId="16E9BC1B">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重大自然灾害引起事故</w:t>
            </w:r>
          </w:p>
        </w:tc>
        <w:tc>
          <w:tcPr>
            <w:tcW w:w="2072" w:type="dxa"/>
            <w:tcBorders>
              <w:tl2br w:val="nil"/>
              <w:tr2bl w:val="nil"/>
            </w:tcBorders>
            <w:vAlign w:val="center"/>
          </w:tcPr>
          <w:p w14:paraId="3320D9D7">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10</w:t>
            </w:r>
            <w:r>
              <w:rPr>
                <w:rFonts w:hint="default" w:ascii="Times New Roman" w:hAnsi="Times New Roman" w:eastAsia="宋体" w:cs="Times New Roman"/>
                <w:color w:val="000000" w:themeColor="text1"/>
                <w:kern w:val="2"/>
                <w:sz w:val="21"/>
                <w:szCs w:val="21"/>
                <w:vertAlign w:val="superscript"/>
                <w14:textFill>
                  <w14:solidFill>
                    <w14:schemeClr w14:val="tx1"/>
                  </w14:solidFill>
                </w14:textFill>
              </w:rPr>
              <w:t>-5</w:t>
            </w:r>
            <w:r>
              <w:rPr>
                <w:rFonts w:hint="default" w:ascii="Times New Roman" w:hAnsi="Times New Roman" w:eastAsia="宋体" w:cs="Times New Roman"/>
                <w:color w:val="000000" w:themeColor="text1"/>
                <w:kern w:val="2"/>
                <w:sz w:val="21"/>
                <w:szCs w:val="21"/>
                <w14:textFill>
                  <w14:solidFill>
                    <w14:schemeClr w14:val="tx1"/>
                  </w14:solidFill>
                </w14:textFill>
              </w:rPr>
              <w:t>~10</w:t>
            </w:r>
            <w:r>
              <w:rPr>
                <w:rFonts w:hint="default" w:ascii="Times New Roman" w:hAnsi="Times New Roman" w:eastAsia="宋体" w:cs="Times New Roman"/>
                <w:color w:val="000000" w:themeColor="text1"/>
                <w:kern w:val="2"/>
                <w:sz w:val="21"/>
                <w:szCs w:val="21"/>
                <w:vertAlign w:val="superscript"/>
                <w14:textFill>
                  <w14:solidFill>
                    <w14:schemeClr w14:val="tx1"/>
                  </w14:solidFill>
                </w14:textFill>
              </w:rPr>
              <w:t>-6</w:t>
            </w:r>
          </w:p>
        </w:tc>
        <w:tc>
          <w:tcPr>
            <w:tcW w:w="1078" w:type="dxa"/>
            <w:tcBorders>
              <w:tl2br w:val="nil"/>
              <w:tr2bl w:val="nil"/>
            </w:tcBorders>
            <w:vAlign w:val="center"/>
          </w:tcPr>
          <w:p w14:paraId="0573D45A">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很难发生</w:t>
            </w:r>
          </w:p>
        </w:tc>
        <w:tc>
          <w:tcPr>
            <w:tcW w:w="1499" w:type="dxa"/>
            <w:tcBorders>
              <w:tl2br w:val="nil"/>
              <w:tr2bl w:val="nil"/>
            </w:tcBorders>
            <w:vAlign w:val="center"/>
          </w:tcPr>
          <w:p w14:paraId="53A539AB">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注意关心</w:t>
            </w:r>
          </w:p>
        </w:tc>
      </w:tr>
    </w:tbl>
    <w:p w14:paraId="67CCD56C">
      <w:pPr>
        <w:pStyle w:val="4097"/>
        <w:spacing w:line="360" w:lineRule="auto"/>
        <w:ind w:left="0" w:leftChars="0" w:firstLine="0" w:firstLineChars="0"/>
        <w:rPr>
          <w:rFonts w:hint="default" w:ascii="Times New Roman" w:hAnsi="Times New Roman" w:eastAsia="黑体" w:cs="Times New Roman"/>
          <w:b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黑体" w:cs="Times New Roman"/>
          <w:b w:val="0"/>
          <w:color w:val="000000" w:themeColor="text1"/>
          <w:kern w:val="2"/>
          <w:sz w:val="24"/>
          <w:szCs w:val="24"/>
          <w:lang w:val="en-US" w:eastAsia="zh-CN" w:bidi="ar-SA"/>
          <w14:textFill>
            <w14:solidFill>
              <w14:schemeClr w14:val="tx1"/>
            </w14:solidFill>
          </w14:textFill>
        </w:rPr>
        <w:t>5.8.4环境风险分析</w:t>
      </w:r>
    </w:p>
    <w:p w14:paraId="4016FFF3">
      <w:pPr>
        <w:pStyle w:val="4096"/>
        <w:spacing w:line="360" w:lineRule="auto"/>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5.</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8</w:t>
      </w:r>
      <w:r>
        <w:rPr>
          <w:rFonts w:hint="default" w:ascii="Times New Roman" w:hAnsi="Times New Roman" w:eastAsia="黑体" w:cs="Times New Roman"/>
          <w:color w:val="000000" w:themeColor="text1"/>
          <w:sz w:val="24"/>
          <w:szCs w:val="24"/>
          <w14:textFill>
            <w14:solidFill>
              <w14:schemeClr w14:val="tx1"/>
            </w14:solidFill>
          </w14:textFill>
        </w:rPr>
        <w:t>.4.1火灾爆炸及次生风险影响分析</w:t>
      </w:r>
    </w:p>
    <w:p w14:paraId="063CCCF9">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火灾是工业生产过程常见的风险事故，项目</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PET瓶砖</w:t>
      </w:r>
      <w:r>
        <w:rPr>
          <w:rFonts w:hint="default" w:ascii="Times New Roman" w:hAnsi="Times New Roman" w:eastAsia="宋体" w:cs="Times New Roman"/>
          <w:color w:val="000000" w:themeColor="text1"/>
          <w:sz w:val="24"/>
          <w:szCs w:val="24"/>
          <w14:textFill>
            <w14:solidFill>
              <w14:schemeClr w14:val="tx1"/>
            </w14:solidFill>
          </w14:textFill>
        </w:rPr>
        <w:t>等</w:t>
      </w:r>
      <w:r>
        <w:rPr>
          <w:rFonts w:hint="default" w:ascii="Times New Roman" w:hAnsi="Times New Roman" w:eastAsia="宋体" w:cs="Times New Roman"/>
          <w:color w:val="000000" w:themeColor="text1"/>
          <w:sz w:val="24"/>
          <w:szCs w:val="24"/>
          <w:lang w:eastAsia="zh-CN"/>
          <w14:textFill>
            <w14:solidFill>
              <w14:schemeClr w14:val="tx1"/>
            </w14:solidFill>
          </w14:textFill>
        </w:rPr>
        <w:t>可</w:t>
      </w:r>
      <w:r>
        <w:rPr>
          <w:rFonts w:hint="default" w:ascii="Times New Roman" w:hAnsi="Times New Roman" w:eastAsia="宋体" w:cs="Times New Roman"/>
          <w:color w:val="000000" w:themeColor="text1"/>
          <w:sz w:val="24"/>
          <w:szCs w:val="24"/>
          <w14:textFill>
            <w14:solidFill>
              <w14:schemeClr w14:val="tx1"/>
            </w14:solidFill>
          </w14:textFill>
        </w:rPr>
        <w:t>燃的物料造成火灾，导致危险物质进入大气环境和水环境，对周围环境产生严重危害。</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PET瓶砖</w:t>
      </w:r>
      <w:r>
        <w:rPr>
          <w:rFonts w:hint="default" w:ascii="Times New Roman" w:hAnsi="Times New Roman" w:eastAsia="宋体" w:cs="Times New Roman"/>
          <w:color w:val="000000" w:themeColor="text1"/>
          <w:sz w:val="24"/>
          <w:szCs w:val="24"/>
          <w14:textFill>
            <w14:solidFill>
              <w14:schemeClr w14:val="tx1"/>
            </w14:solidFill>
          </w14:textFill>
        </w:rPr>
        <w:t>暂存场所是具有良好避雨措施和消防措施的仓库，只要管理人员加强日常维护、巡视，发现问题马上解决，仓库发生火灾、漏雨的风险是很小的，不会对周围环境产生较大影响。</w:t>
      </w:r>
    </w:p>
    <w:p w14:paraId="3C84AFF1">
      <w:pPr>
        <w:spacing w:line="360" w:lineRule="auto"/>
        <w:ind w:firstLine="480"/>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本项目所涉及的物品为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PET瓶砖、瓶片、标签纸、瓶盖等</w:t>
      </w:r>
      <w:r>
        <w:rPr>
          <w:rFonts w:hint="default" w:ascii="Times New Roman" w:hAnsi="Times New Roman" w:eastAsia="宋体" w:cs="Times New Roman"/>
          <w:color w:val="000000" w:themeColor="text1"/>
          <w:sz w:val="24"/>
          <w:szCs w:val="24"/>
          <w14:textFill>
            <w14:solidFill>
              <w14:schemeClr w14:val="tx1"/>
            </w14:solidFill>
          </w14:textFill>
        </w:rPr>
        <w:t>，遇高温或明火时可能发生火灾或爆炸，火灾产生的燃烧产物进入大气或水环境，造成污染。废电池次生产物详见</w:t>
      </w:r>
      <w:r>
        <w:rPr>
          <w:rFonts w:hint="default" w:ascii="Times New Roman" w:hAnsi="Times New Roman" w:eastAsia="宋体" w:cs="Times New Roman"/>
          <w:color w:val="000000" w:themeColor="text1"/>
          <w:sz w:val="24"/>
          <w:szCs w:val="24"/>
          <w:lang w:eastAsia="zh-CN"/>
          <w14:textFill>
            <w14:solidFill>
              <w14:schemeClr w14:val="tx1"/>
            </w14:solidFill>
          </w14:textFill>
        </w:rPr>
        <w:t>下表</w:t>
      </w:r>
      <w:r>
        <w:rPr>
          <w:rFonts w:hint="default" w:ascii="Times New Roman" w:hAnsi="Times New Roman" w:eastAsia="宋体" w:cs="Times New Roman"/>
          <w:color w:val="000000" w:themeColor="text1"/>
          <w:sz w:val="24"/>
          <w:szCs w:val="24"/>
          <w14:textFill>
            <w14:solidFill>
              <w14:schemeClr w14:val="tx1"/>
            </w14:solidFill>
          </w14:textFill>
        </w:rPr>
        <w:t>。</w:t>
      </w:r>
    </w:p>
    <w:p w14:paraId="70452142">
      <w:pPr>
        <w:pStyle w:val="4098"/>
        <w:spacing w:line="360" w:lineRule="auto"/>
        <w:ind w:firstLine="0" w:firstLineChars="0"/>
        <w:jc w:val="center"/>
        <w:rPr>
          <w:rFonts w:hint="default" w:ascii="Times New Roman" w:hAnsi="Times New Roman" w:eastAsia="黑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4"/>
          <w:szCs w:val="24"/>
          <w:lang w:val="en-US" w:eastAsia="zh-CN" w:bidi="ar-SA"/>
          <w14:textFill>
            <w14:solidFill>
              <w14:schemeClr w14:val="tx1"/>
            </w14:solidFill>
          </w14:textFill>
        </w:rPr>
        <w:t>表5.8-5废塑料火灾次生产物一览表</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000000" w:sz="2" w:space="0"/>
        </w:tblBorders>
        <w:tblLayout w:type="autofit"/>
        <w:tblCellMar>
          <w:top w:w="0" w:type="dxa"/>
          <w:left w:w="6" w:type="dxa"/>
          <w:bottom w:w="0" w:type="dxa"/>
          <w:right w:w="6" w:type="dxa"/>
        </w:tblCellMar>
      </w:tblPr>
      <w:tblGrid>
        <w:gridCol w:w="1546"/>
        <w:gridCol w:w="1905"/>
        <w:gridCol w:w="2664"/>
        <w:gridCol w:w="2203"/>
      </w:tblGrid>
      <w:tr w14:paraId="7C1F2654">
        <w:tblPrEx>
          <w:tblBorders>
            <w:top w:val="single" w:color="auto" w:sz="12" w:space="0"/>
            <w:left w:val="none" w:color="auto" w:sz="0" w:space="0"/>
            <w:bottom w:val="single" w:color="auto" w:sz="12" w:space="0"/>
            <w:right w:val="none" w:color="auto" w:sz="0" w:space="0"/>
            <w:insideH w:val="single" w:color="auto" w:sz="6" w:space="0"/>
            <w:insideV w:val="single" w:color="000000" w:sz="2" w:space="0"/>
          </w:tblBorders>
          <w:tblCellMar>
            <w:top w:w="0" w:type="dxa"/>
            <w:left w:w="6" w:type="dxa"/>
            <w:bottom w:w="0" w:type="dxa"/>
            <w:right w:w="6" w:type="dxa"/>
          </w:tblCellMar>
        </w:tblPrEx>
        <w:trPr>
          <w:trHeight w:val="397" w:hRule="atLeast"/>
          <w:jc w:val="center"/>
        </w:trPr>
        <w:tc>
          <w:tcPr>
            <w:tcW w:w="929" w:type="pct"/>
            <w:tcBorders>
              <w:tl2br w:val="nil"/>
              <w:tr2bl w:val="nil"/>
            </w:tcBorders>
            <w:vAlign w:val="center"/>
          </w:tcPr>
          <w:p w14:paraId="2890E0DC">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物质</w:t>
            </w:r>
          </w:p>
        </w:tc>
        <w:tc>
          <w:tcPr>
            <w:tcW w:w="1145" w:type="pct"/>
            <w:tcBorders>
              <w:tl2br w:val="nil"/>
              <w:tr2bl w:val="nil"/>
            </w:tcBorders>
            <w:vAlign w:val="center"/>
          </w:tcPr>
          <w:p w14:paraId="1332F3B4">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燃烧条件</w:t>
            </w:r>
          </w:p>
        </w:tc>
        <w:tc>
          <w:tcPr>
            <w:tcW w:w="1601" w:type="pct"/>
            <w:tcBorders>
              <w:tl2br w:val="nil"/>
              <w:tr2bl w:val="nil"/>
            </w:tcBorders>
            <w:vAlign w:val="center"/>
          </w:tcPr>
          <w:p w14:paraId="41C14831">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燃烧废物</w:t>
            </w:r>
          </w:p>
        </w:tc>
        <w:tc>
          <w:tcPr>
            <w:tcW w:w="1324" w:type="pct"/>
            <w:tcBorders>
              <w:tl2br w:val="nil"/>
              <w:tr2bl w:val="nil"/>
            </w:tcBorders>
            <w:vAlign w:val="center"/>
          </w:tcPr>
          <w:p w14:paraId="766B8A02">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灭火方法</w:t>
            </w:r>
          </w:p>
        </w:tc>
      </w:tr>
      <w:tr w14:paraId="52515CA1">
        <w:tblPrEx>
          <w:tblBorders>
            <w:top w:val="single" w:color="auto" w:sz="12" w:space="0"/>
            <w:left w:val="none" w:color="auto" w:sz="0" w:space="0"/>
            <w:bottom w:val="single" w:color="auto" w:sz="12" w:space="0"/>
            <w:right w:val="none" w:color="auto" w:sz="0" w:space="0"/>
            <w:insideH w:val="single" w:color="auto" w:sz="6" w:space="0"/>
            <w:insideV w:val="single" w:color="000000" w:sz="2" w:space="0"/>
          </w:tblBorders>
          <w:tblCellMar>
            <w:top w:w="0" w:type="dxa"/>
            <w:left w:w="6" w:type="dxa"/>
            <w:bottom w:w="0" w:type="dxa"/>
            <w:right w:w="6" w:type="dxa"/>
          </w:tblCellMar>
        </w:tblPrEx>
        <w:trPr>
          <w:trHeight w:val="397" w:hRule="atLeast"/>
          <w:jc w:val="center"/>
        </w:trPr>
        <w:tc>
          <w:tcPr>
            <w:tcW w:w="929" w:type="pct"/>
            <w:tcBorders>
              <w:tl2br w:val="nil"/>
              <w:tr2bl w:val="nil"/>
            </w:tcBorders>
            <w:vAlign w:val="center"/>
          </w:tcPr>
          <w:p w14:paraId="2315D6D5">
            <w:pPr>
              <w:pStyle w:val="30"/>
              <w:spacing w:line="240" w:lineRule="auto"/>
              <w:jc w:val="center"/>
              <w:rPr>
                <w:rFonts w:hint="eastAsia" w:ascii="Times New Roman" w:hAnsi="Times New Roman" w:eastAsia="宋体" w:cs="Times New Roman"/>
                <w:color w:val="000000" w:themeColor="text1"/>
                <w:kern w:val="2"/>
                <w:sz w:val="21"/>
                <w:szCs w:val="21"/>
                <w:lang w:eastAsia="zh-CN"/>
                <w14:textFill>
                  <w14:solidFill>
                    <w14:schemeClr w14:val="tx1"/>
                  </w14:solidFill>
                </w14:textFill>
              </w:rPr>
            </w:pPr>
            <w:r>
              <w:rPr>
                <w:rFonts w:hint="eastAsia" w:ascii="Times New Roman" w:hAnsi="Times New Roman" w:eastAsia="宋体" w:cs="Times New Roman"/>
                <w:color w:val="000000" w:themeColor="text1"/>
                <w:kern w:val="2"/>
                <w:sz w:val="21"/>
                <w:szCs w:val="21"/>
                <w:lang w:eastAsia="zh-CN"/>
                <w14:textFill>
                  <w14:solidFill>
                    <w14:schemeClr w14:val="tx1"/>
                  </w14:solidFill>
                </w14:textFill>
              </w:rPr>
              <w:t>废塑料</w:t>
            </w:r>
          </w:p>
        </w:tc>
        <w:tc>
          <w:tcPr>
            <w:tcW w:w="1145" w:type="pct"/>
            <w:tcBorders>
              <w:tl2br w:val="nil"/>
              <w:tr2bl w:val="nil"/>
            </w:tcBorders>
            <w:vAlign w:val="center"/>
          </w:tcPr>
          <w:p w14:paraId="3BD86F2A">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遇高温或明火可能发生火灾或爆炸</w:t>
            </w:r>
          </w:p>
        </w:tc>
        <w:tc>
          <w:tcPr>
            <w:tcW w:w="1601" w:type="pct"/>
            <w:tcBorders>
              <w:tl2br w:val="nil"/>
              <w:tr2bl w:val="nil"/>
            </w:tcBorders>
            <w:vAlign w:val="center"/>
          </w:tcPr>
          <w:p w14:paraId="55755786">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二氧化碳、一氧化碳、氢气和氧气</w:t>
            </w:r>
          </w:p>
        </w:tc>
        <w:tc>
          <w:tcPr>
            <w:tcW w:w="1324" w:type="pct"/>
            <w:tcBorders>
              <w:tl2br w:val="nil"/>
              <w:tr2bl w:val="nil"/>
            </w:tcBorders>
            <w:vAlign w:val="center"/>
          </w:tcPr>
          <w:p w14:paraId="27FB440F">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二氧化碳，干粉或适当泡沫灭火</w:t>
            </w:r>
          </w:p>
        </w:tc>
      </w:tr>
    </w:tbl>
    <w:p w14:paraId="62613732">
      <w:pPr>
        <w:pStyle w:val="4096"/>
        <w:spacing w:line="360" w:lineRule="auto"/>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5.</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8</w:t>
      </w:r>
      <w:r>
        <w:rPr>
          <w:rFonts w:hint="default" w:ascii="Times New Roman" w:hAnsi="Times New Roman" w:eastAsia="黑体" w:cs="Times New Roman"/>
          <w:color w:val="000000" w:themeColor="text1"/>
          <w:sz w:val="24"/>
          <w:szCs w:val="24"/>
          <w14:textFill>
            <w14:solidFill>
              <w14:schemeClr w14:val="tx1"/>
            </w14:solidFill>
          </w14:textFill>
        </w:rPr>
        <w:t>.4.2废气处理设施事故排放环境风险影响分析</w:t>
      </w:r>
    </w:p>
    <w:p w14:paraId="6C5A1531">
      <w:pPr>
        <w:pStyle w:val="4098"/>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废气处理设施事故排放事件为：①风机故障导致废气收集率降低；②处理措施管理系统出现故障导致废气处理设施未能正常运行而停止工作。</w:t>
      </w:r>
    </w:p>
    <w:p w14:paraId="58E9F681">
      <w:pPr>
        <w:pStyle w:val="4098"/>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在非正常工况排放情况下，污染物排放对周围环境空气质量影响较大，因此，企业应加强废气收集和处理设施的管理和维护工作，确保废气治理设施正常运行，杜绝废气非正常排放。</w:t>
      </w:r>
    </w:p>
    <w:p w14:paraId="73AAA467">
      <w:pPr>
        <w:pStyle w:val="4097"/>
        <w:spacing w:line="360" w:lineRule="auto"/>
        <w:ind w:left="0" w:leftChars="0" w:firstLine="0" w:firstLineChars="0"/>
        <w:rPr>
          <w:rFonts w:hint="default" w:ascii="Times New Roman" w:hAnsi="Times New Roman" w:eastAsia="黑体" w:cs="Times New Roman"/>
          <w:b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黑体" w:cs="Times New Roman"/>
          <w:b w:val="0"/>
          <w:color w:val="000000" w:themeColor="text1"/>
          <w:kern w:val="2"/>
          <w:sz w:val="24"/>
          <w:szCs w:val="24"/>
          <w:lang w:val="en-US" w:eastAsia="zh-CN" w:bidi="ar-SA"/>
          <w14:textFill>
            <w14:solidFill>
              <w14:schemeClr w14:val="tx1"/>
            </w14:solidFill>
          </w14:textFill>
        </w:rPr>
        <w:t>5.8.5风险管理及防范措施</w:t>
      </w:r>
    </w:p>
    <w:p w14:paraId="762861C7">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企业经营管理者是企业安全生产第一责任人，应在规定管辖的范围内指定或设立相应的机构负责实施、加强本项目中劳动、安全、卫生和环境的管理。可以从人、物、环境和管理四个方面寻找影响事故的原因，制定完备、有效的安全防范措施，尽可能降低本项目环境风险事故发生的概率，减少事故的损失和危害。组织制定适合本单位实际情况的规章制度，配备与实际工作需要相适应的专业技术人员或有实际工作能力的人员负责企业的安全管理工作，保证必需的安全生产资金。</w:t>
      </w:r>
    </w:p>
    <w:p w14:paraId="3AB09DF4">
      <w:pPr>
        <w:spacing w:line="360" w:lineRule="auto"/>
        <w:ind w:firstLine="482"/>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1、对主要危害因素的防范原则</w:t>
      </w:r>
    </w:p>
    <w:p w14:paraId="7353815C">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（1）选择先进的工艺及设备，消除或减少有害源；</w:t>
      </w:r>
    </w:p>
    <w:p w14:paraId="46BF2E8C">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）配备必要的救护、消防设施，以减少伤害；</w:t>
      </w:r>
    </w:p>
    <w:p w14:paraId="40F04EBD">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）提高机械化自动化水平，改善劳动条件；</w:t>
      </w:r>
    </w:p>
    <w:p w14:paraId="67A934AE">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14:textFill>
            <w14:solidFill>
              <w14:schemeClr w14:val="tx1"/>
            </w14:solidFill>
          </w14:textFill>
        </w:rPr>
        <w:t>）科学合理的进行平面布置，避免或减少危害的发生；</w:t>
      </w:r>
    </w:p>
    <w:p w14:paraId="6EE227AF">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）凡易发生事故或危及生命安全的场所和设备，以及需要提醒操作人员注意的地点，均设置安全标志；凡需要迅速发现并引起注意以防止发生事故的场所、部位均涂安全色。</w:t>
      </w:r>
    </w:p>
    <w:p w14:paraId="7193CBE4">
      <w:pPr>
        <w:pStyle w:val="34"/>
        <w:spacing w:after="0" w:line="360" w:lineRule="auto"/>
        <w:ind w:firstLine="472"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14:textFill>
            <w14:solidFill>
              <w14:schemeClr w14:val="tx1"/>
            </w14:solidFill>
          </w14:textFill>
        </w:rPr>
        <w:t>）有毒有害物质防护原则</w:t>
      </w:r>
    </w:p>
    <w:p w14:paraId="2BEC68B7">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采用密闭装置，合理选用法兰和垫片，定期检修，防止跑</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冒、滴、漏。合理安装排气、通风设备，加强通风。在可能接触废气的工作场所，操作人员按规定配备防护用具如防护手套、防毒面具等。检修时，应选用长管式防毒面具或送风式防毒面具，并做好现场监护工作。产生及输送废气的设备及管道严格按压力容器和压力管道的有关规定进行设计、施工。定期检修，防止跑冒、滴、漏。</w:t>
      </w:r>
    </w:p>
    <w:p w14:paraId="3D2FD4DC">
      <w:pPr>
        <w:spacing w:line="360" w:lineRule="auto"/>
        <w:ind w:firstLine="482"/>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2、选址、总图布置和建筑安全防范措施</w:t>
      </w:r>
    </w:p>
    <w:p w14:paraId="682263A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厂区主干道需符合消防道路的规定宽度，并呈环形消防通道，能保证消防、急救车辆通畅到达各个区域。项目的建筑设计贯彻方便工艺布置的原则，平面简洁规整，功能分区明确。</w:t>
      </w:r>
    </w:p>
    <w:p w14:paraId="718DDBC6">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项目建筑物耐火等级、防火间隔、防火分区和防火构造均按照《建筑设计防火规范》(GB50016-2014)设计建设。并设置消防系统，配备必要的消防器材。</w:t>
      </w:r>
    </w:p>
    <w:p w14:paraId="0660DEA8">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在设计、施工时，按照国家标准和规范执行，在生产中严格执行安全操作规程，严格按照动火规程进行动火操作，对危险化学品的运输、储存、使用等必须严格执行相关标准要求。</w:t>
      </w:r>
    </w:p>
    <w:p w14:paraId="302F2499">
      <w:pPr>
        <w:spacing w:line="360" w:lineRule="auto"/>
        <w:ind w:firstLine="482"/>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3、风险防范措施</w:t>
      </w:r>
    </w:p>
    <w:p w14:paraId="7A4A9B8F">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（1）风险防范制度</w:t>
      </w:r>
    </w:p>
    <w:p w14:paraId="6CC886F6">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1）加强工艺管理，严格控制工艺指标。企业应建立科学、严格的生产操作规程和安全管理体系，做到各车间、工段生产、安全都有专业人员专职负责。</w:t>
      </w:r>
    </w:p>
    <w:p w14:paraId="4582A9D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加强安全生产教育。安全生产教育包括公司、车间、班组三级安全教育、特殊工种安全教育、日常安全教育、装置开工前安全教育和外来人员安全教育五部分内容。让所有员工了解各种原材料、化学品、中间产品、最终产品以及废物的物理、化学和生理特性及其毒性，所有防护措施、环境影响等。</w:t>
      </w:r>
    </w:p>
    <w:p w14:paraId="3DBDA29E">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3）把好设备进厂关，将隐患消灭在正式投入使用前。同时加强容器、设备、管道、阀门等密封检查与维护，发现问题及时解决，保证设备完好。</w:t>
      </w:r>
    </w:p>
    <w:p w14:paraId="735EC51E">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（2）危险废物和化学品贮存和运输防范措施</w:t>
      </w:r>
    </w:p>
    <w:p w14:paraId="766EC552">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建设单位应根据物料输送管道的特点加强环境安全管理;建立健全岗位操作规程和环境安全管理程序，并确保贯彻执行。调度人员应熟悉管辖范围内的工艺流程和管道的运行情况，能根据管道的输送量、环境条件，确定其输送温度和输送方案；能根据管道运行参数的变化，判断管道运行是否正常，并能够及时采取措施，消除管道的事故隐患。</w:t>
      </w:r>
    </w:p>
    <w:p w14:paraId="215BA15B">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）合理规划运输路线及运输时间。不得在居民聚居点、行人稠密地段、政府机关停车，如必须在上述地区进行装卸作业或临时停车，应采取安全措施征得当地公安部门同意。</w:t>
      </w:r>
    </w:p>
    <w:p w14:paraId="00E6E9C1">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）危险废物的转移应严格执行《危险废物转移联单管理办法》及其他有关规定的要求。</w:t>
      </w:r>
    </w:p>
    <w:p w14:paraId="3983C53C">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14:textFill>
            <w14:solidFill>
              <w14:schemeClr w14:val="tx1"/>
            </w14:solidFill>
          </w14:textFill>
        </w:rPr>
        <w:t>）包装必须完好无损，没有腐蚀、污染、损毁等缺陷。必须贴上危险废物标签。</w:t>
      </w:r>
    </w:p>
    <w:p w14:paraId="04180100">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）运输危险废物单位必须具有危险废物运输资质。运输车辆应严格遵守交通、消防、 治安等法规，并应控制车速，确保行车安全。运输车辆必须悬挂“危险废物”字样及相应标志。应采取相应的防粉尘飞扬、防撒漏等措施。</w:t>
      </w:r>
    </w:p>
    <w:p w14:paraId="04875CDF">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14:textFill>
            <w14:solidFill>
              <w14:schemeClr w14:val="tx1"/>
            </w14:solidFill>
          </w14:textFill>
        </w:rPr>
        <w:t>）危险废物装卸作业必须严格遵守操作规程。装卸现场的道路、灯光、标志等必须符合安全装卸的条件。进行危险废物装卸操作时，必须穿戴相应的防护用品，并采取相应的人身肌体保护措施，防护用品使用后，必须集中进行清洗。</w:t>
      </w:r>
    </w:p>
    <w:p w14:paraId="7DF2FBAE">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7</w:t>
      </w:r>
      <w:r>
        <w:rPr>
          <w:rFonts w:hint="default" w:ascii="Times New Roman" w:hAnsi="Times New Roman" w:eastAsia="宋体" w:cs="Times New Roman"/>
          <w:color w:val="000000" w:themeColor="text1"/>
          <w:sz w:val="24"/>
          <w:szCs w:val="24"/>
          <w14:textFill>
            <w14:solidFill>
              <w14:schemeClr w14:val="tx1"/>
            </w14:solidFill>
          </w14:textFill>
        </w:rPr>
        <w:t>）严格按照《危险废物收集贮存运输技术规范》（HJ2025-2012）等有关规定执行，在贮存和运输过程中一旦发生意外事故，贮存、运输单位及相关部门应根据风险程度采取如下措施：</w:t>
      </w:r>
    </w:p>
    <w:p w14:paraId="4FABE1C0">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①设立事故警戒线，启动应急预案，并按《环境保护行政主管部门突发环境事件信息报告办法（试行）》（环发[2006]50 号）要求进行报告。</w:t>
      </w:r>
    </w:p>
    <w:p w14:paraId="22623EFC">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②对事故现场受到污染的土壤和水体等环境介质应进行相应的清理和修复</w:t>
      </w:r>
    </w:p>
    <w:p w14:paraId="5C4FA17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③清理过程中产生的所有废物均应按危险废物进行管理和处置。</w:t>
      </w:r>
    </w:p>
    <w:p w14:paraId="30847F7C">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④进入现场清理和包装危险废物的人员应受过专业培训，穿着防护服，并佩戴相应的防护用具。</w:t>
      </w:r>
    </w:p>
    <w:p w14:paraId="3B9EE861">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）消防及火灾报警系统</w:t>
      </w:r>
    </w:p>
    <w:p w14:paraId="0A211DF0">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1）本项目消防依托当地消防大队。</w:t>
      </w:r>
    </w:p>
    <w:p w14:paraId="7FABB4A8">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2）检测报警措施</w:t>
      </w:r>
    </w:p>
    <w:p w14:paraId="16A50CE6">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在生产厂房、办公 楼等建筑物内按照《建筑灭火器配置设计规范》（GB50140-2005）装设火灾报警设施，火灾报警控制器对消防泵房消防泵实现联动控制。</w:t>
      </w:r>
    </w:p>
    <w:p w14:paraId="28B0CFF7">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3）消防系统</w:t>
      </w:r>
    </w:p>
    <w:p w14:paraId="3C660EA3">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在厂区内设置环形消防供水管网。根据《建筑灭火器配置设计规范》（GB50140-2005）的要求配备灭火器。</w:t>
      </w:r>
    </w:p>
    <w:p w14:paraId="6605A57F">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4）管理措施</w:t>
      </w:r>
    </w:p>
    <w:p w14:paraId="6CCEABD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严格执行防火、防爆、防雷击、防毒害等各项要求。加强对公司职工的教育培训，实行上岗证制度，增强职工风险意识，提高事故自救能力，制定和强化各种安全管理、安全生产的规程，减少人为风险事故（如误操作）的发生；制订发生事故时迅速撤离泄漏污染区人员至安全区的方案，设立避难所。</w:t>
      </w:r>
    </w:p>
    <w:p w14:paraId="4F2CCA10">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14:textFill>
            <w14:solidFill>
              <w14:schemeClr w14:val="tx1"/>
            </w14:solidFill>
          </w14:textFill>
        </w:rPr>
        <w:t>）泄露事故的防范措施</w:t>
      </w:r>
    </w:p>
    <w:p w14:paraId="70040DEF">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1）万一发生危害性事故，应立即通知有关部门，组织附近居民、工厂工人疏散、抢险和应急监测等善后处理事宜。</w:t>
      </w:r>
    </w:p>
    <w:p w14:paraId="42A9F47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）在厂区内醒目处应设置大型风标，并根据周边环境敏感点的分布情况，制定每个方向的疏散路线，便于情况紧急时批示撤离方向，平时需制定抢险预案。</w:t>
      </w:r>
    </w:p>
    <w:p w14:paraId="7AC9D16B">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）应急处理时严禁单独行动，要有监护人，必要时用水枪、水炮掩护。</w:t>
      </w:r>
      <w:bookmarkStart w:id="198" w:name="_Hlk60239382"/>
    </w:p>
    <w:p w14:paraId="6F2C9167">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）环保设施事故排放的防范措施</w:t>
      </w:r>
    </w:p>
    <w:p w14:paraId="23B0DC3D">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为避免项目废气事故排放时对周围环境空气质量造成严重影响，对废气净化系统应定期检修、保养。废气处理设施应设相应的备用风机，一旦发生事故，立即启用备用设备并及抢修。</w:t>
      </w:r>
    </w:p>
    <w:p w14:paraId="37EBDFC8">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14:textFill>
            <w14:solidFill>
              <w14:schemeClr w14:val="tx1"/>
            </w14:solidFill>
          </w14:textFill>
        </w:rPr>
        <w:t>）加强安全管理和人员培训措施</w:t>
      </w:r>
    </w:p>
    <w:p w14:paraId="03D57288">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企业应针对本工程实际情况，设立相应的安全管理机构，建立有效的安全管理条例、制度和规定，并且要不断改进和提高管理水平，严防操作事故的发生。加强全厂干部、职工的风险意识和环境意识教育，增强安全、环境意识。</w:t>
      </w:r>
    </w:p>
    <w:p w14:paraId="20D66EDE">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建立并强化岗位责任制，严格各项操作规程和奖惩制度，除设置专门环保机构外，各生产单位都要设专人具体负责本单位的安全和环保问题，对易发事故的各生产环节必须经常检查，杜绝事故隐患，发现问题及时处置并立即向有关部门报告。</w:t>
      </w:r>
    </w:p>
    <w:p w14:paraId="3A8C7FE2">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3）加强企业相关人员的安全环境保护相关知识的培训工作，定期、定向、定点的对企业各工作岗位和安全管理人员开展安全和环境保护防护的相关知识培训工作。使得员工掌握相关的安全和环境防护技能。</w:t>
      </w:r>
    </w:p>
    <w:p w14:paraId="00196187">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4）企业应按照国家相应要求，进行各阶段的安全评价，并按照安全评价报告的要求，进行积极的安全管理。</w:t>
      </w:r>
    </w:p>
    <w:p w14:paraId="055F5EC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5）设立专门的人员从事生产安全方面的技术研究工作，主要包括对拟建工程生产中的各个环节、设备可能发生事故的原因进行监测分析并对预防事故的技术措施进行研究，不断加以完善。对于安全技术措施要进行经常性的检查和维护；各种设备中与生产安全密切相关的容易损坏的部件要得到经常性的维修和更换，以免造成煤气等危险、有害物质泄漏。在有火灾、爆炸危险的场所修理设备时，严禁带入火种，并应采用摩擦碰撞时不产生火花的工具和物品。</w:t>
      </w:r>
      <w:bookmarkEnd w:id="198"/>
    </w:p>
    <w:p w14:paraId="7E08672E">
      <w:pPr>
        <w:spacing w:line="360" w:lineRule="auto"/>
        <w:ind w:firstLine="480"/>
        <w:rPr>
          <w:rFonts w:hint="default" w:ascii="Times New Roman" w:hAnsi="Times New Roman" w:eastAsia="宋体" w:cs="Times New Roman"/>
          <w:color w:val="000000" w:themeColor="text1"/>
          <w:spacing w:val="-4"/>
          <w:sz w:val="24"/>
          <w:szCs w:val="24"/>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w:t>
      </w:r>
      <w:r>
        <w:rPr>
          <w:rFonts w:hint="default" w:ascii="Times New Roman" w:hAnsi="Times New Roman" w:eastAsia="Times New Roman" w:cs="Times New Roman"/>
          <w:color w:val="000000" w:themeColor="text1"/>
          <w:spacing w:val="-4"/>
          <w:sz w:val="24"/>
          <w:szCs w:val="24"/>
          <w14:textFill>
            <w14:solidFill>
              <w14:schemeClr w14:val="tx1"/>
            </w14:solidFill>
          </w14:textFill>
        </w:rPr>
        <w:t>7</w:t>
      </w:r>
      <w:r>
        <w:rPr>
          <w:rFonts w:hint="default" w:ascii="Times New Roman" w:hAnsi="Times New Roman" w:eastAsia="宋体" w:cs="Times New Roman"/>
          <w:color w:val="000000" w:themeColor="text1"/>
          <w:spacing w:val="-4"/>
          <w:sz w:val="24"/>
          <w:szCs w:val="24"/>
          <w14:textFill>
            <w14:solidFill>
              <w14:schemeClr w14:val="tx1"/>
            </w14:solidFill>
          </w14:textFill>
        </w:rPr>
        <w:t>）设置事故应急池</w:t>
      </w:r>
    </w:p>
    <w:p w14:paraId="0A54C627">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为了防止事故状况下的污染区泄漏对地表水体造成污染，设计中应设计防止事故污染物向地表水水体转移的事故水储存设施，具体如下：</w:t>
      </w:r>
    </w:p>
    <w:p w14:paraId="23D68158">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建设单位应建设一定容积的事故水池，以接纳事故情况下排放的污水，保证事故情况下不向外环境排放污水。应急事故废水最大量的确定采用公式法计算，具体算法如下：</w:t>
      </w:r>
    </w:p>
    <w:p w14:paraId="10F0FF49">
      <w:pPr>
        <w:spacing w:line="360" w:lineRule="auto"/>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color w:val="000000" w:themeColor="text1"/>
          <w14:textFill>
            <w14:solidFill>
              <w14:schemeClr w14:val="tx1"/>
            </w14:solidFill>
          </w14:textFill>
        </w:rPr>
        <w:drawing>
          <wp:inline distT="0" distB="0" distL="114300" distR="114300">
            <wp:extent cx="1866900" cy="238125"/>
            <wp:effectExtent l="0" t="0" r="0" b="8255"/>
            <wp:docPr id="1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3"/>
                    <pic:cNvPicPr>
                      <a:picLocks noChangeAspect="1"/>
                    </pic:cNvPicPr>
                  </pic:nvPicPr>
                  <pic:blipFill>
                    <a:blip r:embed="rId74"/>
                    <a:stretch>
                      <a:fillRect/>
                    </a:stretch>
                  </pic:blipFill>
                  <pic:spPr>
                    <a:xfrm>
                      <a:off x="0" y="0"/>
                      <a:ext cx="1866900" cy="238125"/>
                    </a:xfrm>
                    <a:prstGeom prst="rect">
                      <a:avLst/>
                    </a:prstGeom>
                    <a:noFill/>
                    <a:ln>
                      <a:noFill/>
                    </a:ln>
                  </pic:spPr>
                </pic:pic>
              </a:graphicData>
            </a:graphic>
          </wp:inline>
        </w:drawing>
      </w:r>
    </w:p>
    <w:p w14:paraId="74A8E131">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式中： V</w:t>
      </w:r>
      <w:r>
        <w:rPr>
          <w:rFonts w:hint="default" w:ascii="Times New Roman" w:hAnsi="Times New Roman" w:eastAsia="宋体" w:cs="Times New Roman"/>
          <w:color w:val="000000" w:themeColor="text1"/>
          <w:sz w:val="24"/>
          <w:szCs w:val="24"/>
          <w:vertAlign w:val="subscript"/>
          <w14:textFill>
            <w14:solidFill>
              <w14:schemeClr w14:val="tx1"/>
            </w14:solidFill>
          </w14:textFill>
        </w:rPr>
        <w:t>1</w:t>
      </w:r>
      <w:r>
        <w:rPr>
          <w:rFonts w:hint="default" w:ascii="Times New Roman" w:hAnsi="Times New Roman" w:eastAsia="宋体" w:cs="Times New Roman"/>
          <w:color w:val="000000" w:themeColor="text1"/>
          <w:sz w:val="24"/>
          <w:szCs w:val="24"/>
          <w14:textFill>
            <w14:solidFill>
              <w14:schemeClr w14:val="tx1"/>
            </w14:solidFill>
          </w14:textFill>
        </w:rPr>
        <w:t>——收集系统范围内发生事故的一个罐组或一套装置的物料量。本项目不涉及储罐储存物料，V</w:t>
      </w:r>
      <w:r>
        <w:rPr>
          <w:rFonts w:hint="default" w:ascii="Times New Roman" w:hAnsi="Times New Roman" w:eastAsia="宋体" w:cs="Times New Roman"/>
          <w:color w:val="000000" w:themeColor="text1"/>
          <w:sz w:val="24"/>
          <w:szCs w:val="24"/>
          <w:vertAlign w:val="subscript"/>
          <w14:textFill>
            <w14:solidFill>
              <w14:schemeClr w14:val="tx1"/>
            </w14:solidFill>
          </w14:textFill>
        </w:rPr>
        <w:t>1</w:t>
      </w:r>
      <w:r>
        <w:rPr>
          <w:rFonts w:hint="eastAsia" w:ascii="Times New Roman" w:hAnsi="Times New Roman" w:eastAsia="宋体" w:cs="Times New Roman"/>
          <w:color w:val="000000" w:themeColor="text1"/>
          <w:sz w:val="24"/>
          <w:szCs w:val="24"/>
          <w:lang w:eastAsia="zh-CN"/>
          <w14:textFill>
            <w14:solidFill>
              <w14:schemeClr w14:val="tx1"/>
            </w14:solidFill>
          </w14:textFill>
        </w:rPr>
        <w:t>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0</w:t>
      </w:r>
      <w:r>
        <w:rPr>
          <w:rFonts w:hint="default" w:ascii="Times New Roman" w:hAnsi="Times New Roman" w:eastAsia="宋体" w:cs="Times New Roman"/>
          <w:color w:val="000000" w:themeColor="text1"/>
          <w:sz w:val="24"/>
          <w:szCs w:val="24"/>
          <w14:textFill>
            <w14:solidFill>
              <w14:schemeClr w14:val="tx1"/>
            </w14:solidFill>
          </w14:textFill>
        </w:rPr>
        <w:t>；</w:t>
      </w:r>
    </w:p>
    <w:p w14:paraId="7FF52E3E">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V</w:t>
      </w:r>
      <w:r>
        <w:rPr>
          <w:rFonts w:hint="default" w:ascii="Times New Roman" w:hAnsi="Times New Roman" w:eastAsia="宋体" w:cs="Times New Roman"/>
          <w:color w:val="000000" w:themeColor="text1"/>
          <w:sz w:val="24"/>
          <w:szCs w:val="24"/>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——发生事故的消防水量，m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w:t>
      </w:r>
    </w:p>
    <w:p w14:paraId="43C8786B">
      <w:pPr>
        <w:keepNext w:val="0"/>
        <w:keepLines w:val="0"/>
        <w:pageBreakBefore w:val="0"/>
        <w:kinsoku/>
        <w:wordWrap/>
        <w:overflowPunct/>
        <w:topLinePunct w:val="0"/>
        <w:bidi w:val="0"/>
        <w:spacing w:line="360" w:lineRule="auto"/>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V</w:t>
      </w:r>
      <w:r>
        <w:rPr>
          <w:rFonts w:hint="default" w:ascii="Times New Roman" w:hAnsi="Times New Roman" w:eastAsia="宋体" w:cs="Times New Roman"/>
          <w:color w:val="000000" w:themeColor="text1"/>
          <w:sz w:val="24"/>
          <w:szCs w:val="24"/>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=∑(Q消t消）</w:t>
      </w:r>
    </w:p>
    <w:p w14:paraId="05D2A2CB">
      <w:pPr>
        <w:keepNext w:val="0"/>
        <w:keepLines w:val="0"/>
        <w:pageBreakBefore w:val="0"/>
        <w:kinsoku/>
        <w:wordWrap/>
        <w:overflowPunct/>
        <w:topLinePunct w:val="0"/>
        <w:bidi w:val="0"/>
        <w:spacing w:line="360" w:lineRule="auto"/>
        <w:ind w:firstLine="480"/>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Q</w:t>
      </w:r>
      <w:r>
        <w:rPr>
          <w:rFonts w:hint="default" w:ascii="Times New Roman" w:hAnsi="Times New Roman" w:eastAsia="宋体" w:cs="Times New Roman"/>
          <w:color w:val="000000" w:themeColor="text1"/>
          <w:sz w:val="24"/>
          <w:szCs w:val="24"/>
          <w:vertAlign w:val="subscript"/>
          <w14:textFill>
            <w14:solidFill>
              <w14:schemeClr w14:val="tx1"/>
            </w14:solidFill>
          </w14:textFill>
        </w:rPr>
        <w:t>消</w:t>
      </w:r>
      <w:r>
        <w:rPr>
          <w:rFonts w:hint="default" w:ascii="Times New Roman" w:hAnsi="Times New Roman" w:eastAsia="宋体" w:cs="Times New Roman"/>
          <w:color w:val="000000" w:themeColor="text1"/>
          <w:sz w:val="24"/>
          <w:szCs w:val="24"/>
          <w14:textFill>
            <w14:solidFill>
              <w14:schemeClr w14:val="tx1"/>
            </w14:solidFill>
          </w14:textFill>
        </w:rPr>
        <w:t>——发生事故的同时使用的消防设施给水流量，m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/h；</w:t>
      </w:r>
    </w:p>
    <w:p w14:paraId="479EB9F2">
      <w:pPr>
        <w:keepNext w:val="0"/>
        <w:keepLines w:val="0"/>
        <w:pageBreakBefore w:val="0"/>
        <w:kinsoku/>
        <w:wordWrap/>
        <w:overflowPunct/>
        <w:topLinePunct w:val="0"/>
        <w:bidi w:val="0"/>
        <w:spacing w:line="360" w:lineRule="auto"/>
        <w:ind w:firstLine="480"/>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t</w:t>
      </w:r>
      <w:r>
        <w:rPr>
          <w:rFonts w:hint="default" w:ascii="Times New Roman" w:hAnsi="Times New Roman" w:eastAsia="宋体" w:cs="Times New Roman"/>
          <w:color w:val="000000" w:themeColor="text1"/>
          <w:sz w:val="24"/>
          <w:szCs w:val="24"/>
          <w:vertAlign w:val="subscript"/>
          <w14:textFill>
            <w14:solidFill>
              <w14:schemeClr w14:val="tx1"/>
            </w14:solidFill>
          </w14:textFill>
        </w:rPr>
        <w:t>消</w:t>
      </w:r>
      <w:r>
        <w:rPr>
          <w:rFonts w:hint="default" w:ascii="Times New Roman" w:hAnsi="Times New Roman" w:eastAsia="宋体" w:cs="Times New Roman"/>
          <w:color w:val="000000" w:themeColor="text1"/>
          <w:sz w:val="24"/>
          <w:szCs w:val="24"/>
          <w14:textFill>
            <w14:solidFill>
              <w14:schemeClr w14:val="tx1"/>
            </w14:solidFill>
          </w14:textFill>
        </w:rPr>
        <w:t>——消防设施对应的设计消防历时，h；</w:t>
      </w:r>
    </w:p>
    <w:p w14:paraId="500CD6B9">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根据《建筑设计防火规范》中的相关要求，同一时间内的火灾次数1处，丙类厂房按照消防水量</w:t>
      </w:r>
      <w:r>
        <w:rPr>
          <w:rFonts w:hint="eastAsia"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0L/s，火灾持续时间为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14:textFill>
            <w14:solidFill>
              <w14:schemeClr w14:val="tx1"/>
            </w14:solidFill>
          </w14:textFill>
        </w:rPr>
        <w:t>h计算，设计消防用水量为</w:t>
      </w:r>
      <w:r>
        <w:rPr>
          <w:rFonts w:hint="eastAsia" w:cs="Times New Roman"/>
          <w:color w:val="000000" w:themeColor="text1"/>
          <w:sz w:val="24"/>
          <w:szCs w:val="24"/>
          <w:lang w:val="en-US" w:eastAsia="zh-CN"/>
          <w14:textFill>
            <w14:solidFill>
              <w14:schemeClr w14:val="tx1"/>
            </w14:solidFill>
          </w14:textFill>
        </w:rPr>
        <w:t>72</w:t>
      </w:r>
      <w:r>
        <w:rPr>
          <w:rFonts w:hint="default" w:ascii="Times New Roman" w:hAnsi="Times New Roman" w:eastAsia="宋体" w:cs="Times New Roman"/>
          <w:color w:val="000000" w:themeColor="text1"/>
          <w:sz w:val="24"/>
          <w:szCs w:val="24"/>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/次。</w:t>
      </w:r>
    </w:p>
    <w:p w14:paraId="4B4918D0">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V</w:t>
      </w:r>
      <w:r>
        <w:rPr>
          <w:rFonts w:hint="default" w:ascii="Times New Roman" w:hAnsi="Times New Roman" w:eastAsia="宋体" w:cs="Times New Roman"/>
          <w:color w:val="000000" w:themeColor="text1"/>
          <w:sz w:val="24"/>
          <w:szCs w:val="24"/>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——发生事故时可以传输到其他储存或处理设施的物料量，m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，取0；</w:t>
      </w:r>
    </w:p>
    <w:p w14:paraId="4B39DF01">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V</w:t>
      </w:r>
      <w:r>
        <w:rPr>
          <w:rFonts w:hint="default" w:ascii="Times New Roman" w:hAnsi="Times New Roman" w:eastAsia="宋体" w:cs="Times New Roman"/>
          <w:color w:val="000000" w:themeColor="text1"/>
          <w:sz w:val="24"/>
          <w:szCs w:val="24"/>
          <w:vertAlign w:val="subscript"/>
          <w14:textFill>
            <w14:solidFill>
              <w14:schemeClr w14:val="tx1"/>
            </w14:solidFill>
          </w14:textFill>
        </w:rPr>
        <w:t>4</w:t>
      </w:r>
      <w:r>
        <w:rPr>
          <w:rFonts w:hint="default" w:ascii="Times New Roman" w:hAnsi="Times New Roman" w:eastAsia="宋体" w:cs="Times New Roman"/>
          <w:color w:val="000000" w:themeColor="text1"/>
          <w:sz w:val="24"/>
          <w:szCs w:val="24"/>
          <w14:textFill>
            <w14:solidFill>
              <w14:schemeClr w14:val="tx1"/>
            </w14:solidFill>
          </w14:textFill>
        </w:rPr>
        <w:t>——发生事故时仍必须进入该收集系统的生产废水量，m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，厂内生产废水进入独立的收集池，取0；</w:t>
      </w:r>
    </w:p>
    <w:p w14:paraId="6247E3CC">
      <w:pPr>
        <w:keepNext w:val="0"/>
        <w:keepLines w:val="0"/>
        <w:pageBreakBefore w:val="0"/>
        <w:kinsoku/>
        <w:wordWrap/>
        <w:overflowPunct/>
        <w:topLinePunct w:val="0"/>
        <w:bidi w:val="0"/>
        <w:spacing w:line="360" w:lineRule="auto"/>
        <w:ind w:firstLine="480"/>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V</w:t>
      </w:r>
      <w:r>
        <w:rPr>
          <w:rFonts w:hint="default" w:ascii="Times New Roman" w:hAnsi="Times New Roman" w:eastAsia="宋体" w:cs="Times New Roman"/>
          <w:color w:val="000000" w:themeColor="text1"/>
          <w:sz w:val="24"/>
          <w:szCs w:val="24"/>
          <w:vertAlign w:val="subscript"/>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——发生事故时可能进入该收集系统的降雨量，m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；本项目不涉及露天布置的装置和储罐区。</w:t>
      </w:r>
    </w:p>
    <w:p w14:paraId="4529A1DB">
      <w:pPr>
        <w:keepNext w:val="0"/>
        <w:keepLines w:val="0"/>
        <w:pageBreakBefore w:val="0"/>
        <w:kinsoku/>
        <w:wordWrap/>
        <w:overflowPunct/>
        <w:topLinePunct w:val="0"/>
        <w:bidi w:val="0"/>
        <w:spacing w:line="360" w:lineRule="auto"/>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V</w:t>
      </w:r>
      <w:r>
        <w:rPr>
          <w:rFonts w:hint="default" w:ascii="Times New Roman" w:hAnsi="Times New Roman" w:eastAsia="宋体" w:cs="Times New Roman"/>
          <w:color w:val="000000" w:themeColor="text1"/>
          <w:sz w:val="24"/>
          <w:szCs w:val="24"/>
          <w:vertAlign w:val="subscript"/>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=10qF.</w:t>
      </w:r>
    </w:p>
    <w:p w14:paraId="7BFDD647">
      <w:pPr>
        <w:keepNext w:val="0"/>
        <w:keepLines w:val="0"/>
        <w:pageBreakBefore w:val="0"/>
        <w:kinsoku/>
        <w:wordWrap/>
        <w:overflowPunct/>
        <w:topLinePunct w:val="0"/>
        <w:autoSpaceDE w:val="0"/>
        <w:autoSpaceDN w:val="0"/>
        <w:bidi w:val="0"/>
        <w:adjustRightInd w:val="0"/>
        <w:spacing w:line="360" w:lineRule="auto"/>
        <w:ind w:firstLine="480"/>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式中：q—降雨强度，mm；按平均日降雨量：q=qa/n；</w:t>
      </w:r>
    </w:p>
    <w:p w14:paraId="42D99AF7">
      <w:pPr>
        <w:keepNext w:val="0"/>
        <w:keepLines w:val="0"/>
        <w:pageBreakBefore w:val="0"/>
        <w:kinsoku/>
        <w:wordWrap/>
        <w:overflowPunct/>
        <w:topLinePunct w:val="0"/>
        <w:bidi w:val="0"/>
        <w:adjustRightInd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qa—年平均降雨量，mm，</w:t>
      </w:r>
      <w:r>
        <w:rPr>
          <w:rFonts w:hint="eastAsia" w:ascii="Times New Roman" w:hAnsi="Times New Roman" w:eastAsia="宋体" w:cs="Times New Roman"/>
          <w:color w:val="000000" w:themeColor="text1"/>
          <w:sz w:val="24"/>
          <w:szCs w:val="24"/>
          <w:lang w:eastAsia="zh-CN"/>
          <w14:textFill>
            <w14:solidFill>
              <w14:schemeClr w14:val="tx1"/>
            </w14:solidFill>
          </w14:textFill>
        </w:rPr>
        <w:t>淮南</w:t>
      </w:r>
      <w:r>
        <w:rPr>
          <w:rFonts w:hint="default" w:ascii="Times New Roman" w:hAnsi="Times New Roman" w:eastAsia="宋体" w:cs="Times New Roman"/>
          <w:color w:val="000000" w:themeColor="text1"/>
          <w:sz w:val="24"/>
          <w:szCs w:val="24"/>
          <w14:textFill>
            <w14:solidFill>
              <w14:schemeClr w14:val="tx1"/>
            </w14:solidFill>
          </w14:textFill>
        </w:rPr>
        <w:t>市常年平均降雨量</w:t>
      </w:r>
      <w:r>
        <w:rPr>
          <w:rFonts w:hint="eastAsia" w:cs="Times New Roman"/>
          <w:color w:val="000000" w:themeColor="text1"/>
          <w:sz w:val="24"/>
          <w:szCs w:val="24"/>
          <w:lang w:val="en-US" w:eastAsia="zh-CN"/>
          <w14:textFill>
            <w14:solidFill>
              <w14:schemeClr w14:val="tx1"/>
            </w14:solidFill>
          </w14:textFill>
        </w:rPr>
        <w:t>949.3</w:t>
      </w:r>
      <w:r>
        <w:rPr>
          <w:rFonts w:hint="default" w:ascii="Times New Roman" w:hAnsi="Times New Roman" w:eastAsia="宋体" w:cs="Times New Roman"/>
          <w:color w:val="000000" w:themeColor="text1"/>
          <w:sz w:val="24"/>
          <w:szCs w:val="24"/>
          <w14:textFill>
            <w14:solidFill>
              <w14:schemeClr w14:val="tx1"/>
            </w14:solidFill>
          </w14:textFill>
        </w:rPr>
        <w:t>mm；n—年平均降雨系数，取1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6，则q为</w:t>
      </w:r>
      <w:r>
        <w:rPr>
          <w:rFonts w:hint="eastAsia" w:cs="Times New Roman"/>
          <w:color w:val="000000" w:themeColor="text1"/>
          <w:sz w:val="24"/>
          <w:szCs w:val="24"/>
          <w:lang w:val="en-US" w:eastAsia="zh-CN"/>
          <w14:textFill>
            <w14:solidFill>
              <w14:schemeClr w14:val="tx1"/>
            </w14:solidFill>
          </w14:textFill>
        </w:rPr>
        <w:t>7.53</w:t>
      </w:r>
      <w:r>
        <w:rPr>
          <w:rFonts w:hint="default" w:ascii="Times New Roman" w:hAnsi="Times New Roman" w:eastAsia="宋体" w:cs="Times New Roman"/>
          <w:color w:val="000000" w:themeColor="text1"/>
          <w:sz w:val="24"/>
          <w:szCs w:val="24"/>
          <w14:textFill>
            <w14:solidFill>
              <w14:schemeClr w14:val="tx1"/>
            </w14:solidFill>
          </w14:textFill>
        </w:rPr>
        <w:t>。</w:t>
      </w:r>
    </w:p>
    <w:p w14:paraId="363F7FB6">
      <w:pPr>
        <w:keepNext w:val="0"/>
        <w:keepLines w:val="0"/>
        <w:pageBreakBefore w:val="0"/>
        <w:kinsoku/>
        <w:wordWrap/>
        <w:overflowPunct/>
        <w:topLinePunct w:val="0"/>
        <w:bidi w:val="0"/>
        <w:adjustRightInd w:val="0"/>
        <w:spacing w:line="360" w:lineRule="auto"/>
        <w:ind w:firstLine="590" w:firstLineChars="25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F—生产区雨水汇水面积，hm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。根据平面布置，本厂区生产车间雨水汇水面积</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96</w:t>
      </w:r>
      <w:r>
        <w:rPr>
          <w:rFonts w:hint="default" w:ascii="Times New Roman" w:hAnsi="Times New Roman" w:eastAsia="宋体" w:cs="Times New Roman"/>
          <w:color w:val="000000" w:themeColor="text1"/>
          <w:sz w:val="24"/>
          <w:szCs w:val="24"/>
          <w14:textFill>
            <w14:solidFill>
              <w14:schemeClr w14:val="tx1"/>
            </w14:solidFill>
          </w14:textFill>
        </w:rPr>
        <w:t>00平方米，即0.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96</w:t>
      </w:r>
      <w:r>
        <w:rPr>
          <w:rFonts w:hint="default" w:ascii="Times New Roman" w:hAnsi="Times New Roman" w:eastAsia="宋体" w:cs="Times New Roman"/>
          <w:color w:val="000000" w:themeColor="text1"/>
          <w:sz w:val="24"/>
          <w:szCs w:val="24"/>
          <w14:textFill>
            <w14:solidFill>
              <w14:schemeClr w14:val="tx1"/>
            </w14:solidFill>
          </w14:textFill>
        </w:rPr>
        <w:t>hm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w:t>
      </w:r>
    </w:p>
    <w:p w14:paraId="7A6B7C06">
      <w:pPr>
        <w:keepNext w:val="0"/>
        <w:keepLines w:val="0"/>
        <w:pageBreakBefore w:val="0"/>
        <w:kinsoku/>
        <w:wordWrap/>
        <w:overflowPunct/>
        <w:topLinePunct w:val="0"/>
        <w:bidi w:val="0"/>
        <w:spacing w:line="360" w:lineRule="auto"/>
        <w:ind w:firstLine="48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V</w:t>
      </w:r>
      <w:r>
        <w:rPr>
          <w:rFonts w:hint="default" w:ascii="Times New Roman" w:hAnsi="Times New Roman" w:eastAsia="宋体" w:cs="Times New Roman"/>
          <w:color w:val="000000" w:themeColor="text1"/>
          <w:sz w:val="24"/>
          <w:szCs w:val="24"/>
          <w:vertAlign w:val="subscript"/>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=10qF=10*</w:t>
      </w:r>
      <w:r>
        <w:rPr>
          <w:rFonts w:hint="eastAsia" w:cs="Times New Roman"/>
          <w:color w:val="000000" w:themeColor="text1"/>
          <w:sz w:val="24"/>
          <w:szCs w:val="24"/>
          <w:lang w:val="en-US" w:eastAsia="zh-CN"/>
          <w14:textFill>
            <w14:solidFill>
              <w14:schemeClr w14:val="tx1"/>
            </w14:solidFill>
          </w14:textFill>
        </w:rPr>
        <w:t>7.53</w:t>
      </w:r>
      <w:r>
        <w:rPr>
          <w:rFonts w:hint="default" w:ascii="Times New Roman" w:hAnsi="Times New Roman" w:eastAsia="宋体" w:cs="Times New Roman"/>
          <w:color w:val="000000" w:themeColor="text1"/>
          <w:sz w:val="24"/>
          <w:szCs w:val="24"/>
          <w14:textFill>
            <w14:solidFill>
              <w14:schemeClr w14:val="tx1"/>
            </w14:solidFill>
          </w14:textFill>
        </w:rPr>
        <w:t>*0.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96</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72.29</w:t>
      </w:r>
      <w:r>
        <w:rPr>
          <w:rFonts w:hint="default" w:ascii="Times New Roman" w:hAnsi="Times New Roman" w:eastAsia="宋体" w:cs="Times New Roman"/>
          <w:color w:val="000000" w:themeColor="text1"/>
          <w:sz w:val="24"/>
          <w:szCs w:val="24"/>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w:t>
      </w:r>
    </w:p>
    <w:p w14:paraId="45F161D8">
      <w:pPr>
        <w:keepNext w:val="0"/>
        <w:keepLines w:val="0"/>
        <w:pageBreakBefore w:val="0"/>
        <w:kinsoku/>
        <w:wordWrap/>
        <w:overflowPunct/>
        <w:topLinePunct w:val="0"/>
        <w:bidi w:val="0"/>
        <w:spacing w:line="360" w:lineRule="auto"/>
        <w:ind w:firstLine="480"/>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通过以上基础数据，可以算出本项目事故水池容积约为：</w:t>
      </w:r>
    </w:p>
    <w:p w14:paraId="2CB97820">
      <w:pPr>
        <w:spacing w:line="360" w:lineRule="auto"/>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V</w:t>
      </w:r>
      <w:r>
        <w:rPr>
          <w:rFonts w:hint="default" w:ascii="Times New Roman" w:hAnsi="Times New Roman" w:eastAsia="宋体" w:cs="Times New Roman"/>
          <w:color w:val="000000" w:themeColor="text1"/>
          <w:sz w:val="24"/>
          <w:szCs w:val="24"/>
          <w:vertAlign w:val="subscript"/>
          <w14:textFill>
            <w14:solidFill>
              <w14:schemeClr w14:val="tx1"/>
            </w14:solidFill>
          </w14:textFill>
        </w:rPr>
        <w:t>总</w:t>
      </w:r>
      <w:r>
        <w:rPr>
          <w:rFonts w:hint="default" w:ascii="Times New Roman" w:hAnsi="Times New Roman" w:eastAsia="宋体" w:cs="Times New Roman"/>
          <w:color w:val="000000" w:themeColor="text1"/>
          <w:sz w:val="24"/>
          <w:szCs w:val="24"/>
          <w14:textFill>
            <w14:solidFill>
              <w14:schemeClr w14:val="tx1"/>
            </w14:solidFill>
          </w14:textFill>
        </w:rPr>
        <w:t>=（V</w:t>
      </w:r>
      <w:r>
        <w:rPr>
          <w:rFonts w:hint="default" w:ascii="Times New Roman" w:hAnsi="Times New Roman" w:eastAsia="宋体" w:cs="Times New Roman"/>
          <w:color w:val="000000" w:themeColor="text1"/>
          <w:sz w:val="24"/>
          <w:szCs w:val="24"/>
          <w:vertAlign w:val="subscript"/>
          <w14:textFill>
            <w14:solidFill>
              <w14:schemeClr w14:val="tx1"/>
            </w14:solidFill>
          </w14:textFill>
        </w:rPr>
        <w:t>1</w:t>
      </w:r>
      <w:r>
        <w:rPr>
          <w:rFonts w:hint="default" w:ascii="Times New Roman" w:hAnsi="Times New Roman" w:eastAsia="宋体" w:cs="Times New Roman"/>
          <w:color w:val="000000" w:themeColor="text1"/>
          <w:sz w:val="24"/>
          <w:szCs w:val="24"/>
          <w14:textFill>
            <w14:solidFill>
              <w14:schemeClr w14:val="tx1"/>
            </w14:solidFill>
          </w14:textFill>
        </w:rPr>
        <w:t>+V</w:t>
      </w:r>
      <w:r>
        <w:rPr>
          <w:rFonts w:hint="default" w:ascii="Times New Roman" w:hAnsi="Times New Roman" w:eastAsia="宋体" w:cs="Times New Roman"/>
          <w:color w:val="000000" w:themeColor="text1"/>
          <w:sz w:val="24"/>
          <w:szCs w:val="24"/>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-V</w:t>
      </w:r>
      <w:r>
        <w:rPr>
          <w:rFonts w:hint="default" w:ascii="Times New Roman" w:hAnsi="Times New Roman" w:eastAsia="宋体" w:cs="Times New Roman"/>
          <w:color w:val="000000" w:themeColor="text1"/>
          <w:sz w:val="24"/>
          <w:szCs w:val="24"/>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）+V</w:t>
      </w:r>
      <w:r>
        <w:rPr>
          <w:rFonts w:hint="default" w:ascii="Times New Roman" w:hAnsi="Times New Roman" w:eastAsia="宋体" w:cs="Times New Roman"/>
          <w:color w:val="000000" w:themeColor="text1"/>
          <w:sz w:val="24"/>
          <w:szCs w:val="24"/>
          <w:vertAlign w:val="subscript"/>
          <w14:textFill>
            <w14:solidFill>
              <w14:schemeClr w14:val="tx1"/>
            </w14:solidFill>
          </w14:textFill>
        </w:rPr>
        <w:t>4</w:t>
      </w:r>
      <w:r>
        <w:rPr>
          <w:rFonts w:hint="default" w:ascii="Times New Roman" w:hAnsi="Times New Roman" w:eastAsia="宋体" w:cs="Times New Roman"/>
          <w:color w:val="000000" w:themeColor="text1"/>
          <w:sz w:val="24"/>
          <w:szCs w:val="24"/>
          <w14:textFill>
            <w14:solidFill>
              <w14:schemeClr w14:val="tx1"/>
            </w14:solidFill>
          </w14:textFill>
        </w:rPr>
        <w:t>+V</w:t>
      </w:r>
      <w:r>
        <w:rPr>
          <w:rFonts w:hint="default" w:ascii="Times New Roman" w:hAnsi="Times New Roman" w:eastAsia="宋体" w:cs="Times New Roman"/>
          <w:color w:val="000000" w:themeColor="text1"/>
          <w:sz w:val="24"/>
          <w:szCs w:val="24"/>
          <w:vertAlign w:val="subscript"/>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0</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72</w:t>
      </w:r>
      <w:r>
        <w:rPr>
          <w:rFonts w:hint="default" w:ascii="Times New Roman" w:hAnsi="Times New Roman" w:eastAsia="宋体" w:cs="Times New Roman"/>
          <w:color w:val="000000" w:themeColor="text1"/>
          <w:sz w:val="24"/>
          <w:szCs w:val="24"/>
          <w14:textFill>
            <w14:solidFill>
              <w14:schemeClr w14:val="tx1"/>
            </w14:solidFill>
          </w14:textFill>
        </w:rPr>
        <w:t>-0）+0+</w:t>
      </w:r>
      <w:r>
        <w:rPr>
          <w:rFonts w:hint="eastAsia" w:cs="Times New Roman"/>
          <w:color w:val="000000" w:themeColor="text1"/>
          <w:sz w:val="24"/>
          <w:szCs w:val="24"/>
          <w:lang w:val="en-US" w:eastAsia="zh-CN"/>
          <w14:textFill>
            <w14:solidFill>
              <w14:schemeClr w14:val="tx1"/>
            </w14:solidFill>
          </w14:textFill>
        </w:rPr>
        <w:t>72.29</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144.29</w:t>
      </w:r>
      <w:r>
        <w:rPr>
          <w:rFonts w:hint="default" w:ascii="Times New Roman" w:hAnsi="Times New Roman" w:eastAsia="宋体" w:cs="Times New Roman"/>
          <w:color w:val="000000" w:themeColor="text1"/>
          <w:sz w:val="24"/>
          <w:szCs w:val="24"/>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p>
    <w:p w14:paraId="6A60AA8D">
      <w:pPr>
        <w:spacing w:line="360" w:lineRule="auto"/>
        <w:ind w:firstLine="472"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根据计算结果，本项目应急事故废水最大量为</w:t>
      </w:r>
      <w:r>
        <w:rPr>
          <w:rFonts w:hint="eastAsia" w:cs="Times New Roman"/>
          <w:color w:val="000000" w:themeColor="text1"/>
          <w:sz w:val="24"/>
          <w:szCs w:val="24"/>
          <w:lang w:val="en-US" w:eastAsia="zh-CN"/>
          <w14:textFill>
            <w14:solidFill>
              <w14:schemeClr w14:val="tx1"/>
            </w14:solidFill>
          </w14:textFill>
        </w:rPr>
        <w:t>144.29</w:t>
      </w:r>
      <w:r>
        <w:rPr>
          <w:rFonts w:hint="default" w:ascii="Times New Roman" w:hAnsi="Times New Roman" w:eastAsia="宋体" w:cs="Times New Roman"/>
          <w:color w:val="000000" w:themeColor="text1"/>
          <w:sz w:val="24"/>
          <w:szCs w:val="24"/>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，即本项目应急事故水池的容积不应小于1</w:t>
      </w:r>
      <w:r>
        <w:rPr>
          <w:rFonts w:hint="eastAsia" w:cs="Times New Roman"/>
          <w:color w:val="000000" w:themeColor="text1"/>
          <w:sz w:val="24"/>
          <w:szCs w:val="24"/>
          <w:lang w:val="en-US" w:eastAsia="zh-CN"/>
          <w14:textFill>
            <w14:solidFill>
              <w14:schemeClr w14:val="tx1"/>
            </w14:solidFill>
          </w14:textFill>
        </w:rPr>
        <w:t>45</w:t>
      </w:r>
      <w:r>
        <w:rPr>
          <w:rFonts w:hint="default" w:ascii="Times New Roman" w:hAnsi="Times New Roman" w:eastAsia="宋体" w:cs="Times New Roman"/>
          <w:color w:val="000000" w:themeColor="text1"/>
          <w:sz w:val="24"/>
          <w:szCs w:val="24"/>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。厂区拟在地势最低处设置一个容积为</w:t>
      </w:r>
      <w:r>
        <w:rPr>
          <w:rFonts w:hint="eastAsia" w:cs="Times New Roman"/>
          <w:color w:val="000000" w:themeColor="text1"/>
          <w:sz w:val="24"/>
          <w:szCs w:val="24"/>
          <w:lang w:val="en-US" w:eastAsia="zh-CN"/>
          <w14:textFill>
            <w14:solidFill>
              <w14:schemeClr w14:val="tx1"/>
            </w14:solidFill>
          </w14:textFill>
        </w:rPr>
        <w:t>145</w:t>
      </w:r>
      <w:r>
        <w:rPr>
          <w:rFonts w:hint="default" w:ascii="Times New Roman" w:hAnsi="Times New Roman" w:eastAsia="宋体" w:cs="Times New Roman"/>
          <w:color w:val="000000" w:themeColor="text1"/>
          <w:sz w:val="24"/>
          <w:szCs w:val="24"/>
          <w14:textFill>
            <w14:solidFill>
              <w14:schemeClr w14:val="tx1"/>
            </w14:solidFill>
          </w14:textFill>
        </w:rPr>
        <w:t>m</w:t>
      </w:r>
      <w:r>
        <w:rPr>
          <w:rFonts w:hint="eastAsia"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的事故水池，确保能够满足本项目事故废水应急的需要，且在正常生产时应为空的，一旦出现危险物质泄漏或火灾事故，泄漏的物料及消防水全部经明沟排入预留事故废水收集池临时储存，保证事故废水不会进入周围水体，待事故排除后再将暂存的废水回收利用或委托有处置能力的单位处理达标排放，确保事故废水不会对水环境造成污染。事故废水收集池建设的同时，确保各车间的配套收集管网建设，确保废水收集率100%。</w:t>
      </w:r>
    </w:p>
    <w:p w14:paraId="3891F79E">
      <w:pPr>
        <w:spacing w:line="360" w:lineRule="auto"/>
        <w:ind w:firstLine="472" w:firstLineChars="200"/>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为防止消防废水等从雨水排口直接排出，在排水管网（雨水管网、污水管网）全部设置切断装置，必要时立即切断所有排水管网（雨水管网、污水管网），严防未经处理的事故废水外排。</w:t>
      </w:r>
    </w:p>
    <w:p w14:paraId="2189E970">
      <w:pPr>
        <w:spacing w:line="360" w:lineRule="auto"/>
        <w:ind w:firstLine="480"/>
        <w:rPr>
          <w:rFonts w:hint="default" w:ascii="Times New Roman" w:hAnsi="Times New Roman" w:eastAsia="黑体" w:cs="Times New Roman"/>
          <w:b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黑体" w:cs="Times New Roman"/>
          <w:color w:val="000000" w:themeColor="text1"/>
          <w:sz w:val="24"/>
          <w:szCs w:val="24"/>
          <w:lang w:val="en-US" w:eastAsia="zh-CN"/>
          <w14:textFill>
            <w14:solidFill>
              <w14:schemeClr w14:val="tx1"/>
            </w14:solidFill>
          </w14:textFill>
        </w:rPr>
        <w:t>5.8.6</w:t>
      </w:r>
      <w:r>
        <w:rPr>
          <w:rFonts w:hint="default" w:ascii="Times New Roman" w:hAnsi="Times New Roman" w:eastAsia="黑体" w:cs="Times New Roman"/>
          <w:b w:val="0"/>
          <w:color w:val="000000" w:themeColor="text1"/>
          <w:kern w:val="2"/>
          <w:sz w:val="24"/>
          <w:szCs w:val="24"/>
          <w:lang w:val="en-US" w:eastAsia="zh-CN" w:bidi="ar-SA"/>
          <w14:textFill>
            <w14:solidFill>
              <w14:schemeClr w14:val="tx1"/>
            </w14:solidFill>
          </w14:textFill>
        </w:rPr>
        <w:t>突发环境事件风险应急预案</w:t>
      </w:r>
    </w:p>
    <w:p w14:paraId="7D64B19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企业应制定完备的应急预案以应对突发的事故，并根据厂区运营情况及时更新，根据风险评价导则，应急预案应包括以下内容：</w:t>
      </w:r>
    </w:p>
    <w:p w14:paraId="384DEC57">
      <w:pPr>
        <w:pStyle w:val="4098"/>
        <w:spacing w:line="360" w:lineRule="auto"/>
        <w:ind w:firstLine="0" w:firstLineChars="0"/>
        <w:jc w:val="center"/>
        <w:rPr>
          <w:rFonts w:hint="default" w:ascii="Times New Roman" w:hAnsi="Times New Roman" w:eastAsia="黑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4"/>
          <w:szCs w:val="24"/>
          <w:lang w:val="en-US" w:eastAsia="zh-CN" w:bidi="ar-SA"/>
          <w14:textFill>
            <w14:solidFill>
              <w14:schemeClr w14:val="tx1"/>
            </w14:solidFill>
          </w14:textFill>
        </w:rPr>
        <w:t>表5.8-6 突发事故应急预案</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5"/>
        <w:gridCol w:w="1742"/>
        <w:gridCol w:w="6115"/>
      </w:tblGrid>
      <w:tr w14:paraId="069BB4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 w:type="pct"/>
            <w:tcBorders>
              <w:tl2br w:val="nil"/>
              <w:tr2bl w:val="nil"/>
            </w:tcBorders>
            <w:vAlign w:val="center"/>
          </w:tcPr>
          <w:p w14:paraId="585C5240">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序号</w:t>
            </w:r>
          </w:p>
        </w:tc>
        <w:tc>
          <w:tcPr>
            <w:tcW w:w="1022" w:type="pct"/>
            <w:tcBorders>
              <w:tl2br w:val="nil"/>
              <w:tr2bl w:val="nil"/>
            </w:tcBorders>
            <w:vAlign w:val="center"/>
          </w:tcPr>
          <w:p w14:paraId="63B9318F">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项目</w:t>
            </w:r>
          </w:p>
        </w:tc>
        <w:tc>
          <w:tcPr>
            <w:tcW w:w="3588" w:type="pct"/>
            <w:tcBorders>
              <w:tl2br w:val="nil"/>
              <w:tr2bl w:val="nil"/>
            </w:tcBorders>
            <w:vAlign w:val="center"/>
          </w:tcPr>
          <w:p w14:paraId="15D69455">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内容及要求</w:t>
            </w:r>
          </w:p>
        </w:tc>
      </w:tr>
      <w:tr w14:paraId="5670B5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 w:type="pct"/>
            <w:tcBorders>
              <w:tl2br w:val="nil"/>
              <w:tr2bl w:val="nil"/>
            </w:tcBorders>
            <w:vAlign w:val="center"/>
          </w:tcPr>
          <w:p w14:paraId="63B49520">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w:t>
            </w:r>
          </w:p>
        </w:tc>
        <w:tc>
          <w:tcPr>
            <w:tcW w:w="1022" w:type="pct"/>
            <w:tcBorders>
              <w:tl2br w:val="nil"/>
              <w:tr2bl w:val="nil"/>
            </w:tcBorders>
            <w:vAlign w:val="center"/>
          </w:tcPr>
          <w:p w14:paraId="142ECC2F">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危险源概况</w:t>
            </w:r>
          </w:p>
        </w:tc>
        <w:tc>
          <w:tcPr>
            <w:tcW w:w="3588" w:type="pct"/>
            <w:tcBorders>
              <w:tl2br w:val="nil"/>
              <w:tr2bl w:val="nil"/>
            </w:tcBorders>
            <w:vAlign w:val="center"/>
          </w:tcPr>
          <w:p w14:paraId="7D98CD2C">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危险源类型、数量及其分布</w:t>
            </w:r>
          </w:p>
        </w:tc>
      </w:tr>
      <w:tr w14:paraId="587B7B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 w:type="pct"/>
            <w:tcBorders>
              <w:tl2br w:val="nil"/>
              <w:tr2bl w:val="nil"/>
            </w:tcBorders>
            <w:vAlign w:val="center"/>
          </w:tcPr>
          <w:p w14:paraId="7FDB6643">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2</w:t>
            </w:r>
          </w:p>
        </w:tc>
        <w:tc>
          <w:tcPr>
            <w:tcW w:w="1022" w:type="pct"/>
            <w:tcBorders>
              <w:tl2br w:val="nil"/>
              <w:tr2bl w:val="nil"/>
            </w:tcBorders>
            <w:vAlign w:val="center"/>
          </w:tcPr>
          <w:p w14:paraId="24B0D3E3">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应急计划区</w:t>
            </w:r>
          </w:p>
        </w:tc>
        <w:tc>
          <w:tcPr>
            <w:tcW w:w="3588" w:type="pct"/>
            <w:tcBorders>
              <w:tl2br w:val="nil"/>
              <w:tr2bl w:val="nil"/>
            </w:tcBorders>
            <w:vAlign w:val="center"/>
          </w:tcPr>
          <w:p w14:paraId="775E52C7">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生产区、仓库、邻区</w:t>
            </w:r>
          </w:p>
        </w:tc>
      </w:tr>
      <w:tr w14:paraId="3C0450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 w:type="pct"/>
            <w:tcBorders>
              <w:tl2br w:val="nil"/>
              <w:tr2bl w:val="nil"/>
            </w:tcBorders>
            <w:vAlign w:val="center"/>
          </w:tcPr>
          <w:p w14:paraId="2A5391F1">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3</w:t>
            </w:r>
          </w:p>
        </w:tc>
        <w:tc>
          <w:tcPr>
            <w:tcW w:w="1022" w:type="pct"/>
            <w:tcBorders>
              <w:tl2br w:val="nil"/>
              <w:tr2bl w:val="nil"/>
            </w:tcBorders>
            <w:vAlign w:val="center"/>
          </w:tcPr>
          <w:p w14:paraId="78514F8C">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应急组织</w:t>
            </w:r>
          </w:p>
        </w:tc>
        <w:tc>
          <w:tcPr>
            <w:tcW w:w="3588" w:type="pct"/>
            <w:tcBorders>
              <w:tl2br w:val="nil"/>
              <w:tr2bl w:val="nil"/>
            </w:tcBorders>
            <w:vAlign w:val="center"/>
          </w:tcPr>
          <w:p w14:paraId="3A993D23">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公司项目区：</w:t>
            </w:r>
          </w:p>
          <w:p w14:paraId="0228523E">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项目指挥部-一负责全面指挥</w:t>
            </w:r>
          </w:p>
          <w:p w14:paraId="2460C5EA">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专业求援队伍――负责事故控制、救援、善后处理</w:t>
            </w:r>
          </w:p>
          <w:p w14:paraId="41435F9B">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地区指挥部――负责项目附近地区全面指挥、救援、管制和疏散</w:t>
            </w:r>
          </w:p>
          <w:p w14:paraId="3BD0A00A">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专业救援队伍――负责对厂专业救援队伍的支援</w:t>
            </w:r>
          </w:p>
        </w:tc>
      </w:tr>
      <w:tr w14:paraId="6B730C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 w:type="pct"/>
            <w:tcBorders>
              <w:tl2br w:val="nil"/>
              <w:tr2bl w:val="nil"/>
            </w:tcBorders>
            <w:vAlign w:val="center"/>
          </w:tcPr>
          <w:p w14:paraId="0F6BA2ED">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4</w:t>
            </w:r>
          </w:p>
        </w:tc>
        <w:tc>
          <w:tcPr>
            <w:tcW w:w="1022" w:type="pct"/>
            <w:tcBorders>
              <w:tl2br w:val="nil"/>
              <w:tr2bl w:val="nil"/>
            </w:tcBorders>
            <w:vAlign w:val="center"/>
          </w:tcPr>
          <w:p w14:paraId="53EC05CA">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应急状态分类及应急响应程序</w:t>
            </w:r>
          </w:p>
        </w:tc>
        <w:tc>
          <w:tcPr>
            <w:tcW w:w="3588" w:type="pct"/>
            <w:tcBorders>
              <w:tl2br w:val="nil"/>
              <w:tr2bl w:val="nil"/>
            </w:tcBorders>
            <w:vAlign w:val="center"/>
          </w:tcPr>
          <w:p w14:paraId="26DE4204">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规定事故的级别及相应的应急分类相应程序</w:t>
            </w:r>
          </w:p>
        </w:tc>
      </w:tr>
      <w:tr w14:paraId="1BA0BD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 w:type="pct"/>
            <w:tcBorders>
              <w:tl2br w:val="nil"/>
              <w:tr2bl w:val="nil"/>
            </w:tcBorders>
            <w:vAlign w:val="center"/>
          </w:tcPr>
          <w:p w14:paraId="6795D607">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5</w:t>
            </w:r>
          </w:p>
        </w:tc>
        <w:tc>
          <w:tcPr>
            <w:tcW w:w="1022" w:type="pct"/>
            <w:tcBorders>
              <w:tl2br w:val="nil"/>
              <w:tr2bl w:val="nil"/>
            </w:tcBorders>
            <w:vAlign w:val="center"/>
          </w:tcPr>
          <w:p w14:paraId="6616527B">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应急设施、设备及材料</w:t>
            </w:r>
          </w:p>
        </w:tc>
        <w:tc>
          <w:tcPr>
            <w:tcW w:w="3588" w:type="pct"/>
            <w:tcBorders>
              <w:tl2br w:val="nil"/>
              <w:tr2bl w:val="nil"/>
            </w:tcBorders>
            <w:vAlign w:val="center"/>
          </w:tcPr>
          <w:p w14:paraId="7F34556C">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生产区：</w:t>
            </w:r>
          </w:p>
          <w:p w14:paraId="26E3FA3A">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（1）防火灾、爆炸事故应急设施、设备、材料，主要为消防器材</w:t>
            </w:r>
          </w:p>
          <w:p w14:paraId="00FAFDD4">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（2）防有废气事故性排放</w:t>
            </w:r>
          </w:p>
          <w:p w14:paraId="49616324">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仓库：</w:t>
            </w:r>
          </w:p>
          <w:p w14:paraId="04628CF6">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（3）防火灾、爆炸事故应急设施、设备与材料，主要为消防器材</w:t>
            </w:r>
          </w:p>
        </w:tc>
      </w:tr>
      <w:tr w14:paraId="1E1115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 w:type="pct"/>
            <w:tcBorders>
              <w:tl2br w:val="nil"/>
              <w:tr2bl w:val="nil"/>
            </w:tcBorders>
            <w:vAlign w:val="center"/>
          </w:tcPr>
          <w:p w14:paraId="6A929A44">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6</w:t>
            </w:r>
          </w:p>
        </w:tc>
        <w:tc>
          <w:tcPr>
            <w:tcW w:w="1022" w:type="pct"/>
            <w:tcBorders>
              <w:tl2br w:val="nil"/>
              <w:tr2bl w:val="nil"/>
            </w:tcBorders>
            <w:vAlign w:val="center"/>
          </w:tcPr>
          <w:p w14:paraId="57ADEEE7">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应急通讯、通知和交通</w:t>
            </w:r>
          </w:p>
        </w:tc>
        <w:tc>
          <w:tcPr>
            <w:tcW w:w="3588" w:type="pct"/>
            <w:tcBorders>
              <w:tl2br w:val="nil"/>
              <w:tr2bl w:val="nil"/>
            </w:tcBorders>
            <w:vAlign w:val="center"/>
          </w:tcPr>
          <w:p w14:paraId="6E097287">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规定应急状态下的通讯方式，通知方式和交通保障、管制</w:t>
            </w:r>
          </w:p>
        </w:tc>
      </w:tr>
      <w:tr w14:paraId="594CEF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 w:type="pct"/>
            <w:tcBorders>
              <w:tl2br w:val="nil"/>
              <w:tr2bl w:val="nil"/>
            </w:tcBorders>
            <w:vAlign w:val="center"/>
          </w:tcPr>
          <w:p w14:paraId="7E9E3488">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7</w:t>
            </w:r>
          </w:p>
        </w:tc>
        <w:tc>
          <w:tcPr>
            <w:tcW w:w="1022" w:type="pct"/>
            <w:tcBorders>
              <w:tl2br w:val="nil"/>
              <w:tr2bl w:val="nil"/>
            </w:tcBorders>
            <w:vAlign w:val="center"/>
          </w:tcPr>
          <w:p w14:paraId="7AC3B42E">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应急环境监测及事故后评估</w:t>
            </w:r>
          </w:p>
        </w:tc>
        <w:tc>
          <w:tcPr>
            <w:tcW w:w="3588" w:type="pct"/>
            <w:tcBorders>
              <w:tl2br w:val="nil"/>
              <w:tr2bl w:val="nil"/>
            </w:tcBorders>
            <w:vAlign w:val="center"/>
          </w:tcPr>
          <w:p w14:paraId="0539D90B">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由专业队伍负责对事故现场进行侦察监测，对事故性质、参数与后果进行评估，为指挥部门提供决策依据</w:t>
            </w:r>
          </w:p>
        </w:tc>
      </w:tr>
      <w:tr w14:paraId="3A3DE1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 w:type="pct"/>
            <w:tcBorders>
              <w:tl2br w:val="nil"/>
              <w:tr2bl w:val="nil"/>
            </w:tcBorders>
            <w:vAlign w:val="center"/>
          </w:tcPr>
          <w:p w14:paraId="29390705">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8</w:t>
            </w:r>
          </w:p>
        </w:tc>
        <w:tc>
          <w:tcPr>
            <w:tcW w:w="1022" w:type="pct"/>
            <w:tcBorders>
              <w:tl2br w:val="nil"/>
              <w:tr2bl w:val="nil"/>
            </w:tcBorders>
            <w:vAlign w:val="center"/>
          </w:tcPr>
          <w:p w14:paraId="75712990">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应急防护措施、消除泄漏措施方法和器材</w:t>
            </w:r>
          </w:p>
        </w:tc>
        <w:tc>
          <w:tcPr>
            <w:tcW w:w="3588" w:type="pct"/>
            <w:tcBorders>
              <w:tl2br w:val="nil"/>
              <w:tr2bl w:val="nil"/>
            </w:tcBorders>
            <w:vAlign w:val="center"/>
          </w:tcPr>
          <w:p w14:paraId="0123AAB7">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事故现场：控制事故、防治扩大、漫延及连锁反应。消除现场泄漏，降低危害，相应的设施器材配备</w:t>
            </w:r>
          </w:p>
          <w:p w14:paraId="173B0F41">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临近区域：控制防火区域，控制和清除污染措施及相应设备配备</w:t>
            </w:r>
          </w:p>
        </w:tc>
      </w:tr>
      <w:tr w14:paraId="2EDDD3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 w:type="pct"/>
            <w:tcBorders>
              <w:tl2br w:val="nil"/>
              <w:tr2bl w:val="nil"/>
            </w:tcBorders>
            <w:vAlign w:val="center"/>
          </w:tcPr>
          <w:p w14:paraId="54F6C729">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9</w:t>
            </w:r>
          </w:p>
        </w:tc>
        <w:tc>
          <w:tcPr>
            <w:tcW w:w="1022" w:type="pct"/>
            <w:tcBorders>
              <w:tl2br w:val="nil"/>
              <w:tr2bl w:val="nil"/>
            </w:tcBorders>
            <w:vAlign w:val="center"/>
          </w:tcPr>
          <w:p w14:paraId="423C2978">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应急剂量控制、撤离组织计划、医疗救护与公众健康</w:t>
            </w:r>
          </w:p>
        </w:tc>
        <w:tc>
          <w:tcPr>
            <w:tcW w:w="3588" w:type="pct"/>
            <w:tcBorders>
              <w:tl2br w:val="nil"/>
              <w:tr2bl w:val="nil"/>
            </w:tcBorders>
            <w:vAlign w:val="center"/>
          </w:tcPr>
          <w:p w14:paraId="4A163AF2">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事故现场：事故处理人员对毒物的应急剂量控制制定，现场及临近装置人员撤离组织计划及救护。</w:t>
            </w:r>
          </w:p>
          <w:p w14:paraId="6E8253B0">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临近区：受事故影响的临近区域人员及公众对毒物应急剂量控制规定，撤离组织计划及救护</w:t>
            </w:r>
          </w:p>
        </w:tc>
      </w:tr>
      <w:tr w14:paraId="1B3828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 w:type="pct"/>
            <w:tcBorders>
              <w:tl2br w:val="nil"/>
              <w:tr2bl w:val="nil"/>
            </w:tcBorders>
            <w:vAlign w:val="center"/>
          </w:tcPr>
          <w:p w14:paraId="3647906E">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10</w:t>
            </w:r>
          </w:p>
        </w:tc>
        <w:tc>
          <w:tcPr>
            <w:tcW w:w="1022" w:type="pct"/>
            <w:tcBorders>
              <w:tl2br w:val="nil"/>
              <w:tr2bl w:val="nil"/>
            </w:tcBorders>
            <w:vAlign w:val="center"/>
          </w:tcPr>
          <w:p w14:paraId="7853D900">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应急状态终止与恢复措施</w:t>
            </w:r>
          </w:p>
        </w:tc>
        <w:tc>
          <w:tcPr>
            <w:tcW w:w="3588" w:type="pct"/>
            <w:tcBorders>
              <w:tl2br w:val="nil"/>
              <w:tr2bl w:val="nil"/>
            </w:tcBorders>
            <w:vAlign w:val="center"/>
          </w:tcPr>
          <w:p w14:paraId="07AE735A">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规定应急状态终止程序</w:t>
            </w:r>
          </w:p>
          <w:p w14:paraId="4FB7EEAB">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事故现场善后处理，恢复措施</w:t>
            </w:r>
          </w:p>
          <w:p w14:paraId="3800FC70">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临近区域解除事故警戒及善后恢复措施</w:t>
            </w:r>
          </w:p>
        </w:tc>
      </w:tr>
      <w:tr w14:paraId="75A791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 w:type="pct"/>
            <w:tcBorders>
              <w:tl2br w:val="nil"/>
              <w:tr2bl w:val="nil"/>
            </w:tcBorders>
            <w:vAlign w:val="center"/>
          </w:tcPr>
          <w:p w14:paraId="67DF4DEE">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11</w:t>
            </w:r>
          </w:p>
        </w:tc>
        <w:tc>
          <w:tcPr>
            <w:tcW w:w="1022" w:type="pct"/>
            <w:tcBorders>
              <w:tl2br w:val="nil"/>
              <w:tr2bl w:val="nil"/>
            </w:tcBorders>
            <w:vAlign w:val="center"/>
          </w:tcPr>
          <w:p w14:paraId="574F2C0C">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人员培训与演练</w:t>
            </w:r>
          </w:p>
        </w:tc>
        <w:tc>
          <w:tcPr>
            <w:tcW w:w="3588" w:type="pct"/>
            <w:tcBorders>
              <w:tl2br w:val="nil"/>
              <w:tr2bl w:val="nil"/>
            </w:tcBorders>
            <w:vAlign w:val="center"/>
          </w:tcPr>
          <w:p w14:paraId="63223B8F">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应急计划制定后，平时安排人员培训与演练</w:t>
            </w:r>
          </w:p>
        </w:tc>
      </w:tr>
      <w:tr w14:paraId="054E86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 w:type="pct"/>
            <w:tcBorders>
              <w:tl2br w:val="nil"/>
              <w:tr2bl w:val="nil"/>
            </w:tcBorders>
            <w:vAlign w:val="center"/>
          </w:tcPr>
          <w:p w14:paraId="5DC81CE2">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12</w:t>
            </w:r>
          </w:p>
        </w:tc>
        <w:tc>
          <w:tcPr>
            <w:tcW w:w="1022" w:type="pct"/>
            <w:tcBorders>
              <w:tl2br w:val="nil"/>
              <w:tr2bl w:val="nil"/>
            </w:tcBorders>
            <w:vAlign w:val="center"/>
          </w:tcPr>
          <w:p w14:paraId="36A75B10">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公众教育和信息</w:t>
            </w:r>
          </w:p>
        </w:tc>
        <w:tc>
          <w:tcPr>
            <w:tcW w:w="3588" w:type="pct"/>
            <w:tcBorders>
              <w:tl2br w:val="nil"/>
              <w:tr2bl w:val="nil"/>
            </w:tcBorders>
            <w:vAlign w:val="center"/>
          </w:tcPr>
          <w:p w14:paraId="19840279">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对公司邻近地区开展公众教育、培训和发布有关信息</w:t>
            </w:r>
          </w:p>
        </w:tc>
      </w:tr>
      <w:tr w14:paraId="1A44D7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 w:type="pct"/>
            <w:tcBorders>
              <w:tl2br w:val="nil"/>
              <w:tr2bl w:val="nil"/>
            </w:tcBorders>
            <w:vAlign w:val="center"/>
          </w:tcPr>
          <w:p w14:paraId="76DF1B34">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13</w:t>
            </w:r>
          </w:p>
        </w:tc>
        <w:tc>
          <w:tcPr>
            <w:tcW w:w="1022" w:type="pct"/>
            <w:tcBorders>
              <w:tl2br w:val="nil"/>
              <w:tr2bl w:val="nil"/>
            </w:tcBorders>
            <w:vAlign w:val="center"/>
          </w:tcPr>
          <w:p w14:paraId="2DCF4779">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记录和数据</w:t>
            </w:r>
          </w:p>
        </w:tc>
        <w:tc>
          <w:tcPr>
            <w:tcW w:w="3588" w:type="pct"/>
            <w:tcBorders>
              <w:tl2br w:val="nil"/>
              <w:tr2bl w:val="nil"/>
            </w:tcBorders>
            <w:vAlign w:val="center"/>
          </w:tcPr>
          <w:p w14:paraId="0A43E6ED">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设置事故专门记录，建档案和专门报告制度，设专门部门和负责管理</w:t>
            </w:r>
          </w:p>
        </w:tc>
      </w:tr>
      <w:tr w14:paraId="686907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 w:type="pct"/>
            <w:tcBorders>
              <w:tl2br w:val="nil"/>
              <w:tr2bl w:val="nil"/>
            </w:tcBorders>
            <w:vAlign w:val="center"/>
          </w:tcPr>
          <w:p w14:paraId="2D455738">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14</w:t>
            </w:r>
          </w:p>
        </w:tc>
        <w:tc>
          <w:tcPr>
            <w:tcW w:w="1022" w:type="pct"/>
            <w:tcBorders>
              <w:tl2br w:val="nil"/>
              <w:tr2bl w:val="nil"/>
            </w:tcBorders>
            <w:vAlign w:val="center"/>
          </w:tcPr>
          <w:p w14:paraId="7CCF83AB">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附件</w:t>
            </w:r>
          </w:p>
        </w:tc>
        <w:tc>
          <w:tcPr>
            <w:tcW w:w="3588" w:type="pct"/>
            <w:tcBorders>
              <w:tl2br w:val="nil"/>
              <w:tr2bl w:val="nil"/>
            </w:tcBorders>
            <w:vAlign w:val="center"/>
          </w:tcPr>
          <w:p w14:paraId="21C416C8">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与应急事故有关的多种附件材料的准备和形成。</w:t>
            </w:r>
          </w:p>
        </w:tc>
      </w:tr>
    </w:tbl>
    <w:p w14:paraId="4C732247">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1、应急组织机构、人员</w:t>
      </w:r>
    </w:p>
    <w:p w14:paraId="58421507">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企业在建设期间应组建“事故应急救援队伍”，在企业应急指挥小组的统一领导下，编为综合协调组、抢险救灾组、后勤物资保障组及医疗救助组四个行动小组。</w:t>
      </w:r>
    </w:p>
    <w:p w14:paraId="556C761D">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在发生事故时，各应急小组按各自职责分工开展应急救援工作。通过平时的演习、训练，完善事故应急预案。各应急小组成员组成及其主要职责如下：</w:t>
      </w:r>
    </w:p>
    <w:p w14:paraId="55EE899E">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（1）应急指挥小组</w:t>
      </w:r>
    </w:p>
    <w:p w14:paraId="736A99FE">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应急指挥小组通常由企业总经理担任组长，生产车间主任等主要职能部门的中层干部担任小组成员。应急指挥小组主要职责如下：</w:t>
      </w:r>
    </w:p>
    <w:p w14:paraId="6696642B">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①第一时间接警，根据事故情况下达启动应急预案指令，同时向园区相关职能管理部门上报事故发生情况，请求监测部门介入；</w:t>
      </w:r>
    </w:p>
    <w:p w14:paraId="049841F8">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②负责制订环境污染事故的应急方案并组织现场实施；</w:t>
      </w:r>
    </w:p>
    <w:p w14:paraId="7BC83EBA">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③制定应急演习工作计划、开展相关人员培训；</w:t>
      </w:r>
    </w:p>
    <w:p w14:paraId="0420A8E9">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④接受开发区的环境污染事故应急处理指挥部的指令。</w:t>
      </w:r>
    </w:p>
    <w:p w14:paraId="5928E336">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（2）综合协调小组</w:t>
      </w:r>
    </w:p>
    <w:p w14:paraId="501324C1">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由安全环保科长担任小组长，安全环保科成员及厂办主要成员担任小组成员。主要职责如下：</w:t>
      </w:r>
    </w:p>
    <w:p w14:paraId="60740E20">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①主要负责配合专业监测人员开展事故现场调查取证；调查分析主要污染物种类、污染程度和范围，对周边人群的影响，及时分析事故影响及应疏散的范围；</w:t>
      </w:r>
    </w:p>
    <w:p w14:paraId="70F22AB3">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②承担与开发区的应急指挥机构的联系工作，及时将事故发生情况及最新进展向有关部门汇报，并将上级指挥机构的命令及时向应急指挥小组汇报：</w:t>
      </w:r>
    </w:p>
    <w:p w14:paraId="4FD73FFD">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③进行环境污染事故经济损失评估，并对应急预案进行及时总结，协助领导小组完成事故应急预案的修改或完善工作；</w:t>
      </w:r>
    </w:p>
    <w:p w14:paraId="2A8DA17F">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④负责编制环境污染事故报告，并将事故报告向上级部门汇报。</w:t>
      </w:r>
    </w:p>
    <w:p w14:paraId="4F3B99BC">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（3）抢险救灾小组</w:t>
      </w:r>
    </w:p>
    <w:p w14:paraId="744416AF">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组建多个应急抢险组，如生产车间</w:t>
      </w:r>
      <w:r>
        <w:rPr>
          <w:rFonts w:hint="default" w:ascii="Times New Roman" w:hAnsi="Times New Roman" w:eastAsia="宋体" w:cs="Times New Roman"/>
          <w:color w:val="000000" w:themeColor="text1"/>
          <w:sz w:val="24"/>
          <w:szCs w:val="24"/>
          <w:lang w:eastAsia="zh-CN"/>
          <w14:textFill>
            <w14:solidFill>
              <w14:schemeClr w14:val="tx1"/>
            </w14:solidFill>
          </w14:textFill>
        </w:rPr>
        <w:t>分区</w:t>
      </w:r>
      <w:r>
        <w:rPr>
          <w:rFonts w:hint="default" w:ascii="Times New Roman" w:hAnsi="Times New Roman" w:eastAsia="宋体" w:cs="Times New Roman"/>
          <w:color w:val="000000" w:themeColor="text1"/>
          <w:sz w:val="24"/>
          <w:szCs w:val="24"/>
          <w14:textFill>
            <w14:solidFill>
              <w14:schemeClr w14:val="tx1"/>
            </w14:solidFill>
          </w14:textFill>
        </w:rPr>
        <w:t>抢险组等。由各部门负责人担任组长，生产管理人员(装置班长、组长等)担任副组长，组织场内工程技术人员、生产岗位操作工人、安全管理人员，按分工组成多个抢险救灾小组。主要职责如下：</w:t>
      </w:r>
    </w:p>
    <w:p w14:paraId="02E648F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①在事故发生后，迅速派出人员进行抢险救灾，第一时间关闭泄漏源；</w:t>
      </w:r>
    </w:p>
    <w:p w14:paraId="466CFA03">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②负责在专业消防队伍来到之前，进行火灾预防和扑救，尽可能减少损失。在专业消防队来到后，按专业消防队的指挥员要求，配合进行工程抢险或火灾扑救。</w:t>
      </w:r>
    </w:p>
    <w:p w14:paraId="7A6BB478">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③事故后妥善处理现场，确保不造成继发或伴生环境影响，并尽快组织力量抢修场内的供电、供水等重要措施，尽快恢复功能。</w:t>
      </w:r>
    </w:p>
    <w:p w14:paraId="6A37A1C2">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（4）后勤保障小组</w:t>
      </w:r>
    </w:p>
    <w:p w14:paraId="78948DC3">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由厂内负责后勤管理副总经理担任组长，后勤管理人员、保安人员等组成后勤保障小组。主要职责如下：</w:t>
      </w:r>
    </w:p>
    <w:p w14:paraId="11A4121D">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①负责应急设施或装备的购置和妥善存放保管；</w:t>
      </w:r>
    </w:p>
    <w:p w14:paraId="5445746E">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在事故发生时及时将有关应急装备、安全防护品、现场应急处置材料等应急物资运送到事故现场；</w:t>
      </w:r>
    </w:p>
    <w:p w14:paraId="4DFD39E0">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②负责厂区内的治安警戒、职能管理和安全保卫工作，预防和打击违法犯罪活动，维护场内交通秩序；</w:t>
      </w:r>
    </w:p>
    <w:p w14:paraId="2D9D25CA">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③负责厂内车辆及装备的调度；</w:t>
      </w:r>
    </w:p>
    <w:p w14:paraId="156F2D2C">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（5）救援救护小组</w:t>
      </w:r>
    </w:p>
    <w:p w14:paraId="46A18579">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由总经理指令某副总经理担任组长，安全管理部门人员和工会主席担任副组长，组织厂医务室成员及相关人员编成救援救护小组。主要职责如下：</w:t>
      </w:r>
    </w:p>
    <w:p w14:paraId="06D577C6">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①负责事故现场的伤员转移、救助工作；</w:t>
      </w:r>
    </w:p>
    <w:p w14:paraId="19D8A89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②协助医疗救护部门将伤员护送到相关单位进行抢救和安置；</w:t>
      </w:r>
    </w:p>
    <w:p w14:paraId="79AEB53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③发生重大污染事故时，组织厂区及周边人员安全撤离现场；</w:t>
      </w:r>
    </w:p>
    <w:p w14:paraId="6C87051D">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④协助领导小组做好死难者的善后工作。</w:t>
      </w:r>
    </w:p>
    <w:p w14:paraId="0CCDD701">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2、应急预案分级响应程序</w:t>
      </w:r>
    </w:p>
    <w:p w14:paraId="4C2A4AEF">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（1）突发性事故分级</w:t>
      </w:r>
    </w:p>
    <w:p w14:paraId="5ECAA0D5">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各类突发性事故可按照可控性、严重程度、影响后果，分为四级：一般、较大、最大和特大突发事故。根据事故影响后果，并结合本项目周边环境状况，现将本项目突发性事故级别划分列于</w:t>
      </w:r>
      <w:r>
        <w:rPr>
          <w:rFonts w:hint="default" w:ascii="Times New Roman" w:hAnsi="Times New Roman" w:eastAsia="宋体" w:cs="Times New Roman"/>
          <w:color w:val="000000" w:themeColor="text1"/>
          <w:sz w:val="24"/>
          <w:szCs w:val="24"/>
          <w:lang w:eastAsia="zh-CN"/>
          <w14:textFill>
            <w14:solidFill>
              <w14:schemeClr w14:val="tx1"/>
            </w14:solidFill>
          </w14:textFill>
        </w:rPr>
        <w:t>下表</w:t>
      </w:r>
      <w:r>
        <w:rPr>
          <w:rFonts w:hint="default" w:ascii="Times New Roman" w:hAnsi="Times New Roman" w:eastAsia="宋体" w:cs="Times New Roman"/>
          <w:color w:val="000000" w:themeColor="text1"/>
          <w:sz w:val="24"/>
          <w:szCs w:val="24"/>
          <w14:textFill>
            <w14:solidFill>
              <w14:schemeClr w14:val="tx1"/>
            </w14:solidFill>
          </w14:textFill>
        </w:rPr>
        <w:t>。</w:t>
      </w:r>
    </w:p>
    <w:p w14:paraId="1BE6C978">
      <w:pPr>
        <w:pStyle w:val="4098"/>
        <w:spacing w:line="360" w:lineRule="auto"/>
        <w:ind w:firstLine="0" w:firstLineChars="0"/>
        <w:jc w:val="center"/>
        <w:rPr>
          <w:rFonts w:hint="default" w:ascii="Times New Roman" w:hAnsi="Times New Roman" w:eastAsia="黑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4"/>
          <w:szCs w:val="24"/>
          <w:lang w:val="en-US" w:eastAsia="zh-CN" w:bidi="ar-SA"/>
          <w14:textFill>
            <w14:solidFill>
              <w14:schemeClr w14:val="tx1"/>
            </w14:solidFill>
          </w14:textFill>
        </w:rPr>
        <w:t>表5.8-7  本项目突发性事故分级级别</w:t>
      </w:r>
    </w:p>
    <w:tbl>
      <w:tblPr>
        <w:tblStyle w:val="8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54"/>
        <w:gridCol w:w="6966"/>
      </w:tblGrid>
      <w:tr w14:paraId="603496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912" w:type="pct"/>
            <w:tcBorders>
              <w:tl2br w:val="nil"/>
              <w:tr2bl w:val="nil"/>
            </w:tcBorders>
            <w:vAlign w:val="center"/>
          </w:tcPr>
          <w:p w14:paraId="70754BCD">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事故级别</w:t>
            </w:r>
          </w:p>
        </w:tc>
        <w:tc>
          <w:tcPr>
            <w:tcW w:w="4087" w:type="pct"/>
            <w:tcBorders>
              <w:tl2br w:val="nil"/>
              <w:tr2bl w:val="nil"/>
            </w:tcBorders>
            <w:vAlign w:val="center"/>
          </w:tcPr>
          <w:p w14:paraId="7B9BA102">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事故影响后果</w:t>
            </w:r>
          </w:p>
        </w:tc>
      </w:tr>
      <w:tr w14:paraId="3C87B1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12" w:type="pct"/>
            <w:tcBorders>
              <w:tl2br w:val="nil"/>
              <w:tr2bl w:val="nil"/>
            </w:tcBorders>
            <w:vAlign w:val="center"/>
          </w:tcPr>
          <w:p w14:paraId="7C80C75D">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C级</w:t>
            </w:r>
          </w:p>
          <w:p w14:paraId="030A82B4">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(一般事故)</w:t>
            </w:r>
          </w:p>
        </w:tc>
        <w:tc>
          <w:tcPr>
            <w:tcW w:w="4087" w:type="pct"/>
            <w:tcBorders>
              <w:tl2br w:val="nil"/>
              <w:tr2bl w:val="nil"/>
            </w:tcBorders>
            <w:vAlign w:val="center"/>
          </w:tcPr>
          <w:p w14:paraId="5ED4345D">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对企业内人员安全造成较小危害或威胁的事故</w:t>
            </w:r>
          </w:p>
        </w:tc>
      </w:tr>
      <w:tr w14:paraId="3CC251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12" w:type="pct"/>
            <w:tcBorders>
              <w:tl2br w:val="nil"/>
              <w:tr2bl w:val="nil"/>
            </w:tcBorders>
            <w:vAlign w:val="center"/>
          </w:tcPr>
          <w:p w14:paraId="0E8E8D8A">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B级</w:t>
            </w:r>
          </w:p>
          <w:p w14:paraId="7A03D7A6">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(较大事故)</w:t>
            </w:r>
          </w:p>
        </w:tc>
        <w:tc>
          <w:tcPr>
            <w:tcW w:w="4087" w:type="pct"/>
            <w:tcBorders>
              <w:tl2br w:val="nil"/>
              <w:tr2bl w:val="nil"/>
            </w:tcBorders>
            <w:vAlign w:val="center"/>
          </w:tcPr>
          <w:p w14:paraId="7E25DFCD">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较大量的污染物进入环境，对企业生产安全和人员安全造成较大危害或威胁，可能造成人员伤亡、财产损失，并可能对相邻企业人员或生态环境造成损失。</w:t>
            </w:r>
          </w:p>
        </w:tc>
      </w:tr>
      <w:tr w14:paraId="149A98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12" w:type="pct"/>
            <w:tcBorders>
              <w:tl2br w:val="nil"/>
              <w:tr2bl w:val="nil"/>
            </w:tcBorders>
            <w:vAlign w:val="center"/>
          </w:tcPr>
          <w:p w14:paraId="2A6BF242">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A级</w:t>
            </w:r>
          </w:p>
          <w:p w14:paraId="56BFE655">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(重大事故)</w:t>
            </w:r>
          </w:p>
        </w:tc>
        <w:tc>
          <w:tcPr>
            <w:tcW w:w="4087" w:type="pct"/>
            <w:tcBorders>
              <w:tl2br w:val="nil"/>
              <w:tr2bl w:val="nil"/>
            </w:tcBorders>
            <w:vAlign w:val="center"/>
          </w:tcPr>
          <w:p w14:paraId="53029E5F">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较大量的污染物进入环境，其影响范围已经大大超出企业范围，造成企业重大生产安全危害，人员伤亡、财产损失，对环境产生事故性污染，并可能对园区其它企业人员或生态环境造成损失。</w:t>
            </w:r>
          </w:p>
        </w:tc>
      </w:tr>
    </w:tbl>
    <w:p w14:paraId="689048FF">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（2）预案分级响应条件</w:t>
      </w:r>
    </w:p>
    <w:p w14:paraId="0FDA9198">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根据以上本项目突发性事故级别划分，确定以下响应级别和条件：</w:t>
      </w:r>
    </w:p>
    <w:p w14:paraId="070A91AD">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A、一级预案启动条件</w:t>
      </w:r>
    </w:p>
    <w:p w14:paraId="0E964575">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一级预案为车间内事故预案，即发生的事故为废气异常排放，为C级一般事故，事故范围仅局限在车间范围内，对周边企业没有影响，只要启动此预案即能利用本单位应急救援力量制止事故。</w:t>
      </w:r>
    </w:p>
    <w:p w14:paraId="79A25E28">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B、二级预案启动条件</w:t>
      </w:r>
    </w:p>
    <w:p w14:paraId="4B06FF31">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二级预案是所发生的事故为车间内发生火灾事故，为B级较大事故，为此必须启动此预案，并迅速通知开发区管委会，在启动此预案的同时启动一级预案，不失时机地进行应急救援。</w:t>
      </w:r>
    </w:p>
    <w:p w14:paraId="38313B99">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C、三级预案启动条件</w:t>
      </w:r>
    </w:p>
    <w:p w14:paraId="7694846E">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三级预案是所发生的事故为废锂离子电池发生火灾爆炸事故并迅速波及2km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范围以上，并对环境敏感点居民造成危害时，为A级重大事故，需立即启动此预案，可立即拨打110或120，联动市政府请求立即派外部支援力量，同时出动消防车沿周边喊话，疏散居民。</w:t>
      </w:r>
    </w:p>
    <w:p w14:paraId="252B1D07">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公司应建立健全应急救援体系，配套相应器材物资外，并将其主要原料、设备等纳入开发区的总预案中。一旦拟建项目发生重大事故，依靠全社会的力量组织实施救援。</w:t>
      </w:r>
    </w:p>
    <w:p w14:paraId="25750951">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总而言之，本项目生产、贮运系统如果一旦出现突发事故，必须按事先已定的应急方案，进行紧急处理。建议建设方针对风险较大的事故，在相关部门的领导下每年至少进行一次应急演练，以增强应对风险的能力和提高风险防范意识和水平。</w:t>
      </w:r>
    </w:p>
    <w:p w14:paraId="48EB0072">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3、应急求援保障系统</w:t>
      </w:r>
    </w:p>
    <w:p w14:paraId="1C7E5058">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（1）内部保障系统</w:t>
      </w:r>
    </w:p>
    <w:p w14:paraId="43EDC29D">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①应急报警系统</w:t>
      </w:r>
    </w:p>
    <w:p w14:paraId="2C8DDB79">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根据相应设计规范，本装置内设置有火灾自动报警系统，感烟感温探测器，手动报警按钮，声光报警器，火灾警铃等，其信号送至中央控制可燃气体报警系统显示、报警。配备事故警铃，对讲机，调度电话。</w:t>
      </w:r>
    </w:p>
    <w:p w14:paraId="16E418EC">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②消防设施</w:t>
      </w:r>
    </w:p>
    <w:p w14:paraId="77C929A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本项目应在生产区、仓库配备有泡沫覆盖和消防灭火系统，其最小喷射量应可在5min内覆盖事故区域。泡沫覆盖用于管道泄漏时，以减少其挥发量和防止火灾事故发生，防止环境污染。</w:t>
      </w:r>
    </w:p>
    <w:p w14:paraId="1A9F4F6F">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消防给水采用稳高压系统，供水压力≥0.8MPa。消防给水系统在室外呈环状布置。泡沫消防系统在室外呈枝状布置。消防排水系统应接入</w:t>
      </w:r>
      <w:r>
        <w:rPr>
          <w:rFonts w:hint="default" w:ascii="Times New Roman" w:hAnsi="Times New Roman" w:eastAsia="宋体" w:cs="Times New Roman"/>
          <w:color w:val="000000" w:themeColor="text1"/>
          <w:sz w:val="24"/>
          <w:szCs w:val="24"/>
          <w:lang w:eastAsia="zh-CN"/>
          <w14:textFill>
            <w14:solidFill>
              <w14:schemeClr w14:val="tx1"/>
            </w14:solidFill>
          </w14:textFill>
        </w:rPr>
        <w:t>事故废水收集设施</w:t>
      </w:r>
      <w:r>
        <w:rPr>
          <w:rFonts w:hint="default" w:ascii="Times New Roman" w:hAnsi="Times New Roman" w:eastAsia="宋体" w:cs="Times New Roman"/>
          <w:color w:val="000000" w:themeColor="text1"/>
          <w:sz w:val="24"/>
          <w:szCs w:val="24"/>
          <w14:textFill>
            <w14:solidFill>
              <w14:schemeClr w14:val="tx1"/>
            </w14:solidFill>
          </w14:textFill>
        </w:rPr>
        <w:t>，防止进入清下水管网后直接外排影响厂区外的水体环境。</w:t>
      </w:r>
    </w:p>
    <w:p w14:paraId="1BF23A90">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③应急措施</w:t>
      </w:r>
    </w:p>
    <w:p w14:paraId="7DA716FC">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整个厂区的电信电缆线路包括扩音对讲电话线路和火灾自动报警系统线路，各系统的电缆均各自独立，自成系统。</w:t>
      </w:r>
    </w:p>
    <w:p w14:paraId="55F8FA7C">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④救援设备、物质及药品</w:t>
      </w:r>
    </w:p>
    <w:p w14:paraId="3A28FA0A">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配备齐全所需的个人防护设备，便于紧急情况下使用，在易发生事故的必要位置设置洗眼器及相应的药品。</w:t>
      </w:r>
    </w:p>
    <w:p w14:paraId="6BEA02BD">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⑤保障制度</w:t>
      </w:r>
    </w:p>
    <w:p w14:paraId="43619D7D">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整个厂区建立应急救援设备、物资维护和检修制度，由专人负责设备或物资的维护、定期检查与更新。</w:t>
      </w:r>
    </w:p>
    <w:p w14:paraId="36A74248">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（2）外部保障</w:t>
      </w:r>
    </w:p>
    <w:p w14:paraId="3E2C5783">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①单位互助体系：建设单位和周边企业将建立良好的应急互助关系，在重大事故发生后，能够相互支援。</w:t>
      </w:r>
    </w:p>
    <w:p w14:paraId="3276A790">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②公共援助力量：厂区应与消防支队、医院、公安、交通、安监局以及各相关职能部门，请求援助力量、设备的支持。</w:t>
      </w:r>
    </w:p>
    <w:p w14:paraId="7AFCFCAD">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4、报警、通讯联络方式</w:t>
      </w:r>
    </w:p>
    <w:p w14:paraId="6240795E">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（1）突发事故的报告时限和程序</w:t>
      </w:r>
    </w:p>
    <w:p w14:paraId="2F532F5F">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在突发环境污染事件后，厂内应急指挥小组应在10分钟内向全区应急处理办公室报告。如发生较大或较严重的突发环境污染事件，应同时向开发区环境事故应急处理指挥部报告。</w:t>
      </w:r>
    </w:p>
    <w:p w14:paraId="6B217848">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（2）突发事故的报告方式与内容</w:t>
      </w:r>
    </w:p>
    <w:p w14:paraId="03CDD707">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突发事故的报告方式分为初报、续报和处理结果报告三类：</w:t>
      </w:r>
    </w:p>
    <w:p w14:paraId="1940EA22">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①初报从发现事件起十五分钟内上报。初报可用电话或直接报告，主要内容包括：环境事件的类型、发生时间、地点、污染源、主要污染物质、人员受害情况、是否需疏散、以及疏散半径等情况。</w:t>
      </w:r>
    </w:p>
    <w:p w14:paraId="69A9E99B">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②续报在查清有关基本情况后随时上报。续报可通过电话、网络或书面报告，在初报的基础上报告有关确切数据，事情发生的原因、过程、进展情况及采取的应急措施等基本情况。</w:t>
      </w:r>
    </w:p>
    <w:p w14:paraId="4893A64A">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③处理结果报告在事件处理完毕后立即上报。处理结果报告采用书面报告，处理结果报告在初报和续报的基础上，报告处理事件的措施、过程和结果，事件潜在或间接的危害、社会影响、处理后的遗留问题，参加处理工作的有关部门和工作内容，出具有关危害与损失的证明文件等详细情况。</w:t>
      </w:r>
    </w:p>
    <w:p w14:paraId="09AD5BF2">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报告应采用适当方式，避免在当地群众中造成不利影响。各部门之间的信息交换按照相关规定程序执行。</w:t>
      </w:r>
    </w:p>
    <w:p w14:paraId="36F8F216">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（3）特殊情况的信息处理</w:t>
      </w:r>
    </w:p>
    <w:p w14:paraId="7F13CF0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如果环境污染事故的影响范围涉及到区域外时，必须立即形成信息报告连同预警信息报开发区。按照政府信息工作有关要求，通报相关省、市。</w:t>
      </w:r>
    </w:p>
    <w:p w14:paraId="1AE40712">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5、应急环境监测措施</w:t>
      </w:r>
    </w:p>
    <w:p w14:paraId="239B4B7F">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一旦发生事故，应联系专业监测人员立即开展应急现场监测，跟踪事故状态。针对本项目的具体特点，按不同事故类型，制定各类事故应急环境监测预案，包括污染源监测、厂界环境质量监测和厂外环境质量监测三类，满足事故应急监测的需求。</w:t>
      </w:r>
    </w:p>
    <w:p w14:paraId="3DB01FD8">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（1）废锂离子电池燃烧可能造成大气污染。</w:t>
      </w:r>
    </w:p>
    <w:p w14:paraId="284BDA5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大气监测点位：针对因火灾事故，大气污染监测主要考虑在发生事故的生产装置或仓库的最近厂界或上风向设对照点、事故装置的下风向厂界、下风向最近的敏感保护目标处各设置一个大气环境监测点。</w:t>
      </w:r>
    </w:p>
    <w:p w14:paraId="3B0F32F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大气监测因子：监测项目根据泄漏物料种类的不同而不同，可能包括：颗粒物等；</w:t>
      </w:r>
    </w:p>
    <w:p w14:paraId="23293F57">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大气监测频次：监测频次为1天4次，紧急情况时可增加为1次/2小时。</w:t>
      </w:r>
    </w:p>
    <w:p w14:paraId="6730B1B4">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（2）火灾爆炸产生废水或废水处理设施出现异常</w:t>
      </w:r>
    </w:p>
    <w:p w14:paraId="68F0DE8E">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在生产事故废水，或者在废水处理装置出现故障、处理废水后不能达到</w:t>
      </w:r>
      <w:r>
        <w:rPr>
          <w:rFonts w:hint="default" w:ascii="Times New Roman" w:hAnsi="Times New Roman" w:eastAsia="宋体" w:cs="Times New Roman"/>
          <w:color w:val="000000" w:themeColor="text1"/>
          <w:sz w:val="24"/>
          <w:szCs w:val="24"/>
          <w:lang w:eastAsia="zh-CN"/>
          <w14:textFill>
            <w14:solidFill>
              <w14:schemeClr w14:val="tx1"/>
            </w14:solidFill>
          </w14:textFill>
        </w:rPr>
        <w:t>接管浓度限值</w:t>
      </w:r>
      <w:r>
        <w:rPr>
          <w:rFonts w:hint="default" w:ascii="Times New Roman" w:hAnsi="Times New Roman" w:eastAsia="宋体" w:cs="Times New Roman"/>
          <w:color w:val="000000" w:themeColor="text1"/>
          <w:sz w:val="24"/>
          <w:szCs w:val="24"/>
          <w14:textFill>
            <w14:solidFill>
              <w14:schemeClr w14:val="tx1"/>
            </w14:solidFill>
          </w14:textFill>
        </w:rPr>
        <w:t>，以及厂内发生火灾爆炸事故或其他事故导致清水排放口水质出现超标时，首先将事故废水或超标废水排入到厂内的事故水池中存放，在分析事故废水水质浓度后，采取按浓度调节、逐步加入到污水处理系统进行处理的方法，将事故废水逐步处理。</w:t>
      </w:r>
    </w:p>
    <w:p w14:paraId="33876021">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废水监测点位即监测因子：在产生上述事故废水后，将在离事故装置区最近管网出口、出现超标的清水排放口、污水调节池或污水处理装置的尾水排放口中，视事故不同情况，分别设置事故废水监测点和监测因子，可能因子包括：pH、COD、SS等。</w:t>
      </w:r>
    </w:p>
    <w:p w14:paraId="361128E9">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废水监测频次：检测频次为1次/3小时，紧急情况时可增加为1次/小时。</w:t>
      </w:r>
    </w:p>
    <w:p w14:paraId="5D8F0CB2">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6、人员紧急撤离、疏散计划</w:t>
      </w:r>
    </w:p>
    <w:p w14:paraId="3B027F5E">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根据事故影响程度及当时的气象条件，制定相应的的事故现场、工厂临近区、事故影响的区域人员及公众向上风向疏散的计划，同时针对不同的物质，确定适当的救护、医疗方法，确保公众健康。</w:t>
      </w:r>
    </w:p>
    <w:p w14:paraId="09591305">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7、公众教育和信息</w:t>
      </w:r>
    </w:p>
    <w:p w14:paraId="6EAD4FC3">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建设单位将负责对工厂临近地区开展公众教育、培训和发布本企业有关安全生产的基本信息，加强与周边公众的交流。针对疏散、个体防护等内容，向周边群众进行宣传，使事故可能波及到的区域都能对危险化学品事故应急救援的基本程序、应该采取的措施等内容有全面的了解。同时，与周边消防、卫生医疗等机构做好沟通，使相关部门了解本项目化学品的特点和救援知识。</w:t>
      </w:r>
    </w:p>
    <w:p w14:paraId="341185FB">
      <w:pPr>
        <w:pStyle w:val="4097"/>
        <w:spacing w:line="360" w:lineRule="auto"/>
        <w:ind w:left="0" w:leftChars="0" w:firstLine="0" w:firstLineChars="0"/>
        <w:rPr>
          <w:rFonts w:hint="default" w:ascii="Times New Roman" w:hAnsi="Times New Roman" w:eastAsia="黑体" w:cs="Times New Roman"/>
          <w:b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黑体" w:cs="Times New Roman"/>
          <w:b w:val="0"/>
          <w:color w:val="000000" w:themeColor="text1"/>
          <w:kern w:val="2"/>
          <w:sz w:val="24"/>
          <w:szCs w:val="24"/>
          <w:lang w:val="en-US" w:eastAsia="zh-CN" w:bidi="ar-SA"/>
          <w14:textFill>
            <w14:solidFill>
              <w14:schemeClr w14:val="tx1"/>
            </w14:solidFill>
          </w14:textFill>
        </w:rPr>
        <w:t>5.8.7风险评价结论</w:t>
      </w:r>
    </w:p>
    <w:p w14:paraId="4EE505BA">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项目火灾发生时，通过公司设置的应急救援小组，合理分工应急，及时发出火灾警报，疏散周边人群，并设置医疗救护，可避免火灾发生时有毒有害烟气对周边居民的影响。</w:t>
      </w:r>
    </w:p>
    <w:p w14:paraId="689A5505">
      <w:pPr>
        <w:spacing w:line="360" w:lineRule="auto"/>
        <w:ind w:firstLine="48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通过以上风险防范措施的设立，可以较为有效的最大限度防范风险事故的发生和有效处置，并结合企业在下一步设计、运营过程中不断制定和完善的风险防范措施和应急预案，本项目所发生的环境风险可以控制在较低的水平，风险发生概率及危害将远远低于国内同类企业水平，本项目的事故风险处于可接受水平。</w:t>
      </w:r>
    </w:p>
    <w:p w14:paraId="6E48566B">
      <w:pPr>
        <w:spacing w:line="360" w:lineRule="auto"/>
        <w:ind w:firstLine="48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本项目环境风险简单分析内容详见下表。</w:t>
      </w:r>
    </w:p>
    <w:p w14:paraId="2FF7CBC3">
      <w:pPr>
        <w:pStyle w:val="4098"/>
        <w:spacing w:line="240" w:lineRule="auto"/>
        <w:ind w:firstLine="0" w:firstLineChars="0"/>
        <w:jc w:val="center"/>
        <w:rPr>
          <w:rFonts w:hint="default" w:ascii="Times New Roman" w:hAnsi="Times New Roman" w:eastAsia="黑体" w:cs="Times New Roman"/>
          <w:color w:val="000000" w:themeColor="text1"/>
          <w:kern w:val="2"/>
          <w:sz w:val="24"/>
          <w:szCs w:val="22"/>
          <w:lang w:val="en-US" w:eastAsia="zh-CN" w:bidi="ar-SA"/>
          <w14:textFill>
            <w14:solidFill>
              <w14:schemeClr w14:val="tx1"/>
            </w14:solidFill>
          </w14:textFill>
        </w:rPr>
      </w:pPr>
      <w:r>
        <w:rPr>
          <w:rFonts w:hint="default" w:ascii="Times New Roman" w:hAnsi="Times New Roman" w:eastAsia="黑体" w:cs="Times New Roman"/>
          <w:color w:val="000000" w:themeColor="text1"/>
          <w:kern w:val="2"/>
          <w:sz w:val="24"/>
          <w:szCs w:val="22"/>
          <w:lang w:val="en-US" w:eastAsia="zh-CN" w:bidi="ar-SA"/>
          <w14:textFill>
            <w14:solidFill>
              <w14:schemeClr w14:val="tx1"/>
            </w14:solidFill>
          </w14:textFill>
        </w:rPr>
        <w:t>表5.8-8项目环境风险简单分析内容表</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7"/>
        <w:gridCol w:w="1224"/>
        <w:gridCol w:w="1416"/>
        <w:gridCol w:w="1386"/>
        <w:gridCol w:w="2949"/>
      </w:tblGrid>
      <w:tr w14:paraId="0C0385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08" w:type="pct"/>
            <w:tcBorders>
              <w:tl2br w:val="nil"/>
              <w:tr2bl w:val="nil"/>
            </w:tcBorders>
            <w:vAlign w:val="center"/>
          </w:tcPr>
          <w:p w14:paraId="7B95C873">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建设项目名称</w:t>
            </w:r>
          </w:p>
        </w:tc>
        <w:tc>
          <w:tcPr>
            <w:tcW w:w="4091" w:type="pct"/>
            <w:gridSpan w:val="4"/>
            <w:tcBorders>
              <w:tl2br w:val="nil"/>
              <w:tr2bl w:val="nil"/>
            </w:tcBorders>
            <w:vAlign w:val="center"/>
          </w:tcPr>
          <w:p w14:paraId="0E1CEFF1">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安徽楹聚环保科技有限公司PET再生资源综合利用项目</w:t>
            </w:r>
          </w:p>
        </w:tc>
      </w:tr>
      <w:tr w14:paraId="1C44F5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08" w:type="pct"/>
            <w:tcBorders>
              <w:tl2br w:val="nil"/>
              <w:tr2bl w:val="nil"/>
            </w:tcBorders>
            <w:vAlign w:val="center"/>
          </w:tcPr>
          <w:p w14:paraId="3BBBA173">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建设地点</w:t>
            </w:r>
          </w:p>
        </w:tc>
        <w:tc>
          <w:tcPr>
            <w:tcW w:w="718" w:type="pct"/>
            <w:tcBorders>
              <w:tl2br w:val="nil"/>
              <w:tr2bl w:val="nil"/>
            </w:tcBorders>
            <w:vAlign w:val="center"/>
          </w:tcPr>
          <w:p w14:paraId="39987033">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安徽省</w:t>
            </w:r>
          </w:p>
        </w:tc>
        <w:tc>
          <w:tcPr>
            <w:tcW w:w="830" w:type="pct"/>
            <w:tcBorders>
              <w:tl2br w:val="nil"/>
              <w:tr2bl w:val="nil"/>
            </w:tcBorders>
            <w:vAlign w:val="center"/>
          </w:tcPr>
          <w:p w14:paraId="3D7FA878">
            <w:pPr>
              <w:pStyle w:val="30"/>
              <w:spacing w:line="240" w:lineRule="auto"/>
              <w:jc w:val="center"/>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淮南市</w:t>
            </w:r>
          </w:p>
        </w:tc>
        <w:tc>
          <w:tcPr>
            <w:tcW w:w="813" w:type="pct"/>
            <w:tcBorders>
              <w:tl2br w:val="nil"/>
              <w:tr2bl w:val="nil"/>
            </w:tcBorders>
            <w:vAlign w:val="center"/>
          </w:tcPr>
          <w:p w14:paraId="674102DB">
            <w:pPr>
              <w:pStyle w:val="30"/>
              <w:spacing w:line="240" w:lineRule="auto"/>
              <w:jc w:val="center"/>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凤台县</w:t>
            </w:r>
          </w:p>
        </w:tc>
        <w:tc>
          <w:tcPr>
            <w:tcW w:w="1727" w:type="pct"/>
            <w:tcBorders>
              <w:tl2br w:val="nil"/>
              <w:tr2bl w:val="nil"/>
            </w:tcBorders>
            <w:vAlign w:val="center"/>
          </w:tcPr>
          <w:p w14:paraId="311F4A69">
            <w:pPr>
              <w:pStyle w:val="30"/>
              <w:spacing w:line="240" w:lineRule="auto"/>
              <w:jc w:val="center"/>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毛集实验区</w:t>
            </w:r>
          </w:p>
        </w:tc>
      </w:tr>
      <w:tr w14:paraId="53AD85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08" w:type="pct"/>
            <w:tcBorders>
              <w:tl2br w:val="nil"/>
              <w:tr2bl w:val="nil"/>
            </w:tcBorders>
            <w:vAlign w:val="center"/>
          </w:tcPr>
          <w:p w14:paraId="00B9CC82">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地理坐标</w:t>
            </w:r>
          </w:p>
        </w:tc>
        <w:tc>
          <w:tcPr>
            <w:tcW w:w="718" w:type="pct"/>
            <w:tcBorders>
              <w:tl2br w:val="nil"/>
              <w:tr2bl w:val="nil"/>
            </w:tcBorders>
            <w:vAlign w:val="center"/>
          </w:tcPr>
          <w:p w14:paraId="2BB28744">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经度</w:t>
            </w:r>
          </w:p>
        </w:tc>
        <w:tc>
          <w:tcPr>
            <w:tcW w:w="830" w:type="pct"/>
            <w:tcBorders>
              <w:tl2br w:val="nil"/>
              <w:tr2bl w:val="nil"/>
            </w:tcBorders>
            <w:vAlign w:val="center"/>
          </w:tcPr>
          <w:p w14:paraId="4D572B51">
            <w:pPr>
              <w:pStyle w:val="30"/>
              <w:spacing w:line="240" w:lineRule="auto"/>
              <w:jc w:val="center"/>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116.58732176</w:t>
            </w:r>
          </w:p>
        </w:tc>
        <w:tc>
          <w:tcPr>
            <w:tcW w:w="813" w:type="pct"/>
            <w:tcBorders>
              <w:tl2br w:val="nil"/>
              <w:tr2bl w:val="nil"/>
            </w:tcBorders>
            <w:vAlign w:val="center"/>
          </w:tcPr>
          <w:p w14:paraId="3DF64966">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纬度</w:t>
            </w:r>
          </w:p>
        </w:tc>
        <w:tc>
          <w:tcPr>
            <w:tcW w:w="1727" w:type="pct"/>
            <w:tcBorders>
              <w:tl2br w:val="nil"/>
              <w:tr2bl w:val="nil"/>
            </w:tcBorders>
            <w:vAlign w:val="center"/>
          </w:tcPr>
          <w:p w14:paraId="696606FC">
            <w:pPr>
              <w:pStyle w:val="30"/>
              <w:spacing w:line="240" w:lineRule="auto"/>
              <w:jc w:val="center"/>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32.67061092</w:t>
            </w:r>
          </w:p>
        </w:tc>
      </w:tr>
      <w:tr w14:paraId="295DD2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08" w:type="pct"/>
            <w:tcBorders>
              <w:tl2br w:val="nil"/>
              <w:tr2bl w:val="nil"/>
            </w:tcBorders>
            <w:vAlign w:val="center"/>
          </w:tcPr>
          <w:p w14:paraId="143B83B9">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主要危险物质及分布</w:t>
            </w:r>
          </w:p>
        </w:tc>
        <w:tc>
          <w:tcPr>
            <w:tcW w:w="4091" w:type="pct"/>
            <w:gridSpan w:val="4"/>
            <w:tcBorders>
              <w:tl2br w:val="nil"/>
              <w:tr2bl w:val="nil"/>
            </w:tcBorders>
            <w:vAlign w:val="center"/>
          </w:tcPr>
          <w:p w14:paraId="2EC6A5EA">
            <w:pPr>
              <w:pStyle w:val="30"/>
              <w:spacing w:line="240" w:lineRule="auto"/>
              <w:jc w:val="center"/>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润滑油</w:t>
            </w: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主要位于</w:t>
            </w:r>
            <w:r>
              <w:rPr>
                <w:rFonts w:hint="eastAsia" w:cs="Times New Roman"/>
                <w:color w:val="000000" w:themeColor="text1"/>
                <w:kern w:val="2"/>
                <w:sz w:val="21"/>
                <w:szCs w:val="21"/>
                <w:lang w:val="en-US" w:eastAsia="zh-CN"/>
                <w14:textFill>
                  <w14:solidFill>
                    <w14:schemeClr w14:val="tx1"/>
                  </w14:solidFill>
                </w14:textFill>
              </w:rPr>
              <w:t>设备中；废润滑油主要位于</w:t>
            </w: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危废间</w:t>
            </w:r>
          </w:p>
        </w:tc>
      </w:tr>
      <w:tr w14:paraId="31A1B9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08" w:type="pct"/>
            <w:tcBorders>
              <w:tl2br w:val="nil"/>
              <w:tr2bl w:val="nil"/>
            </w:tcBorders>
            <w:vAlign w:val="center"/>
          </w:tcPr>
          <w:p w14:paraId="0183BD40">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环境影响途径及危害后果（大气、地表水、地下水）</w:t>
            </w:r>
          </w:p>
        </w:tc>
        <w:tc>
          <w:tcPr>
            <w:tcW w:w="4091" w:type="pct"/>
            <w:gridSpan w:val="4"/>
            <w:tcBorders>
              <w:tl2br w:val="nil"/>
              <w:tr2bl w:val="nil"/>
            </w:tcBorders>
          </w:tcPr>
          <w:p w14:paraId="181279BF">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1、火灾环境影响途径</w:t>
            </w:r>
          </w:p>
          <w:p w14:paraId="1C5E17C1">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火灾是工业生产过程常见的风险事故，项目</w:t>
            </w:r>
            <w:r>
              <w:rPr>
                <w:rFonts w:hint="eastAsia" w:cs="Times New Roman"/>
                <w:color w:val="000000" w:themeColor="text1"/>
                <w:kern w:val="2"/>
                <w:sz w:val="21"/>
                <w:szCs w:val="21"/>
                <w:lang w:eastAsia="zh-CN"/>
                <w14:textFill>
                  <w14:solidFill>
                    <w14:schemeClr w14:val="tx1"/>
                  </w14:solidFill>
                </w14:textFill>
              </w:rPr>
              <w:t>废塑料瓶</w:t>
            </w:r>
            <w:r>
              <w:rPr>
                <w:rFonts w:hint="default" w:ascii="Times New Roman" w:hAnsi="Times New Roman" w:eastAsia="宋体" w:cs="Times New Roman"/>
                <w:color w:val="000000" w:themeColor="text1"/>
                <w:kern w:val="2"/>
                <w:sz w:val="21"/>
                <w:szCs w:val="21"/>
                <w14:textFill>
                  <w14:solidFill>
                    <w14:schemeClr w14:val="tx1"/>
                  </w14:solidFill>
                </w14:textFill>
              </w:rPr>
              <w:t>等</w:t>
            </w: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可</w:t>
            </w:r>
            <w:r>
              <w:rPr>
                <w:rFonts w:hint="default" w:ascii="Times New Roman" w:hAnsi="Times New Roman" w:eastAsia="宋体" w:cs="Times New Roman"/>
                <w:color w:val="000000" w:themeColor="text1"/>
                <w:kern w:val="2"/>
                <w:sz w:val="21"/>
                <w:szCs w:val="21"/>
                <w14:textFill>
                  <w14:solidFill>
                    <w14:schemeClr w14:val="tx1"/>
                  </w14:solidFill>
                </w14:textFill>
              </w:rPr>
              <w:t>燃的物料造成火灾、热辐射的影响。</w:t>
            </w:r>
          </w:p>
          <w:p w14:paraId="44AE4BD6">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kern w:val="2"/>
                <w:sz w:val="21"/>
                <w:szCs w:val="21"/>
                <w14:textFill>
                  <w14:solidFill>
                    <w14:schemeClr w14:val="tx1"/>
                  </w14:solidFill>
                </w14:textFill>
              </w:rPr>
              <w:t>、火灾爆炸过程中的伴生/次生污染</w:t>
            </w:r>
          </w:p>
          <w:p w14:paraId="3A062797">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①消防灭火产生的事故消防水，如果措施采取不当可能会造成消防事故污水进入附近水体，造成污染。</w:t>
            </w:r>
          </w:p>
          <w:p w14:paraId="37B30A46">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②产生的烟尘、CO、NO</w:t>
            </w:r>
            <w:r>
              <w:rPr>
                <w:rFonts w:hint="default" w:ascii="Times New Roman" w:hAnsi="Times New Roman" w:eastAsia="宋体" w:cs="Times New Roman"/>
                <w:color w:val="000000" w:themeColor="text1"/>
                <w:kern w:val="2"/>
                <w:sz w:val="21"/>
                <w:szCs w:val="21"/>
                <w:vertAlign w:val="subscript"/>
                <w14:textFill>
                  <w14:solidFill>
                    <w14:schemeClr w14:val="tx1"/>
                  </w14:solidFill>
                </w14:textFill>
              </w:rPr>
              <w:t>2</w:t>
            </w:r>
            <w:r>
              <w:rPr>
                <w:rFonts w:hint="default" w:ascii="Times New Roman" w:hAnsi="Times New Roman" w:eastAsia="宋体" w:cs="Times New Roman"/>
                <w:color w:val="000000" w:themeColor="text1"/>
                <w:kern w:val="2"/>
                <w:sz w:val="21"/>
                <w:szCs w:val="21"/>
                <w14:textFill>
                  <w14:solidFill>
                    <w14:schemeClr w14:val="tx1"/>
                  </w14:solidFill>
                </w14:textFill>
              </w:rPr>
              <w:t>及其它有毒有害化学物质，对周围大气环境及人群产生影响。</w:t>
            </w:r>
          </w:p>
          <w:p w14:paraId="213EDAD7">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kern w:val="2"/>
                <w:sz w:val="21"/>
                <w:szCs w:val="21"/>
                <w14:textFill>
                  <w14:solidFill>
                    <w14:schemeClr w14:val="tx1"/>
                  </w14:solidFill>
                </w14:textFill>
              </w:rPr>
              <w:t>、废气非正常排放</w:t>
            </w:r>
          </w:p>
          <w:p w14:paraId="127EB72F">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项目废气处理装置对产生的颗粒物、有机废气进行处理，当废气处理设施故障时，废气污染物直接排放，对区域大气环境造成影响。</w:t>
            </w:r>
          </w:p>
          <w:p w14:paraId="52C1A527">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根据对同类项目的类比调查分析，本工程评价确定的风险类型为废气异常排放事故，火灾爆炸事故及其伴生/次生污染的影响。</w:t>
            </w:r>
          </w:p>
          <w:p w14:paraId="0F47DCFF">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危害后果：</w:t>
            </w:r>
          </w:p>
          <w:p w14:paraId="59C5BEDC">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1、大气</w:t>
            </w:r>
          </w:p>
          <w:p w14:paraId="1F4C1BC2">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（1）火灾产生的烟气具有有毒有害性，若是人员呼吸到高浓度烟气，可致死；</w:t>
            </w:r>
          </w:p>
          <w:p w14:paraId="237C6DC6">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（2）烟气进入大气，会对区域大气环境产生危害，降低区域大气环境质量现状；</w:t>
            </w:r>
          </w:p>
          <w:p w14:paraId="5922C015">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（3）烟气中还有的有毒有害物质经自然沉降到地面，会对周边地表水环境、土壤、植被及动物等产生危害。</w:t>
            </w:r>
          </w:p>
          <w:p w14:paraId="0B5ACE0D">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2、地表水</w:t>
            </w:r>
          </w:p>
          <w:p w14:paraId="7D50F370">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（1）外溢到厂外，会对厂区周边土壤产生影响；</w:t>
            </w:r>
          </w:p>
          <w:p w14:paraId="2743363C">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（2）进入土壤的消防废水会进一步影响地下水，降低区域地下水水质；</w:t>
            </w:r>
          </w:p>
          <w:p w14:paraId="54975644">
            <w:pPr>
              <w:pStyle w:val="30"/>
              <w:spacing w:line="240" w:lineRule="auto"/>
              <w:jc w:val="both"/>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（3）消防废水进入地表水体，会降低地表水水质。</w:t>
            </w:r>
          </w:p>
        </w:tc>
      </w:tr>
      <w:tr w14:paraId="7572FE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08" w:type="pct"/>
            <w:tcBorders>
              <w:tl2br w:val="nil"/>
              <w:tr2bl w:val="nil"/>
            </w:tcBorders>
            <w:vAlign w:val="center"/>
          </w:tcPr>
          <w:p w14:paraId="35D89021">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风险防范措施要求</w:t>
            </w:r>
          </w:p>
        </w:tc>
        <w:tc>
          <w:tcPr>
            <w:tcW w:w="4091" w:type="pct"/>
            <w:gridSpan w:val="4"/>
            <w:tcBorders>
              <w:tl2br w:val="nil"/>
              <w:tr2bl w:val="nil"/>
            </w:tcBorders>
            <w:vAlign w:val="center"/>
          </w:tcPr>
          <w:p w14:paraId="767B49E6">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编制突发环境事故应急预案，根据预案要求，公司应设置专门的应急救援组织机构、配备管理人员；制定事故处理预案；购置相应的应急物资等；</w:t>
            </w:r>
          </w:p>
          <w:p w14:paraId="19597442">
            <w:pPr>
              <w:pStyle w:val="30"/>
              <w:spacing w:line="240" w:lineRule="auto"/>
              <w:jc w:val="center"/>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14:textFill>
                  <w14:solidFill>
                    <w14:schemeClr w14:val="tx1"/>
                  </w14:solidFill>
                </w14:textFill>
              </w:rPr>
              <w:t>火灾风险防范措施：火灾产大量有毒有害烟气时，制定疏散路线，制定疏散及自救应急计划，确保安全疏散。</w:t>
            </w:r>
          </w:p>
        </w:tc>
      </w:tr>
    </w:tbl>
    <w:p w14:paraId="171AA369">
      <w:pPr>
        <w:pStyle w:val="3952"/>
        <w:spacing w:before="156"/>
        <w:rPr>
          <w:rFonts w:hint="default" w:ascii="Times New Roman" w:hAnsi="Times New Roman" w:eastAsia="黑体" w:cs="Times New Roman"/>
          <w:b w:val="0"/>
          <w:color w:val="000000" w:themeColor="text1"/>
          <w14:textFill>
            <w14:solidFill>
              <w14:schemeClr w14:val="tx1"/>
            </w14:solidFill>
          </w14:textFill>
        </w:rPr>
      </w:pPr>
      <w:r>
        <w:rPr>
          <w:rFonts w:hint="default" w:ascii="Times New Roman" w:hAnsi="Times New Roman" w:eastAsia="黑体" w:cs="Times New Roman"/>
          <w:b w:val="0"/>
          <w:color w:val="000000" w:themeColor="text1"/>
          <w14:textFill>
            <w14:solidFill>
              <w14:schemeClr w14:val="tx1"/>
            </w14:solidFill>
          </w14:textFill>
        </w:rPr>
        <w:t>5.</w:t>
      </w:r>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生态环境影响评价</w:t>
      </w:r>
      <w:bookmarkEnd w:id="197"/>
    </w:p>
    <w:p w14:paraId="5985BC0C">
      <w:pPr>
        <w:spacing w:line="360" w:lineRule="auto"/>
        <w:ind w:firstLine="472" w:firstLineChars="200"/>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本项目位于已批准规划环评的产业园区内且符合规划环评要求、不涉及生态敏感区的污染影响类建设项目，可不确定评价等级，直接进行生态影响简单分析。</w:t>
      </w:r>
    </w:p>
    <w:p w14:paraId="34256229">
      <w:pPr>
        <w:spacing w:line="360" w:lineRule="auto"/>
        <w:ind w:firstLine="472" w:firstLineChars="200"/>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（1）对土壤利用的影响</w:t>
      </w:r>
    </w:p>
    <w:p w14:paraId="3FFF63AE">
      <w:pPr>
        <w:spacing w:line="360" w:lineRule="auto"/>
        <w:ind w:firstLine="472" w:firstLineChars="200"/>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本项目租赁</w:t>
      </w:r>
      <w:r>
        <w:rPr>
          <w:rFonts w:hint="eastAsia" w:cs="Times New Roman"/>
          <w:bCs/>
          <w:color w:val="000000" w:themeColor="text1"/>
          <w:sz w:val="24"/>
          <w:szCs w:val="24"/>
          <w:lang w:eastAsia="zh-CN"/>
          <w14:textFill>
            <w14:solidFill>
              <w14:schemeClr w14:val="tx1"/>
            </w14:solidFill>
          </w14:textFill>
        </w:rPr>
        <w:t>安徽振亿工程机械有限公司</w:t>
      </w:r>
      <w:r>
        <w:rPr>
          <w:rFonts w:hint="eastAsia" w:cs="Times New Roman"/>
          <w:bCs/>
          <w:color w:val="000000" w:themeColor="text1"/>
          <w:sz w:val="24"/>
          <w:szCs w:val="24"/>
          <w:lang w:val="en-US" w:eastAsia="zh-CN"/>
          <w14:textFill>
            <w14:solidFill>
              <w14:schemeClr w14:val="tx1"/>
            </w14:solidFill>
          </w14:textFill>
        </w:rPr>
        <w:t>闲置</w:t>
      </w:r>
      <w:r>
        <w:rPr>
          <w:rFonts w:hint="default" w:ascii="Times New Roman" w:hAnsi="Times New Roman" w:cs="Times New Roman"/>
          <w:bCs/>
          <w:color w:val="000000" w:themeColor="text1"/>
          <w:sz w:val="24"/>
          <w:szCs w:val="24"/>
          <w14:textFill>
            <w14:solidFill>
              <w14:schemeClr w14:val="tx1"/>
            </w14:solidFill>
          </w14:textFill>
        </w:rPr>
        <w:t>厂房</w:t>
      </w:r>
      <w:r>
        <w:rPr>
          <w:rFonts w:hint="default" w:ascii="Times New Roman" w:hAnsi="Times New Roman" w:cs="Times New Roman"/>
          <w:bCs/>
          <w:color w:val="000000" w:themeColor="text1"/>
          <w:sz w:val="24"/>
          <w:szCs w:val="24"/>
          <w:lang w:val="en-US" w:eastAsia="zh-CN"/>
          <w14:textFill>
            <w14:solidFill>
              <w14:schemeClr w14:val="tx1"/>
            </w14:solidFill>
          </w14:textFill>
        </w:rPr>
        <w:t>9600</w:t>
      </w:r>
      <w:r>
        <w:rPr>
          <w:rFonts w:hint="default" w:ascii="Times New Roman" w:hAnsi="Times New Roman" w:cs="Times New Roman"/>
          <w:bCs/>
          <w:color w:val="000000" w:themeColor="text1"/>
          <w:sz w:val="24"/>
          <w:szCs w:val="24"/>
          <w14:textFill>
            <w14:solidFill>
              <w14:schemeClr w14:val="tx1"/>
            </w14:solidFill>
          </w14:textFill>
        </w:rPr>
        <w:t>平方米进行建设，项目的建设不会改变土地原有功能类别。</w:t>
      </w:r>
    </w:p>
    <w:p w14:paraId="2B32C68C">
      <w:pPr>
        <w:spacing w:line="360" w:lineRule="auto"/>
        <w:ind w:firstLine="472" w:firstLineChars="200"/>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（2）对植被的影响</w:t>
      </w:r>
    </w:p>
    <w:p w14:paraId="60189F79">
      <w:pPr>
        <w:spacing w:line="360" w:lineRule="auto"/>
        <w:ind w:firstLine="472" w:firstLineChars="200"/>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本项目建设区域内无国家重点保护野生植物物种的分布。因此项目实施造成的生态效益损失是局部的，较小的，对区域生态环境不存在制约，不会对整个地区的植被生态形成威胁。</w:t>
      </w:r>
    </w:p>
    <w:p w14:paraId="2B866BD1">
      <w:pPr>
        <w:spacing w:line="360" w:lineRule="auto"/>
        <w:ind w:firstLine="472" w:firstLineChars="200"/>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（3）对野生动植物的影响</w:t>
      </w:r>
    </w:p>
    <w:p w14:paraId="24520AFA">
      <w:pPr>
        <w:spacing w:line="360" w:lineRule="auto"/>
        <w:ind w:firstLine="472" w:firstLineChars="200"/>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项目区域内没有珍稀濒危动植物，无文物古迹，项目的建设对自然景观的影响，仅存在与地表形态的改变，是在人为活动下，有计划的对自然景观的改造。项目的建设，不会影响整个生态系统的稳定性。</w:t>
      </w:r>
    </w:p>
    <w:p w14:paraId="3B6FF769">
      <w:pPr>
        <w:spacing w:line="360" w:lineRule="auto"/>
        <w:ind w:firstLine="472" w:firstLineChars="200"/>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综上，拟建项目位于</w:t>
      </w:r>
      <w:r>
        <w:rPr>
          <w:rFonts w:hint="default" w:ascii="Times New Roman" w:hAnsi="Times New Roman" w:cs="Times New Roman"/>
          <w:bCs/>
          <w:color w:val="000000" w:themeColor="text1"/>
          <w:sz w:val="24"/>
          <w:szCs w:val="24"/>
          <w:lang w:eastAsia="zh-CN"/>
          <w14:textFill>
            <w14:solidFill>
              <w14:schemeClr w14:val="tx1"/>
            </w14:solidFill>
          </w14:textFill>
        </w:rPr>
        <w:t>安徽省淮南市毛集社会发展综合实验区</w:t>
      </w:r>
      <w:r>
        <w:rPr>
          <w:rFonts w:hint="default" w:ascii="Times New Roman" w:hAnsi="Times New Roman" w:cs="Times New Roman"/>
          <w:bCs/>
          <w:color w:val="000000" w:themeColor="text1"/>
          <w:sz w:val="24"/>
          <w:szCs w:val="24"/>
          <w14:textFill>
            <w14:solidFill>
              <w14:schemeClr w14:val="tx1"/>
            </w14:solidFill>
          </w14:textFill>
        </w:rPr>
        <w:t>，属于已批复规划环评的产业园区，且拟建项目符合园区规划环评及审查意见要求，用地为工业用地，项目建成运行后对区域生态环境影响较小。</w:t>
      </w:r>
    </w:p>
    <w:p w14:paraId="25608891">
      <w:pPr>
        <w:rPr>
          <w:rFonts w:hint="default" w:ascii="Times New Roman" w:hAnsi="Times New Roman" w:cs="Times New Roman"/>
          <w:color w:val="000000" w:themeColor="text1"/>
          <w14:textFill>
            <w14:solidFill>
              <w14:schemeClr w14:val="tx1"/>
            </w14:solidFill>
          </w14:textFill>
        </w:rPr>
      </w:pPr>
    </w:p>
    <w:p w14:paraId="6F8E201C">
      <w:pPr>
        <w:rPr>
          <w:rFonts w:hint="default" w:ascii="Times New Roman" w:hAnsi="Times New Roman" w:cs="Times New Roman"/>
          <w:color w:val="000000" w:themeColor="text1"/>
          <w14:textFill>
            <w14:solidFill>
              <w14:schemeClr w14:val="tx1"/>
            </w14:solidFill>
          </w14:textFill>
        </w:rPr>
      </w:pPr>
    </w:p>
    <w:p w14:paraId="01047C68">
      <w:pPr>
        <w:rPr>
          <w:rFonts w:hint="default" w:ascii="Times New Roman" w:hAnsi="Times New Roman" w:cs="Times New Roman"/>
          <w:color w:val="000000" w:themeColor="text1"/>
          <w14:textFill>
            <w14:solidFill>
              <w14:schemeClr w14:val="tx1"/>
            </w14:solidFill>
          </w14:textFill>
        </w:rPr>
      </w:pPr>
    </w:p>
    <w:p w14:paraId="0F7381BF">
      <w:pPr>
        <w:rPr>
          <w:rFonts w:hint="default" w:ascii="Times New Roman" w:hAnsi="Times New Roman" w:cs="Times New Roman"/>
          <w:color w:val="000000" w:themeColor="text1"/>
          <w14:textFill>
            <w14:solidFill>
              <w14:schemeClr w14:val="tx1"/>
            </w14:solidFill>
          </w14:textFill>
        </w:rPr>
      </w:pPr>
    </w:p>
    <w:p w14:paraId="377AD9D6">
      <w:pPr>
        <w:rPr>
          <w:rFonts w:hint="default" w:ascii="Times New Roman" w:hAnsi="Times New Roman" w:cs="Times New Roman"/>
          <w:color w:val="000000" w:themeColor="text1"/>
          <w14:textFill>
            <w14:solidFill>
              <w14:schemeClr w14:val="tx1"/>
            </w14:solidFill>
          </w14:textFill>
        </w:rPr>
        <w:sectPr>
          <w:footerReference r:id="rId14"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FE65836">
      <w:pPr>
        <w:pStyle w:val="2855"/>
        <w:rPr>
          <w:rFonts w:hint="default" w:ascii="Times New Roman" w:hAnsi="Times New Roman" w:eastAsia="黑体" w:cs="Times New Roman"/>
          <w:b w:val="0"/>
          <w:color w:val="000000" w:themeColor="text1"/>
          <w14:textFill>
            <w14:solidFill>
              <w14:schemeClr w14:val="tx1"/>
            </w14:solidFill>
          </w14:textFill>
        </w:rPr>
      </w:pPr>
      <w:bookmarkStart w:id="199" w:name="_Toc133333748"/>
      <w:bookmarkStart w:id="200" w:name="_Toc133214591"/>
      <w:bookmarkStart w:id="201" w:name="_Toc173837753"/>
      <w:r>
        <w:rPr>
          <w:rFonts w:hint="default" w:ascii="Times New Roman" w:hAnsi="Times New Roman" w:eastAsia="黑体" w:cs="Times New Roman"/>
          <w:b w:val="0"/>
          <w:color w:val="000000" w:themeColor="text1"/>
          <w:lang w:val="en-US" w:eastAsia="zh-CN"/>
          <w14:textFill>
            <w14:solidFill>
              <w14:schemeClr w14:val="tx1"/>
            </w14:solidFill>
          </w14:textFill>
        </w:rPr>
        <w:t>6</w:t>
      </w:r>
      <w:r>
        <w:rPr>
          <w:rFonts w:hint="default" w:ascii="Times New Roman" w:hAnsi="Times New Roman" w:eastAsia="黑体" w:cs="Times New Roman"/>
          <w:b w:val="0"/>
          <w:color w:val="000000" w:themeColor="text1"/>
          <w14:textFill>
            <w14:solidFill>
              <w14:schemeClr w14:val="tx1"/>
            </w14:solidFill>
          </w14:textFill>
        </w:rPr>
        <w:t>环境保护措施及其可行性论证</w:t>
      </w:r>
      <w:bookmarkEnd w:id="199"/>
      <w:bookmarkEnd w:id="200"/>
      <w:bookmarkEnd w:id="201"/>
    </w:p>
    <w:p w14:paraId="10AF7788">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202" w:name="_Toc133214597"/>
      <w:bookmarkStart w:id="203" w:name="_Toc133333754"/>
      <w:bookmarkStart w:id="204" w:name="_Toc109135997"/>
      <w:bookmarkStart w:id="205" w:name="_Toc173837759"/>
      <w:r>
        <w:rPr>
          <w:rFonts w:hint="default" w:ascii="Times New Roman" w:hAnsi="Times New Roman" w:eastAsia="黑体" w:cs="Times New Roman"/>
          <w:b w:val="0"/>
          <w:color w:val="000000" w:themeColor="text1"/>
          <w:lang w:val="en-US" w:eastAsia="zh-CN"/>
          <w14:textFill>
            <w14:solidFill>
              <w14:schemeClr w14:val="tx1"/>
            </w14:solidFill>
          </w14:textFill>
        </w:rPr>
        <w:t>6</w:t>
      </w:r>
      <w:r>
        <w:rPr>
          <w:rFonts w:hint="default" w:ascii="Times New Roman" w:hAnsi="Times New Roman" w:eastAsia="黑体" w:cs="Times New Roman"/>
          <w:b w:val="0"/>
          <w:color w:val="000000" w:themeColor="text1"/>
          <w14:textFill>
            <w14:solidFill>
              <w14:schemeClr w14:val="tx1"/>
            </w14:solidFill>
          </w14:textFill>
        </w:rPr>
        <w:t>.</w:t>
      </w:r>
      <w:r>
        <w:rPr>
          <w:rFonts w:hint="default" w:ascii="Times New Roman" w:hAnsi="Times New Roman" w:eastAsia="黑体" w:cs="Times New Roman"/>
          <w:b w:val="0"/>
          <w:color w:val="000000" w:themeColor="text1"/>
          <w:lang w:val="en-US" w:eastAsia="zh-CN"/>
          <w14:textFill>
            <w14:solidFill>
              <w14:schemeClr w14:val="tx1"/>
            </w14:solidFill>
          </w14:textFill>
        </w:rPr>
        <w:t>1</w:t>
      </w:r>
      <w:r>
        <w:rPr>
          <w:rFonts w:hint="default" w:ascii="Times New Roman" w:hAnsi="Times New Roman" w:eastAsia="黑体" w:cs="Times New Roman"/>
          <w:b w:val="0"/>
          <w:color w:val="000000" w:themeColor="text1"/>
          <w14:textFill>
            <w14:solidFill>
              <w14:schemeClr w14:val="tx1"/>
            </w14:solidFill>
          </w14:textFill>
        </w:rPr>
        <w:t>运营期污染防治</w:t>
      </w:r>
      <w:bookmarkEnd w:id="202"/>
      <w:bookmarkEnd w:id="203"/>
      <w:bookmarkEnd w:id="204"/>
      <w:r>
        <w:rPr>
          <w:rFonts w:hint="default" w:ascii="Times New Roman" w:hAnsi="Times New Roman" w:eastAsia="黑体" w:cs="Times New Roman"/>
          <w:b w:val="0"/>
          <w:color w:val="000000" w:themeColor="text1"/>
          <w14:textFill>
            <w14:solidFill>
              <w14:schemeClr w14:val="tx1"/>
            </w14:solidFill>
          </w14:textFill>
        </w:rPr>
        <w:t>措施及可行性分析</w:t>
      </w:r>
      <w:bookmarkEnd w:id="205"/>
    </w:p>
    <w:p w14:paraId="49E3E553">
      <w:pPr>
        <w:pStyle w:val="3159"/>
        <w:rPr>
          <w:rFonts w:hint="default" w:ascii="Times New Roman" w:hAnsi="Times New Roman" w:eastAsia="黑体" w:cs="Times New Roman"/>
          <w:b w:val="0"/>
          <w:color w:val="000000" w:themeColor="text1"/>
          <w14:textFill>
            <w14:solidFill>
              <w14:schemeClr w14:val="tx1"/>
            </w14:solidFill>
          </w14:textFill>
        </w:rPr>
      </w:pPr>
      <w:bookmarkStart w:id="206" w:name="_Toc133333755"/>
      <w:bookmarkStart w:id="207" w:name="_Toc170562267"/>
      <w:bookmarkStart w:id="208" w:name="_Toc173837760"/>
      <w:bookmarkStart w:id="209" w:name="_Toc133214598"/>
      <w:bookmarkStart w:id="210" w:name="_Toc141627897"/>
      <w:r>
        <w:rPr>
          <w:rFonts w:hint="default" w:ascii="Times New Roman" w:hAnsi="Times New Roman" w:eastAsia="黑体" w:cs="Times New Roman"/>
          <w:b w:val="0"/>
          <w:color w:val="000000" w:themeColor="text1"/>
          <w:lang w:val="en-US" w:eastAsia="zh-CN"/>
          <w14:textFill>
            <w14:solidFill>
              <w14:schemeClr w14:val="tx1"/>
            </w14:solidFill>
          </w14:textFill>
        </w:rPr>
        <w:t>6</w:t>
      </w:r>
      <w:r>
        <w:rPr>
          <w:rFonts w:hint="default" w:ascii="Times New Roman" w:hAnsi="Times New Roman" w:eastAsia="黑体" w:cs="Times New Roman"/>
          <w:b w:val="0"/>
          <w:color w:val="000000" w:themeColor="text1"/>
          <w14:textFill>
            <w14:solidFill>
              <w14:schemeClr w14:val="tx1"/>
            </w14:solidFill>
          </w14:textFill>
        </w:rPr>
        <w:t>.</w:t>
      </w:r>
      <w:r>
        <w:rPr>
          <w:rFonts w:hint="default" w:ascii="Times New Roman" w:hAnsi="Times New Roman" w:eastAsia="黑体" w:cs="Times New Roman"/>
          <w:b w:val="0"/>
          <w:color w:val="000000" w:themeColor="text1"/>
          <w:lang w:val="en-US" w:eastAsia="zh-CN"/>
          <w14:textFill>
            <w14:solidFill>
              <w14:schemeClr w14:val="tx1"/>
            </w14:solidFill>
          </w14:textFill>
        </w:rPr>
        <w:t>1</w:t>
      </w:r>
      <w:r>
        <w:rPr>
          <w:rFonts w:hint="default" w:ascii="Times New Roman" w:hAnsi="Times New Roman" w:eastAsia="黑体" w:cs="Times New Roman"/>
          <w:b w:val="0"/>
          <w:color w:val="000000" w:themeColor="text1"/>
          <w14:textFill>
            <w14:solidFill>
              <w14:schemeClr w14:val="tx1"/>
            </w14:solidFill>
          </w14:textFill>
        </w:rPr>
        <w:t>.1废气污染防治措施及可行性分析</w:t>
      </w:r>
      <w:bookmarkEnd w:id="206"/>
      <w:bookmarkEnd w:id="207"/>
      <w:bookmarkEnd w:id="208"/>
      <w:bookmarkEnd w:id="209"/>
      <w:bookmarkEnd w:id="210"/>
    </w:p>
    <w:p w14:paraId="29C5006B">
      <w:pPr>
        <w:spacing w:line="360" w:lineRule="auto"/>
        <w:ind w:firstLine="472" w:firstLineChars="20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由工程分析可知：本项目废气收集处理方式见表</w:t>
      </w:r>
      <w:r>
        <w:rPr>
          <w:rFonts w:hint="default" w:ascii="Times New Roman" w:hAnsi="Times New Roman" w:cs="Times New Roman"/>
          <w:bCs/>
          <w:color w:val="000000" w:themeColor="text1"/>
          <w:sz w:val="24"/>
          <w:lang w:val="en-US" w:eastAsia="zh-CN"/>
          <w14:textFill>
            <w14:solidFill>
              <w14:schemeClr w14:val="tx1"/>
            </w14:solidFill>
          </w14:textFill>
        </w:rPr>
        <w:t>6</w:t>
      </w:r>
      <w:r>
        <w:rPr>
          <w:rFonts w:hint="default" w:ascii="Times New Roman" w:hAnsi="Times New Roman" w:cs="Times New Roman"/>
          <w:bCs/>
          <w:color w:val="000000" w:themeColor="text1"/>
          <w:sz w:val="24"/>
          <w14:textFill>
            <w14:solidFill>
              <w14:schemeClr w14:val="tx1"/>
            </w14:solidFill>
          </w14:textFill>
        </w:rPr>
        <w:t>.</w:t>
      </w:r>
      <w:r>
        <w:rPr>
          <w:rFonts w:hint="default" w:ascii="Times New Roman" w:hAnsi="Times New Roman" w:cs="Times New Roman"/>
          <w:bCs/>
          <w:color w:val="000000" w:themeColor="text1"/>
          <w:sz w:val="24"/>
          <w:lang w:val="en-US" w:eastAsia="zh-CN"/>
          <w14:textFill>
            <w14:solidFill>
              <w14:schemeClr w14:val="tx1"/>
            </w14:solidFill>
          </w14:textFill>
        </w:rPr>
        <w:t>1</w:t>
      </w:r>
      <w:r>
        <w:rPr>
          <w:rFonts w:hint="default" w:ascii="Times New Roman" w:hAnsi="Times New Roman" w:cs="Times New Roman"/>
          <w:bCs/>
          <w:color w:val="000000" w:themeColor="text1"/>
          <w:sz w:val="24"/>
          <w14:textFill>
            <w14:solidFill>
              <w14:schemeClr w14:val="tx1"/>
            </w14:solidFill>
          </w14:textFill>
        </w:rPr>
        <w:t>-1。</w:t>
      </w:r>
    </w:p>
    <w:p w14:paraId="601C6DE0">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default" w:ascii="Times New Roman" w:hAnsi="Times New Roman" w:eastAsia="黑体" w:cs="Times New Roman"/>
          <w:bCs/>
          <w:color w:val="000000" w:themeColor="text1"/>
          <w:sz w:val="24"/>
          <w:lang w:val="en-US" w:eastAsia="zh-CN"/>
          <w14:textFill>
            <w14:solidFill>
              <w14:schemeClr w14:val="tx1"/>
            </w14:solidFill>
          </w14:textFill>
        </w:rPr>
        <w:t>6</w:t>
      </w:r>
      <w:r>
        <w:rPr>
          <w:rFonts w:hint="default" w:ascii="Times New Roman" w:hAnsi="Times New Roman" w:eastAsia="黑体" w:cs="Times New Roman"/>
          <w:bCs/>
          <w:color w:val="000000" w:themeColor="text1"/>
          <w:sz w:val="24"/>
          <w14:textFill>
            <w14:solidFill>
              <w14:schemeClr w14:val="tx1"/>
            </w14:solidFill>
          </w14:textFill>
        </w:rPr>
        <w:t>.</w:t>
      </w:r>
      <w:r>
        <w:rPr>
          <w:rFonts w:hint="default" w:ascii="Times New Roman" w:hAnsi="Times New Roman" w:eastAsia="黑体" w:cs="Times New Roman"/>
          <w:bCs/>
          <w:color w:val="000000" w:themeColor="text1"/>
          <w:sz w:val="24"/>
          <w:lang w:val="en-US" w:eastAsia="zh-CN"/>
          <w14:textFill>
            <w14:solidFill>
              <w14:schemeClr w14:val="tx1"/>
            </w14:solidFill>
          </w14:textFill>
        </w:rPr>
        <w:t>1</w:t>
      </w:r>
      <w:r>
        <w:rPr>
          <w:rFonts w:hint="default" w:ascii="Times New Roman" w:hAnsi="Times New Roman" w:eastAsia="黑体" w:cs="Times New Roman"/>
          <w:bCs/>
          <w:color w:val="000000" w:themeColor="text1"/>
          <w:sz w:val="24"/>
          <w14:textFill>
            <w14:solidFill>
              <w14:schemeClr w14:val="tx1"/>
            </w14:solidFill>
          </w14:textFill>
        </w:rPr>
        <w:t>-1</w:t>
      </w:r>
      <w:r>
        <w:rPr>
          <w:rFonts w:hint="eastAsia" w:ascii="Times New Roman" w:hAnsi="Times New Roman" w:eastAsia="黑体" w:cs="Times New Roman"/>
          <w:bCs/>
          <w:color w:val="000000" w:themeColor="text1"/>
          <w:sz w:val="24"/>
          <w:lang w:val="en-US" w:eastAsia="zh-CN"/>
          <w14:textFill>
            <w14:solidFill>
              <w14:schemeClr w14:val="tx1"/>
            </w14:solidFill>
          </w14:textFill>
        </w:rPr>
        <w:t xml:space="preserve">  </w:t>
      </w:r>
      <w:r>
        <w:rPr>
          <w:rFonts w:hint="default" w:ascii="Times New Roman" w:hAnsi="Times New Roman" w:eastAsia="黑体" w:cs="Times New Roman"/>
          <w:bCs/>
          <w:color w:val="000000" w:themeColor="text1"/>
          <w:sz w:val="24"/>
          <w14:textFill>
            <w14:solidFill>
              <w14:schemeClr w14:val="tx1"/>
            </w14:solidFill>
          </w14:textFill>
        </w:rPr>
        <w:t>项目废气收集及治理方式一览表</w:t>
      </w:r>
    </w:p>
    <w:tbl>
      <w:tblPr>
        <w:tblStyle w:val="88"/>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71"/>
        <w:gridCol w:w="1142"/>
        <w:gridCol w:w="1581"/>
        <w:gridCol w:w="1535"/>
        <w:gridCol w:w="1275"/>
        <w:gridCol w:w="2325"/>
      </w:tblGrid>
      <w:tr w14:paraId="4E7627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93" w:type="pct"/>
            <w:vAlign w:val="center"/>
          </w:tcPr>
          <w:p w14:paraId="00EDD572">
            <w:pPr>
              <w:spacing w:line="240"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产生位置</w:t>
            </w:r>
          </w:p>
        </w:tc>
        <w:tc>
          <w:tcPr>
            <w:tcW w:w="669" w:type="pct"/>
            <w:vAlign w:val="center"/>
          </w:tcPr>
          <w:p w14:paraId="40A69DCA">
            <w:pPr>
              <w:spacing w:line="240"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生产线名称</w:t>
            </w:r>
          </w:p>
        </w:tc>
        <w:tc>
          <w:tcPr>
            <w:tcW w:w="926" w:type="pct"/>
            <w:vAlign w:val="center"/>
          </w:tcPr>
          <w:p w14:paraId="5D68402C">
            <w:pPr>
              <w:spacing w:line="240"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污染源</w:t>
            </w:r>
          </w:p>
        </w:tc>
        <w:tc>
          <w:tcPr>
            <w:tcW w:w="899" w:type="pct"/>
            <w:vAlign w:val="center"/>
          </w:tcPr>
          <w:p w14:paraId="4F2D11FA">
            <w:pPr>
              <w:spacing w:line="240"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污染物</w:t>
            </w:r>
          </w:p>
        </w:tc>
        <w:tc>
          <w:tcPr>
            <w:tcW w:w="747" w:type="pct"/>
            <w:vAlign w:val="center"/>
          </w:tcPr>
          <w:p w14:paraId="7ABC5166">
            <w:pPr>
              <w:spacing w:line="240"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收集方式</w:t>
            </w:r>
          </w:p>
        </w:tc>
        <w:tc>
          <w:tcPr>
            <w:tcW w:w="1362" w:type="pct"/>
            <w:vAlign w:val="center"/>
          </w:tcPr>
          <w:p w14:paraId="5EB34048">
            <w:pPr>
              <w:spacing w:line="240"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治理设施</w:t>
            </w:r>
          </w:p>
        </w:tc>
      </w:tr>
      <w:tr w14:paraId="170A57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93" w:type="pct"/>
            <w:vAlign w:val="center"/>
          </w:tcPr>
          <w:p w14:paraId="7470AB32">
            <w:pPr>
              <w:spacing w:line="240"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1#厂房</w:t>
            </w:r>
          </w:p>
        </w:tc>
        <w:tc>
          <w:tcPr>
            <w:tcW w:w="669" w:type="pct"/>
            <w:vAlign w:val="center"/>
          </w:tcPr>
          <w:p w14:paraId="680FADF3">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cs="Times New Roman"/>
                <w:bCs/>
                <w:color w:val="000000" w:themeColor="text1"/>
                <w:sz w:val="21"/>
                <w:szCs w:val="21"/>
                <w:lang w:eastAsia="zh-CN"/>
                <w14:textFill>
                  <w14:solidFill>
                    <w14:schemeClr w14:val="tx1"/>
                  </w14:solidFill>
                </w14:textFill>
              </w:rPr>
              <w:t>改性粒子生产线</w:t>
            </w:r>
          </w:p>
        </w:tc>
        <w:tc>
          <w:tcPr>
            <w:tcW w:w="926" w:type="pct"/>
            <w:vAlign w:val="center"/>
          </w:tcPr>
          <w:p w14:paraId="354A31D3">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cs="Times New Roman"/>
                <w:bCs/>
                <w:color w:val="000000" w:themeColor="text1"/>
                <w:sz w:val="21"/>
                <w:szCs w:val="21"/>
                <w:lang w:eastAsia="zh-CN"/>
                <w14:textFill>
                  <w14:solidFill>
                    <w14:schemeClr w14:val="tx1"/>
                  </w14:solidFill>
                </w14:textFill>
              </w:rPr>
              <w:t>熔融挤出</w:t>
            </w:r>
          </w:p>
        </w:tc>
        <w:tc>
          <w:tcPr>
            <w:tcW w:w="899" w:type="pct"/>
            <w:vAlign w:val="center"/>
          </w:tcPr>
          <w:p w14:paraId="7F4CB386">
            <w:pPr>
              <w:spacing w:line="240"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非甲烷总烃</w:t>
            </w:r>
          </w:p>
        </w:tc>
        <w:tc>
          <w:tcPr>
            <w:tcW w:w="747" w:type="pct"/>
            <w:vAlign w:val="center"/>
          </w:tcPr>
          <w:p w14:paraId="1F5C470C">
            <w:pPr>
              <w:spacing w:line="240"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lang w:eastAsia="zh-CN"/>
                <w14:textFill>
                  <w14:solidFill>
                    <w14:schemeClr w14:val="tx1"/>
                  </w14:solidFill>
                </w14:textFill>
              </w:rPr>
              <w:t>区域封闭</w:t>
            </w:r>
            <w:r>
              <w:rPr>
                <w:rFonts w:hint="default" w:ascii="Times New Roman" w:hAnsi="Times New Roman" w:cs="Times New Roman"/>
                <w:bCs/>
                <w:color w:val="000000" w:themeColor="text1"/>
                <w:sz w:val="21"/>
                <w:szCs w:val="21"/>
                <w:lang w:val="en-US" w:eastAsia="zh-CN"/>
                <w14:textFill>
                  <w14:solidFill>
                    <w14:schemeClr w14:val="tx1"/>
                  </w14:solidFill>
                </w14:textFill>
              </w:rPr>
              <w:t>+</w:t>
            </w:r>
            <w:r>
              <w:rPr>
                <w:rFonts w:hint="default" w:ascii="Times New Roman" w:hAnsi="Times New Roman" w:cs="Times New Roman"/>
                <w:bCs/>
                <w:color w:val="000000" w:themeColor="text1"/>
                <w:sz w:val="21"/>
                <w:szCs w:val="21"/>
                <w14:textFill>
                  <w14:solidFill>
                    <w14:schemeClr w14:val="tx1"/>
                  </w14:solidFill>
                </w14:textFill>
              </w:rPr>
              <w:t>集气罩收集</w:t>
            </w:r>
          </w:p>
        </w:tc>
        <w:tc>
          <w:tcPr>
            <w:tcW w:w="1362" w:type="pct"/>
            <w:vMerge w:val="restart"/>
            <w:vAlign w:val="center"/>
          </w:tcPr>
          <w:p w14:paraId="2D98F7F0">
            <w:pPr>
              <w:spacing w:line="240"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lang w:eastAsia="zh-CN"/>
                <w14:textFill>
                  <w14:solidFill>
                    <w14:schemeClr w14:val="tx1"/>
                  </w14:solidFill>
                </w14:textFill>
              </w:rPr>
              <w:t>油烟净化器</w:t>
            </w:r>
            <w:r>
              <w:rPr>
                <w:rFonts w:hint="default" w:ascii="Times New Roman" w:hAnsi="Times New Roman" w:cs="Times New Roman"/>
                <w:bCs/>
                <w:color w:val="000000" w:themeColor="text1"/>
                <w:sz w:val="21"/>
                <w:szCs w:val="21"/>
                <w:lang w:val="en-US" w:eastAsia="zh-CN"/>
                <w14:textFill>
                  <w14:solidFill>
                    <w14:schemeClr w14:val="tx1"/>
                  </w14:solidFill>
                </w14:textFill>
              </w:rPr>
              <w:t>+</w:t>
            </w:r>
            <w:r>
              <w:rPr>
                <w:rFonts w:hint="default" w:ascii="Times New Roman" w:hAnsi="Times New Roman" w:cs="Times New Roman"/>
                <w:bCs/>
                <w:color w:val="000000" w:themeColor="text1"/>
                <w:sz w:val="21"/>
                <w:szCs w:val="21"/>
                <w14:textFill>
                  <w14:solidFill>
                    <w14:schemeClr w14:val="tx1"/>
                  </w14:solidFill>
                </w14:textFill>
              </w:rPr>
              <w:t>两级活性炭吸附装置＋1</w:t>
            </w:r>
            <w:r>
              <w:rPr>
                <w:rFonts w:hint="default" w:ascii="Times New Roman" w:hAnsi="Times New Roman" w:cs="Times New Roman"/>
                <w:bCs/>
                <w:color w:val="000000" w:themeColor="text1"/>
                <w:sz w:val="21"/>
                <w:szCs w:val="21"/>
                <w:lang w:val="en-US" w:eastAsia="zh-CN"/>
                <w14:textFill>
                  <w14:solidFill>
                    <w14:schemeClr w14:val="tx1"/>
                  </w14:solidFill>
                </w14:textFill>
              </w:rPr>
              <w:t>5</w:t>
            </w:r>
            <w:r>
              <w:rPr>
                <w:rFonts w:hint="default" w:ascii="Times New Roman" w:hAnsi="Times New Roman" w:cs="Times New Roman"/>
                <w:bCs/>
                <w:color w:val="000000" w:themeColor="text1"/>
                <w:sz w:val="21"/>
                <w:szCs w:val="21"/>
                <w14:textFill>
                  <w14:solidFill>
                    <w14:schemeClr w14:val="tx1"/>
                  </w14:solidFill>
                </w14:textFill>
              </w:rPr>
              <w:t>m高DA001排气筒</w:t>
            </w:r>
          </w:p>
        </w:tc>
      </w:tr>
      <w:tr w14:paraId="77F737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93" w:type="pct"/>
            <w:vMerge w:val="restart"/>
            <w:vAlign w:val="center"/>
          </w:tcPr>
          <w:p w14:paraId="7A10E53F">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2#厂房</w:t>
            </w:r>
          </w:p>
        </w:tc>
        <w:tc>
          <w:tcPr>
            <w:tcW w:w="669" w:type="pct"/>
            <w:tcBorders>
              <w:bottom w:val="single" w:color="auto" w:sz="4" w:space="0"/>
            </w:tcBorders>
            <w:vAlign w:val="center"/>
          </w:tcPr>
          <w:p w14:paraId="74A08E95">
            <w:pPr>
              <w:spacing w:line="240"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bCs/>
                <w:color w:val="000000" w:themeColor="text1"/>
                <w:sz w:val="21"/>
                <w:szCs w:val="21"/>
                <w:lang w:eastAsia="zh-CN"/>
                <w14:textFill>
                  <w14:solidFill>
                    <w14:schemeClr w14:val="tx1"/>
                  </w14:solidFill>
                </w14:textFill>
              </w:rPr>
              <w:t>废</w:t>
            </w:r>
            <w:r>
              <w:rPr>
                <w:rFonts w:hint="default" w:ascii="Times New Roman" w:hAnsi="Times New Roman" w:cs="Times New Roman"/>
                <w:bCs/>
                <w:color w:val="000000" w:themeColor="text1"/>
                <w:sz w:val="21"/>
                <w:szCs w:val="21"/>
                <w:lang w:eastAsia="zh-CN"/>
                <w14:textFill>
                  <w14:solidFill>
                    <w14:schemeClr w14:val="tx1"/>
                  </w14:solidFill>
                </w14:textFill>
              </w:rPr>
              <w:t>标签纸生产线</w:t>
            </w:r>
          </w:p>
        </w:tc>
        <w:tc>
          <w:tcPr>
            <w:tcW w:w="926" w:type="pct"/>
            <w:tcBorders>
              <w:bottom w:val="single" w:color="auto" w:sz="4" w:space="0"/>
            </w:tcBorders>
            <w:vAlign w:val="center"/>
          </w:tcPr>
          <w:p w14:paraId="213ABF5A">
            <w:pPr>
              <w:spacing w:line="240" w:lineRule="auto"/>
              <w:ind w:left="14" w:leftChars="7"/>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高温分选</w:t>
            </w:r>
            <w:r>
              <w:rPr>
                <w:rFonts w:hint="default" w:ascii="Times New Roman" w:hAnsi="Times New Roman" w:cs="Times New Roman"/>
                <w:color w:val="000000" w:themeColor="text1"/>
                <w:sz w:val="21"/>
                <w:szCs w:val="21"/>
                <w14:textFill>
                  <w14:solidFill>
                    <w14:schemeClr w14:val="tx1"/>
                  </w14:solidFill>
                </w14:textFill>
              </w:rPr>
              <w:t>废气</w:t>
            </w:r>
          </w:p>
        </w:tc>
        <w:tc>
          <w:tcPr>
            <w:tcW w:w="899" w:type="pct"/>
            <w:vAlign w:val="center"/>
          </w:tcPr>
          <w:p w14:paraId="05FEB46A">
            <w:pPr>
              <w:spacing w:line="240" w:lineRule="auto"/>
              <w:jc w:val="center"/>
              <w:rPr>
                <w:rFonts w:hint="default" w:ascii="Times New Roman" w:hAnsi="Times New Roman" w:cs="Times New Roman"/>
                <w:color w:val="000000" w:themeColor="text1"/>
                <w:spacing w:val="-8"/>
                <w:kern w:val="2"/>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非甲烷总烃</w:t>
            </w:r>
          </w:p>
        </w:tc>
        <w:tc>
          <w:tcPr>
            <w:tcW w:w="747" w:type="pct"/>
            <w:vAlign w:val="center"/>
          </w:tcPr>
          <w:p w14:paraId="657BFA6A">
            <w:pPr>
              <w:spacing w:line="240"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8"/>
                <w:kern w:val="2"/>
                <w:sz w:val="21"/>
                <w:szCs w:val="21"/>
                <w:lang w:eastAsia="zh-CN"/>
                <w14:textFill>
                  <w14:solidFill>
                    <w14:schemeClr w14:val="tx1"/>
                  </w14:solidFill>
                </w14:textFill>
              </w:rPr>
              <w:t>设备密闭</w:t>
            </w:r>
            <w:r>
              <w:rPr>
                <w:rFonts w:hint="default" w:ascii="Times New Roman" w:hAnsi="Times New Roman" w:cs="Times New Roman"/>
                <w:color w:val="000000" w:themeColor="text1"/>
                <w:spacing w:val="-8"/>
                <w:kern w:val="2"/>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8"/>
                <w:kern w:val="2"/>
                <w:sz w:val="21"/>
                <w:szCs w:val="21"/>
                <w:lang w:eastAsia="zh-CN"/>
                <w14:textFill>
                  <w14:solidFill>
                    <w14:schemeClr w14:val="tx1"/>
                  </w14:solidFill>
                </w14:textFill>
              </w:rPr>
              <w:t>集气罩</w:t>
            </w:r>
            <w:r>
              <w:rPr>
                <w:rFonts w:hint="default" w:ascii="Times New Roman" w:hAnsi="Times New Roman" w:cs="Times New Roman"/>
                <w:color w:val="000000" w:themeColor="text1"/>
                <w:spacing w:val="-8"/>
                <w:kern w:val="2"/>
                <w:sz w:val="21"/>
                <w:szCs w:val="21"/>
                <w14:textFill>
                  <w14:solidFill>
                    <w14:schemeClr w14:val="tx1"/>
                  </w14:solidFill>
                </w14:textFill>
              </w:rPr>
              <w:t>收集</w:t>
            </w:r>
          </w:p>
        </w:tc>
        <w:tc>
          <w:tcPr>
            <w:tcW w:w="1362" w:type="pct"/>
            <w:vMerge w:val="continue"/>
            <w:vAlign w:val="center"/>
          </w:tcPr>
          <w:p w14:paraId="09901160">
            <w:pPr>
              <w:spacing w:line="240" w:lineRule="auto"/>
              <w:jc w:val="center"/>
              <w:rPr>
                <w:rFonts w:hint="default" w:ascii="Times New Roman" w:hAnsi="Times New Roman" w:cs="Times New Roman"/>
                <w:bCs/>
                <w:color w:val="000000" w:themeColor="text1"/>
                <w:sz w:val="21"/>
                <w:szCs w:val="21"/>
                <w14:textFill>
                  <w14:solidFill>
                    <w14:schemeClr w14:val="tx1"/>
                  </w14:solidFill>
                </w14:textFill>
              </w:rPr>
            </w:pPr>
          </w:p>
        </w:tc>
      </w:tr>
      <w:tr w14:paraId="3A4A40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93" w:type="pct"/>
            <w:vMerge w:val="continue"/>
            <w:vAlign w:val="center"/>
          </w:tcPr>
          <w:p w14:paraId="6C8D9D1F">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69" w:type="pct"/>
            <w:vMerge w:val="restart"/>
            <w:tcBorders>
              <w:top w:val="single" w:color="auto" w:sz="4" w:space="0"/>
            </w:tcBorders>
            <w:vAlign w:val="center"/>
          </w:tcPr>
          <w:p w14:paraId="516C7909">
            <w:pPr>
              <w:spacing w:line="240" w:lineRule="auto"/>
              <w:ind w:left="14" w:leftChars="7"/>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废</w:t>
            </w:r>
            <w:r>
              <w:rPr>
                <w:rFonts w:hint="default" w:ascii="Times New Roman" w:hAnsi="Times New Roman" w:cs="Times New Roman"/>
                <w:color w:val="000000" w:themeColor="text1"/>
                <w:sz w:val="21"/>
                <w:szCs w:val="21"/>
                <w:lang w:eastAsia="zh-CN"/>
                <w14:textFill>
                  <w14:solidFill>
                    <w14:schemeClr w14:val="tx1"/>
                  </w14:solidFill>
                </w14:textFill>
              </w:rPr>
              <w:t>标签纸</w:t>
            </w:r>
            <w:r>
              <w:rPr>
                <w:rFonts w:hint="default" w:ascii="Times New Roman" w:hAnsi="Times New Roman" w:cs="Times New Roman"/>
                <w:color w:val="000000" w:themeColor="text1"/>
                <w:sz w:val="21"/>
                <w:szCs w:val="21"/>
                <w14:textFill>
                  <w14:solidFill>
                    <w14:schemeClr w14:val="tx1"/>
                  </w14:solidFill>
                </w14:textFill>
              </w:rPr>
              <w:t>生产线</w:t>
            </w:r>
          </w:p>
        </w:tc>
        <w:tc>
          <w:tcPr>
            <w:tcW w:w="926" w:type="pct"/>
            <w:tcBorders>
              <w:top w:val="single" w:color="auto" w:sz="4" w:space="0"/>
            </w:tcBorders>
            <w:vAlign w:val="center"/>
          </w:tcPr>
          <w:p w14:paraId="058B24A8">
            <w:pPr>
              <w:spacing w:line="240"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磨粉废气</w:t>
            </w:r>
          </w:p>
        </w:tc>
        <w:tc>
          <w:tcPr>
            <w:tcW w:w="899" w:type="pct"/>
            <w:vAlign w:val="center"/>
          </w:tcPr>
          <w:p w14:paraId="144DDD63">
            <w:pPr>
              <w:spacing w:line="240"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颗粒物</w:t>
            </w:r>
          </w:p>
        </w:tc>
        <w:tc>
          <w:tcPr>
            <w:tcW w:w="747" w:type="pct"/>
            <w:vAlign w:val="center"/>
          </w:tcPr>
          <w:p w14:paraId="2CDBE2E0">
            <w:pPr>
              <w:spacing w:line="240"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8"/>
                <w:kern w:val="2"/>
                <w:sz w:val="21"/>
                <w:szCs w:val="21"/>
                <w:lang w:eastAsia="zh-CN"/>
                <w14:textFill>
                  <w14:solidFill>
                    <w14:schemeClr w14:val="tx1"/>
                  </w14:solidFill>
                </w14:textFill>
              </w:rPr>
              <w:t>设备密闭</w:t>
            </w:r>
            <w:r>
              <w:rPr>
                <w:rFonts w:hint="default" w:ascii="Times New Roman" w:hAnsi="Times New Roman" w:cs="Times New Roman"/>
                <w:color w:val="000000" w:themeColor="text1"/>
                <w:spacing w:val="-8"/>
                <w:kern w:val="2"/>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8"/>
                <w:kern w:val="2"/>
                <w:sz w:val="21"/>
                <w:szCs w:val="21"/>
                <w:lang w:eastAsia="zh-CN"/>
                <w14:textFill>
                  <w14:solidFill>
                    <w14:schemeClr w14:val="tx1"/>
                  </w14:solidFill>
                </w14:textFill>
              </w:rPr>
              <w:t>集气罩</w:t>
            </w:r>
            <w:r>
              <w:rPr>
                <w:rFonts w:hint="default" w:ascii="Times New Roman" w:hAnsi="Times New Roman" w:cs="Times New Roman"/>
                <w:color w:val="000000" w:themeColor="text1"/>
                <w:spacing w:val="-8"/>
                <w:kern w:val="2"/>
                <w:sz w:val="21"/>
                <w:szCs w:val="21"/>
                <w14:textFill>
                  <w14:solidFill>
                    <w14:schemeClr w14:val="tx1"/>
                  </w14:solidFill>
                </w14:textFill>
              </w:rPr>
              <w:t>收集</w:t>
            </w:r>
          </w:p>
        </w:tc>
        <w:tc>
          <w:tcPr>
            <w:tcW w:w="1362" w:type="pct"/>
            <w:vMerge w:val="restart"/>
            <w:vAlign w:val="center"/>
          </w:tcPr>
          <w:p w14:paraId="39284D68">
            <w:pPr>
              <w:spacing w:line="240"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布袋除尘器</w:t>
            </w:r>
            <w:r>
              <w:rPr>
                <w:rFonts w:hint="default" w:ascii="Times New Roman" w:hAnsi="Times New Roman" w:cs="Times New Roman"/>
                <w:bCs/>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lang w:val="en-US" w:eastAsia="zh-CN"/>
                <w14:textFill>
                  <w14:solidFill>
                    <w14:schemeClr w14:val="tx1"/>
                  </w14:solidFill>
                </w14:textFill>
              </w:rPr>
              <w:t>1</w:t>
            </w:r>
            <w:r>
              <w:rPr>
                <w:rFonts w:hint="default" w:ascii="Times New Roman" w:hAnsi="Times New Roman" w:cs="Times New Roman"/>
                <w:bCs/>
                <w:color w:val="000000" w:themeColor="text1"/>
                <w:sz w:val="21"/>
                <w:szCs w:val="21"/>
                <w14:textFill>
                  <w14:solidFill>
                    <w14:schemeClr w14:val="tx1"/>
                  </w14:solidFill>
                </w14:textFill>
              </w:rPr>
              <w:t>5m高DA00</w:t>
            </w:r>
            <w:r>
              <w:rPr>
                <w:rFonts w:hint="default" w:ascii="Times New Roman" w:hAnsi="Times New Roman" w:cs="Times New Roman"/>
                <w:bCs/>
                <w:color w:val="000000" w:themeColor="text1"/>
                <w:sz w:val="21"/>
                <w:szCs w:val="21"/>
                <w:lang w:val="en-US" w:eastAsia="zh-CN"/>
                <w14:textFill>
                  <w14:solidFill>
                    <w14:schemeClr w14:val="tx1"/>
                  </w14:solidFill>
                </w14:textFill>
              </w:rPr>
              <w:t>2</w:t>
            </w:r>
            <w:r>
              <w:rPr>
                <w:rFonts w:hint="default" w:ascii="Times New Roman" w:hAnsi="Times New Roman" w:cs="Times New Roman"/>
                <w:bCs/>
                <w:color w:val="000000" w:themeColor="text1"/>
                <w:sz w:val="21"/>
                <w:szCs w:val="21"/>
                <w14:textFill>
                  <w14:solidFill>
                    <w14:schemeClr w14:val="tx1"/>
                  </w14:solidFill>
                </w14:textFill>
              </w:rPr>
              <w:t>排气筒</w:t>
            </w:r>
          </w:p>
        </w:tc>
      </w:tr>
      <w:tr w14:paraId="652F3A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93" w:type="pct"/>
            <w:vMerge w:val="continue"/>
            <w:vAlign w:val="center"/>
          </w:tcPr>
          <w:p w14:paraId="66C94079">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69" w:type="pct"/>
            <w:vMerge w:val="continue"/>
            <w:vAlign w:val="center"/>
          </w:tcPr>
          <w:p w14:paraId="7DBB518E">
            <w:pPr>
              <w:spacing w:line="240" w:lineRule="auto"/>
              <w:ind w:left="14" w:leftChars="7"/>
              <w:jc w:val="center"/>
              <w:rPr>
                <w:rFonts w:hint="default" w:ascii="Times New Roman" w:hAnsi="Times New Roman" w:cs="Times New Roman"/>
                <w:color w:val="000000" w:themeColor="text1"/>
                <w:sz w:val="21"/>
                <w:szCs w:val="21"/>
                <w:lang w:eastAsia="zh-CN"/>
                <w14:textFill>
                  <w14:solidFill>
                    <w14:schemeClr w14:val="tx1"/>
                  </w14:solidFill>
                </w14:textFill>
              </w:rPr>
            </w:pPr>
          </w:p>
        </w:tc>
        <w:tc>
          <w:tcPr>
            <w:tcW w:w="926" w:type="pct"/>
            <w:tcBorders>
              <w:top w:val="single" w:color="auto" w:sz="4" w:space="0"/>
            </w:tcBorders>
            <w:vAlign w:val="center"/>
          </w:tcPr>
          <w:p w14:paraId="4E0F2B1A">
            <w:pPr>
              <w:spacing w:line="240" w:lineRule="auto"/>
              <w:ind w:left="14" w:leftChars="7"/>
              <w:jc w:val="center"/>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拆包废气</w:t>
            </w:r>
          </w:p>
        </w:tc>
        <w:tc>
          <w:tcPr>
            <w:tcW w:w="899" w:type="pct"/>
            <w:vAlign w:val="center"/>
          </w:tcPr>
          <w:p w14:paraId="6F312CAF">
            <w:pPr>
              <w:spacing w:line="240"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颗粒物</w:t>
            </w:r>
          </w:p>
        </w:tc>
        <w:tc>
          <w:tcPr>
            <w:tcW w:w="747" w:type="pct"/>
            <w:vAlign w:val="center"/>
          </w:tcPr>
          <w:p w14:paraId="104435DA">
            <w:pPr>
              <w:spacing w:line="240"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8"/>
                <w:kern w:val="2"/>
                <w:sz w:val="21"/>
                <w:szCs w:val="21"/>
                <w:lang w:eastAsia="zh-CN"/>
                <w14:textFill>
                  <w14:solidFill>
                    <w14:schemeClr w14:val="tx1"/>
                  </w14:solidFill>
                </w14:textFill>
              </w:rPr>
              <w:t>软帘</w:t>
            </w:r>
            <w:r>
              <w:rPr>
                <w:rFonts w:hint="default" w:ascii="Times New Roman" w:hAnsi="Times New Roman" w:cs="Times New Roman"/>
                <w:color w:val="000000" w:themeColor="text1"/>
                <w:spacing w:val="-8"/>
                <w:kern w:val="2"/>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8"/>
                <w:kern w:val="2"/>
                <w:sz w:val="21"/>
                <w:szCs w:val="21"/>
                <w:lang w:eastAsia="zh-CN"/>
                <w14:textFill>
                  <w14:solidFill>
                    <w14:schemeClr w14:val="tx1"/>
                  </w14:solidFill>
                </w14:textFill>
              </w:rPr>
              <w:t>集气罩</w:t>
            </w:r>
            <w:r>
              <w:rPr>
                <w:rFonts w:hint="default" w:ascii="Times New Roman" w:hAnsi="Times New Roman" w:cs="Times New Roman"/>
                <w:color w:val="000000" w:themeColor="text1"/>
                <w:spacing w:val="-8"/>
                <w:kern w:val="2"/>
                <w:sz w:val="21"/>
                <w:szCs w:val="21"/>
                <w14:textFill>
                  <w14:solidFill>
                    <w14:schemeClr w14:val="tx1"/>
                  </w14:solidFill>
                </w14:textFill>
              </w:rPr>
              <w:t>收集</w:t>
            </w:r>
          </w:p>
        </w:tc>
        <w:tc>
          <w:tcPr>
            <w:tcW w:w="1362" w:type="pct"/>
            <w:vMerge w:val="continue"/>
            <w:vAlign w:val="center"/>
          </w:tcPr>
          <w:p w14:paraId="7E6560FB">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6FCDEF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93" w:type="pct"/>
            <w:vMerge w:val="continue"/>
            <w:vAlign w:val="center"/>
          </w:tcPr>
          <w:p w14:paraId="76117F82">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69" w:type="pct"/>
            <w:vAlign w:val="center"/>
          </w:tcPr>
          <w:p w14:paraId="17A5A7F4">
            <w:pPr>
              <w:spacing w:line="240" w:lineRule="auto"/>
              <w:ind w:left="14" w:leftChars="7"/>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PET瓶片生产线</w:t>
            </w:r>
          </w:p>
        </w:tc>
        <w:tc>
          <w:tcPr>
            <w:tcW w:w="926" w:type="pct"/>
            <w:vAlign w:val="center"/>
          </w:tcPr>
          <w:p w14:paraId="264A5207">
            <w:pPr>
              <w:spacing w:line="240"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拆包废气</w:t>
            </w:r>
          </w:p>
        </w:tc>
        <w:tc>
          <w:tcPr>
            <w:tcW w:w="899" w:type="pct"/>
            <w:vAlign w:val="center"/>
          </w:tcPr>
          <w:p w14:paraId="30504528">
            <w:pPr>
              <w:spacing w:line="240"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颗粒物</w:t>
            </w:r>
          </w:p>
        </w:tc>
        <w:tc>
          <w:tcPr>
            <w:tcW w:w="747" w:type="pct"/>
            <w:vAlign w:val="center"/>
          </w:tcPr>
          <w:p w14:paraId="3FE85BAC">
            <w:pPr>
              <w:spacing w:line="240"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pacing w:val="-8"/>
                <w:kern w:val="2"/>
                <w:sz w:val="21"/>
                <w:szCs w:val="21"/>
                <w:lang w:eastAsia="zh-CN"/>
                <w14:textFill>
                  <w14:solidFill>
                    <w14:schemeClr w14:val="tx1"/>
                  </w14:solidFill>
                </w14:textFill>
              </w:rPr>
              <w:t>软帘</w:t>
            </w:r>
            <w:r>
              <w:rPr>
                <w:rFonts w:hint="default" w:ascii="Times New Roman" w:hAnsi="Times New Roman" w:cs="Times New Roman"/>
                <w:color w:val="000000" w:themeColor="text1"/>
                <w:spacing w:val="-8"/>
                <w:kern w:val="2"/>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8"/>
                <w:kern w:val="2"/>
                <w:sz w:val="21"/>
                <w:szCs w:val="21"/>
                <w:lang w:eastAsia="zh-CN"/>
                <w14:textFill>
                  <w14:solidFill>
                    <w14:schemeClr w14:val="tx1"/>
                  </w14:solidFill>
                </w14:textFill>
              </w:rPr>
              <w:t>集气罩</w:t>
            </w:r>
            <w:r>
              <w:rPr>
                <w:rFonts w:hint="default" w:ascii="Times New Roman" w:hAnsi="Times New Roman" w:cs="Times New Roman"/>
                <w:color w:val="000000" w:themeColor="text1"/>
                <w:spacing w:val="-8"/>
                <w:kern w:val="2"/>
                <w:sz w:val="21"/>
                <w:szCs w:val="21"/>
                <w14:textFill>
                  <w14:solidFill>
                    <w14:schemeClr w14:val="tx1"/>
                  </w14:solidFill>
                </w14:textFill>
              </w:rPr>
              <w:t>收集</w:t>
            </w:r>
          </w:p>
        </w:tc>
        <w:tc>
          <w:tcPr>
            <w:tcW w:w="1362" w:type="pct"/>
            <w:vMerge w:val="continue"/>
            <w:vAlign w:val="center"/>
          </w:tcPr>
          <w:p w14:paraId="234129C7">
            <w:pPr>
              <w:spacing w:line="240" w:lineRule="auto"/>
              <w:jc w:val="center"/>
              <w:rPr>
                <w:rFonts w:hint="default" w:ascii="Times New Roman" w:hAnsi="Times New Roman" w:cs="Times New Roman"/>
                <w:bCs/>
                <w:color w:val="000000" w:themeColor="text1"/>
                <w:sz w:val="21"/>
                <w:szCs w:val="21"/>
                <w14:textFill>
                  <w14:solidFill>
                    <w14:schemeClr w14:val="tx1"/>
                  </w14:solidFill>
                </w14:textFill>
              </w:rPr>
            </w:pPr>
          </w:p>
        </w:tc>
      </w:tr>
      <w:tr w14:paraId="6AA753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93" w:type="pct"/>
            <w:vMerge w:val="restart"/>
            <w:vAlign w:val="center"/>
          </w:tcPr>
          <w:p w14:paraId="2CD507F9">
            <w:pPr>
              <w:spacing w:line="240"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污水站</w:t>
            </w:r>
          </w:p>
        </w:tc>
        <w:tc>
          <w:tcPr>
            <w:tcW w:w="669" w:type="pct"/>
            <w:vMerge w:val="restart"/>
            <w:vAlign w:val="center"/>
          </w:tcPr>
          <w:p w14:paraId="6FC10641">
            <w:pPr>
              <w:spacing w:line="240"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污水处理</w:t>
            </w:r>
          </w:p>
        </w:tc>
        <w:tc>
          <w:tcPr>
            <w:tcW w:w="926" w:type="pct"/>
            <w:vMerge w:val="restart"/>
            <w:vAlign w:val="center"/>
          </w:tcPr>
          <w:p w14:paraId="54E3731C">
            <w:pPr>
              <w:spacing w:line="240" w:lineRule="auto"/>
              <w:ind w:left="14"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污水处理废气</w:t>
            </w:r>
          </w:p>
        </w:tc>
        <w:tc>
          <w:tcPr>
            <w:tcW w:w="899" w:type="pct"/>
            <w:vAlign w:val="center"/>
          </w:tcPr>
          <w:p w14:paraId="41E69585">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cs="Times New Roman"/>
                <w:bCs/>
                <w:color w:val="000000" w:themeColor="text1"/>
                <w:sz w:val="21"/>
                <w:szCs w:val="21"/>
                <w:lang w:eastAsia="zh-CN"/>
                <w14:textFill>
                  <w14:solidFill>
                    <w14:schemeClr w14:val="tx1"/>
                  </w14:solidFill>
                </w14:textFill>
              </w:rPr>
              <w:t>硫化氢</w:t>
            </w:r>
          </w:p>
        </w:tc>
        <w:tc>
          <w:tcPr>
            <w:tcW w:w="747" w:type="pct"/>
            <w:vMerge w:val="restart"/>
            <w:vAlign w:val="center"/>
          </w:tcPr>
          <w:p w14:paraId="524D555D">
            <w:pPr>
              <w:spacing w:line="240"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eastAsia="zh-CN"/>
                <w14:textFill>
                  <w14:solidFill>
                    <w14:schemeClr w14:val="tx1"/>
                  </w14:solidFill>
                </w14:textFill>
              </w:rPr>
              <w:t>封闭负压</w:t>
            </w:r>
            <w:r>
              <w:rPr>
                <w:rFonts w:hint="default" w:ascii="Times New Roman" w:hAnsi="Times New Roman" w:cs="Times New Roman"/>
                <w:bCs/>
                <w:color w:val="000000" w:themeColor="text1"/>
                <w:sz w:val="21"/>
                <w:szCs w:val="21"/>
                <w:lang w:val="en-US" w:eastAsia="zh-CN"/>
                <w14:textFill>
                  <w14:solidFill>
                    <w14:schemeClr w14:val="tx1"/>
                  </w14:solidFill>
                </w14:textFill>
              </w:rPr>
              <w:t>+集气管道</w:t>
            </w:r>
          </w:p>
        </w:tc>
        <w:tc>
          <w:tcPr>
            <w:tcW w:w="1362" w:type="pct"/>
            <w:vMerge w:val="restart"/>
            <w:vAlign w:val="center"/>
          </w:tcPr>
          <w:p w14:paraId="5DE9CA18">
            <w:pPr>
              <w:spacing w:line="240"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两级活性炭吸附装置</w:t>
            </w:r>
            <w:r>
              <w:rPr>
                <w:rFonts w:hint="default" w:ascii="Times New Roman" w:hAnsi="Times New Roman" w:cs="Times New Roman"/>
                <w:bCs/>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lang w:val="en-US" w:eastAsia="zh-CN"/>
                <w14:textFill>
                  <w14:solidFill>
                    <w14:schemeClr w14:val="tx1"/>
                  </w14:solidFill>
                </w14:textFill>
              </w:rPr>
              <w:t>1</w:t>
            </w:r>
            <w:r>
              <w:rPr>
                <w:rFonts w:hint="default" w:ascii="Times New Roman" w:hAnsi="Times New Roman" w:cs="Times New Roman"/>
                <w:bCs/>
                <w:color w:val="000000" w:themeColor="text1"/>
                <w:sz w:val="21"/>
                <w:szCs w:val="21"/>
                <w14:textFill>
                  <w14:solidFill>
                    <w14:schemeClr w14:val="tx1"/>
                  </w14:solidFill>
                </w14:textFill>
              </w:rPr>
              <w:t>5m高DA00</w:t>
            </w:r>
            <w:r>
              <w:rPr>
                <w:rFonts w:hint="default" w:ascii="Times New Roman" w:hAnsi="Times New Roman" w:cs="Times New Roman"/>
                <w:bCs/>
                <w:color w:val="000000" w:themeColor="text1"/>
                <w:sz w:val="21"/>
                <w:szCs w:val="21"/>
                <w:lang w:val="en-US" w:eastAsia="zh-CN"/>
                <w14:textFill>
                  <w14:solidFill>
                    <w14:schemeClr w14:val="tx1"/>
                  </w14:solidFill>
                </w14:textFill>
              </w:rPr>
              <w:t>3</w:t>
            </w:r>
            <w:r>
              <w:rPr>
                <w:rFonts w:hint="default" w:ascii="Times New Roman" w:hAnsi="Times New Roman" w:cs="Times New Roman"/>
                <w:bCs/>
                <w:color w:val="000000" w:themeColor="text1"/>
                <w:sz w:val="21"/>
                <w:szCs w:val="21"/>
                <w14:textFill>
                  <w14:solidFill>
                    <w14:schemeClr w14:val="tx1"/>
                  </w14:solidFill>
                </w14:textFill>
              </w:rPr>
              <w:t>排气筒</w:t>
            </w:r>
          </w:p>
        </w:tc>
      </w:tr>
      <w:tr w14:paraId="78014B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93" w:type="pct"/>
            <w:vMerge w:val="continue"/>
            <w:vAlign w:val="center"/>
          </w:tcPr>
          <w:p w14:paraId="61C50B34">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69" w:type="pct"/>
            <w:vMerge w:val="continue"/>
            <w:vAlign w:val="center"/>
          </w:tcPr>
          <w:p w14:paraId="0964F3E9">
            <w:pPr>
              <w:spacing w:line="240" w:lineRule="auto"/>
              <w:ind w:left="14" w:leftChars="7"/>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c>
          <w:tcPr>
            <w:tcW w:w="926" w:type="pct"/>
            <w:vMerge w:val="continue"/>
            <w:vAlign w:val="center"/>
          </w:tcPr>
          <w:p w14:paraId="7A6B2236">
            <w:pPr>
              <w:spacing w:line="240" w:lineRule="auto"/>
              <w:ind w:left="14" w:leftChars="7"/>
              <w:jc w:val="center"/>
              <w:rPr>
                <w:rFonts w:hint="default" w:ascii="Times New Roman" w:hAnsi="Times New Roman" w:cs="Times New Roman"/>
                <w:color w:val="000000" w:themeColor="text1"/>
                <w:sz w:val="21"/>
                <w:szCs w:val="21"/>
                <w14:textFill>
                  <w14:solidFill>
                    <w14:schemeClr w14:val="tx1"/>
                  </w14:solidFill>
                </w14:textFill>
              </w:rPr>
            </w:pPr>
          </w:p>
        </w:tc>
        <w:tc>
          <w:tcPr>
            <w:tcW w:w="899" w:type="pct"/>
            <w:vAlign w:val="center"/>
          </w:tcPr>
          <w:p w14:paraId="1767C98C">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cs="Times New Roman"/>
                <w:bCs/>
                <w:color w:val="000000" w:themeColor="text1"/>
                <w:sz w:val="21"/>
                <w:szCs w:val="21"/>
                <w:lang w:eastAsia="zh-CN"/>
                <w14:textFill>
                  <w14:solidFill>
                    <w14:schemeClr w14:val="tx1"/>
                  </w14:solidFill>
                </w14:textFill>
              </w:rPr>
              <w:t>氨</w:t>
            </w:r>
          </w:p>
        </w:tc>
        <w:tc>
          <w:tcPr>
            <w:tcW w:w="747" w:type="pct"/>
            <w:vMerge w:val="continue"/>
            <w:vAlign w:val="center"/>
          </w:tcPr>
          <w:p w14:paraId="43FDC400">
            <w:pPr>
              <w:spacing w:line="240" w:lineRule="auto"/>
              <w:jc w:val="center"/>
              <w:rPr>
                <w:rFonts w:hint="default" w:ascii="Times New Roman" w:hAnsi="Times New Roman" w:cs="Times New Roman"/>
                <w:bCs/>
                <w:color w:val="000000" w:themeColor="text1"/>
                <w:sz w:val="21"/>
                <w:szCs w:val="21"/>
                <w14:textFill>
                  <w14:solidFill>
                    <w14:schemeClr w14:val="tx1"/>
                  </w14:solidFill>
                </w14:textFill>
              </w:rPr>
            </w:pPr>
          </w:p>
        </w:tc>
        <w:tc>
          <w:tcPr>
            <w:tcW w:w="1362" w:type="pct"/>
            <w:vMerge w:val="continue"/>
            <w:vAlign w:val="center"/>
          </w:tcPr>
          <w:p w14:paraId="39379D88">
            <w:pPr>
              <w:spacing w:line="240" w:lineRule="auto"/>
              <w:jc w:val="center"/>
              <w:rPr>
                <w:rFonts w:hint="default" w:ascii="Times New Roman" w:hAnsi="Times New Roman" w:cs="Times New Roman"/>
                <w:bCs/>
                <w:color w:val="000000" w:themeColor="text1"/>
                <w:sz w:val="21"/>
                <w:szCs w:val="21"/>
                <w14:textFill>
                  <w14:solidFill>
                    <w14:schemeClr w14:val="tx1"/>
                  </w14:solidFill>
                </w14:textFill>
              </w:rPr>
            </w:pPr>
          </w:p>
        </w:tc>
      </w:tr>
    </w:tbl>
    <w:p w14:paraId="1C66288E">
      <w:pPr>
        <w:adjustRightInd w:val="0"/>
        <w:snapToGrid w:val="0"/>
        <w:contextualSpacing/>
        <w:jc w:val="both"/>
        <w:rPr>
          <w:rFonts w:ascii="Times New Roman" w:hAnsi="Times New Roman" w:cs="Times New Roman"/>
          <w:b/>
          <w:bCs/>
          <w:color w:val="000000" w:themeColor="text1"/>
          <w:sz w:val="21"/>
          <w:szCs w:val="21"/>
          <w14:textFill>
            <w14:solidFill>
              <w14:schemeClr w14:val="tx1"/>
            </w14:solidFill>
          </w14:textFill>
        </w:rPr>
      </w:pPr>
      <w:bookmarkStart w:id="211" w:name="_Toc133214599"/>
      <w:bookmarkStart w:id="212" w:name="_Toc133333756"/>
    </w:p>
    <w:p w14:paraId="340F5984">
      <w:pPr>
        <w:adjustRightInd w:val="0"/>
        <w:snapToGrid w:val="0"/>
        <w:contextualSpacing/>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object>
          <v:shape id="_x0000_i1026" o:spt="75" type="#_x0000_t75" style="height:145.95pt;width:414.8pt;" o:ole="t" filled="f" o:preferrelative="t" stroked="f" coordsize="21600,21600">
            <v:path/>
            <v:fill on="f" focussize="0,0"/>
            <v:stroke on="f"/>
            <v:imagedata r:id="rId76" o:title=""/>
            <o:lock v:ext="edit" aspectratio="f"/>
            <w10:wrap type="none"/>
            <w10:anchorlock/>
          </v:shape>
          <o:OLEObject Type="Embed" ProgID="Visio.Drawing.11" ShapeID="_x0000_i1026" DrawAspect="Content" ObjectID="_1468075727" r:id="rId75">
            <o:LockedField>false</o:LockedField>
          </o:OLEObject>
        </w:object>
      </w:r>
    </w:p>
    <w:p w14:paraId="56BD750E">
      <w:pPr>
        <w:adjustRightInd w:val="0"/>
        <w:snapToGrid w:val="0"/>
        <w:contextualSpacing/>
        <w:jc w:val="center"/>
        <w:rPr>
          <w:rFonts w:ascii="Times New Roman" w:hAnsi="Times New Roman" w:cs="Times New Roman"/>
          <w:b/>
          <w:bCs/>
          <w:color w:val="000000" w:themeColor="text1"/>
          <w:sz w:val="21"/>
          <w:szCs w:val="21"/>
          <w14:textFill>
            <w14:solidFill>
              <w14:schemeClr w14:val="tx1"/>
            </w14:solidFill>
          </w14:textFill>
        </w:rPr>
      </w:pPr>
    </w:p>
    <w:p w14:paraId="20BBE8ED">
      <w:pPr>
        <w:adjustRightInd w:val="0"/>
        <w:snapToGrid w:val="0"/>
        <w:contextualSpacing/>
        <w:jc w:val="center"/>
        <w:rPr>
          <w:rFonts w:hint="default" w:ascii="Times New Roman" w:hAnsi="Times New Roman" w:cs="Times New Roman"/>
          <w:bCs/>
          <w:color w:val="000000" w:themeColor="text1"/>
          <w:sz w:val="24"/>
          <w:lang w:val="en-US" w:eastAsia="zh-CN"/>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图6.</w:t>
      </w:r>
      <w:r>
        <w:rPr>
          <w:rFonts w:hint="eastAsia" w:ascii="Times New Roman" w:hAnsi="Times New Roman" w:cs="Times New Roman"/>
          <w:b/>
          <w:bCs/>
          <w:color w:val="000000" w:themeColor="text1"/>
          <w:sz w:val="21"/>
          <w:szCs w:val="21"/>
          <w14:textFill>
            <w14:solidFill>
              <w14:schemeClr w14:val="tx1"/>
            </w14:solidFill>
          </w14:textFill>
        </w:rPr>
        <w:t>2</w:t>
      </w:r>
      <w:r>
        <w:rPr>
          <w:rFonts w:ascii="Times New Roman" w:hAnsi="Times New Roman" w:cs="Times New Roman"/>
          <w:b/>
          <w:bCs/>
          <w:color w:val="000000" w:themeColor="text1"/>
          <w:sz w:val="21"/>
          <w:szCs w:val="21"/>
          <w14:textFill>
            <w14:solidFill>
              <w14:schemeClr w14:val="tx1"/>
            </w14:solidFill>
          </w14:textFill>
        </w:rPr>
        <w:t>-1</w:t>
      </w:r>
      <w:r>
        <w:rPr>
          <w:rFonts w:hint="eastAsia" w:ascii="Times New Roman" w:hAnsi="Times New Roman" w:cs="Times New Roman"/>
          <w:b/>
          <w:bCs/>
          <w:color w:val="000000" w:themeColor="text1"/>
          <w:sz w:val="21"/>
          <w:szCs w:val="21"/>
          <w14:textFill>
            <w14:solidFill>
              <w14:schemeClr w14:val="tx1"/>
            </w14:solidFill>
          </w14:textFill>
        </w:rPr>
        <w:t xml:space="preserve">   </w:t>
      </w:r>
      <w:r>
        <w:rPr>
          <w:rFonts w:ascii="Times New Roman" w:hAnsi="Times New Roman" w:cs="Times New Roman"/>
          <w:b/>
          <w:bCs/>
          <w:color w:val="000000" w:themeColor="text1"/>
          <w:sz w:val="21"/>
          <w:szCs w:val="21"/>
          <w14:textFill>
            <w14:solidFill>
              <w14:schemeClr w14:val="tx1"/>
            </w14:solidFill>
          </w14:textFill>
        </w:rPr>
        <w:t>本项目废气</w:t>
      </w:r>
      <w:r>
        <w:rPr>
          <w:rFonts w:hint="eastAsia" w:cs="Times New Roman"/>
          <w:b/>
          <w:bCs/>
          <w:color w:val="000000" w:themeColor="text1"/>
          <w:sz w:val="21"/>
          <w:szCs w:val="21"/>
          <w:lang w:eastAsia="zh-CN"/>
          <w14:textFill>
            <w14:solidFill>
              <w14:schemeClr w14:val="tx1"/>
            </w14:solidFill>
          </w14:textFill>
        </w:rPr>
        <w:t>收集管线示意</w:t>
      </w:r>
      <w:r>
        <w:rPr>
          <w:rFonts w:ascii="Times New Roman" w:hAnsi="Times New Roman" w:cs="Times New Roman"/>
          <w:b/>
          <w:bCs/>
          <w:color w:val="000000" w:themeColor="text1"/>
          <w:sz w:val="21"/>
          <w:szCs w:val="21"/>
          <w14:textFill>
            <w14:solidFill>
              <w14:schemeClr w14:val="tx1"/>
            </w14:solidFill>
          </w14:textFill>
        </w:rPr>
        <w:t>图</w:t>
      </w:r>
    </w:p>
    <w:p w14:paraId="3CA16831">
      <w:pPr>
        <w:spacing w:line="360" w:lineRule="auto"/>
        <w:ind w:firstLine="472" w:firstLineChars="20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lang w:val="en-US" w:eastAsia="zh-CN"/>
          <w14:textFill>
            <w14:solidFill>
              <w14:schemeClr w14:val="tx1"/>
            </w14:solidFill>
          </w14:textFill>
        </w:rPr>
        <w:t>1、</w:t>
      </w:r>
      <w:r>
        <w:rPr>
          <w:rFonts w:hint="default" w:ascii="Times New Roman" w:hAnsi="Times New Roman" w:cs="Times New Roman"/>
          <w:bCs/>
          <w:color w:val="000000" w:themeColor="text1"/>
          <w:sz w:val="24"/>
          <w14:textFill>
            <w14:solidFill>
              <w14:schemeClr w14:val="tx1"/>
            </w14:solidFill>
          </w14:textFill>
        </w:rPr>
        <w:t>废气拟采取的治理措施</w:t>
      </w:r>
    </w:p>
    <w:p w14:paraId="660DCF7C">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w:t>
      </w:r>
      <w:r>
        <w:rPr>
          <w:rFonts w:hint="default" w:ascii="Times New Roman" w:hAnsi="Times New Roman" w:cs="Times New Roman"/>
          <w:color w:val="000000" w:themeColor="text1"/>
          <w:sz w:val="24"/>
          <w:lang w:eastAsia="zh-CN"/>
          <w14:textFill>
            <w14:solidFill>
              <w14:schemeClr w14:val="tx1"/>
            </w14:solidFill>
          </w14:textFill>
        </w:rPr>
        <w:t>拆包废气、磨粉</w:t>
      </w:r>
      <w:r>
        <w:rPr>
          <w:rFonts w:hint="default" w:ascii="Times New Roman" w:hAnsi="Times New Roman" w:cs="Times New Roman"/>
          <w:color w:val="000000" w:themeColor="text1"/>
          <w:sz w:val="24"/>
          <w14:textFill>
            <w14:solidFill>
              <w14:schemeClr w14:val="tx1"/>
            </w14:solidFill>
          </w14:textFill>
        </w:rPr>
        <w:t>废气选用的处理装置为脉冲式布袋除尘器</w:t>
      </w:r>
      <w:r>
        <w:rPr>
          <w:rFonts w:hint="default" w:ascii="Times New Roman" w:hAnsi="Times New Roman" w:cs="Times New Roman"/>
          <w:color w:val="000000" w:themeColor="text1"/>
          <w:sz w:val="24"/>
          <w:lang w:eastAsia="zh-CN"/>
          <w14:textFill>
            <w14:solidFill>
              <w14:schemeClr w14:val="tx1"/>
            </w14:solidFill>
          </w14:textFill>
        </w:rPr>
        <w:t>，改性粒子熔融挤出废气、标签纸</w:t>
      </w:r>
      <w:r>
        <w:rPr>
          <w:rFonts w:hint="eastAsia" w:cs="Times New Roman"/>
          <w:color w:val="000000" w:themeColor="text1"/>
          <w:sz w:val="24"/>
          <w:lang w:eastAsia="zh-CN"/>
          <w14:textFill>
            <w14:solidFill>
              <w14:schemeClr w14:val="tx1"/>
            </w14:solidFill>
          </w14:textFill>
        </w:rPr>
        <w:t>高温分选</w:t>
      </w:r>
      <w:r>
        <w:rPr>
          <w:rFonts w:hint="default" w:ascii="Times New Roman" w:hAnsi="Times New Roman" w:cs="Times New Roman"/>
          <w:color w:val="000000" w:themeColor="text1"/>
          <w:sz w:val="24"/>
          <w14:textFill>
            <w14:solidFill>
              <w14:schemeClr w14:val="tx1"/>
            </w14:solidFill>
          </w14:textFill>
        </w:rPr>
        <w:t>废气选用的处理装置为</w:t>
      </w:r>
      <w:r>
        <w:rPr>
          <w:rFonts w:hint="default" w:ascii="Times New Roman" w:hAnsi="Times New Roman" w:cs="Times New Roman"/>
          <w:color w:val="000000" w:themeColor="text1"/>
          <w:sz w:val="24"/>
          <w:lang w:eastAsia="zh-CN"/>
          <w14:textFill>
            <w14:solidFill>
              <w14:schemeClr w14:val="tx1"/>
            </w14:solidFill>
          </w14:textFill>
        </w:rPr>
        <w:t>油烟净化器</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两级活性炭吸附装置。</w:t>
      </w:r>
    </w:p>
    <w:p w14:paraId="1540C445">
      <w:pPr>
        <w:spacing w:line="360" w:lineRule="auto"/>
        <w:ind w:firstLine="474" w:firstLineChars="200"/>
        <w:rPr>
          <w:rFonts w:hint="default" w:ascii="Times New Roman" w:hAnsi="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脉冲式布袋除尘器：</w:t>
      </w:r>
    </w:p>
    <w:p w14:paraId="2FFD7429">
      <w:pPr>
        <w:spacing w:line="360" w:lineRule="auto"/>
        <w:ind w:firstLine="48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含尘气体由下部进气管道经导流板进入灰斗时，由于导流板的碰撞和气体速度的降低等作用，粗粒粉尘将落入灰斗中，其余细小颗粒粉尘随气体进入滤袋室，由于滤料纤维及织物的惯性、扩散、阻隔、钩挂、静电等作用，粉尘被阻留在滤袋内，净化后的气体逸出袋外，经排气管排出，滤袋上的积灰用气体逆洗法，即气体从滤袋非积灰面通过，把积灰从滤袋中吹掉，从而达到清灰目的。清除下来的粉尘下到灰斗经双层卸灰阀排到输灰装置。滤袋上的积灰也可以采用喷吹脉冲气流的方法把积灰从滤袋上去掉，从而达到清灰的目的。</w:t>
      </w:r>
    </w:p>
    <w:p w14:paraId="646B763F">
      <w:pPr>
        <w:spacing w:line="360" w:lineRule="auto"/>
        <w:ind w:firstLine="480"/>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两级活性炭吸附装置：</w:t>
      </w:r>
    </w:p>
    <w:p w14:paraId="252A63B4">
      <w:pPr>
        <w:widowControl/>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据环境保护部2013年第31号公告《挥发性有机物（VOCs）污染防治技术政策》和生态环境部2019年第53号文“关于印发《重点行业挥发性有机物综合治理方案》的通知”中相关要求。在工业生产过程中鼓励VOCs的回收利用，并优先鼓励在生产系统内回用；对于含高浓度VOCs的废气，宜优先采取冷凝回收、吸附回收技术进行回收利用，并辅助以其他治理技术实现达标排放。对于含中等浓度VOCs的废气，可采用吸附技术回收有机溶剂，或采用催化燃烧和热力焚烧技术净化后达标排放。对于含低浓度VOCs的废气，有回收价值时可采用吸附技术、吸收技术对有机溶剂回收后达标排放；不宜回收时，可采用吸附浓缩燃烧技术、吸收技术等净化后达标排放。含有有机卤素成分VOCs的废气，宜采用非焚烧技术处理。</w:t>
      </w:r>
    </w:p>
    <w:p w14:paraId="3C74381F">
      <w:pPr>
        <w:widowControl/>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根据《挥发性有机物污染防治政策》对含低浓度VOCs的废气，有回收价值时可采用吸附技术、吸收技术对有机溶剂回收后达标排放；不宜回收时，可采用吸附浓缩燃烧技术、生物技术、吸收技术、等离子技术活紫外光高级氧化技术等净化后达标排放。</w:t>
      </w:r>
    </w:p>
    <w:p w14:paraId="242E0F76">
      <w:pPr>
        <w:widowControl/>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从投资、运行费用、处理效果等方面综合考虑，本项目拟采用二级活性炭吸附有机废气处理方案。</w:t>
      </w:r>
    </w:p>
    <w:p w14:paraId="380C7060">
      <w:pPr>
        <w:widowControl/>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吸附法是目前使用最广泛的回收技术，其原理是利用吸附剂（粒状活性炭和活性炭纤维）的多孔结构，有选择性地将废气中的吸附质捕获。将含废气的有机废气通过活性炭床层，其中的有害废气被吸附剂吸附，从而得到净化，排入大气。</w:t>
      </w:r>
    </w:p>
    <w:p w14:paraId="30CD78AE">
      <w:pPr>
        <w:widowControl/>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吸附分为物理吸附和化学吸附两类，而VOCs的净化主要采用物理吸附的方法，与其他方法相比，吸附法可以吸附浓度很低甚至痕量的组分，经解析后可以大大增浓，因而可以从废气中除去溶剂蒸汽，最后经过分离来回收溶剂。此外吸附法有很多优点，例如：不需要水，自然不产生废水，也不要辅助燃料，而且能适应废气浓度的变化和吸附卤代烃类及含无机物的挥发组分。</w:t>
      </w:r>
    </w:p>
    <w:p w14:paraId="3847AD73">
      <w:pPr>
        <w:widowControl/>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当吸附剂达到饱和后，被吸附的物质经过加热或减压而解吸，同时吸附剂再生。对饱和的炭床进行脱附再生。由于吸附剂的吸附容量较低，因此至少需要两台吸附器来完成吸附、解析的连续操作过程。若用热空气或过热蒸汽来解吸，则不仅可以使床层温度升高，而且可以使需要吸附的气体组分的分压降低，分离出来的气体组分就处于热空气或水蒸气中，经冷却、冷凝而分离。在用水蒸气解析的情况下，VOCs 与水蒸汽形成蒸汽混合物，一起离开炭吸附床层，用冷凝器冷却蒸汽混合物，使蒸汽冷凝为液体。若废气为水溶性的，则用精馏将液体混合物提纯；若为水不溶性，则用相分离器直接回收废气。</w:t>
      </w:r>
    </w:p>
    <w:p w14:paraId="62A5FB63">
      <w:pPr>
        <w:widowControl/>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活性炭吸附技术主要用于废气中组分比较简单、有机物回收利用价值较高的情况，其废气处理设备的尺寸和费用正比于气体中废气的数量，却相对独立于废气流量。因此炭吸附床层更倾向于稀的大气量物流，一般用于废气浓度小于5000ppm的情况。适于喷漆、印刷和粘合剂等温度不高，湿度不大，排气量较大的场合，尤其对含卤化物的净化回收更为有效。</w:t>
      </w:r>
    </w:p>
    <w:p w14:paraId="0EF4B6B0">
      <w:pPr>
        <w:widowControl/>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采用活性炭或活性炭纤维，但存在吸附容量低、易吸湿、表面催化作用、易着火、寿命短、蒸汽消耗大、产生固废等缺点。</w:t>
      </w:r>
    </w:p>
    <w:p w14:paraId="0C804BDA">
      <w:pPr>
        <w:widowControl/>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树脂吸附是近年来投入成功应用的新型吸附材料，该材料相比于活性炭、活性炭纤维等具有以下优点：</w:t>
      </w:r>
    </w:p>
    <w:p w14:paraId="5E8E2D7D">
      <w:pPr>
        <w:widowControl/>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规整的球形外观，高比表面积（一般高达1100m</w:t>
      </w:r>
      <w:r>
        <w:rPr>
          <w:rFonts w:hint="default" w:ascii="Times New Roman" w:hAnsi="Times New Roman" w:cs="Times New Roman"/>
          <w:color w:val="000000" w:themeColor="text1"/>
          <w:sz w:val="24"/>
          <w:vertAlign w:val="superscript"/>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/g以上）、高机械强度，可根据VOCs特性对材料的孔结构进行调控。</w:t>
      </w:r>
    </w:p>
    <w:p w14:paraId="20EA7D73">
      <w:pPr>
        <w:widowControl/>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湿度对VOCs吸附基本没有影响，而活性炭和活性炭纤维表面吸水性，湿度会显著影响其对VOCs吸附能力。</w:t>
      </w:r>
    </w:p>
    <w:p w14:paraId="61F58521">
      <w:pPr>
        <w:widowControl/>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无催化作用、吸附对象广，可用于吸附回收酮类等化学性质活泼的VOCs，以及二氯甲烷、二氯乙烷、三氯乙烷、三氯乙烯等氯代烃类化合物。</w:t>
      </w:r>
    </w:p>
    <w:p w14:paraId="7868AFAF">
      <w:pPr>
        <w:widowControl/>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具有良好的物理化学稳定性，耐酸、碱和有机溶剂、热稳定性高、机械强度高且不会整体失效。</w:t>
      </w:r>
    </w:p>
    <w:p w14:paraId="3659B724">
      <w:pPr>
        <w:widowControl/>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易脱附，蒸汽消耗少，运行费用低。</w:t>
      </w:r>
    </w:p>
    <w:p w14:paraId="3F15E18E">
      <w:pPr>
        <w:widowControl/>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参考《排污许可证申请与核发技术规范 废弃资源加工工业》（HJ 1034-2019），废塑料</w:t>
      </w:r>
      <w:r>
        <w:rPr>
          <w:rFonts w:hint="eastAsia" w:cs="Times New Roman"/>
          <w:color w:val="000000" w:themeColor="text1"/>
          <w:sz w:val="24"/>
          <w:lang w:eastAsia="zh-CN"/>
          <w14:textFill>
            <w14:solidFill>
              <w14:schemeClr w14:val="tx1"/>
            </w14:solidFill>
          </w14:textFill>
        </w:rPr>
        <w:t>熔融</w:t>
      </w:r>
      <w:r>
        <w:rPr>
          <w:rFonts w:hint="default" w:ascii="Times New Roman" w:hAnsi="Times New Roman" w:cs="Times New Roman"/>
          <w:color w:val="000000" w:themeColor="text1"/>
          <w:sz w:val="24"/>
          <w14:textFill>
            <w14:solidFill>
              <w14:schemeClr w14:val="tx1"/>
            </w14:solidFill>
          </w14:textFill>
        </w:rPr>
        <w:t>挤出</w:t>
      </w:r>
      <w:r>
        <w:rPr>
          <w:rFonts w:hint="eastAsia" w:cs="Times New Roman"/>
          <w:color w:val="000000" w:themeColor="text1"/>
          <w:sz w:val="24"/>
          <w:lang w:eastAsia="zh-CN"/>
          <w14:textFill>
            <w14:solidFill>
              <w14:schemeClr w14:val="tx1"/>
            </w14:solidFill>
          </w14:textFill>
        </w:rPr>
        <w:t>和废标签纸高温分选</w:t>
      </w:r>
      <w:r>
        <w:rPr>
          <w:rFonts w:hint="default" w:ascii="Times New Roman" w:hAnsi="Times New Roman" w:cs="Times New Roman"/>
          <w:color w:val="000000" w:themeColor="text1"/>
          <w:sz w:val="24"/>
          <w14:textFill>
            <w14:solidFill>
              <w14:schemeClr w14:val="tx1"/>
            </w14:solidFill>
          </w14:textFill>
        </w:rPr>
        <w:t>产生的非甲烷总烃治理可行性技术为“高温焚烧，催化燃烧，活性炭吸附”。因此本项目</w:t>
      </w:r>
      <w:r>
        <w:rPr>
          <w:rFonts w:hint="eastAsia" w:cs="Times New Roman"/>
          <w:color w:val="000000" w:themeColor="text1"/>
          <w:sz w:val="24"/>
          <w:lang w:val="en-US" w:eastAsia="zh-CN"/>
          <w14:textFill>
            <w14:solidFill>
              <w14:schemeClr w14:val="tx1"/>
            </w14:solidFill>
          </w14:textFill>
        </w:rPr>
        <w:t>1#厂房产生的废标签纸高温分选废气和</w:t>
      </w:r>
      <w:r>
        <w:rPr>
          <w:rFonts w:hint="default" w:ascii="Times New Roman" w:hAnsi="Times New Roman" w:cs="Times New Roman"/>
          <w:color w:val="000000" w:themeColor="text1"/>
          <w:sz w:val="24"/>
          <w14:textFill>
            <w14:solidFill>
              <w14:schemeClr w14:val="tx1"/>
            </w14:solidFill>
          </w14:textFill>
        </w:rPr>
        <w:t>2#厂房产生的熔融挤出废气，经收集后采用“</w:t>
      </w:r>
      <w:r>
        <w:rPr>
          <w:rFonts w:hint="eastAsia" w:cs="Times New Roman"/>
          <w:color w:val="000000" w:themeColor="text1"/>
          <w:sz w:val="24"/>
          <w:lang w:eastAsia="zh-CN"/>
          <w14:textFill>
            <w14:solidFill>
              <w14:schemeClr w14:val="tx1"/>
            </w14:solidFill>
          </w14:textFill>
        </w:rPr>
        <w:t>油烟</w:t>
      </w:r>
      <w:r>
        <w:rPr>
          <w:rFonts w:hint="default" w:ascii="Times New Roman" w:hAnsi="Times New Roman" w:cs="Times New Roman"/>
          <w:color w:val="000000" w:themeColor="text1"/>
          <w:sz w:val="24"/>
          <w14:textFill>
            <w14:solidFill>
              <w14:schemeClr w14:val="tx1"/>
            </w14:solidFill>
          </w14:textFill>
        </w:rPr>
        <w:t>净化器+二级活性炭吸附”处理是可行的。</w:t>
      </w:r>
    </w:p>
    <w:p w14:paraId="39772C22">
      <w:pPr>
        <w:widowControl/>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对照</w:t>
      </w:r>
      <w:r>
        <w:rPr>
          <w:rFonts w:hint="default" w:ascii="Times New Roman" w:hAnsi="Times New Roman" w:cs="Times New Roman"/>
          <w:color w:val="000000" w:themeColor="text1"/>
          <w:sz w:val="24"/>
          <w14:textFill>
            <w14:solidFill>
              <w14:schemeClr w14:val="tx1"/>
            </w14:solidFill>
          </w14:textFill>
        </w:rPr>
        <w:t>《排污许可证申请与核发技术规范 废弃资源加工工业》（HJ 1034-2019）</w:t>
      </w:r>
      <w:r>
        <w:rPr>
          <w:rFonts w:hint="eastAsia" w:ascii="Times New Roman" w:hAnsi="Times New Roman" w:cs="Times New Roman"/>
          <w:color w:val="000000" w:themeColor="text1"/>
          <w:sz w:val="24"/>
          <w14:textFill>
            <w14:solidFill>
              <w14:schemeClr w14:val="tx1"/>
            </w14:solidFill>
          </w14:textFill>
        </w:rPr>
        <w:t>，废水处理站废气治理可行性技术为“碱液喷淋+氨水吸收</w:t>
      </w:r>
      <w:r>
        <w:rPr>
          <w:rFonts w:hint="eastAsia" w:cs="Times New Roman"/>
          <w:color w:val="000000" w:themeColor="text1"/>
          <w:sz w:val="24"/>
          <w:lang w:eastAsia="zh-CN"/>
          <w14:textFill>
            <w14:solidFill>
              <w14:schemeClr w14:val="tx1"/>
            </w14:solidFill>
          </w14:textFill>
        </w:rPr>
        <w:t>、</w:t>
      </w:r>
      <w:r>
        <w:rPr>
          <w:rFonts w:hint="eastAsia" w:ascii="Times New Roman" w:hAnsi="Times New Roman" w:cs="Times New Roman"/>
          <w:color w:val="000000" w:themeColor="text1"/>
          <w:sz w:val="24"/>
          <w14:textFill>
            <w14:solidFill>
              <w14:schemeClr w14:val="tx1"/>
            </w14:solidFill>
          </w14:textFill>
        </w:rPr>
        <w:t>高温焚烧</w:t>
      </w:r>
      <w:r>
        <w:rPr>
          <w:rFonts w:hint="eastAsia" w:cs="Times New Roman"/>
          <w:color w:val="000000" w:themeColor="text1"/>
          <w:sz w:val="24"/>
          <w:lang w:eastAsia="zh-CN"/>
          <w14:textFill>
            <w14:solidFill>
              <w14:schemeClr w14:val="tx1"/>
            </w14:solidFill>
          </w14:textFill>
        </w:rPr>
        <w:t>、</w:t>
      </w:r>
      <w:r>
        <w:rPr>
          <w:rFonts w:hint="eastAsia" w:ascii="Times New Roman" w:hAnsi="Times New Roman" w:cs="Times New Roman"/>
          <w:color w:val="000000" w:themeColor="text1"/>
          <w:sz w:val="24"/>
          <w14:textFill>
            <w14:solidFill>
              <w14:schemeClr w14:val="tx1"/>
            </w14:solidFill>
          </w14:textFill>
        </w:rPr>
        <w:t>活性炭吸附”，因此本项目污水处理站废气，经</w:t>
      </w:r>
      <w:r>
        <w:rPr>
          <w:rFonts w:hint="eastAsia" w:cs="Times New Roman"/>
          <w:color w:val="000000" w:themeColor="text1"/>
          <w:sz w:val="24"/>
          <w:lang w:eastAsia="zh-CN"/>
          <w14:textFill>
            <w14:solidFill>
              <w14:schemeClr w14:val="tx1"/>
            </w14:solidFill>
          </w14:textFill>
        </w:rPr>
        <w:t>封闭负压</w:t>
      </w:r>
      <w:r>
        <w:rPr>
          <w:rFonts w:hint="eastAsia" w:ascii="Times New Roman" w:hAnsi="Times New Roman" w:cs="Times New Roman"/>
          <w:color w:val="000000" w:themeColor="text1"/>
          <w:sz w:val="24"/>
          <w14:textFill>
            <w14:solidFill>
              <w14:schemeClr w14:val="tx1"/>
            </w14:solidFill>
          </w14:textFill>
        </w:rPr>
        <w:t>收集后采用“二级活性炭吸附”处理是可行的。</w:t>
      </w:r>
    </w:p>
    <w:p w14:paraId="1FF66E49">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p>
    <w:p w14:paraId="5E259EB7">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达标可行性分析</w:t>
      </w:r>
    </w:p>
    <w:p w14:paraId="2E459E23">
      <w:pPr>
        <w:spacing w:line="360" w:lineRule="auto"/>
        <w:ind w:firstLine="480" w:firstLineChars="200"/>
        <w:rPr>
          <w:rFonts w:hint="default" w:ascii="Times New Roman" w:hAnsi="Times New Roman" w:eastAsia="宋体" w:cs="Times New Roman"/>
          <w:color w:val="000000" w:themeColor="text1"/>
          <w:spacing w:val="0"/>
          <w:sz w:val="24"/>
          <w:lang w:eastAsia="zh-CN"/>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本项目生产过程中产生的</w:t>
      </w:r>
      <w:r>
        <w:rPr>
          <w:rFonts w:hint="default" w:ascii="Times New Roman" w:hAnsi="Times New Roman" w:cs="Times New Roman"/>
          <w:color w:val="000000" w:themeColor="text1"/>
          <w:spacing w:val="0"/>
          <w:sz w:val="24"/>
          <w:lang w:eastAsia="zh-CN"/>
          <w14:textFill>
            <w14:solidFill>
              <w14:schemeClr w14:val="tx1"/>
            </w14:solidFill>
          </w14:textFill>
        </w:rPr>
        <w:t>拆包</w:t>
      </w:r>
      <w:r>
        <w:rPr>
          <w:rFonts w:hint="default" w:ascii="Times New Roman" w:hAnsi="Times New Roman" w:cs="Times New Roman"/>
          <w:color w:val="000000" w:themeColor="text1"/>
          <w:spacing w:val="0"/>
          <w:sz w:val="24"/>
          <w14:textFill>
            <w14:solidFill>
              <w14:schemeClr w14:val="tx1"/>
            </w14:solidFill>
          </w14:textFill>
        </w:rPr>
        <w:t>废气</w:t>
      </w:r>
      <w:r>
        <w:rPr>
          <w:rFonts w:hint="default" w:ascii="Times New Roman" w:hAnsi="Times New Roman" w:cs="Times New Roman"/>
          <w:color w:val="000000" w:themeColor="text1"/>
          <w:spacing w:val="0"/>
          <w:sz w:val="24"/>
          <w:lang w:eastAsia="zh-CN"/>
          <w14:textFill>
            <w14:solidFill>
              <w14:schemeClr w14:val="tx1"/>
            </w14:solidFill>
          </w14:textFill>
        </w:rPr>
        <w:t>和磨粉废气</w:t>
      </w:r>
      <w:r>
        <w:rPr>
          <w:rFonts w:hint="default" w:ascii="Times New Roman" w:hAnsi="Times New Roman" w:cs="Times New Roman"/>
          <w:color w:val="000000" w:themeColor="text1"/>
          <w:spacing w:val="0"/>
          <w:sz w:val="24"/>
          <w14:textFill>
            <w14:solidFill>
              <w14:schemeClr w14:val="tx1"/>
            </w14:solidFill>
          </w14:textFill>
        </w:rPr>
        <w:t>经</w:t>
      </w:r>
      <w:r>
        <w:rPr>
          <w:rFonts w:hint="default" w:ascii="Times New Roman" w:hAnsi="Times New Roman" w:cs="Times New Roman"/>
          <w:color w:val="000000" w:themeColor="text1"/>
          <w:spacing w:val="0"/>
          <w:sz w:val="24"/>
          <w:lang w:eastAsia="zh-CN"/>
          <w14:textFill>
            <w14:solidFill>
              <w14:schemeClr w14:val="tx1"/>
            </w14:solidFill>
          </w14:textFill>
        </w:rPr>
        <w:t>脉冲布袋除尘器</w:t>
      </w:r>
      <w:r>
        <w:rPr>
          <w:rFonts w:hint="default" w:ascii="Times New Roman" w:hAnsi="Times New Roman" w:cs="Times New Roman"/>
          <w:color w:val="000000" w:themeColor="text1"/>
          <w:spacing w:val="0"/>
          <w:sz w:val="24"/>
          <w14:textFill>
            <w14:solidFill>
              <w14:schemeClr w14:val="tx1"/>
            </w14:solidFill>
          </w14:textFill>
        </w:rPr>
        <w:t>处理后排气筒</w:t>
      </w:r>
      <w:r>
        <w:rPr>
          <w:rFonts w:hint="default" w:ascii="Times New Roman" w:hAnsi="Times New Roman" w:cs="Times New Roman"/>
          <w:color w:val="000000" w:themeColor="text1"/>
          <w:spacing w:val="0"/>
          <w:sz w:val="24"/>
          <w:szCs w:val="24"/>
          <w14:textFill>
            <w14:solidFill>
              <w14:schemeClr w14:val="tx1"/>
            </w14:solidFill>
          </w14:textFill>
        </w:rPr>
        <w:t>出口有组织废气</w:t>
      </w:r>
      <w:r>
        <w:rPr>
          <w:rFonts w:hint="default" w:ascii="Times New Roman" w:hAnsi="Times New Roman" w:cs="Times New Roman"/>
          <w:bCs/>
          <w:color w:val="000000" w:themeColor="text1"/>
          <w:spacing w:val="0"/>
          <w:sz w:val="24"/>
          <w:szCs w:val="22"/>
          <w14:textFill>
            <w14:solidFill>
              <w14:schemeClr w14:val="tx1"/>
            </w14:solidFill>
          </w14:textFill>
        </w:rPr>
        <w:t>满足</w:t>
      </w:r>
      <w:r>
        <w:rPr>
          <w:rFonts w:hint="eastAsia" w:cs="Times New Roman"/>
          <w:color w:val="000000" w:themeColor="text1"/>
          <w:spacing w:val="0"/>
          <w:sz w:val="24"/>
          <w:szCs w:val="24"/>
          <w:lang w:eastAsia="zh-CN"/>
          <w14:textFill>
            <w14:solidFill>
              <w14:schemeClr w14:val="tx1"/>
            </w14:solidFill>
          </w14:textFill>
        </w:rPr>
        <w:t>《合成树脂工业污染物排放标准》（GB31572-2015）</w:t>
      </w:r>
      <w:r>
        <w:rPr>
          <w:rFonts w:hint="default" w:ascii="Times New Roman" w:hAnsi="Times New Roman" w:cs="Times New Roman"/>
          <w:bCs/>
          <w:color w:val="000000" w:themeColor="text1"/>
          <w:spacing w:val="0"/>
          <w:sz w:val="24"/>
          <w:szCs w:val="22"/>
          <w14:textFill>
            <w14:solidFill>
              <w14:schemeClr w14:val="tx1"/>
            </w14:solidFill>
          </w14:textFill>
        </w:rPr>
        <w:t>中相关标准限值</w:t>
      </w:r>
      <w:r>
        <w:rPr>
          <w:rFonts w:hint="default" w:ascii="Times New Roman" w:hAnsi="Times New Roman" w:cs="Times New Roman"/>
          <w:color w:val="000000" w:themeColor="text1"/>
          <w:spacing w:val="0"/>
          <w:sz w:val="24"/>
          <w14:textFill>
            <w14:solidFill>
              <w14:schemeClr w14:val="tx1"/>
            </w14:solidFill>
          </w14:textFill>
        </w:rPr>
        <w:t>。</w:t>
      </w:r>
      <w:r>
        <w:rPr>
          <w:rFonts w:hint="default" w:ascii="Times New Roman" w:hAnsi="Times New Roman" w:cs="Times New Roman"/>
          <w:color w:val="000000" w:themeColor="text1"/>
          <w:spacing w:val="0"/>
          <w:sz w:val="24"/>
          <w:szCs w:val="24"/>
          <w14:textFill>
            <w14:solidFill>
              <w14:schemeClr w14:val="tx1"/>
            </w14:solidFill>
          </w14:textFill>
        </w:rPr>
        <w:t>本项目生产过程中产生的</w:t>
      </w:r>
      <w:r>
        <w:rPr>
          <w:rFonts w:hint="default" w:ascii="Times New Roman" w:hAnsi="Times New Roman" w:cs="Times New Roman"/>
          <w:color w:val="000000" w:themeColor="text1"/>
          <w:spacing w:val="0"/>
          <w:sz w:val="24"/>
          <w:lang w:eastAsia="zh-CN"/>
          <w14:textFill>
            <w14:solidFill>
              <w14:schemeClr w14:val="tx1"/>
            </w14:solidFill>
          </w14:textFill>
        </w:rPr>
        <w:t>改性粒子熔融挤出</w:t>
      </w:r>
      <w:r>
        <w:rPr>
          <w:rFonts w:hint="default" w:ascii="Times New Roman" w:hAnsi="Times New Roman" w:cs="Times New Roman"/>
          <w:color w:val="000000" w:themeColor="text1"/>
          <w:spacing w:val="0"/>
          <w:sz w:val="24"/>
          <w14:textFill>
            <w14:solidFill>
              <w14:schemeClr w14:val="tx1"/>
            </w14:solidFill>
          </w14:textFill>
        </w:rPr>
        <w:t>废气</w:t>
      </w:r>
      <w:r>
        <w:rPr>
          <w:rFonts w:hint="default" w:ascii="Times New Roman" w:hAnsi="Times New Roman" w:cs="Times New Roman"/>
          <w:color w:val="000000" w:themeColor="text1"/>
          <w:spacing w:val="0"/>
          <w:sz w:val="24"/>
          <w:lang w:eastAsia="zh-CN"/>
          <w14:textFill>
            <w14:solidFill>
              <w14:schemeClr w14:val="tx1"/>
            </w14:solidFill>
          </w14:textFill>
        </w:rPr>
        <w:t>和标签纸</w:t>
      </w:r>
      <w:r>
        <w:rPr>
          <w:rFonts w:hint="eastAsia" w:cs="Times New Roman"/>
          <w:color w:val="000000" w:themeColor="text1"/>
          <w:spacing w:val="0"/>
          <w:sz w:val="24"/>
          <w:lang w:eastAsia="zh-CN"/>
          <w14:textFill>
            <w14:solidFill>
              <w14:schemeClr w14:val="tx1"/>
            </w14:solidFill>
          </w14:textFill>
        </w:rPr>
        <w:t>高温分选</w:t>
      </w:r>
      <w:r>
        <w:rPr>
          <w:rFonts w:hint="default" w:ascii="Times New Roman" w:hAnsi="Times New Roman" w:cs="Times New Roman"/>
          <w:color w:val="000000" w:themeColor="text1"/>
          <w:spacing w:val="0"/>
          <w:sz w:val="24"/>
          <w:lang w:eastAsia="zh-CN"/>
          <w14:textFill>
            <w14:solidFill>
              <w14:schemeClr w14:val="tx1"/>
            </w14:solidFill>
          </w14:textFill>
        </w:rPr>
        <w:t>废气</w:t>
      </w:r>
      <w:r>
        <w:rPr>
          <w:rFonts w:hint="default" w:ascii="Times New Roman" w:hAnsi="Times New Roman" w:cs="Times New Roman"/>
          <w:color w:val="000000" w:themeColor="text1"/>
          <w:spacing w:val="0"/>
          <w:sz w:val="24"/>
          <w14:textFill>
            <w14:solidFill>
              <w14:schemeClr w14:val="tx1"/>
            </w14:solidFill>
          </w14:textFill>
        </w:rPr>
        <w:t>经</w:t>
      </w:r>
      <w:r>
        <w:rPr>
          <w:rFonts w:hint="default" w:ascii="Times New Roman" w:hAnsi="Times New Roman" w:cs="Times New Roman"/>
          <w:color w:val="000000" w:themeColor="text1"/>
          <w:spacing w:val="0"/>
          <w:sz w:val="24"/>
          <w:lang w:eastAsia="zh-CN"/>
          <w14:textFill>
            <w14:solidFill>
              <w14:schemeClr w14:val="tx1"/>
            </w14:solidFill>
          </w14:textFill>
        </w:rPr>
        <w:t>油烟净化器</w:t>
      </w:r>
      <w:r>
        <w:rPr>
          <w:rFonts w:hint="default" w:ascii="Times New Roman" w:hAnsi="Times New Roman" w:cs="Times New Roman"/>
          <w:color w:val="000000" w:themeColor="text1"/>
          <w:spacing w:val="0"/>
          <w:sz w:val="24"/>
          <w:lang w:val="en-US" w:eastAsia="zh-CN"/>
          <w14:textFill>
            <w14:solidFill>
              <w14:schemeClr w14:val="tx1"/>
            </w14:solidFill>
          </w14:textFill>
        </w:rPr>
        <w:t>+</w:t>
      </w:r>
      <w:r>
        <w:rPr>
          <w:rFonts w:hint="default" w:ascii="Times New Roman" w:hAnsi="Times New Roman" w:cs="Times New Roman"/>
          <w:color w:val="000000" w:themeColor="text1"/>
          <w:spacing w:val="0"/>
          <w:sz w:val="24"/>
          <w:lang w:eastAsia="zh-CN"/>
          <w14:textFill>
            <w14:solidFill>
              <w14:schemeClr w14:val="tx1"/>
            </w14:solidFill>
          </w14:textFill>
        </w:rPr>
        <w:t>两级活性炭</w:t>
      </w:r>
      <w:r>
        <w:rPr>
          <w:rFonts w:hint="default" w:ascii="Times New Roman" w:hAnsi="Times New Roman" w:cs="Times New Roman"/>
          <w:color w:val="000000" w:themeColor="text1"/>
          <w:spacing w:val="0"/>
          <w:sz w:val="24"/>
          <w14:textFill>
            <w14:solidFill>
              <w14:schemeClr w14:val="tx1"/>
            </w14:solidFill>
          </w14:textFill>
        </w:rPr>
        <w:t>处理后排气筒</w:t>
      </w:r>
      <w:r>
        <w:rPr>
          <w:rFonts w:hint="default" w:ascii="Times New Roman" w:hAnsi="Times New Roman" w:cs="Times New Roman"/>
          <w:color w:val="000000" w:themeColor="text1"/>
          <w:spacing w:val="0"/>
          <w:sz w:val="24"/>
          <w:szCs w:val="24"/>
          <w14:textFill>
            <w14:solidFill>
              <w14:schemeClr w14:val="tx1"/>
            </w14:solidFill>
          </w14:textFill>
        </w:rPr>
        <w:t>出口有组织废气</w:t>
      </w:r>
      <w:r>
        <w:rPr>
          <w:rFonts w:hint="default" w:ascii="Times New Roman" w:hAnsi="Times New Roman" w:cs="Times New Roman"/>
          <w:bCs/>
          <w:color w:val="000000" w:themeColor="text1"/>
          <w:spacing w:val="0"/>
          <w:sz w:val="24"/>
          <w:szCs w:val="22"/>
          <w14:textFill>
            <w14:solidFill>
              <w14:schemeClr w14:val="tx1"/>
            </w14:solidFill>
          </w14:textFill>
        </w:rPr>
        <w:t>满足</w:t>
      </w:r>
      <w:r>
        <w:rPr>
          <w:rFonts w:hint="default" w:ascii="Times New Roman" w:hAnsi="Times New Roman" w:cs="Times New Roman"/>
          <w:color w:val="000000" w:themeColor="text1"/>
          <w:spacing w:val="0"/>
          <w:sz w:val="24"/>
          <w:szCs w:val="24"/>
          <w14:textFill>
            <w14:solidFill>
              <w14:schemeClr w14:val="tx1"/>
            </w14:solidFill>
          </w14:textFill>
        </w:rPr>
        <w:t>《固定源挥发性有机物综合排放标准 第6部分其他行业》（DB34 4812.6-2024）</w:t>
      </w:r>
      <w:r>
        <w:rPr>
          <w:rFonts w:hint="default" w:ascii="Times New Roman" w:hAnsi="Times New Roman" w:cs="Times New Roman"/>
          <w:bCs/>
          <w:color w:val="000000" w:themeColor="text1"/>
          <w:spacing w:val="0"/>
          <w:sz w:val="24"/>
          <w:szCs w:val="22"/>
          <w14:textFill>
            <w14:solidFill>
              <w14:schemeClr w14:val="tx1"/>
            </w14:solidFill>
          </w14:textFill>
        </w:rPr>
        <w:t>中相关标准限值</w:t>
      </w:r>
      <w:r>
        <w:rPr>
          <w:rFonts w:hint="default" w:ascii="Times New Roman" w:hAnsi="Times New Roman" w:cs="Times New Roman"/>
          <w:color w:val="000000" w:themeColor="text1"/>
          <w:spacing w:val="0"/>
          <w:sz w:val="24"/>
          <w14:textFill>
            <w14:solidFill>
              <w14:schemeClr w14:val="tx1"/>
            </w14:solidFill>
          </w14:textFill>
        </w:rPr>
        <w:t>。</w:t>
      </w:r>
    </w:p>
    <w:p w14:paraId="61E5984D">
      <w:pPr>
        <w:spacing w:line="360" w:lineRule="auto"/>
        <w:ind w:firstLine="480" w:firstLineChars="200"/>
        <w:rPr>
          <w:rFonts w:hint="default" w:ascii="Times New Roman" w:hAnsi="Times New Roman" w:cs="Times New Roman"/>
          <w:color w:val="000000" w:themeColor="text1"/>
          <w:spacing w:val="0"/>
          <w:sz w:val="24"/>
          <w14:textFill>
            <w14:solidFill>
              <w14:schemeClr w14:val="tx1"/>
            </w14:solidFill>
          </w14:textFill>
        </w:rPr>
      </w:pPr>
      <w:r>
        <w:rPr>
          <w:rFonts w:hint="default" w:ascii="Times New Roman" w:hAnsi="Times New Roman" w:cs="Times New Roman"/>
          <w:color w:val="000000" w:themeColor="text1"/>
          <w:spacing w:val="0"/>
          <w:sz w:val="24"/>
          <w:lang w:val="en-US" w:eastAsia="zh-CN"/>
          <w14:textFill>
            <w14:solidFill>
              <w14:schemeClr w14:val="tx1"/>
            </w14:solidFill>
          </w14:textFill>
        </w:rPr>
        <w:t>3、</w:t>
      </w:r>
      <w:r>
        <w:rPr>
          <w:rFonts w:hint="default" w:ascii="Times New Roman" w:hAnsi="Times New Roman" w:cs="Times New Roman"/>
          <w:color w:val="000000" w:themeColor="text1"/>
          <w:spacing w:val="0"/>
          <w:sz w:val="24"/>
          <w14:textFill>
            <w14:solidFill>
              <w14:schemeClr w14:val="tx1"/>
            </w14:solidFill>
          </w14:textFill>
        </w:rPr>
        <w:t>处理工艺可行性分析</w:t>
      </w:r>
    </w:p>
    <w:p w14:paraId="715F7F87">
      <w:pPr>
        <w:spacing w:line="360" w:lineRule="auto"/>
        <w:ind w:firstLine="472" w:firstLineChars="200"/>
        <w:rPr>
          <w:rFonts w:hint="default" w:ascii="Times New Roman" w:hAnsi="Times New Roman" w:cs="Times New Roman"/>
          <w:color w:val="000000" w:themeColor="text1"/>
          <w:spacing w:val="0"/>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根据《排污许可证申请与核发技术规范废弃资源加工工业》（HJ1034-2019）</w:t>
      </w:r>
      <w:r>
        <w:rPr>
          <w:rFonts w:hint="eastAsia" w:cs="Times New Roman"/>
          <w:color w:val="000000" w:themeColor="text1"/>
          <w:sz w:val="24"/>
          <w:lang w:eastAsia="zh-CN"/>
          <w14:textFill>
            <w14:solidFill>
              <w14:schemeClr w14:val="tx1"/>
            </w14:solidFill>
          </w14:textFill>
        </w:rPr>
        <w:t>和《排污许可证申请与核发技术规范橡胶和塑料制品工业》（HJ1122—2020）</w:t>
      </w:r>
      <w:r>
        <w:rPr>
          <w:rFonts w:hint="default" w:ascii="Times New Roman" w:hAnsi="Times New Roman" w:cs="Times New Roman"/>
          <w:color w:val="000000" w:themeColor="text1"/>
          <w:sz w:val="24"/>
          <w14:textFill>
            <w14:solidFill>
              <w14:schemeClr w14:val="tx1"/>
            </w14:solidFill>
          </w14:textFill>
        </w:rPr>
        <w:t>中废气污染防治可行技术，本项目处理工艺属于可行技术，具体如下表所示。</w:t>
      </w:r>
    </w:p>
    <w:p w14:paraId="36BA0AB3">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eastAsia" w:ascii="Times New Roman" w:hAnsi="Times New Roman" w:eastAsia="黑体" w:cs="Times New Roman"/>
          <w:bCs/>
          <w:color w:val="000000" w:themeColor="text1"/>
          <w:sz w:val="24"/>
          <w:lang w:val="en-US" w:eastAsia="zh-CN"/>
          <w14:textFill>
            <w14:solidFill>
              <w14:schemeClr w14:val="tx1"/>
            </w14:solidFill>
          </w14:textFill>
        </w:rPr>
        <w:t>6.1</w:t>
      </w:r>
      <w:r>
        <w:rPr>
          <w:rFonts w:hint="default" w:ascii="Times New Roman" w:hAnsi="Times New Roman" w:eastAsia="黑体" w:cs="Times New Roman"/>
          <w:bCs/>
          <w:color w:val="000000" w:themeColor="text1"/>
          <w:sz w:val="24"/>
          <w14:textFill>
            <w14:solidFill>
              <w14:schemeClr w14:val="tx1"/>
            </w14:solidFill>
          </w14:textFill>
        </w:rPr>
        <w:t>-2</w:t>
      </w:r>
      <w:r>
        <w:rPr>
          <w:rFonts w:hint="eastAsia" w:ascii="Times New Roman" w:hAnsi="Times New Roman" w:eastAsia="黑体" w:cs="Times New Roman"/>
          <w:bCs/>
          <w:color w:val="000000" w:themeColor="text1"/>
          <w:sz w:val="24"/>
          <w:lang w:val="en-US" w:eastAsia="zh-CN"/>
          <w14:textFill>
            <w14:solidFill>
              <w14:schemeClr w14:val="tx1"/>
            </w14:solidFill>
          </w14:textFill>
        </w:rPr>
        <w:t xml:space="preserve">  </w:t>
      </w:r>
      <w:r>
        <w:rPr>
          <w:rFonts w:hint="default" w:ascii="Times New Roman" w:hAnsi="Times New Roman" w:eastAsia="黑体" w:cs="Times New Roman"/>
          <w:bCs/>
          <w:color w:val="000000" w:themeColor="text1"/>
          <w:sz w:val="24"/>
          <w14:textFill>
            <w14:solidFill>
              <w14:schemeClr w14:val="tx1"/>
            </w14:solidFill>
          </w14:textFill>
        </w:rPr>
        <w:t>废气污染防治可行技术</w:t>
      </w:r>
    </w:p>
    <w:tbl>
      <w:tblPr>
        <w:tblStyle w:val="88"/>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570"/>
        <w:gridCol w:w="3577"/>
        <w:gridCol w:w="2114"/>
        <w:gridCol w:w="1268"/>
      </w:tblGrid>
      <w:tr w14:paraId="109F39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1" w:hRule="atLeast"/>
        </w:trPr>
        <w:tc>
          <w:tcPr>
            <w:tcW w:w="920" w:type="pct"/>
            <w:vAlign w:val="center"/>
          </w:tcPr>
          <w:p w14:paraId="4786F940">
            <w:pPr>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污染物种类</w:t>
            </w:r>
          </w:p>
        </w:tc>
        <w:tc>
          <w:tcPr>
            <w:tcW w:w="2096" w:type="pct"/>
            <w:vAlign w:val="center"/>
          </w:tcPr>
          <w:p w14:paraId="0B2DB587">
            <w:pPr>
              <w:spacing w:line="276" w:lineRule="auto"/>
              <w:jc w:val="center"/>
              <w:rPr>
                <w:rFonts w:hint="default" w:ascii="Times New Roman" w:hAnsi="Times New Roman" w:cs="Times New Roman"/>
                <w:b/>
                <w:bCs/>
                <w:color w:val="000000" w:themeColor="text1"/>
                <w:spacing w:val="0"/>
                <w:kern w:val="44"/>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可行技术</w:t>
            </w:r>
          </w:p>
        </w:tc>
        <w:tc>
          <w:tcPr>
            <w:tcW w:w="1239" w:type="pct"/>
            <w:vAlign w:val="center"/>
          </w:tcPr>
          <w:p w14:paraId="17D3AB5B">
            <w:pPr>
              <w:spacing w:line="276" w:lineRule="auto"/>
              <w:jc w:val="center"/>
              <w:rPr>
                <w:rFonts w:hint="default" w:ascii="Times New Roman" w:hAnsi="Times New Roman" w:cs="Times New Roman"/>
                <w:b/>
                <w:bCs/>
                <w:color w:val="000000" w:themeColor="text1"/>
                <w:spacing w:val="0"/>
                <w:kern w:val="44"/>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本项目处理工艺</w:t>
            </w:r>
          </w:p>
        </w:tc>
        <w:tc>
          <w:tcPr>
            <w:tcW w:w="743" w:type="pct"/>
            <w:vAlign w:val="center"/>
          </w:tcPr>
          <w:p w14:paraId="15F5DE42">
            <w:pPr>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是否可行</w:t>
            </w:r>
          </w:p>
        </w:tc>
      </w:tr>
      <w:tr w14:paraId="6596EA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920" w:type="pct"/>
            <w:vAlign w:val="center"/>
          </w:tcPr>
          <w:p w14:paraId="75F87F3D">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颗粒物</w:t>
            </w:r>
          </w:p>
        </w:tc>
        <w:tc>
          <w:tcPr>
            <w:tcW w:w="2096" w:type="pct"/>
            <w:vAlign w:val="center"/>
          </w:tcPr>
          <w:p w14:paraId="1AAFBBEB">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布袋除尘，其他</w:t>
            </w:r>
          </w:p>
        </w:tc>
        <w:tc>
          <w:tcPr>
            <w:tcW w:w="1239" w:type="pct"/>
            <w:vMerge w:val="restart"/>
            <w:vAlign w:val="center"/>
          </w:tcPr>
          <w:p w14:paraId="2CA6F33E">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脉冲式布袋除尘器＋两级活性炭吸附装置</w:t>
            </w:r>
          </w:p>
        </w:tc>
        <w:tc>
          <w:tcPr>
            <w:tcW w:w="743" w:type="pct"/>
            <w:vMerge w:val="restart"/>
            <w:vAlign w:val="center"/>
          </w:tcPr>
          <w:p w14:paraId="35384DC1">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可行</w:t>
            </w:r>
          </w:p>
        </w:tc>
      </w:tr>
      <w:tr w14:paraId="074B80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920" w:type="pct"/>
            <w:vAlign w:val="center"/>
          </w:tcPr>
          <w:p w14:paraId="593FE26E">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非甲烷总烃</w:t>
            </w:r>
          </w:p>
        </w:tc>
        <w:tc>
          <w:tcPr>
            <w:tcW w:w="2096" w:type="pct"/>
            <w:vAlign w:val="center"/>
          </w:tcPr>
          <w:p w14:paraId="27557A8B">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活性炭吸附，其他</w:t>
            </w:r>
          </w:p>
        </w:tc>
        <w:tc>
          <w:tcPr>
            <w:tcW w:w="1239" w:type="pct"/>
            <w:vMerge w:val="continue"/>
            <w:vAlign w:val="center"/>
          </w:tcPr>
          <w:p w14:paraId="2F2AB6A4">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743" w:type="pct"/>
            <w:vMerge w:val="continue"/>
            <w:vAlign w:val="center"/>
          </w:tcPr>
          <w:p w14:paraId="22809A0D">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r>
      <w:bookmarkEnd w:id="211"/>
      <w:bookmarkEnd w:id="212"/>
    </w:tbl>
    <w:p w14:paraId="58AED52B">
      <w:pPr>
        <w:spacing w:line="360" w:lineRule="auto"/>
        <w:ind w:firstLine="480" w:firstLineChars="200"/>
        <w:rPr>
          <w:rFonts w:hint="default" w:ascii="Times New Roman" w:hAnsi="Times New Roman" w:cs="Times New Roman"/>
          <w:color w:val="000000" w:themeColor="text1"/>
          <w:spacing w:val="0"/>
          <w:sz w:val="24"/>
          <w14:textFill>
            <w14:solidFill>
              <w14:schemeClr w14:val="tx1"/>
            </w14:solidFill>
          </w14:textFill>
        </w:rPr>
      </w:pPr>
      <w:r>
        <w:rPr>
          <w:rFonts w:hint="default" w:ascii="Times New Roman" w:hAnsi="Times New Roman" w:cs="Times New Roman"/>
          <w:color w:val="000000" w:themeColor="text1"/>
          <w:spacing w:val="0"/>
          <w:sz w:val="24"/>
          <w:lang w:val="en-US" w:eastAsia="zh-CN"/>
          <w14:textFill>
            <w14:solidFill>
              <w14:schemeClr w14:val="tx1"/>
            </w14:solidFill>
          </w14:textFill>
        </w:rPr>
        <w:t>4、</w:t>
      </w:r>
      <w:r>
        <w:rPr>
          <w:rFonts w:hint="default" w:ascii="Times New Roman" w:hAnsi="Times New Roman" w:cs="Times New Roman"/>
          <w:color w:val="000000" w:themeColor="text1"/>
          <w:spacing w:val="0"/>
          <w:sz w:val="24"/>
          <w14:textFill>
            <w14:solidFill>
              <w14:schemeClr w14:val="tx1"/>
            </w14:solidFill>
          </w14:textFill>
        </w:rPr>
        <w:t>废气无组织控制措施符合性分析</w:t>
      </w:r>
    </w:p>
    <w:p w14:paraId="4B73AF1D">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本项目无组织废气主要为</w:t>
      </w:r>
      <w:r>
        <w:rPr>
          <w:rFonts w:hint="default" w:ascii="Times New Roman" w:hAnsi="Times New Roman" w:cs="Times New Roman"/>
          <w:bCs/>
          <w:color w:val="000000" w:themeColor="text1"/>
          <w:spacing w:val="0"/>
          <w:sz w:val="24"/>
          <w:lang w:eastAsia="zh-CN"/>
          <w14:textFill>
            <w14:solidFill>
              <w14:schemeClr w14:val="tx1"/>
            </w14:solidFill>
          </w14:textFill>
        </w:rPr>
        <w:t>改性粒子造粒</w:t>
      </w:r>
      <w:r>
        <w:rPr>
          <w:rFonts w:hint="default" w:ascii="Times New Roman" w:hAnsi="Times New Roman" w:cs="Times New Roman"/>
          <w:bCs/>
          <w:color w:val="000000" w:themeColor="text1"/>
          <w:spacing w:val="0"/>
          <w:sz w:val="24"/>
          <w14:textFill>
            <w14:solidFill>
              <w14:schemeClr w14:val="tx1"/>
            </w14:solidFill>
          </w14:textFill>
        </w:rPr>
        <w:t>过程未收集废气、</w:t>
      </w:r>
      <w:r>
        <w:rPr>
          <w:rFonts w:hint="default" w:ascii="Times New Roman" w:hAnsi="Times New Roman" w:cs="Times New Roman"/>
          <w:bCs/>
          <w:color w:val="000000" w:themeColor="text1"/>
          <w:spacing w:val="0"/>
          <w:sz w:val="24"/>
          <w:lang w:eastAsia="zh-CN"/>
          <w14:textFill>
            <w14:solidFill>
              <w14:schemeClr w14:val="tx1"/>
            </w14:solidFill>
          </w14:textFill>
        </w:rPr>
        <w:t>标签纸</w:t>
      </w:r>
      <w:r>
        <w:rPr>
          <w:rFonts w:hint="eastAsia" w:cs="Times New Roman"/>
          <w:bCs/>
          <w:color w:val="000000" w:themeColor="text1"/>
          <w:spacing w:val="0"/>
          <w:sz w:val="24"/>
          <w:lang w:eastAsia="zh-CN"/>
          <w14:textFill>
            <w14:solidFill>
              <w14:schemeClr w14:val="tx1"/>
            </w14:solidFill>
          </w14:textFill>
        </w:rPr>
        <w:t>高温分选</w:t>
      </w:r>
      <w:r>
        <w:rPr>
          <w:rFonts w:hint="default" w:ascii="Times New Roman" w:hAnsi="Times New Roman" w:cs="Times New Roman"/>
          <w:bCs/>
          <w:color w:val="000000" w:themeColor="text1"/>
          <w:spacing w:val="0"/>
          <w:sz w:val="24"/>
          <w:lang w:eastAsia="zh-CN"/>
          <w14:textFill>
            <w14:solidFill>
              <w14:schemeClr w14:val="tx1"/>
            </w14:solidFill>
          </w14:textFill>
        </w:rPr>
        <w:t>过程</w:t>
      </w:r>
      <w:r>
        <w:rPr>
          <w:rFonts w:hint="default" w:ascii="Times New Roman" w:hAnsi="Times New Roman" w:cs="Times New Roman"/>
          <w:bCs/>
          <w:color w:val="000000" w:themeColor="text1"/>
          <w:spacing w:val="0"/>
          <w:sz w:val="24"/>
          <w14:textFill>
            <w14:solidFill>
              <w14:schemeClr w14:val="tx1"/>
            </w14:solidFill>
          </w14:textFill>
        </w:rPr>
        <w:t>未收集废气</w:t>
      </w:r>
      <w:r>
        <w:rPr>
          <w:rFonts w:hint="default" w:ascii="Times New Roman" w:hAnsi="Times New Roman" w:cs="Times New Roman"/>
          <w:bCs/>
          <w:color w:val="000000" w:themeColor="text1"/>
          <w:spacing w:val="0"/>
          <w:sz w:val="24"/>
          <w:lang w:eastAsia="zh-CN"/>
          <w14:textFill>
            <w14:solidFill>
              <w14:schemeClr w14:val="tx1"/>
            </w14:solidFill>
          </w14:textFill>
        </w:rPr>
        <w:t>、拆包工序</w:t>
      </w:r>
      <w:r>
        <w:rPr>
          <w:rFonts w:hint="default" w:ascii="Times New Roman" w:hAnsi="Times New Roman" w:cs="Times New Roman"/>
          <w:bCs/>
          <w:color w:val="000000" w:themeColor="text1"/>
          <w:spacing w:val="0"/>
          <w:sz w:val="24"/>
          <w14:textFill>
            <w14:solidFill>
              <w14:schemeClr w14:val="tx1"/>
            </w14:solidFill>
          </w14:textFill>
        </w:rPr>
        <w:t>未收集废气</w:t>
      </w:r>
      <w:r>
        <w:rPr>
          <w:rFonts w:hint="default" w:ascii="Times New Roman" w:hAnsi="Times New Roman" w:cs="Times New Roman"/>
          <w:bCs/>
          <w:color w:val="000000" w:themeColor="text1"/>
          <w:spacing w:val="0"/>
          <w:sz w:val="24"/>
          <w:lang w:eastAsia="zh-CN"/>
          <w14:textFill>
            <w14:solidFill>
              <w14:schemeClr w14:val="tx1"/>
            </w14:solidFill>
          </w14:textFill>
        </w:rPr>
        <w:t>和磨粉工序未收集废气</w:t>
      </w:r>
      <w:r>
        <w:rPr>
          <w:rFonts w:hint="default" w:ascii="Times New Roman" w:hAnsi="Times New Roman" w:cs="Times New Roman"/>
          <w:color w:val="000000" w:themeColor="text1"/>
          <w:sz w:val="24"/>
          <w:szCs w:val="24"/>
          <w14:textFill>
            <w14:solidFill>
              <w14:schemeClr w14:val="tx1"/>
            </w14:solidFill>
          </w14:textFill>
        </w:rPr>
        <w:t>。为减少车间的无组织废气排放，对本项目提出如下控制措施建议：</w:t>
      </w:r>
    </w:p>
    <w:p w14:paraId="130CEA3F">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①加强生产管理、按相关技术导则和规范合理安装集气装置，</w:t>
      </w:r>
      <w:r>
        <w:rPr>
          <w:rFonts w:hint="default" w:ascii="Times New Roman" w:hAnsi="Times New Roman" w:cs="Times New Roman"/>
          <w:color w:val="000000" w:themeColor="text1"/>
          <w:sz w:val="24"/>
          <w:szCs w:val="24"/>
          <w:lang w:eastAsia="zh-CN"/>
          <w14:textFill>
            <w14:solidFill>
              <w14:schemeClr w14:val="tx1"/>
            </w14:solidFill>
          </w14:textFill>
        </w:rPr>
        <w:t>产污</w:t>
      </w:r>
      <w:r>
        <w:rPr>
          <w:rFonts w:hint="default" w:ascii="Times New Roman" w:hAnsi="Times New Roman" w:cs="Times New Roman"/>
          <w:color w:val="000000" w:themeColor="text1"/>
          <w:sz w:val="24"/>
          <w:szCs w:val="24"/>
          <w14:textFill>
            <w14:solidFill>
              <w14:schemeClr w14:val="tx1"/>
            </w14:solidFill>
          </w14:textFill>
        </w:rPr>
        <w:t>工序全过程均设有集气罩/管道进行废气收集，且尽可能包围并靠近污染源，减小吸气范围，保证生产过程中废气的收集效率，以减少无组织废气的排放；</w:t>
      </w:r>
    </w:p>
    <w:p w14:paraId="55FC8D7E">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②选用高质量的设备，提高安装质量，加强生产设备的密闭性，尽量减少废气从设备缝隙中无组织排放，须定期进行检修维护，保证废气的收集效果；</w:t>
      </w:r>
    </w:p>
    <w:p w14:paraId="04706FAD">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③加强对操作工的培训和管理，规范操作流程，以减少人为造成的废气无组织排放；</w:t>
      </w:r>
    </w:p>
    <w:p w14:paraId="5C224476">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④车间地面定期进行清扫，有效抑制无组织颗粒物排放；</w:t>
      </w:r>
    </w:p>
    <w:p w14:paraId="6303A961">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⑤厂内道路及车间均采取硬化措施，并定期进行清扫，降低无组织粉尘产生，运输易产生粉尘的原料及成品车辆均要求采取密闭、苫盖等措施降低扬尘产生；</w:t>
      </w:r>
    </w:p>
    <w:p w14:paraId="64BD99E3">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⑥在车间外侧合理设置绿化，降低无组织排放废气的影响；</w:t>
      </w:r>
    </w:p>
    <w:p w14:paraId="0E0E1998">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采用上述措施后，可减少项目的无组织气体的排放，使污染物无组织排放量降低到较低的水平。</w:t>
      </w:r>
    </w:p>
    <w:p w14:paraId="4E8A4C76">
      <w:pPr>
        <w:spacing w:line="360" w:lineRule="auto"/>
        <w:ind w:firstLine="480" w:firstLineChars="200"/>
        <w:rPr>
          <w:rFonts w:hint="default" w:ascii="Times New Roman" w:hAnsi="Times New Roman" w:cs="Times New Roman"/>
          <w:b w:val="0"/>
          <w:bCs/>
          <w:color w:val="000000" w:themeColor="text1"/>
          <w:spacing w:val="0"/>
          <w:sz w:val="24"/>
          <w14:textFill>
            <w14:solidFill>
              <w14:schemeClr w14:val="tx1"/>
            </w14:solidFill>
          </w14:textFill>
        </w:rPr>
      </w:pPr>
      <w:bookmarkStart w:id="213" w:name="_Toc133214600"/>
      <w:bookmarkStart w:id="214" w:name="_Toc133333757"/>
      <w:r>
        <w:rPr>
          <w:rFonts w:hint="default" w:ascii="Times New Roman" w:hAnsi="Times New Roman" w:cs="Times New Roman"/>
          <w:b w:val="0"/>
          <w:bCs/>
          <w:color w:val="000000" w:themeColor="text1"/>
          <w:spacing w:val="0"/>
          <w:sz w:val="24"/>
          <w:lang w:val="en-US" w:eastAsia="zh-CN"/>
          <w14:textFill>
            <w14:solidFill>
              <w14:schemeClr w14:val="tx1"/>
            </w14:solidFill>
          </w14:textFill>
        </w:rPr>
        <w:t>5</w:t>
      </w:r>
      <w:r>
        <w:rPr>
          <w:rFonts w:hint="default" w:ascii="Times New Roman" w:hAnsi="Times New Roman" w:cs="Times New Roman"/>
          <w:b w:val="0"/>
          <w:bCs/>
          <w:color w:val="000000" w:themeColor="text1"/>
          <w:spacing w:val="0"/>
          <w:sz w:val="24"/>
          <w14:textFill>
            <w14:solidFill>
              <w14:schemeClr w14:val="tx1"/>
            </w14:solidFill>
          </w14:textFill>
        </w:rPr>
        <w:t>、废气污染防治建议</w:t>
      </w:r>
      <w:bookmarkEnd w:id="213"/>
      <w:bookmarkEnd w:id="214"/>
    </w:p>
    <w:p w14:paraId="48097F2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472" w:firstLineChars="200"/>
        <w:jc w:val="left"/>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本项目生产过程中，在工艺上应做到以下几点：</w:t>
      </w:r>
    </w:p>
    <w:p w14:paraId="69A6DA52">
      <w:pPr>
        <w:spacing w:line="360" w:lineRule="auto"/>
        <w:ind w:firstLine="472" w:firstLineChars="20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（1）治理工程应先于产生废气的生产工艺设备开启、后于生产工艺设备停机，并实现联锁控制。</w:t>
      </w:r>
    </w:p>
    <w:p w14:paraId="28C48C6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（2）生产设施应采用密闭式，并具有与废气收集系统有效连接的部件或装置。</w:t>
      </w:r>
    </w:p>
    <w:p w14:paraId="08428EDD">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3）企业应建立健全废气治理设施的运行维护规程和废气排放相关的原辅料的使用、产品生产及输出、废气处理、污染物排放等信息应进行跟踪记录，建立完善的“一厂一档”，确保企业废气处理装置运行效果。</w:t>
      </w:r>
    </w:p>
    <w:p w14:paraId="7EA50883">
      <w:pPr>
        <w:pStyle w:val="3159"/>
        <w:rPr>
          <w:rFonts w:hint="default" w:ascii="Times New Roman" w:hAnsi="Times New Roman" w:eastAsia="黑体" w:cs="Times New Roman"/>
          <w:b w:val="0"/>
          <w:color w:val="000000" w:themeColor="text1"/>
          <w14:textFill>
            <w14:solidFill>
              <w14:schemeClr w14:val="tx1"/>
            </w14:solidFill>
          </w14:textFill>
        </w:rPr>
      </w:pPr>
      <w:bookmarkStart w:id="215" w:name="_Toc133333758"/>
      <w:bookmarkStart w:id="216" w:name="_Toc173837763"/>
      <w:bookmarkStart w:id="217" w:name="_Toc141627898"/>
      <w:bookmarkStart w:id="218" w:name="_Toc170562268"/>
      <w:bookmarkStart w:id="219" w:name="_Toc133214601"/>
      <w:r>
        <w:rPr>
          <w:rFonts w:hint="default" w:ascii="Times New Roman" w:hAnsi="Times New Roman" w:eastAsia="黑体" w:cs="Times New Roman"/>
          <w:b w:val="0"/>
          <w:color w:val="000000" w:themeColor="text1"/>
          <w:lang w:val="en-US" w:eastAsia="zh-CN"/>
          <w14:textFill>
            <w14:solidFill>
              <w14:schemeClr w14:val="tx1"/>
            </w14:solidFill>
          </w14:textFill>
        </w:rPr>
        <w:t>6</w:t>
      </w:r>
      <w:r>
        <w:rPr>
          <w:rFonts w:hint="default" w:ascii="Times New Roman" w:hAnsi="Times New Roman" w:eastAsia="黑体" w:cs="Times New Roman"/>
          <w:b w:val="0"/>
          <w:color w:val="000000" w:themeColor="text1"/>
          <w14:textFill>
            <w14:solidFill>
              <w14:schemeClr w14:val="tx1"/>
            </w14:solidFill>
          </w14:textFill>
        </w:rPr>
        <w:t>.</w:t>
      </w:r>
      <w:r>
        <w:rPr>
          <w:rFonts w:hint="eastAsia" w:ascii="Times New Roman" w:hAnsi="Times New Roman" w:eastAsia="黑体" w:cs="Times New Roman"/>
          <w:b w:val="0"/>
          <w:color w:val="000000" w:themeColor="text1"/>
          <w:lang w:val="en-US" w:eastAsia="zh-CN"/>
          <w14:textFill>
            <w14:solidFill>
              <w14:schemeClr w14:val="tx1"/>
            </w14:solidFill>
          </w14:textFill>
        </w:rPr>
        <w:t>1</w:t>
      </w:r>
      <w:r>
        <w:rPr>
          <w:rFonts w:hint="default" w:ascii="Times New Roman" w:hAnsi="Times New Roman" w:eastAsia="黑体" w:cs="Times New Roman"/>
          <w:b w:val="0"/>
          <w:color w:val="000000" w:themeColor="text1"/>
          <w14:textFill>
            <w14:solidFill>
              <w14:schemeClr w14:val="tx1"/>
            </w14:solidFill>
          </w14:textFill>
        </w:rPr>
        <w:t>.2废水污染防治措施及可行性分析</w:t>
      </w:r>
      <w:bookmarkEnd w:id="215"/>
      <w:bookmarkEnd w:id="216"/>
      <w:bookmarkEnd w:id="217"/>
      <w:bookmarkEnd w:id="218"/>
      <w:bookmarkEnd w:id="219"/>
    </w:p>
    <w:p w14:paraId="53EA3B6F">
      <w:pPr>
        <w:spacing w:line="360" w:lineRule="auto"/>
        <w:ind w:firstLine="482" w:firstLineChars="200"/>
        <w:rPr>
          <w:rFonts w:hint="default" w:ascii="Times New Roman" w:hAnsi="Times New Roman" w:eastAsia="黑体" w:cs="Times New Roman"/>
          <w:b/>
          <w:color w:val="000000" w:themeColor="text1"/>
          <w14:textFill>
            <w14:solidFill>
              <w14:schemeClr w14:val="tx1"/>
            </w14:solidFill>
          </w14:textFill>
        </w:rPr>
      </w:pPr>
      <w:bookmarkStart w:id="220" w:name="_Toc133214602"/>
      <w:bookmarkStart w:id="221" w:name="_Toc133333759"/>
      <w:r>
        <w:rPr>
          <w:rFonts w:hint="default" w:ascii="Times New Roman" w:hAnsi="Times New Roman" w:cs="Times New Roman"/>
          <w:b/>
          <w:color w:val="000000" w:themeColor="text1"/>
          <w:spacing w:val="0"/>
          <w:sz w:val="24"/>
          <w14:textFill>
            <w14:solidFill>
              <w14:schemeClr w14:val="tx1"/>
            </w14:solidFill>
          </w14:textFill>
        </w:rPr>
        <w:t>1、项目废水处理方案</w:t>
      </w:r>
      <w:bookmarkEnd w:id="220"/>
      <w:bookmarkEnd w:id="221"/>
    </w:p>
    <w:p w14:paraId="3764E44B">
      <w:pPr>
        <w:spacing w:line="360" w:lineRule="auto"/>
        <w:ind w:firstLine="464"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pacing w:val="-4"/>
          <w:sz w:val="24"/>
          <w:szCs w:val="24"/>
          <w14:textFill>
            <w14:solidFill>
              <w14:schemeClr w14:val="tx1"/>
            </w14:solidFill>
          </w14:textFill>
        </w:rPr>
        <w:t>项目运营期冷却水为</w:t>
      </w:r>
      <w:r>
        <w:rPr>
          <w:rFonts w:hint="eastAsia" w:cs="Times New Roman"/>
          <w:color w:val="000000" w:themeColor="text1"/>
          <w:spacing w:val="-4"/>
          <w:sz w:val="24"/>
          <w:szCs w:val="24"/>
          <w:lang w:eastAsia="zh-CN"/>
          <w14:textFill>
            <w14:solidFill>
              <w14:schemeClr w14:val="tx1"/>
            </w14:solidFill>
          </w14:textFill>
        </w:rPr>
        <w:t>直接</w:t>
      </w:r>
      <w:r>
        <w:rPr>
          <w:rFonts w:hint="default" w:ascii="Times New Roman" w:hAnsi="Times New Roman" w:eastAsia="宋体" w:cs="Times New Roman"/>
          <w:color w:val="000000" w:themeColor="text1"/>
          <w:spacing w:val="-4"/>
          <w:sz w:val="24"/>
          <w:szCs w:val="24"/>
          <w14:textFill>
            <w14:solidFill>
              <w14:schemeClr w14:val="tx1"/>
            </w14:solidFill>
          </w14:textFill>
        </w:rPr>
        <w:t>冷却，循环利用，</w:t>
      </w:r>
      <w:r>
        <w:rPr>
          <w:rFonts w:hint="eastAsia" w:cs="Times New Roman"/>
          <w:color w:val="000000" w:themeColor="text1"/>
          <w:spacing w:val="-4"/>
          <w:sz w:val="24"/>
          <w:szCs w:val="24"/>
          <w:lang w:eastAsia="zh-CN"/>
          <w14:textFill>
            <w14:solidFill>
              <w14:schemeClr w14:val="tx1"/>
            </w14:solidFill>
          </w14:textFill>
        </w:rPr>
        <w:t>定期外排水</w:t>
      </w:r>
      <w:r>
        <w:rPr>
          <w:rFonts w:hint="eastAsia" w:cs="Times New Roman"/>
          <w:color w:val="000000" w:themeColor="text1"/>
          <w:spacing w:val="0"/>
          <w:sz w:val="24"/>
          <w:szCs w:val="24"/>
          <w:lang w:val="en-US" w:eastAsia="zh-CN"/>
          <w14:textFill>
            <w14:solidFill>
              <w14:schemeClr w14:val="tx1"/>
            </w14:solidFill>
          </w14:textFill>
        </w:rPr>
        <w:t>用于物料清洗</w:t>
      </w:r>
      <w:r>
        <w:rPr>
          <w:rFonts w:hint="default" w:ascii="Times New Roman" w:hAnsi="Times New Roman" w:eastAsia="宋体" w:cs="Times New Roman"/>
          <w:color w:val="000000" w:themeColor="text1"/>
          <w:spacing w:val="-4"/>
          <w:sz w:val="24"/>
          <w:szCs w:val="24"/>
          <w14:textFill>
            <w14:solidFill>
              <w14:schemeClr w14:val="tx1"/>
            </w14:solidFill>
          </w14:textFill>
        </w:rPr>
        <w:t>；瓶片清洗废水经厂内污水处理</w:t>
      </w:r>
      <w:r>
        <w:rPr>
          <w:rFonts w:hint="default" w:ascii="Times New Roman" w:hAnsi="Times New Roman" w:eastAsia="宋体" w:cs="Times New Roman"/>
          <w:color w:val="000000" w:themeColor="text1"/>
          <w:spacing w:val="-1"/>
          <w:sz w:val="24"/>
          <w:szCs w:val="24"/>
          <w14:textFill>
            <w14:solidFill>
              <w14:schemeClr w14:val="tx1"/>
            </w14:solidFill>
          </w14:textFill>
        </w:rPr>
        <w:t>站处理后</w:t>
      </w:r>
      <w:r>
        <w:rPr>
          <w:rFonts w:hint="default" w:ascii="Times New Roman" w:hAnsi="Times New Roman" w:eastAsia="Times New Roman" w:cs="Times New Roman"/>
          <w:color w:val="000000" w:themeColor="text1"/>
          <w:spacing w:val="-1"/>
          <w:sz w:val="24"/>
          <w:szCs w:val="24"/>
          <w14:textFill>
            <w14:solidFill>
              <w14:schemeClr w14:val="tx1"/>
            </w14:solidFill>
          </w14:textFill>
        </w:rPr>
        <w:t>90%</w:t>
      </w:r>
      <w:r>
        <w:rPr>
          <w:rFonts w:hint="default" w:ascii="Times New Roman" w:hAnsi="Times New Roman" w:eastAsia="宋体" w:cs="Times New Roman"/>
          <w:color w:val="000000" w:themeColor="text1"/>
          <w:spacing w:val="-1"/>
          <w:sz w:val="24"/>
          <w:szCs w:val="24"/>
          <w14:textFill>
            <w14:solidFill>
              <w14:schemeClr w14:val="tx1"/>
            </w14:solidFill>
          </w14:textFill>
        </w:rPr>
        <w:t>回用，</w:t>
      </w:r>
      <w:r>
        <w:rPr>
          <w:rFonts w:hint="default" w:ascii="Times New Roman" w:hAnsi="Times New Roman" w:eastAsia="Times New Roman" w:cs="Times New Roman"/>
          <w:color w:val="000000" w:themeColor="text1"/>
          <w:spacing w:val="-1"/>
          <w:sz w:val="24"/>
          <w:szCs w:val="24"/>
          <w14:textFill>
            <w14:solidFill>
              <w14:schemeClr w14:val="tx1"/>
            </w14:solidFill>
          </w14:textFill>
        </w:rPr>
        <w:t>10%</w:t>
      </w:r>
      <w:r>
        <w:rPr>
          <w:rFonts w:hint="default" w:ascii="Times New Roman" w:hAnsi="Times New Roman" w:eastAsia="宋体" w:cs="Times New Roman"/>
          <w:color w:val="000000" w:themeColor="text1"/>
          <w:spacing w:val="-1"/>
          <w:sz w:val="24"/>
          <w:szCs w:val="24"/>
          <w14:textFill>
            <w14:solidFill>
              <w14:schemeClr w14:val="tx1"/>
            </w14:solidFill>
          </w14:textFill>
        </w:rPr>
        <w:t>经市政</w:t>
      </w:r>
      <w:r>
        <w:rPr>
          <w:rFonts w:hint="default" w:ascii="Times New Roman" w:hAnsi="Times New Roman" w:eastAsia="宋体" w:cs="Times New Roman"/>
          <w:color w:val="000000" w:themeColor="text1"/>
          <w:spacing w:val="-1"/>
          <w:sz w:val="24"/>
          <w:szCs w:val="24"/>
          <w:lang w:eastAsia="zh-CN"/>
          <w14:textFill>
            <w14:solidFill>
              <w14:schemeClr w14:val="tx1"/>
            </w14:solidFill>
          </w14:textFill>
        </w:rPr>
        <w:t>污水</w:t>
      </w:r>
      <w:r>
        <w:rPr>
          <w:rFonts w:hint="default" w:ascii="Times New Roman" w:hAnsi="Times New Roman" w:eastAsia="宋体" w:cs="Times New Roman"/>
          <w:color w:val="000000" w:themeColor="text1"/>
          <w:spacing w:val="-1"/>
          <w:sz w:val="24"/>
          <w:szCs w:val="24"/>
          <w14:textFill>
            <w14:solidFill>
              <w14:schemeClr w14:val="tx1"/>
            </w14:solidFill>
          </w14:textFill>
        </w:rPr>
        <w:t>管网排入</w:t>
      </w:r>
      <w:r>
        <w:rPr>
          <w:rFonts w:hint="default" w:ascii="Times New Roman" w:hAnsi="Times New Roman" w:eastAsia="宋体" w:cs="Times New Roman"/>
          <w:color w:val="000000" w:themeColor="text1"/>
          <w:spacing w:val="-1"/>
          <w:sz w:val="24"/>
          <w:szCs w:val="24"/>
          <w:lang w:eastAsia="zh-CN"/>
          <w14:textFill>
            <w14:solidFill>
              <w14:schemeClr w14:val="tx1"/>
            </w14:solidFill>
          </w14:textFill>
        </w:rPr>
        <w:t>毛集实验区</w:t>
      </w:r>
      <w:r>
        <w:rPr>
          <w:rFonts w:hint="default" w:ascii="Times New Roman" w:hAnsi="Times New Roman" w:eastAsia="宋体" w:cs="Times New Roman"/>
          <w:color w:val="000000" w:themeColor="text1"/>
          <w:spacing w:val="-1"/>
          <w:sz w:val="24"/>
          <w:szCs w:val="24"/>
          <w14:textFill>
            <w14:solidFill>
              <w14:schemeClr w14:val="tx1"/>
            </w14:solidFill>
          </w14:textFill>
        </w:rPr>
        <w:t>污水处理厂</w:t>
      </w:r>
      <w:r>
        <w:rPr>
          <w:rFonts w:hint="default" w:ascii="Times New Roman" w:hAnsi="Times New Roman" w:eastAsia="宋体" w:cs="Times New Roman"/>
          <w:color w:val="000000" w:themeColor="text1"/>
          <w:spacing w:val="-1"/>
          <w:sz w:val="24"/>
          <w:szCs w:val="24"/>
          <w:lang w:eastAsia="zh-CN"/>
          <w14:textFill>
            <w14:solidFill>
              <w14:schemeClr w14:val="tx1"/>
            </w14:solidFill>
          </w14:textFill>
        </w:rPr>
        <w:t>深度处理</w:t>
      </w:r>
      <w:r>
        <w:rPr>
          <w:rFonts w:hint="default" w:ascii="Times New Roman" w:hAnsi="Times New Roman" w:eastAsia="宋体" w:cs="Times New Roman"/>
          <w:color w:val="000000" w:themeColor="text1"/>
          <w:spacing w:val="-1"/>
          <w:sz w:val="24"/>
          <w:szCs w:val="24"/>
          <w14:textFill>
            <w14:solidFill>
              <w14:schemeClr w14:val="tx1"/>
            </w14:solidFill>
          </w14:textFill>
        </w:rPr>
        <w:t>；</w:t>
      </w:r>
      <w:r>
        <w:rPr>
          <w:rFonts w:hint="default" w:ascii="Times New Roman" w:hAnsi="Times New Roman" w:eastAsia="宋体" w:cs="Times New Roman"/>
          <w:color w:val="000000" w:themeColor="text1"/>
          <w:spacing w:val="-3"/>
          <w:sz w:val="24"/>
          <w:szCs w:val="24"/>
          <w14:textFill>
            <w14:solidFill>
              <w14:schemeClr w14:val="tx1"/>
            </w14:solidFill>
          </w14:textFill>
        </w:rPr>
        <w:t>生活污水经化粪池预处理后经市政</w:t>
      </w:r>
      <w:r>
        <w:rPr>
          <w:rFonts w:hint="default" w:ascii="Times New Roman" w:hAnsi="Times New Roman" w:eastAsia="宋体" w:cs="Times New Roman"/>
          <w:color w:val="000000" w:themeColor="text1"/>
          <w:spacing w:val="-4"/>
          <w:sz w:val="24"/>
          <w:szCs w:val="24"/>
          <w14:textFill>
            <w14:solidFill>
              <w14:schemeClr w14:val="tx1"/>
            </w14:solidFill>
          </w14:textFill>
        </w:rPr>
        <w:t>污水管网排入</w:t>
      </w:r>
      <w:r>
        <w:rPr>
          <w:rFonts w:hint="default" w:ascii="Times New Roman" w:hAnsi="Times New Roman" w:eastAsia="宋体" w:cs="Times New Roman"/>
          <w:color w:val="000000" w:themeColor="text1"/>
          <w:spacing w:val="-1"/>
          <w:sz w:val="24"/>
          <w:szCs w:val="24"/>
          <w:lang w:eastAsia="zh-CN"/>
          <w14:textFill>
            <w14:solidFill>
              <w14:schemeClr w14:val="tx1"/>
            </w14:solidFill>
          </w14:textFill>
        </w:rPr>
        <w:t>毛集实验区</w:t>
      </w:r>
      <w:r>
        <w:rPr>
          <w:rFonts w:hint="default" w:ascii="Times New Roman" w:hAnsi="Times New Roman" w:eastAsia="宋体" w:cs="Times New Roman"/>
          <w:color w:val="000000" w:themeColor="text1"/>
          <w:spacing w:val="-1"/>
          <w:sz w:val="24"/>
          <w:szCs w:val="24"/>
          <w14:textFill>
            <w14:solidFill>
              <w14:schemeClr w14:val="tx1"/>
            </w14:solidFill>
          </w14:textFill>
        </w:rPr>
        <w:t>污水处理厂</w:t>
      </w:r>
      <w:r>
        <w:rPr>
          <w:rFonts w:hint="default" w:ascii="Times New Roman" w:hAnsi="Times New Roman" w:eastAsia="宋体" w:cs="Times New Roman"/>
          <w:color w:val="000000" w:themeColor="text1"/>
          <w:spacing w:val="-4"/>
          <w:sz w:val="24"/>
          <w:szCs w:val="24"/>
          <w14:textFill>
            <w14:solidFill>
              <w14:schemeClr w14:val="tx1"/>
            </w14:solidFill>
          </w14:textFill>
        </w:rPr>
        <w:t>集</w:t>
      </w:r>
      <w:r>
        <w:rPr>
          <w:rFonts w:hint="default" w:ascii="Times New Roman" w:hAnsi="Times New Roman" w:eastAsia="宋体" w:cs="Times New Roman"/>
          <w:color w:val="000000" w:themeColor="text1"/>
          <w:spacing w:val="-1"/>
          <w:sz w:val="24"/>
          <w:szCs w:val="24"/>
          <w14:textFill>
            <w14:solidFill>
              <w14:schemeClr w14:val="tx1"/>
            </w14:solidFill>
          </w14:textFill>
        </w:rPr>
        <w:t>中处理，最终排至</w:t>
      </w:r>
      <w:r>
        <w:rPr>
          <w:rFonts w:hint="default" w:ascii="Times New Roman" w:hAnsi="Times New Roman" w:eastAsia="宋体" w:cs="Times New Roman"/>
          <w:color w:val="000000" w:themeColor="text1"/>
          <w:spacing w:val="-1"/>
          <w:sz w:val="24"/>
          <w:szCs w:val="24"/>
          <w:lang w:eastAsia="zh-CN"/>
          <w14:textFill>
            <w14:solidFill>
              <w14:schemeClr w14:val="tx1"/>
            </w14:solidFill>
          </w14:textFill>
        </w:rPr>
        <w:t>西淝河</w:t>
      </w:r>
      <w:r>
        <w:rPr>
          <w:rFonts w:hint="default" w:ascii="Times New Roman" w:hAnsi="Times New Roman" w:eastAsia="宋体" w:cs="Times New Roman"/>
          <w:color w:val="000000" w:themeColor="text1"/>
          <w:spacing w:val="-1"/>
          <w:sz w:val="24"/>
          <w:szCs w:val="24"/>
          <w14:textFill>
            <w14:solidFill>
              <w14:schemeClr w14:val="tx1"/>
            </w14:solidFill>
          </w14:textFill>
        </w:rPr>
        <w:t>。</w:t>
      </w:r>
    </w:p>
    <w:p w14:paraId="0636B99C">
      <w:pPr>
        <w:spacing w:line="360" w:lineRule="auto"/>
        <w:ind w:firstLine="482" w:firstLineChars="200"/>
        <w:rPr>
          <w:rFonts w:hint="default" w:ascii="Times New Roman" w:hAnsi="Times New Roman" w:cs="Times New Roman"/>
          <w:b/>
          <w:color w:val="000000" w:themeColor="text1"/>
          <w:spacing w:val="0"/>
          <w:sz w:val="24"/>
          <w14:textFill>
            <w14:solidFill>
              <w14:schemeClr w14:val="tx1"/>
            </w14:solidFill>
          </w14:textFill>
        </w:rPr>
      </w:pPr>
      <w:bookmarkStart w:id="222" w:name="_Toc133214603"/>
      <w:bookmarkStart w:id="223" w:name="_Toc133333760"/>
      <w:r>
        <w:rPr>
          <w:rFonts w:hint="default" w:ascii="Times New Roman" w:hAnsi="Times New Roman" w:cs="Times New Roman"/>
          <w:b/>
          <w:color w:val="000000" w:themeColor="text1"/>
          <w:spacing w:val="0"/>
          <w:sz w:val="24"/>
          <w14:textFill>
            <w14:solidFill>
              <w14:schemeClr w14:val="tx1"/>
            </w14:solidFill>
          </w14:textFill>
        </w:rPr>
        <w:t>2、本项目废水水质及水量</w:t>
      </w:r>
      <w:bookmarkEnd w:id="222"/>
      <w:bookmarkEnd w:id="223"/>
    </w:p>
    <w:p w14:paraId="2B0FC922">
      <w:pPr>
        <w:spacing w:line="360" w:lineRule="auto"/>
        <w:ind w:firstLine="472" w:firstLineChars="200"/>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根据工程分析可知，本项目废水水质及水量情况见下表：</w:t>
      </w:r>
    </w:p>
    <w:p w14:paraId="4C5AA827">
      <w:pPr>
        <w:spacing w:line="360" w:lineRule="auto"/>
        <w:jc w:val="center"/>
        <w:rPr>
          <w:rFonts w:hint="default" w:ascii="Times New Roman" w:hAnsi="Times New Roman" w:eastAsia="黑体" w:cs="Times New Roman"/>
          <w:color w:val="000000" w:themeColor="text1"/>
          <w:sz w:val="24"/>
          <w14:textFill>
            <w14:solidFill>
              <w14:schemeClr w14:val="tx1"/>
            </w14:solidFill>
          </w14:textFill>
        </w:rPr>
      </w:pPr>
    </w:p>
    <w:p w14:paraId="41DD949C">
      <w:pPr>
        <w:spacing w:line="360" w:lineRule="auto"/>
        <w:jc w:val="center"/>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w:t>
      </w:r>
      <w:r>
        <w:rPr>
          <w:rFonts w:hint="eastAsia" w:ascii="Times New Roman" w:hAnsi="Times New Roman" w:eastAsia="黑体" w:cs="Times New Roman"/>
          <w:color w:val="000000" w:themeColor="text1"/>
          <w:sz w:val="24"/>
          <w:lang w:val="en-US" w:eastAsia="zh-CN"/>
          <w14:textFill>
            <w14:solidFill>
              <w14:schemeClr w14:val="tx1"/>
            </w14:solidFill>
          </w14:textFill>
        </w:rPr>
        <w:t>6.1</w:t>
      </w:r>
      <w:r>
        <w:rPr>
          <w:rFonts w:hint="default" w:ascii="Times New Roman" w:hAnsi="Times New Roman" w:eastAsia="黑体" w:cs="Times New Roman"/>
          <w:color w:val="000000" w:themeColor="text1"/>
          <w:sz w:val="24"/>
          <w14:textFill>
            <w14:solidFill>
              <w14:schemeClr w14:val="tx1"/>
            </w14:solidFill>
          </w14:textFill>
        </w:rPr>
        <w:t>-</w:t>
      </w:r>
      <w:r>
        <w:rPr>
          <w:rFonts w:hint="eastAsia" w:ascii="Times New Roman" w:hAnsi="Times New Roman" w:eastAsia="黑体" w:cs="Times New Roman"/>
          <w:color w:val="000000" w:themeColor="text1"/>
          <w:sz w:val="24"/>
          <w:lang w:val="en-US" w:eastAsia="zh-CN"/>
          <w14:textFill>
            <w14:solidFill>
              <w14:schemeClr w14:val="tx1"/>
            </w14:solidFill>
          </w14:textFill>
        </w:rPr>
        <w:t>3</w:t>
      </w:r>
      <w:r>
        <w:rPr>
          <w:rFonts w:hint="default" w:ascii="Times New Roman" w:hAnsi="Times New Roman" w:eastAsia="黑体" w:cs="Times New Roman"/>
          <w:color w:val="000000" w:themeColor="text1"/>
          <w:sz w:val="24"/>
          <w14:textFill>
            <w14:solidFill>
              <w14:schemeClr w14:val="tx1"/>
            </w14:solidFill>
          </w14:textFill>
        </w:rPr>
        <w:t>本项目实施后废水源强</w:t>
      </w:r>
    </w:p>
    <w:tbl>
      <w:tblPr>
        <w:tblStyle w:val="88"/>
        <w:tblW w:w="4998"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780"/>
        <w:gridCol w:w="984"/>
        <w:gridCol w:w="1003"/>
        <w:gridCol w:w="865"/>
        <w:gridCol w:w="1066"/>
        <w:gridCol w:w="1279"/>
        <w:gridCol w:w="863"/>
        <w:gridCol w:w="769"/>
        <w:gridCol w:w="917"/>
      </w:tblGrid>
      <w:tr w14:paraId="5BD1A2A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Merge w:val="restart"/>
            <w:vAlign w:val="center"/>
          </w:tcPr>
          <w:p w14:paraId="487F8887">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bookmarkStart w:id="224" w:name="_Toc133333762"/>
            <w:bookmarkStart w:id="225" w:name="_Toc133214605"/>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废水类别</w:t>
            </w:r>
          </w:p>
        </w:tc>
        <w:tc>
          <w:tcPr>
            <w:tcW w:w="577" w:type="pct"/>
            <w:vMerge w:val="restart"/>
            <w:vAlign w:val="center"/>
          </w:tcPr>
          <w:p w14:paraId="28D2F126">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污染物</w:t>
            </w:r>
          </w:p>
        </w:tc>
        <w:tc>
          <w:tcPr>
            <w:tcW w:w="1095" w:type="pct"/>
            <w:gridSpan w:val="2"/>
            <w:vAlign w:val="center"/>
          </w:tcPr>
          <w:p w14:paraId="3683D051">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治理措施</w:t>
            </w:r>
          </w:p>
        </w:tc>
        <w:tc>
          <w:tcPr>
            <w:tcW w:w="2332" w:type="pct"/>
            <w:gridSpan w:val="4"/>
            <w:vAlign w:val="center"/>
          </w:tcPr>
          <w:p w14:paraId="40393757">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污染物排放</w:t>
            </w:r>
          </w:p>
        </w:tc>
        <w:tc>
          <w:tcPr>
            <w:tcW w:w="537" w:type="pct"/>
            <w:vMerge w:val="restart"/>
            <w:vAlign w:val="center"/>
          </w:tcPr>
          <w:p w14:paraId="536F4135">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去向</w:t>
            </w:r>
          </w:p>
        </w:tc>
      </w:tr>
      <w:tr w14:paraId="6678528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Merge w:val="continue"/>
            <w:vAlign w:val="center"/>
          </w:tcPr>
          <w:p w14:paraId="59C1A083">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77" w:type="pct"/>
            <w:vMerge w:val="continue"/>
            <w:vAlign w:val="center"/>
          </w:tcPr>
          <w:p w14:paraId="386BB223">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88" w:type="pct"/>
            <w:vAlign w:val="center"/>
          </w:tcPr>
          <w:p w14:paraId="58F333A4">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治理工艺</w:t>
            </w:r>
          </w:p>
        </w:tc>
        <w:tc>
          <w:tcPr>
            <w:tcW w:w="507" w:type="pct"/>
            <w:vAlign w:val="center"/>
          </w:tcPr>
          <w:p w14:paraId="63451977">
            <w:pPr>
              <w:spacing w:line="276" w:lineRule="auto"/>
              <w:jc w:val="center"/>
              <w:rPr>
                <w:rFonts w:hint="default" w:ascii="Times New Roman" w:hAnsi="Times New Roman" w:eastAsia="宋体" w:cs="Times New Roman"/>
                <w:b/>
                <w:snapToGrid w:val="0"/>
                <w:color w:val="000000" w:themeColor="text1"/>
                <w:spacing w:val="0"/>
                <w:kern w:val="2"/>
                <w:sz w:val="21"/>
                <w:szCs w:val="21"/>
                <w:lang w:eastAsia="zh-CN"/>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lang w:eastAsia="zh-CN"/>
                <w14:textFill>
                  <w14:solidFill>
                    <w14:schemeClr w14:val="tx1"/>
                  </w14:solidFill>
                </w14:textFill>
              </w:rPr>
              <w:t>处理效率</w:t>
            </w:r>
          </w:p>
        </w:tc>
        <w:tc>
          <w:tcPr>
            <w:tcW w:w="625" w:type="pct"/>
            <w:vAlign w:val="center"/>
          </w:tcPr>
          <w:p w14:paraId="7B4F05B7">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废水产生量m</w:t>
            </w:r>
            <w:r>
              <w:rPr>
                <w:rFonts w:hint="default" w:ascii="Times New Roman" w:hAnsi="Times New Roman" w:cs="Times New Roman"/>
                <w:b/>
                <w:snapToGrid w:val="0"/>
                <w:color w:val="000000" w:themeColor="text1"/>
                <w:spacing w:val="0"/>
                <w:kern w:val="2"/>
                <w:sz w:val="21"/>
                <w:szCs w:val="21"/>
                <w:vertAlign w:val="superscript"/>
                <w14:textFill>
                  <w14:solidFill>
                    <w14:schemeClr w14:val="tx1"/>
                  </w14:solidFill>
                </w14:textFill>
              </w:rPr>
              <w:t>3</w:t>
            </w: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/a</w:t>
            </w:r>
          </w:p>
        </w:tc>
        <w:tc>
          <w:tcPr>
            <w:tcW w:w="750" w:type="pct"/>
            <w:vAlign w:val="center"/>
          </w:tcPr>
          <w:p w14:paraId="2609277F">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排放浓度</w:t>
            </w:r>
          </w:p>
          <w:p w14:paraId="2F675FEC">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mg/L</w:t>
            </w:r>
          </w:p>
        </w:tc>
        <w:tc>
          <w:tcPr>
            <w:tcW w:w="506" w:type="pct"/>
            <w:vAlign w:val="center"/>
          </w:tcPr>
          <w:p w14:paraId="28773A33">
            <w:pPr>
              <w:spacing w:line="276" w:lineRule="auto"/>
              <w:jc w:val="center"/>
              <w:rPr>
                <w:rFonts w:hint="default" w:ascii="Times New Roman" w:hAnsi="Times New Roman" w:cs="Times New Roman"/>
                <w:b/>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b/>
                <w:snapToGrid w:val="0"/>
                <w:color w:val="000000" w:themeColor="text1"/>
                <w:spacing w:val="0"/>
                <w:kern w:val="2"/>
                <w:sz w:val="21"/>
                <w:szCs w:val="21"/>
                <w14:textFill>
                  <w14:solidFill>
                    <w14:schemeClr w14:val="tx1"/>
                  </w14:solidFill>
                </w14:textFill>
              </w:rPr>
              <w:t>排放量t/a</w:t>
            </w:r>
          </w:p>
        </w:tc>
        <w:tc>
          <w:tcPr>
            <w:tcW w:w="450" w:type="pct"/>
            <w:vAlign w:val="center"/>
          </w:tcPr>
          <w:p w14:paraId="559D3CFB">
            <w:pPr>
              <w:spacing w:line="276" w:lineRule="auto"/>
              <w:jc w:val="center"/>
              <w:rPr>
                <w:rFonts w:hint="eastAsia" w:ascii="Times New Roman" w:hAnsi="Times New Roman" w:eastAsia="宋体" w:cs="Times New Roman"/>
                <w:b/>
                <w:snapToGrid w:val="0"/>
                <w:color w:val="000000" w:themeColor="text1"/>
                <w:spacing w:val="0"/>
                <w:kern w:val="2"/>
                <w:sz w:val="21"/>
                <w:szCs w:val="21"/>
                <w:lang w:val="en-US" w:eastAsia="zh-CN"/>
                <w14:textFill>
                  <w14:solidFill>
                    <w14:schemeClr w14:val="tx1"/>
                  </w14:solidFill>
                </w14:textFill>
              </w:rPr>
            </w:pPr>
            <w:r>
              <w:rPr>
                <w:rFonts w:hint="eastAsia" w:cs="Times New Roman"/>
                <w:b/>
                <w:snapToGrid w:val="0"/>
                <w:color w:val="000000" w:themeColor="text1"/>
                <w:spacing w:val="0"/>
                <w:kern w:val="2"/>
                <w:sz w:val="21"/>
                <w:szCs w:val="21"/>
                <w:lang w:val="en-US" w:eastAsia="zh-CN"/>
                <w14:textFill>
                  <w14:solidFill>
                    <w14:schemeClr w14:val="tx1"/>
                  </w14:solidFill>
                </w14:textFill>
              </w:rPr>
              <w:t>排放标准</w:t>
            </w:r>
          </w:p>
        </w:tc>
        <w:tc>
          <w:tcPr>
            <w:tcW w:w="537" w:type="pct"/>
            <w:vMerge w:val="continue"/>
            <w:vAlign w:val="center"/>
          </w:tcPr>
          <w:p w14:paraId="69F5A3D1">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0685D0F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Merge w:val="restart"/>
            <w:vAlign w:val="center"/>
          </w:tcPr>
          <w:p w14:paraId="614878EF">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生活污水</w:t>
            </w:r>
          </w:p>
        </w:tc>
        <w:tc>
          <w:tcPr>
            <w:tcW w:w="577" w:type="pct"/>
            <w:vAlign w:val="center"/>
          </w:tcPr>
          <w:p w14:paraId="7BF7B1F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COD</w:t>
            </w:r>
          </w:p>
        </w:tc>
        <w:tc>
          <w:tcPr>
            <w:tcW w:w="588" w:type="pct"/>
            <w:vMerge w:val="restart"/>
            <w:vAlign w:val="center"/>
          </w:tcPr>
          <w:p w14:paraId="432FF86D">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w:t>
            </w:r>
          </w:p>
        </w:tc>
        <w:tc>
          <w:tcPr>
            <w:tcW w:w="507" w:type="pct"/>
            <w:vAlign w:val="center"/>
          </w:tcPr>
          <w:p w14:paraId="3045BD85">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w:t>
            </w:r>
          </w:p>
        </w:tc>
        <w:tc>
          <w:tcPr>
            <w:tcW w:w="625" w:type="pct"/>
            <w:vMerge w:val="restart"/>
            <w:vAlign w:val="center"/>
          </w:tcPr>
          <w:p w14:paraId="1469495C">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60</w:t>
            </w: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0</w:t>
            </w:r>
          </w:p>
        </w:tc>
        <w:tc>
          <w:tcPr>
            <w:tcW w:w="750" w:type="pct"/>
            <w:vAlign w:val="center"/>
          </w:tcPr>
          <w:p w14:paraId="5EF300FA">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350</w:t>
            </w:r>
          </w:p>
        </w:tc>
        <w:tc>
          <w:tcPr>
            <w:tcW w:w="506" w:type="pct"/>
            <w:shd w:val="clear" w:color="auto" w:fill="auto"/>
            <w:vAlign w:val="center"/>
          </w:tcPr>
          <w:p w14:paraId="0B318915">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21</w:t>
            </w:r>
          </w:p>
        </w:tc>
        <w:tc>
          <w:tcPr>
            <w:tcW w:w="450" w:type="pct"/>
            <w:vAlign w:val="center"/>
          </w:tcPr>
          <w:p w14:paraId="4ECED166">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380</w:t>
            </w:r>
          </w:p>
        </w:tc>
        <w:tc>
          <w:tcPr>
            <w:tcW w:w="537" w:type="pct"/>
            <w:vMerge w:val="restart"/>
            <w:vAlign w:val="center"/>
          </w:tcPr>
          <w:p w14:paraId="2A2A85DB">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eastAsia="zh-CN"/>
                <w14:textFill>
                  <w14:solidFill>
                    <w14:schemeClr w14:val="tx1"/>
                  </w14:solidFill>
                </w14:textFill>
              </w:rPr>
              <w:t>由市政污水管网排入毛集实验区污水处理厂深度处理</w:t>
            </w:r>
          </w:p>
        </w:tc>
      </w:tr>
      <w:tr w14:paraId="2270B11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Merge w:val="continue"/>
            <w:vAlign w:val="center"/>
          </w:tcPr>
          <w:p w14:paraId="6D473851">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77" w:type="pct"/>
            <w:vAlign w:val="center"/>
          </w:tcPr>
          <w:p w14:paraId="077C87D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BOD</w:t>
            </w:r>
            <w:r>
              <w:rPr>
                <w:rFonts w:hint="default" w:ascii="Times New Roman" w:hAnsi="Times New Roman" w:cs="Times New Roman"/>
                <w:color w:val="000000" w:themeColor="text1"/>
                <w:sz w:val="21"/>
                <w:szCs w:val="21"/>
                <w:vertAlign w:val="subscript"/>
                <w14:textFill>
                  <w14:solidFill>
                    <w14:schemeClr w14:val="tx1"/>
                  </w14:solidFill>
                </w14:textFill>
              </w:rPr>
              <w:t>5</w:t>
            </w:r>
          </w:p>
        </w:tc>
        <w:tc>
          <w:tcPr>
            <w:tcW w:w="588" w:type="pct"/>
            <w:vMerge w:val="continue"/>
            <w:vAlign w:val="center"/>
          </w:tcPr>
          <w:p w14:paraId="02258E81">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07" w:type="pct"/>
            <w:vAlign w:val="center"/>
          </w:tcPr>
          <w:p w14:paraId="0B4A1078">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w:t>
            </w:r>
          </w:p>
        </w:tc>
        <w:tc>
          <w:tcPr>
            <w:tcW w:w="625" w:type="pct"/>
            <w:vMerge w:val="continue"/>
            <w:vAlign w:val="center"/>
          </w:tcPr>
          <w:p w14:paraId="39C0FB6D">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750" w:type="pct"/>
            <w:vAlign w:val="center"/>
          </w:tcPr>
          <w:p w14:paraId="591CA808">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180</w:t>
            </w:r>
          </w:p>
        </w:tc>
        <w:tc>
          <w:tcPr>
            <w:tcW w:w="506" w:type="pct"/>
            <w:shd w:val="clear" w:color="auto" w:fill="auto"/>
            <w:vAlign w:val="center"/>
          </w:tcPr>
          <w:p w14:paraId="06B75C26">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108</w:t>
            </w:r>
          </w:p>
        </w:tc>
        <w:tc>
          <w:tcPr>
            <w:tcW w:w="450" w:type="pct"/>
            <w:vAlign w:val="center"/>
          </w:tcPr>
          <w:p w14:paraId="6A529E2A">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200</w:t>
            </w:r>
          </w:p>
        </w:tc>
        <w:tc>
          <w:tcPr>
            <w:tcW w:w="537" w:type="pct"/>
            <w:vMerge w:val="continue"/>
            <w:vAlign w:val="center"/>
          </w:tcPr>
          <w:p w14:paraId="2F12A32E">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128FA37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Merge w:val="continue"/>
            <w:vAlign w:val="center"/>
          </w:tcPr>
          <w:p w14:paraId="3495F3B9">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77" w:type="pct"/>
            <w:vAlign w:val="center"/>
          </w:tcPr>
          <w:p w14:paraId="27585E5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SS</w:t>
            </w:r>
          </w:p>
        </w:tc>
        <w:tc>
          <w:tcPr>
            <w:tcW w:w="588" w:type="pct"/>
            <w:vMerge w:val="continue"/>
            <w:vAlign w:val="center"/>
          </w:tcPr>
          <w:p w14:paraId="59DCF3F4">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07" w:type="pct"/>
            <w:vAlign w:val="center"/>
          </w:tcPr>
          <w:p w14:paraId="1BD6C7B5">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w:t>
            </w:r>
          </w:p>
        </w:tc>
        <w:tc>
          <w:tcPr>
            <w:tcW w:w="625" w:type="pct"/>
            <w:vMerge w:val="continue"/>
            <w:vAlign w:val="center"/>
          </w:tcPr>
          <w:p w14:paraId="368219AA">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750" w:type="pct"/>
            <w:vAlign w:val="center"/>
          </w:tcPr>
          <w:p w14:paraId="3545D386">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200</w:t>
            </w:r>
          </w:p>
        </w:tc>
        <w:tc>
          <w:tcPr>
            <w:tcW w:w="506" w:type="pct"/>
            <w:shd w:val="clear" w:color="auto" w:fill="auto"/>
            <w:vAlign w:val="center"/>
          </w:tcPr>
          <w:p w14:paraId="7F5AEEB0">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12</w:t>
            </w:r>
          </w:p>
        </w:tc>
        <w:tc>
          <w:tcPr>
            <w:tcW w:w="450" w:type="pct"/>
            <w:vAlign w:val="center"/>
          </w:tcPr>
          <w:p w14:paraId="1814C0F1">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220</w:t>
            </w:r>
          </w:p>
        </w:tc>
        <w:tc>
          <w:tcPr>
            <w:tcW w:w="537" w:type="pct"/>
            <w:vMerge w:val="continue"/>
            <w:vAlign w:val="center"/>
          </w:tcPr>
          <w:p w14:paraId="50B27003">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1C6DAD7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Merge w:val="continue"/>
            <w:vAlign w:val="center"/>
          </w:tcPr>
          <w:p w14:paraId="1DF685AD">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77" w:type="pct"/>
            <w:vAlign w:val="center"/>
          </w:tcPr>
          <w:p w14:paraId="75D097C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-N</w:t>
            </w:r>
          </w:p>
        </w:tc>
        <w:tc>
          <w:tcPr>
            <w:tcW w:w="588" w:type="pct"/>
            <w:vMerge w:val="continue"/>
            <w:vAlign w:val="center"/>
          </w:tcPr>
          <w:p w14:paraId="40C0C85A">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07" w:type="pct"/>
            <w:vAlign w:val="center"/>
          </w:tcPr>
          <w:p w14:paraId="24F79CC6">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w:t>
            </w:r>
          </w:p>
        </w:tc>
        <w:tc>
          <w:tcPr>
            <w:tcW w:w="625" w:type="pct"/>
            <w:vMerge w:val="continue"/>
            <w:vAlign w:val="center"/>
          </w:tcPr>
          <w:p w14:paraId="57B6A358">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750" w:type="pct"/>
            <w:vAlign w:val="center"/>
          </w:tcPr>
          <w:p w14:paraId="1BE0EEB6">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30</w:t>
            </w:r>
          </w:p>
        </w:tc>
        <w:tc>
          <w:tcPr>
            <w:tcW w:w="506" w:type="pct"/>
            <w:shd w:val="clear" w:color="auto" w:fill="auto"/>
            <w:vAlign w:val="center"/>
          </w:tcPr>
          <w:p w14:paraId="7BCB455D">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18</w:t>
            </w:r>
          </w:p>
        </w:tc>
        <w:tc>
          <w:tcPr>
            <w:tcW w:w="450" w:type="pct"/>
            <w:vAlign w:val="center"/>
          </w:tcPr>
          <w:p w14:paraId="36531C97">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30</w:t>
            </w:r>
          </w:p>
        </w:tc>
        <w:tc>
          <w:tcPr>
            <w:tcW w:w="537" w:type="pct"/>
            <w:vMerge w:val="continue"/>
            <w:vAlign w:val="center"/>
          </w:tcPr>
          <w:p w14:paraId="3619C914">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46BB385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Merge w:val="continue"/>
            <w:vAlign w:val="center"/>
          </w:tcPr>
          <w:p w14:paraId="51E40C49">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77" w:type="pct"/>
            <w:vAlign w:val="center"/>
          </w:tcPr>
          <w:p w14:paraId="631480C7">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TN</w:t>
            </w:r>
          </w:p>
        </w:tc>
        <w:tc>
          <w:tcPr>
            <w:tcW w:w="588" w:type="pct"/>
            <w:vMerge w:val="continue"/>
            <w:vAlign w:val="center"/>
          </w:tcPr>
          <w:p w14:paraId="1B794917">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07" w:type="pct"/>
            <w:vAlign w:val="center"/>
          </w:tcPr>
          <w:p w14:paraId="64467994">
            <w:pPr>
              <w:spacing w:line="276" w:lineRule="auto"/>
              <w:jc w:val="center"/>
              <w:rPr>
                <w:rFonts w:hint="eastAsia"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w:t>
            </w:r>
          </w:p>
        </w:tc>
        <w:tc>
          <w:tcPr>
            <w:tcW w:w="625" w:type="pct"/>
            <w:vMerge w:val="continue"/>
            <w:vAlign w:val="center"/>
          </w:tcPr>
          <w:p w14:paraId="5946477F">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c>
          <w:tcPr>
            <w:tcW w:w="750" w:type="pct"/>
            <w:vAlign w:val="center"/>
          </w:tcPr>
          <w:p w14:paraId="3DB91E42">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30</w:t>
            </w:r>
          </w:p>
        </w:tc>
        <w:tc>
          <w:tcPr>
            <w:tcW w:w="506" w:type="pct"/>
            <w:shd w:val="clear" w:color="auto" w:fill="auto"/>
            <w:vAlign w:val="center"/>
          </w:tcPr>
          <w:p w14:paraId="193F1CC1">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0.018</w:t>
            </w:r>
          </w:p>
        </w:tc>
        <w:tc>
          <w:tcPr>
            <w:tcW w:w="450" w:type="pct"/>
            <w:vAlign w:val="center"/>
          </w:tcPr>
          <w:p w14:paraId="11ABB884">
            <w:pPr>
              <w:spacing w:line="276" w:lineRule="auto"/>
              <w:jc w:val="center"/>
              <w:rPr>
                <w:rFonts w:hint="eastAsia"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40</w:t>
            </w:r>
          </w:p>
        </w:tc>
        <w:tc>
          <w:tcPr>
            <w:tcW w:w="537" w:type="pct"/>
            <w:vMerge w:val="continue"/>
            <w:vAlign w:val="center"/>
          </w:tcPr>
          <w:p w14:paraId="4CB15E37">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4231298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Merge w:val="continue"/>
            <w:vAlign w:val="center"/>
          </w:tcPr>
          <w:p w14:paraId="66D197B6">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77" w:type="pct"/>
            <w:vAlign w:val="center"/>
          </w:tcPr>
          <w:p w14:paraId="42AD755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TP</w:t>
            </w:r>
          </w:p>
        </w:tc>
        <w:tc>
          <w:tcPr>
            <w:tcW w:w="588" w:type="pct"/>
            <w:vMerge w:val="continue"/>
            <w:vAlign w:val="center"/>
          </w:tcPr>
          <w:p w14:paraId="2DC3ED87">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07" w:type="pct"/>
            <w:vAlign w:val="center"/>
          </w:tcPr>
          <w:p w14:paraId="641A2D8C">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w:t>
            </w:r>
          </w:p>
        </w:tc>
        <w:tc>
          <w:tcPr>
            <w:tcW w:w="625" w:type="pct"/>
            <w:vMerge w:val="continue"/>
            <w:vAlign w:val="center"/>
          </w:tcPr>
          <w:p w14:paraId="71EFA0D6">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p>
        </w:tc>
        <w:tc>
          <w:tcPr>
            <w:tcW w:w="750" w:type="pct"/>
            <w:vAlign w:val="center"/>
          </w:tcPr>
          <w:p w14:paraId="588F7E8B">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506" w:type="pct"/>
            <w:shd w:val="clear" w:color="auto" w:fill="auto"/>
            <w:vAlign w:val="center"/>
          </w:tcPr>
          <w:p w14:paraId="197B97D2">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00</w:t>
            </w:r>
            <w:r>
              <w:rPr>
                <w:rFonts w:hint="eastAsia" w:cs="Times New Roman"/>
                <w:snapToGrid w:val="0"/>
                <w:color w:val="000000" w:themeColor="text1"/>
                <w:spacing w:val="0"/>
                <w:kern w:val="2"/>
                <w:sz w:val="21"/>
                <w:szCs w:val="21"/>
                <w:lang w:val="en-US" w:eastAsia="zh-CN"/>
                <w14:textFill>
                  <w14:solidFill>
                    <w14:schemeClr w14:val="tx1"/>
                  </w14:solidFill>
                </w14:textFill>
              </w:rPr>
              <w:t>12</w:t>
            </w:r>
          </w:p>
        </w:tc>
        <w:tc>
          <w:tcPr>
            <w:tcW w:w="450" w:type="pct"/>
            <w:vAlign w:val="center"/>
          </w:tcPr>
          <w:p w14:paraId="34C9CCF1">
            <w:pPr>
              <w:spacing w:line="276" w:lineRule="auto"/>
              <w:jc w:val="center"/>
              <w:rPr>
                <w:rFonts w:hint="eastAsia"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4</w:t>
            </w:r>
          </w:p>
        </w:tc>
        <w:tc>
          <w:tcPr>
            <w:tcW w:w="537" w:type="pct"/>
            <w:vMerge w:val="continue"/>
            <w:vAlign w:val="center"/>
          </w:tcPr>
          <w:p w14:paraId="4A0BF051">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208614E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Align w:val="center"/>
          </w:tcPr>
          <w:p w14:paraId="5A98601D">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循环冷却定期排水</w:t>
            </w:r>
          </w:p>
        </w:tc>
        <w:tc>
          <w:tcPr>
            <w:tcW w:w="577" w:type="pct"/>
            <w:vAlign w:val="center"/>
          </w:tcPr>
          <w:p w14:paraId="293DC7FE">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SS</w:t>
            </w:r>
          </w:p>
        </w:tc>
        <w:tc>
          <w:tcPr>
            <w:tcW w:w="588" w:type="pct"/>
            <w:vAlign w:val="center"/>
          </w:tcPr>
          <w:p w14:paraId="2790C835">
            <w:pPr>
              <w:spacing w:line="276" w:lineRule="auto"/>
              <w:jc w:val="center"/>
              <w:rPr>
                <w:rFonts w:hint="eastAsia"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w:t>
            </w:r>
          </w:p>
        </w:tc>
        <w:tc>
          <w:tcPr>
            <w:tcW w:w="507" w:type="pct"/>
            <w:vAlign w:val="center"/>
          </w:tcPr>
          <w:p w14:paraId="3A0F0F50">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w:t>
            </w:r>
          </w:p>
        </w:tc>
        <w:tc>
          <w:tcPr>
            <w:tcW w:w="625" w:type="pct"/>
            <w:vAlign w:val="center"/>
          </w:tcPr>
          <w:p w14:paraId="5DDFB9F2">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38.4</w:t>
            </w:r>
          </w:p>
        </w:tc>
        <w:tc>
          <w:tcPr>
            <w:tcW w:w="750" w:type="pct"/>
            <w:vAlign w:val="center"/>
          </w:tcPr>
          <w:p w14:paraId="0AD5D83B">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100</w:t>
            </w:r>
          </w:p>
        </w:tc>
        <w:tc>
          <w:tcPr>
            <w:tcW w:w="506" w:type="pct"/>
            <w:shd w:val="clear" w:color="auto" w:fill="auto"/>
            <w:vAlign w:val="center"/>
          </w:tcPr>
          <w:p w14:paraId="378F542A">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0.0038</w:t>
            </w:r>
          </w:p>
        </w:tc>
        <w:tc>
          <w:tcPr>
            <w:tcW w:w="450" w:type="pct"/>
            <w:vAlign w:val="center"/>
          </w:tcPr>
          <w:p w14:paraId="35AC3694">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w:t>
            </w:r>
          </w:p>
        </w:tc>
        <w:tc>
          <w:tcPr>
            <w:tcW w:w="537" w:type="pct"/>
            <w:vAlign w:val="center"/>
          </w:tcPr>
          <w:p w14:paraId="0270B352">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回用于物料清洗工序</w:t>
            </w:r>
          </w:p>
        </w:tc>
      </w:tr>
      <w:tr w14:paraId="73FD1D4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07" w:hRule="atLeast"/>
        </w:trPr>
        <w:tc>
          <w:tcPr>
            <w:tcW w:w="457" w:type="pct"/>
            <w:vMerge w:val="restart"/>
            <w:vAlign w:val="center"/>
          </w:tcPr>
          <w:p w14:paraId="2383E9FB">
            <w:pPr>
              <w:spacing w:line="276" w:lineRule="auto"/>
              <w:jc w:val="center"/>
              <w:rPr>
                <w:rFonts w:hint="default" w:ascii="Times New Roman" w:hAnsi="Times New Roman" w:eastAsia="宋体" w:cs="Times New Roman"/>
                <w:snapToGrid w:val="0"/>
                <w:color w:val="000000" w:themeColor="text1"/>
                <w:spacing w:val="0"/>
                <w:kern w:val="2"/>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清洗脱水废水</w:t>
            </w:r>
          </w:p>
        </w:tc>
        <w:tc>
          <w:tcPr>
            <w:tcW w:w="577" w:type="pct"/>
            <w:vAlign w:val="center"/>
          </w:tcPr>
          <w:p w14:paraId="4F93F829">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COD</w:t>
            </w:r>
          </w:p>
        </w:tc>
        <w:tc>
          <w:tcPr>
            <w:tcW w:w="588" w:type="pct"/>
            <w:vMerge w:val="restart"/>
            <w:vAlign w:val="center"/>
          </w:tcPr>
          <w:p w14:paraId="680B1C43">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eastAsia="zh-CN"/>
                <w14:textFill>
                  <w14:solidFill>
                    <w14:schemeClr w14:val="tx1"/>
                  </w14:solidFill>
                </w14:textFill>
              </w:rPr>
              <w:t>气浮</w:t>
            </w: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+混凝沉淀+A/O系统</w:t>
            </w:r>
          </w:p>
        </w:tc>
        <w:tc>
          <w:tcPr>
            <w:tcW w:w="507" w:type="pct"/>
            <w:vAlign w:val="center"/>
          </w:tcPr>
          <w:p w14:paraId="74F76577">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9</w:t>
            </w:r>
            <w:r>
              <w:rPr>
                <w:rFonts w:hint="eastAsia" w:cs="Times New Roman"/>
                <w:snapToGrid w:val="0"/>
                <w:color w:val="000000" w:themeColor="text1"/>
                <w:spacing w:val="0"/>
                <w:kern w:val="2"/>
                <w:sz w:val="21"/>
                <w:szCs w:val="21"/>
                <w:lang w:val="en-US" w:eastAsia="zh-CN"/>
                <w14:textFill>
                  <w14:solidFill>
                    <w14:schemeClr w14:val="tx1"/>
                  </w14:solidFill>
                </w14:textFill>
              </w:rPr>
              <w:t>2</w:t>
            </w: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w:t>
            </w:r>
          </w:p>
        </w:tc>
        <w:tc>
          <w:tcPr>
            <w:tcW w:w="625" w:type="pct"/>
            <w:vMerge w:val="restart"/>
            <w:vAlign w:val="center"/>
          </w:tcPr>
          <w:p w14:paraId="558821FE">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26000</w:t>
            </w:r>
          </w:p>
        </w:tc>
        <w:tc>
          <w:tcPr>
            <w:tcW w:w="750" w:type="pct"/>
            <w:vAlign w:val="center"/>
          </w:tcPr>
          <w:p w14:paraId="2AE9B227">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81.54</w:t>
            </w:r>
          </w:p>
        </w:tc>
        <w:tc>
          <w:tcPr>
            <w:tcW w:w="506" w:type="pct"/>
            <w:vAlign w:val="center"/>
          </w:tcPr>
          <w:p w14:paraId="130C538C">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2.12</w:t>
            </w:r>
          </w:p>
        </w:tc>
        <w:tc>
          <w:tcPr>
            <w:tcW w:w="450" w:type="pct"/>
            <w:vAlign w:val="center"/>
          </w:tcPr>
          <w:p w14:paraId="3C7CFAF7">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380</w:t>
            </w:r>
          </w:p>
        </w:tc>
        <w:tc>
          <w:tcPr>
            <w:tcW w:w="537" w:type="pct"/>
            <w:vMerge w:val="restart"/>
            <w:vAlign w:val="center"/>
          </w:tcPr>
          <w:p w14:paraId="0DEFE0FA">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90%回用于生产，10%由市政污水管网排入毛集实验区污水处理厂深度处理</w:t>
            </w:r>
          </w:p>
        </w:tc>
      </w:tr>
      <w:tr w14:paraId="44927AB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89" w:hRule="atLeast"/>
        </w:trPr>
        <w:tc>
          <w:tcPr>
            <w:tcW w:w="457" w:type="pct"/>
            <w:vMerge w:val="continue"/>
            <w:vAlign w:val="center"/>
          </w:tcPr>
          <w:p w14:paraId="2160F2D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77" w:type="pct"/>
            <w:vAlign w:val="center"/>
          </w:tcPr>
          <w:p w14:paraId="13EBD1A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BOD</w:t>
            </w:r>
            <w:r>
              <w:rPr>
                <w:rFonts w:hint="default" w:ascii="Times New Roman" w:hAnsi="Times New Roman" w:cs="Times New Roman"/>
                <w:color w:val="000000" w:themeColor="text1"/>
                <w:sz w:val="21"/>
                <w:szCs w:val="21"/>
                <w:vertAlign w:val="subscript"/>
                <w14:textFill>
                  <w14:solidFill>
                    <w14:schemeClr w14:val="tx1"/>
                  </w14:solidFill>
                </w14:textFill>
              </w:rPr>
              <w:t>5</w:t>
            </w:r>
          </w:p>
        </w:tc>
        <w:tc>
          <w:tcPr>
            <w:tcW w:w="588" w:type="pct"/>
            <w:vMerge w:val="continue"/>
            <w:vAlign w:val="center"/>
          </w:tcPr>
          <w:p w14:paraId="0391DCF9">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07" w:type="pct"/>
            <w:vAlign w:val="center"/>
          </w:tcPr>
          <w:p w14:paraId="730201A2">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9</w:t>
            </w:r>
            <w:r>
              <w:rPr>
                <w:rFonts w:hint="eastAsia" w:cs="Times New Roman"/>
                <w:snapToGrid w:val="0"/>
                <w:color w:val="000000" w:themeColor="text1"/>
                <w:spacing w:val="0"/>
                <w:kern w:val="2"/>
                <w:sz w:val="21"/>
                <w:szCs w:val="21"/>
                <w:lang w:val="en-US" w:eastAsia="zh-CN"/>
                <w14:textFill>
                  <w14:solidFill>
                    <w14:schemeClr w14:val="tx1"/>
                  </w14:solidFill>
                </w14:textFill>
              </w:rPr>
              <w:t>0</w:t>
            </w: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w:t>
            </w:r>
          </w:p>
        </w:tc>
        <w:tc>
          <w:tcPr>
            <w:tcW w:w="625" w:type="pct"/>
            <w:vMerge w:val="continue"/>
            <w:vAlign w:val="center"/>
          </w:tcPr>
          <w:p w14:paraId="6A1C5389">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750" w:type="pct"/>
            <w:vAlign w:val="center"/>
          </w:tcPr>
          <w:p w14:paraId="2CCEADB1">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33.97</w:t>
            </w:r>
          </w:p>
        </w:tc>
        <w:tc>
          <w:tcPr>
            <w:tcW w:w="506" w:type="pct"/>
            <w:vAlign w:val="center"/>
          </w:tcPr>
          <w:p w14:paraId="7DCB0F04">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883</w:t>
            </w:r>
          </w:p>
        </w:tc>
        <w:tc>
          <w:tcPr>
            <w:tcW w:w="450" w:type="pct"/>
            <w:vAlign w:val="center"/>
          </w:tcPr>
          <w:p w14:paraId="1EE9C83D">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200</w:t>
            </w:r>
          </w:p>
        </w:tc>
        <w:tc>
          <w:tcPr>
            <w:tcW w:w="537" w:type="pct"/>
            <w:vMerge w:val="continue"/>
            <w:vAlign w:val="center"/>
          </w:tcPr>
          <w:p w14:paraId="286CC611">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5435E96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84" w:hRule="atLeast"/>
        </w:trPr>
        <w:tc>
          <w:tcPr>
            <w:tcW w:w="457" w:type="pct"/>
            <w:vMerge w:val="continue"/>
            <w:vAlign w:val="center"/>
          </w:tcPr>
          <w:p w14:paraId="5693F3C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77" w:type="pct"/>
            <w:vAlign w:val="center"/>
          </w:tcPr>
          <w:p w14:paraId="12202A6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SS</w:t>
            </w:r>
          </w:p>
        </w:tc>
        <w:tc>
          <w:tcPr>
            <w:tcW w:w="588" w:type="pct"/>
            <w:vMerge w:val="continue"/>
            <w:vAlign w:val="center"/>
          </w:tcPr>
          <w:p w14:paraId="7F7FA537">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07" w:type="pct"/>
            <w:vAlign w:val="center"/>
          </w:tcPr>
          <w:p w14:paraId="1E50E23A">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95%</w:t>
            </w:r>
          </w:p>
        </w:tc>
        <w:tc>
          <w:tcPr>
            <w:tcW w:w="625" w:type="pct"/>
            <w:vMerge w:val="continue"/>
            <w:vAlign w:val="center"/>
          </w:tcPr>
          <w:p w14:paraId="5D2EC9A8">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750" w:type="pct"/>
            <w:vAlign w:val="center"/>
          </w:tcPr>
          <w:p w14:paraId="3B2B0FD1">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40</w:t>
            </w:r>
          </w:p>
        </w:tc>
        <w:tc>
          <w:tcPr>
            <w:tcW w:w="506" w:type="pct"/>
            <w:vAlign w:val="center"/>
          </w:tcPr>
          <w:p w14:paraId="43EDFB67">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1.04</w:t>
            </w:r>
          </w:p>
        </w:tc>
        <w:tc>
          <w:tcPr>
            <w:tcW w:w="450" w:type="pct"/>
            <w:vAlign w:val="center"/>
          </w:tcPr>
          <w:p w14:paraId="13FFF8B4">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220</w:t>
            </w:r>
          </w:p>
        </w:tc>
        <w:tc>
          <w:tcPr>
            <w:tcW w:w="537" w:type="pct"/>
            <w:vMerge w:val="continue"/>
            <w:vAlign w:val="center"/>
          </w:tcPr>
          <w:p w14:paraId="7E1A1804">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5EA044E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Merge w:val="continue"/>
            <w:vAlign w:val="center"/>
          </w:tcPr>
          <w:p w14:paraId="7357A38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77" w:type="pct"/>
            <w:vAlign w:val="center"/>
          </w:tcPr>
          <w:p w14:paraId="1A8FA00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-N</w:t>
            </w:r>
          </w:p>
        </w:tc>
        <w:tc>
          <w:tcPr>
            <w:tcW w:w="588" w:type="pct"/>
            <w:vMerge w:val="continue"/>
            <w:vAlign w:val="center"/>
          </w:tcPr>
          <w:p w14:paraId="75519931">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07" w:type="pct"/>
            <w:vAlign w:val="center"/>
          </w:tcPr>
          <w:p w14:paraId="62960B1E">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t>80%</w:t>
            </w:r>
          </w:p>
        </w:tc>
        <w:tc>
          <w:tcPr>
            <w:tcW w:w="625" w:type="pct"/>
            <w:vMerge w:val="continue"/>
            <w:vAlign w:val="center"/>
          </w:tcPr>
          <w:p w14:paraId="05A9E405">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750" w:type="pct"/>
            <w:vAlign w:val="center"/>
          </w:tcPr>
          <w:p w14:paraId="5197F939">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8.08</w:t>
            </w:r>
          </w:p>
        </w:tc>
        <w:tc>
          <w:tcPr>
            <w:tcW w:w="506" w:type="pct"/>
            <w:vAlign w:val="center"/>
          </w:tcPr>
          <w:p w14:paraId="0A67FAB7">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0.21</w:t>
            </w:r>
          </w:p>
        </w:tc>
        <w:tc>
          <w:tcPr>
            <w:tcW w:w="450" w:type="pct"/>
            <w:vAlign w:val="center"/>
          </w:tcPr>
          <w:p w14:paraId="7CC67222">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30</w:t>
            </w:r>
          </w:p>
        </w:tc>
        <w:tc>
          <w:tcPr>
            <w:tcW w:w="537" w:type="pct"/>
            <w:vMerge w:val="continue"/>
            <w:vAlign w:val="center"/>
          </w:tcPr>
          <w:p w14:paraId="3329490A">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586B338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Merge w:val="continue"/>
            <w:vAlign w:val="center"/>
          </w:tcPr>
          <w:p w14:paraId="16930E0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77" w:type="pct"/>
            <w:vAlign w:val="center"/>
          </w:tcPr>
          <w:p w14:paraId="06CDD38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TN</w:t>
            </w:r>
          </w:p>
        </w:tc>
        <w:tc>
          <w:tcPr>
            <w:tcW w:w="588" w:type="pct"/>
            <w:vMerge w:val="continue"/>
            <w:vAlign w:val="center"/>
          </w:tcPr>
          <w:p w14:paraId="79E8EFF0">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07" w:type="pct"/>
            <w:vAlign w:val="center"/>
          </w:tcPr>
          <w:p w14:paraId="1A29DB7E">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80%</w:t>
            </w:r>
          </w:p>
        </w:tc>
        <w:tc>
          <w:tcPr>
            <w:tcW w:w="625" w:type="pct"/>
            <w:vMerge w:val="continue"/>
            <w:vAlign w:val="center"/>
          </w:tcPr>
          <w:p w14:paraId="6E500C99">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750" w:type="pct"/>
            <w:vAlign w:val="center"/>
          </w:tcPr>
          <w:p w14:paraId="2912EC4E">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27.23</w:t>
            </w:r>
          </w:p>
        </w:tc>
        <w:tc>
          <w:tcPr>
            <w:tcW w:w="506" w:type="pct"/>
            <w:vAlign w:val="center"/>
          </w:tcPr>
          <w:p w14:paraId="0344003F">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0.708</w:t>
            </w:r>
          </w:p>
        </w:tc>
        <w:tc>
          <w:tcPr>
            <w:tcW w:w="450" w:type="pct"/>
            <w:vAlign w:val="center"/>
          </w:tcPr>
          <w:p w14:paraId="184B5B2C">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40</w:t>
            </w:r>
          </w:p>
        </w:tc>
        <w:tc>
          <w:tcPr>
            <w:tcW w:w="537" w:type="pct"/>
            <w:vMerge w:val="continue"/>
            <w:vAlign w:val="center"/>
          </w:tcPr>
          <w:p w14:paraId="6D3D8B28">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4BCC9FB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457" w:type="pct"/>
            <w:vMerge w:val="continue"/>
            <w:vAlign w:val="center"/>
          </w:tcPr>
          <w:p w14:paraId="1C927DB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77" w:type="pct"/>
            <w:vAlign w:val="center"/>
          </w:tcPr>
          <w:p w14:paraId="474BDB4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TP</w:t>
            </w:r>
          </w:p>
        </w:tc>
        <w:tc>
          <w:tcPr>
            <w:tcW w:w="588" w:type="pct"/>
            <w:vMerge w:val="continue"/>
            <w:vAlign w:val="center"/>
          </w:tcPr>
          <w:p w14:paraId="79F9FC72">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07" w:type="pct"/>
            <w:vAlign w:val="center"/>
          </w:tcPr>
          <w:p w14:paraId="0AD513ED">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40%</w:t>
            </w:r>
          </w:p>
        </w:tc>
        <w:tc>
          <w:tcPr>
            <w:tcW w:w="625" w:type="pct"/>
            <w:vMerge w:val="continue"/>
            <w:vAlign w:val="center"/>
          </w:tcPr>
          <w:p w14:paraId="47B5BECA">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750" w:type="pct"/>
            <w:vAlign w:val="center"/>
          </w:tcPr>
          <w:p w14:paraId="572ED2B5">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w:t>
            </w:r>
          </w:p>
        </w:tc>
        <w:tc>
          <w:tcPr>
            <w:tcW w:w="506" w:type="pct"/>
            <w:vAlign w:val="center"/>
          </w:tcPr>
          <w:p w14:paraId="3CA760C9">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0.078</w:t>
            </w:r>
          </w:p>
        </w:tc>
        <w:tc>
          <w:tcPr>
            <w:tcW w:w="450" w:type="pct"/>
            <w:vAlign w:val="center"/>
          </w:tcPr>
          <w:p w14:paraId="017E1C94">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4</w:t>
            </w:r>
          </w:p>
        </w:tc>
        <w:tc>
          <w:tcPr>
            <w:tcW w:w="537" w:type="pct"/>
            <w:vMerge w:val="continue"/>
            <w:vAlign w:val="center"/>
          </w:tcPr>
          <w:p w14:paraId="5DD265DA">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51B8DD5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Merge w:val="restart"/>
            <w:vAlign w:val="center"/>
          </w:tcPr>
          <w:p w14:paraId="50C44667">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综合废水</w:t>
            </w:r>
          </w:p>
        </w:tc>
        <w:tc>
          <w:tcPr>
            <w:tcW w:w="577" w:type="pct"/>
            <w:shd w:val="clear" w:color="auto" w:fill="auto"/>
            <w:vAlign w:val="center"/>
          </w:tcPr>
          <w:p w14:paraId="6F8E237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COD</w:t>
            </w:r>
          </w:p>
        </w:tc>
        <w:tc>
          <w:tcPr>
            <w:tcW w:w="588" w:type="pct"/>
            <w:vMerge w:val="restart"/>
            <w:vAlign w:val="center"/>
          </w:tcPr>
          <w:p w14:paraId="4B127CF3">
            <w:pPr>
              <w:spacing w:line="276" w:lineRule="auto"/>
              <w:jc w:val="center"/>
              <w:rPr>
                <w:rFonts w:hint="eastAsia"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w:t>
            </w:r>
          </w:p>
        </w:tc>
        <w:tc>
          <w:tcPr>
            <w:tcW w:w="507" w:type="pct"/>
            <w:vMerge w:val="restart"/>
            <w:vAlign w:val="center"/>
          </w:tcPr>
          <w:p w14:paraId="0BCC996D">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w:t>
            </w:r>
          </w:p>
        </w:tc>
        <w:tc>
          <w:tcPr>
            <w:tcW w:w="625" w:type="pct"/>
            <w:vMerge w:val="restart"/>
            <w:vAlign w:val="center"/>
          </w:tcPr>
          <w:p w14:paraId="0BD45FD3">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26600</w:t>
            </w:r>
          </w:p>
        </w:tc>
        <w:tc>
          <w:tcPr>
            <w:tcW w:w="750" w:type="pct"/>
            <w:vAlign w:val="center"/>
          </w:tcPr>
          <w:p w14:paraId="43F4F2AD">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87.59</w:t>
            </w:r>
          </w:p>
        </w:tc>
        <w:tc>
          <w:tcPr>
            <w:tcW w:w="506" w:type="pct"/>
            <w:vAlign w:val="center"/>
          </w:tcPr>
          <w:p w14:paraId="3BC729E4">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2.33</w:t>
            </w:r>
          </w:p>
        </w:tc>
        <w:tc>
          <w:tcPr>
            <w:tcW w:w="450" w:type="pct"/>
            <w:shd w:val="clear" w:color="auto" w:fill="auto"/>
            <w:vAlign w:val="center"/>
          </w:tcPr>
          <w:p w14:paraId="7C4589FC">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pacing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3</w:t>
            </w:r>
            <w:r>
              <w:rPr>
                <w:rFonts w:hint="eastAsia" w:cs="Times New Roman"/>
                <w:b w:val="0"/>
                <w:bCs w:val="0"/>
                <w:color w:val="000000" w:themeColor="text1"/>
                <w:sz w:val="21"/>
                <w:szCs w:val="21"/>
                <w:highlight w:val="none"/>
                <w:lang w:val="en-US" w:eastAsia="zh-CN"/>
                <w14:textFill>
                  <w14:solidFill>
                    <w14:schemeClr w14:val="tx1"/>
                  </w14:solidFill>
                </w14:textFill>
              </w:rPr>
              <w:t>8</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p>
        </w:tc>
        <w:tc>
          <w:tcPr>
            <w:tcW w:w="537" w:type="pct"/>
            <w:vMerge w:val="restart"/>
            <w:vAlign w:val="center"/>
          </w:tcPr>
          <w:p w14:paraId="69B9F134">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lang w:eastAsia="zh-CN"/>
                <w14:textFill>
                  <w14:solidFill>
                    <w14:schemeClr w14:val="tx1"/>
                  </w14:solidFill>
                </w14:textFill>
              </w:rPr>
              <w:t>毛集实验区污水处理厂</w:t>
            </w:r>
          </w:p>
        </w:tc>
      </w:tr>
      <w:tr w14:paraId="592A7F1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Merge w:val="continue"/>
            <w:vAlign w:val="center"/>
          </w:tcPr>
          <w:p w14:paraId="309A6F7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77" w:type="pct"/>
            <w:shd w:val="clear" w:color="auto" w:fill="auto"/>
            <w:vAlign w:val="center"/>
          </w:tcPr>
          <w:p w14:paraId="5E551BB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BOD</w:t>
            </w:r>
            <w:r>
              <w:rPr>
                <w:rFonts w:hint="default" w:ascii="Times New Roman" w:hAnsi="Times New Roman" w:cs="Times New Roman"/>
                <w:color w:val="000000" w:themeColor="text1"/>
                <w:sz w:val="21"/>
                <w:szCs w:val="21"/>
                <w:vertAlign w:val="subscript"/>
                <w14:textFill>
                  <w14:solidFill>
                    <w14:schemeClr w14:val="tx1"/>
                  </w14:solidFill>
                </w14:textFill>
              </w:rPr>
              <w:t>5</w:t>
            </w:r>
          </w:p>
        </w:tc>
        <w:tc>
          <w:tcPr>
            <w:tcW w:w="588" w:type="pct"/>
            <w:vMerge w:val="continue"/>
            <w:vAlign w:val="center"/>
          </w:tcPr>
          <w:p w14:paraId="1C5CFF96">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07" w:type="pct"/>
            <w:vMerge w:val="continue"/>
            <w:vAlign w:val="center"/>
          </w:tcPr>
          <w:p w14:paraId="1AE8B02F">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625" w:type="pct"/>
            <w:vMerge w:val="continue"/>
            <w:vAlign w:val="center"/>
          </w:tcPr>
          <w:p w14:paraId="5DE2466A">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750" w:type="pct"/>
            <w:vAlign w:val="center"/>
          </w:tcPr>
          <w:p w14:paraId="11CEF72A">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37.25</w:t>
            </w:r>
          </w:p>
        </w:tc>
        <w:tc>
          <w:tcPr>
            <w:tcW w:w="506" w:type="pct"/>
            <w:vAlign w:val="center"/>
          </w:tcPr>
          <w:p w14:paraId="1F304603">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0.991</w:t>
            </w:r>
          </w:p>
        </w:tc>
        <w:tc>
          <w:tcPr>
            <w:tcW w:w="450" w:type="pct"/>
            <w:shd w:val="clear" w:color="auto" w:fill="auto"/>
            <w:vAlign w:val="center"/>
          </w:tcPr>
          <w:p w14:paraId="64A7F5D8">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pacing w:val="-2"/>
                <w:sz w:val="21"/>
                <w:szCs w:val="21"/>
                <w:highlight w:val="none"/>
                <w:lang w:val="en-US" w:eastAsia="zh-CN" w:bidi="ar-SA"/>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p>
        </w:tc>
        <w:tc>
          <w:tcPr>
            <w:tcW w:w="537" w:type="pct"/>
            <w:vMerge w:val="continue"/>
            <w:vAlign w:val="center"/>
          </w:tcPr>
          <w:p w14:paraId="167B3AC0">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571E640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Merge w:val="continue"/>
            <w:vAlign w:val="center"/>
          </w:tcPr>
          <w:p w14:paraId="6F9E0DE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77" w:type="pct"/>
            <w:shd w:val="clear" w:color="auto" w:fill="auto"/>
            <w:vAlign w:val="center"/>
          </w:tcPr>
          <w:p w14:paraId="26C9E573">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SS</w:t>
            </w:r>
          </w:p>
        </w:tc>
        <w:tc>
          <w:tcPr>
            <w:tcW w:w="588" w:type="pct"/>
            <w:vMerge w:val="continue"/>
            <w:vAlign w:val="center"/>
          </w:tcPr>
          <w:p w14:paraId="71A14F82">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07" w:type="pct"/>
            <w:vMerge w:val="continue"/>
            <w:vAlign w:val="center"/>
          </w:tcPr>
          <w:p w14:paraId="142F30E9">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625" w:type="pct"/>
            <w:vMerge w:val="continue"/>
            <w:vAlign w:val="center"/>
          </w:tcPr>
          <w:p w14:paraId="799EC536">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750" w:type="pct"/>
            <w:vAlign w:val="center"/>
          </w:tcPr>
          <w:p w14:paraId="6A7EC185">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43.61</w:t>
            </w:r>
          </w:p>
        </w:tc>
        <w:tc>
          <w:tcPr>
            <w:tcW w:w="506" w:type="pct"/>
            <w:vAlign w:val="center"/>
          </w:tcPr>
          <w:p w14:paraId="0B2C50E7">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1.16</w:t>
            </w:r>
          </w:p>
        </w:tc>
        <w:tc>
          <w:tcPr>
            <w:tcW w:w="450" w:type="pct"/>
            <w:shd w:val="clear" w:color="auto" w:fill="auto"/>
            <w:vAlign w:val="center"/>
          </w:tcPr>
          <w:p w14:paraId="59C9B323">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pacing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w:t>
            </w:r>
            <w:r>
              <w:rPr>
                <w:rFonts w:hint="eastAsia" w:cs="Times New Roman"/>
                <w:b w:val="0"/>
                <w:bCs w:val="0"/>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p>
        </w:tc>
        <w:tc>
          <w:tcPr>
            <w:tcW w:w="537" w:type="pct"/>
            <w:vMerge w:val="continue"/>
            <w:vAlign w:val="center"/>
          </w:tcPr>
          <w:p w14:paraId="08685FFD">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0B326B8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Merge w:val="continue"/>
            <w:vAlign w:val="center"/>
          </w:tcPr>
          <w:p w14:paraId="7A1B5C5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77" w:type="pct"/>
            <w:shd w:val="clear" w:color="auto" w:fill="auto"/>
            <w:vAlign w:val="center"/>
          </w:tcPr>
          <w:p w14:paraId="5E0CA8FE">
            <w:pPr>
              <w:spacing w:line="276" w:lineRule="auto"/>
              <w:jc w:val="center"/>
              <w:rPr>
                <w:rFonts w:hint="eastAsia"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-N</w:t>
            </w:r>
          </w:p>
        </w:tc>
        <w:tc>
          <w:tcPr>
            <w:tcW w:w="588" w:type="pct"/>
            <w:vMerge w:val="continue"/>
            <w:vAlign w:val="center"/>
          </w:tcPr>
          <w:p w14:paraId="1C9BFFB3">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07" w:type="pct"/>
            <w:vMerge w:val="continue"/>
            <w:vAlign w:val="center"/>
          </w:tcPr>
          <w:p w14:paraId="42125814">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625" w:type="pct"/>
            <w:vMerge w:val="continue"/>
            <w:vAlign w:val="center"/>
          </w:tcPr>
          <w:p w14:paraId="19F5A659">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750" w:type="pct"/>
            <w:vAlign w:val="center"/>
          </w:tcPr>
          <w:p w14:paraId="207DA450">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8.57</w:t>
            </w:r>
          </w:p>
        </w:tc>
        <w:tc>
          <w:tcPr>
            <w:tcW w:w="506" w:type="pct"/>
            <w:vAlign w:val="center"/>
          </w:tcPr>
          <w:p w14:paraId="3E9A73CA">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0.228</w:t>
            </w:r>
          </w:p>
        </w:tc>
        <w:tc>
          <w:tcPr>
            <w:tcW w:w="450" w:type="pct"/>
            <w:shd w:val="clear" w:color="auto" w:fill="auto"/>
            <w:vAlign w:val="center"/>
          </w:tcPr>
          <w:p w14:paraId="41076B54">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30</w:t>
            </w:r>
          </w:p>
        </w:tc>
        <w:tc>
          <w:tcPr>
            <w:tcW w:w="537" w:type="pct"/>
            <w:vMerge w:val="continue"/>
            <w:vAlign w:val="center"/>
          </w:tcPr>
          <w:p w14:paraId="365FCE1A">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0733E15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Merge w:val="continue"/>
            <w:vAlign w:val="center"/>
          </w:tcPr>
          <w:p w14:paraId="51A98F4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77" w:type="pct"/>
            <w:shd w:val="clear" w:color="auto" w:fill="auto"/>
            <w:vAlign w:val="center"/>
          </w:tcPr>
          <w:p w14:paraId="3E50317A">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TN</w:t>
            </w:r>
          </w:p>
        </w:tc>
        <w:tc>
          <w:tcPr>
            <w:tcW w:w="588" w:type="pct"/>
            <w:vMerge w:val="continue"/>
            <w:vAlign w:val="center"/>
          </w:tcPr>
          <w:p w14:paraId="6917EF92">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07" w:type="pct"/>
            <w:vMerge w:val="continue"/>
            <w:vAlign w:val="center"/>
          </w:tcPr>
          <w:p w14:paraId="1FEEA616">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625" w:type="pct"/>
            <w:vMerge w:val="continue"/>
            <w:vAlign w:val="center"/>
          </w:tcPr>
          <w:p w14:paraId="3E60DDCD">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750" w:type="pct"/>
            <w:vAlign w:val="center"/>
          </w:tcPr>
          <w:p w14:paraId="33D18DBE">
            <w:pPr>
              <w:spacing w:line="276" w:lineRule="auto"/>
              <w:jc w:val="center"/>
              <w:rPr>
                <w:rFonts w:hint="default"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27.29</w:t>
            </w:r>
          </w:p>
        </w:tc>
        <w:tc>
          <w:tcPr>
            <w:tcW w:w="506" w:type="pct"/>
            <w:shd w:val="clear" w:color="auto" w:fill="auto"/>
            <w:vAlign w:val="center"/>
          </w:tcPr>
          <w:p w14:paraId="1D1F0B64">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bidi="ar-SA"/>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0.726</w:t>
            </w:r>
          </w:p>
        </w:tc>
        <w:tc>
          <w:tcPr>
            <w:tcW w:w="450" w:type="pct"/>
            <w:shd w:val="clear" w:color="auto" w:fill="auto"/>
            <w:vAlign w:val="center"/>
          </w:tcPr>
          <w:p w14:paraId="7B08F5FA">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40</w:t>
            </w:r>
          </w:p>
        </w:tc>
        <w:tc>
          <w:tcPr>
            <w:tcW w:w="537" w:type="pct"/>
            <w:vMerge w:val="continue"/>
            <w:vAlign w:val="center"/>
          </w:tcPr>
          <w:p w14:paraId="193A3446">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r w14:paraId="2B43F59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457" w:type="pct"/>
            <w:vMerge w:val="continue"/>
            <w:vAlign w:val="center"/>
          </w:tcPr>
          <w:p w14:paraId="113484E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577" w:type="pct"/>
            <w:shd w:val="clear" w:color="auto" w:fill="auto"/>
            <w:vAlign w:val="center"/>
          </w:tcPr>
          <w:p w14:paraId="5B581346">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TP</w:t>
            </w:r>
          </w:p>
        </w:tc>
        <w:tc>
          <w:tcPr>
            <w:tcW w:w="588" w:type="pct"/>
            <w:vMerge w:val="continue"/>
            <w:vAlign w:val="center"/>
          </w:tcPr>
          <w:p w14:paraId="5D22181D">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c>
          <w:tcPr>
            <w:tcW w:w="507" w:type="pct"/>
            <w:vMerge w:val="continue"/>
            <w:vAlign w:val="center"/>
          </w:tcPr>
          <w:p w14:paraId="18C05A37">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625" w:type="pct"/>
            <w:vMerge w:val="continue"/>
            <w:vAlign w:val="center"/>
          </w:tcPr>
          <w:p w14:paraId="05212139">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p>
        </w:tc>
        <w:tc>
          <w:tcPr>
            <w:tcW w:w="750" w:type="pct"/>
            <w:vAlign w:val="center"/>
          </w:tcPr>
          <w:p w14:paraId="5842BD7A">
            <w:pPr>
              <w:spacing w:line="276" w:lineRule="auto"/>
              <w:jc w:val="center"/>
              <w:rPr>
                <w:rFonts w:hint="default" w:ascii="Times New Roman" w:hAnsi="Times New Roman" w:cs="Times New Roman"/>
                <w:snapToGrid w:val="0"/>
                <w:color w:val="000000" w:themeColor="text1"/>
                <w:spacing w:val="0"/>
                <w:kern w:val="2"/>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26.66</w:t>
            </w:r>
          </w:p>
        </w:tc>
        <w:tc>
          <w:tcPr>
            <w:tcW w:w="506" w:type="pct"/>
            <w:shd w:val="clear" w:color="auto" w:fill="auto"/>
            <w:vAlign w:val="center"/>
          </w:tcPr>
          <w:p w14:paraId="2513D901">
            <w:pPr>
              <w:spacing w:line="276" w:lineRule="auto"/>
              <w:jc w:val="center"/>
              <w:rPr>
                <w:rFonts w:hint="default" w:ascii="Times New Roman" w:hAnsi="Times New Roman" w:eastAsia="宋体" w:cs="Times New Roman"/>
                <w:snapToGrid w:val="0"/>
                <w:color w:val="000000" w:themeColor="text1"/>
                <w:spacing w:val="0"/>
                <w:kern w:val="2"/>
                <w:sz w:val="21"/>
                <w:szCs w:val="21"/>
                <w:lang w:val="en-US" w:eastAsia="zh-CN" w:bidi="ar-SA"/>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7092</w:t>
            </w:r>
          </w:p>
        </w:tc>
        <w:tc>
          <w:tcPr>
            <w:tcW w:w="450" w:type="pct"/>
            <w:shd w:val="clear" w:color="auto" w:fill="auto"/>
            <w:vAlign w:val="center"/>
          </w:tcPr>
          <w:p w14:paraId="72004884">
            <w:pPr>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val="0"/>
                <w:bCs w:val="0"/>
                <w:color w:val="000000" w:themeColor="text1"/>
                <w:spacing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4</w:t>
            </w:r>
          </w:p>
        </w:tc>
        <w:tc>
          <w:tcPr>
            <w:tcW w:w="537" w:type="pct"/>
            <w:vMerge w:val="continue"/>
            <w:vAlign w:val="center"/>
          </w:tcPr>
          <w:p w14:paraId="3E582CA4">
            <w:pPr>
              <w:spacing w:line="276" w:lineRule="auto"/>
              <w:jc w:val="center"/>
              <w:rPr>
                <w:rFonts w:hint="default" w:ascii="Times New Roman" w:hAnsi="Times New Roman" w:cs="Times New Roman"/>
                <w:snapToGrid w:val="0"/>
                <w:color w:val="000000" w:themeColor="text1"/>
                <w:spacing w:val="0"/>
                <w:kern w:val="2"/>
                <w:sz w:val="21"/>
                <w:szCs w:val="21"/>
                <w14:textFill>
                  <w14:solidFill>
                    <w14:schemeClr w14:val="tx1"/>
                  </w14:solidFill>
                </w14:textFill>
              </w:rPr>
            </w:pPr>
          </w:p>
        </w:tc>
      </w:tr>
    </w:tbl>
    <w:p w14:paraId="05A1D507">
      <w:pPr>
        <w:spacing w:line="360" w:lineRule="auto"/>
        <w:ind w:firstLine="48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color w:val="000000" w:themeColor="text1"/>
          <w:spacing w:val="0"/>
          <w:sz w:val="24"/>
          <w14:textFill>
            <w14:solidFill>
              <w14:schemeClr w14:val="tx1"/>
            </w14:solidFill>
          </w14:textFill>
        </w:rPr>
        <w:t>3、废水污染防治措施达标可行性分析</w:t>
      </w:r>
      <w:bookmarkEnd w:id="224"/>
      <w:bookmarkEnd w:id="225"/>
    </w:p>
    <w:p w14:paraId="3F64F6B8">
      <w:pPr>
        <w:spacing w:line="360"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5277485" cy="2150745"/>
            <wp:effectExtent l="0" t="0" r="18415" b="1905"/>
            <wp:docPr id="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pic:cNvPicPr>
                      <a:picLocks noChangeAspect="1"/>
                    </pic:cNvPicPr>
                  </pic:nvPicPr>
                  <pic:blipFill>
                    <a:blip r:embed="rId77"/>
                    <a:stretch>
                      <a:fillRect/>
                    </a:stretch>
                  </pic:blipFill>
                  <pic:spPr>
                    <a:xfrm>
                      <a:off x="0" y="0"/>
                      <a:ext cx="5277485" cy="2150745"/>
                    </a:xfrm>
                    <a:prstGeom prst="rect">
                      <a:avLst/>
                    </a:prstGeom>
                    <a:noFill/>
                    <a:ln>
                      <a:noFill/>
                    </a:ln>
                  </pic:spPr>
                </pic:pic>
              </a:graphicData>
            </a:graphic>
          </wp:inline>
        </w:drawing>
      </w:r>
    </w:p>
    <w:p w14:paraId="2949050F">
      <w:pPr>
        <w:spacing w:line="360" w:lineRule="auto"/>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黑体" w:cs="Times New Roman"/>
          <w:b w:val="0"/>
          <w:bCs w:val="0"/>
          <w:color w:val="000000" w:themeColor="text1"/>
          <w:sz w:val="24"/>
          <w:szCs w:val="24"/>
          <w14:textFill>
            <w14:solidFill>
              <w14:schemeClr w14:val="tx1"/>
            </w14:solidFill>
          </w14:textFill>
        </w:rPr>
        <w:t>图 6.</w:t>
      </w:r>
      <w:r>
        <w:rPr>
          <w:rFonts w:hint="eastAsia" w:ascii="Times New Roman" w:hAnsi="Times New Roman" w:eastAsia="黑体" w:cs="Times New Roman"/>
          <w:b w:val="0"/>
          <w:bCs w:val="0"/>
          <w:color w:val="000000" w:themeColor="text1"/>
          <w:sz w:val="24"/>
          <w:szCs w:val="24"/>
          <w:lang w:val="en-US" w:eastAsia="zh-CN"/>
          <w14:textFill>
            <w14:solidFill>
              <w14:schemeClr w14:val="tx1"/>
            </w14:solidFill>
          </w14:textFill>
        </w:rPr>
        <w:t>1</w:t>
      </w:r>
      <w:r>
        <w:rPr>
          <w:rFonts w:hint="default" w:ascii="Times New Roman" w:hAnsi="Times New Roman" w:eastAsia="黑体" w:cs="Times New Roman"/>
          <w:b w:val="0"/>
          <w:bCs w:val="0"/>
          <w:color w:val="000000" w:themeColor="text1"/>
          <w:sz w:val="24"/>
          <w:szCs w:val="24"/>
          <w14:textFill>
            <w14:solidFill>
              <w14:schemeClr w14:val="tx1"/>
            </w14:solidFill>
          </w14:textFill>
        </w:rPr>
        <w:t>-1  本项目厂内污水处理站流程图</w:t>
      </w:r>
    </w:p>
    <w:p w14:paraId="59A9FB66">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处理工艺流程说明</w:t>
      </w:r>
    </w:p>
    <w:p w14:paraId="405BB766">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项目拟建设一座污水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处理</w:t>
      </w:r>
      <w:r>
        <w:rPr>
          <w:rFonts w:hint="default" w:ascii="Times New Roman" w:hAnsi="Times New Roman" w:eastAsia="宋体" w:cs="Times New Roman"/>
          <w:color w:val="000000" w:themeColor="text1"/>
          <w:sz w:val="24"/>
          <w:szCs w:val="24"/>
          <w14:textFill>
            <w14:solidFill>
              <w14:schemeClr w14:val="tx1"/>
            </w14:solidFill>
          </w14:textFill>
        </w:rPr>
        <w:t>站，设计规模为</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26</w:t>
      </w:r>
      <w:r>
        <w:rPr>
          <w:rFonts w:hint="default" w:ascii="Times New Roman" w:hAnsi="Times New Roman" w:eastAsia="宋体" w:cs="Times New Roman"/>
          <w:color w:val="000000" w:themeColor="text1"/>
          <w:sz w:val="24"/>
          <w:szCs w:val="24"/>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/d，对项目地面冲洗废水、水喷淋废水等生产废水进行处理。污水站主要处理工艺过程设计如下：</w:t>
      </w:r>
    </w:p>
    <w:p w14:paraId="6B388FBC">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 1 \* GB3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①</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t>调节池</w:t>
      </w:r>
    </w:p>
    <w:p w14:paraId="126F383F">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废水水量和水质在不同时间内有较大的差异和变化，为使管道和后序构筑物正常工作，不受废水的高峰流量和浓度的影响，应加大调节池，把排出的高浓度和低浓度的水混合均匀，保证废水进入后序构筑物的水质和水量相对稳定，便于生物处理的稳定。</w:t>
      </w:r>
    </w:p>
    <w:p w14:paraId="1159EEF4">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 2 \* GB3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②</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t>气浮</w:t>
      </w:r>
    </w:p>
    <w:p w14:paraId="064FF306">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混凝气浮的原理是把含有污染物的污水先加入适量的混凝剂，混合均匀后将污水注入浮选池中。然后再通入空气，使空气和水分混合形成气泡。气泡带着废水中的杂质，向上升到表面上形成泡沫层，最后再经过刮泡器去除泡沫，使污水得到净化。</w:t>
      </w:r>
    </w:p>
    <w:p w14:paraId="02BA8620">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气浮机主要用于固-液或液-液分离。通过溶气和释放系统在水中产生大量的微细气泡，使其粘附于废水中密度与水接近的固体或液体微粒上，造成整体密度小于水的状态，并依靠浮力使其上升至水面，从而达到固-液或液-液分离的目的。在水处理领域溶气气浮适用于处理低浊度、高色度、高有机物含量、低含油量、低表面活性物质含量或具有富藻的水。</w:t>
      </w:r>
    </w:p>
    <w:p w14:paraId="22DAB57C">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气浮与加药设备的配合使用：气浮设备工作主要依靠浮物表面有亲水和憎水之分。</w:t>
      </w:r>
    </w:p>
    <w:p w14:paraId="4A7216C1">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憎水性颗粒表面容易附着气泡，因而可用气浮法。亲水性颗粒采用加药设备投加适当的着化学药品处理后可以转为憎水性。水处理中的气浮法，常用的有混凝剂，絮凝剂等使胶体颗粒结成为絮体，絮体具有网络结构，容易截留气泡，从而提高气浮效率。再者，水中如有表面活性剂（如洗涤剂）可形成泡沫，也有附着悬浮颗粒一起上升的作用。</w:t>
      </w:r>
    </w:p>
    <w:p w14:paraId="05E63810">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 4 \* GB3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④</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t>A/O深度处理</w:t>
      </w:r>
    </w:p>
    <w:p w14:paraId="49C769A8">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厌氧池：利用厌氧池中厌氧菌的作用，使有机物水解、酸化、甲烷化，从而去除废水中的有机物，提高废水的可生化性。</w:t>
      </w:r>
    </w:p>
    <w:p w14:paraId="76646AFC">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好氧池：好氧池是以生物膜为主净化污水的工艺，其特点是池中供微生物固着的填料全部淹没在水中，池中采用鼓风曝气的方法，提供微生物氧化有机物所需要的氧气，并起搅拌混合作用，池中污水也有一定浓度的悬浮生物量，从而实现对有机废水的净化作用，该工艺兼有活性污泥法与生物膜法二者的特点，池中的微生物在好氧条件下降解污水中的有机物，从而达到降低BOD</w:t>
      </w:r>
      <w:r>
        <w:rPr>
          <w:rFonts w:hint="default" w:ascii="Times New Roman" w:hAnsi="Times New Roman" w:eastAsia="宋体" w:cs="Times New Roman"/>
          <w:color w:val="000000" w:themeColor="text1"/>
          <w:sz w:val="24"/>
          <w:szCs w:val="24"/>
          <w:vertAlign w:val="subscript"/>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和COD</w:t>
      </w:r>
      <w:r>
        <w:rPr>
          <w:rFonts w:hint="default" w:ascii="Times New Roman" w:hAnsi="Times New Roman" w:eastAsia="宋体" w:cs="Times New Roman"/>
          <w:color w:val="000000" w:themeColor="text1"/>
          <w:sz w:val="24"/>
          <w:szCs w:val="24"/>
          <w:vertAlign w:val="subscript"/>
          <w14:textFill>
            <w14:solidFill>
              <w14:schemeClr w14:val="tx1"/>
            </w14:solidFill>
          </w14:textFill>
        </w:rPr>
        <w:t>cr</w:t>
      </w:r>
      <w:r>
        <w:rPr>
          <w:rFonts w:hint="default" w:ascii="Times New Roman" w:hAnsi="Times New Roman" w:eastAsia="宋体" w:cs="Times New Roman"/>
          <w:color w:val="000000" w:themeColor="text1"/>
          <w:sz w:val="24"/>
          <w:szCs w:val="24"/>
          <w14:textFill>
            <w14:solidFill>
              <w14:schemeClr w14:val="tx1"/>
            </w14:solidFill>
          </w14:textFill>
        </w:rPr>
        <w:t>的目的。</w:t>
      </w:r>
    </w:p>
    <w:p w14:paraId="4DDBAED1">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二沉池：使污泥分离，使水澄清和进行污泥浓缩。</w:t>
      </w:r>
    </w:p>
    <w:p w14:paraId="1DDA3861">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处理工艺可行性分析</w:t>
      </w:r>
    </w:p>
    <w:p w14:paraId="06EB34AB">
      <w:pPr>
        <w:keepNext w:val="0"/>
        <w:keepLines w:val="0"/>
        <w:pageBreakBefore w:val="0"/>
        <w:kinsoku/>
        <w:wordWrap/>
        <w:overflowPunct/>
        <w:topLinePunct w:val="0"/>
        <w:bidi w:val="0"/>
        <w:spacing w:line="360" w:lineRule="auto"/>
        <w:ind w:firstLine="48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污水处理站各处理单元处理效率情况见下表。</w:t>
      </w:r>
    </w:p>
    <w:p w14:paraId="6B1BAFD9">
      <w:pPr>
        <w:spacing w:line="360" w:lineRule="auto"/>
        <w:jc w:val="center"/>
        <w:rPr>
          <w:rFonts w:hint="default" w:ascii="Times New Roman" w:hAnsi="Times New Roman" w:eastAsia="黑体" w:cs="Times New Roman"/>
          <w:color w:val="000000" w:themeColor="text1"/>
          <w:sz w:val="24"/>
          <w:lang w:val="en-US"/>
          <w14:textFill>
            <w14:solidFill>
              <w14:schemeClr w14:val="tx1"/>
            </w14:solidFill>
          </w14:textFill>
        </w:rPr>
      </w:pPr>
      <w:r>
        <w:rPr>
          <w:rFonts w:hint="eastAsia" w:ascii="Times New Roman" w:hAnsi="Times New Roman" w:eastAsia="黑体" w:cs="Times New Roman"/>
          <w:color w:val="000000" w:themeColor="text1"/>
          <w:sz w:val="24"/>
          <w:lang w:val="en-US" w:eastAsia="zh-CN"/>
          <w14:textFill>
            <w14:solidFill>
              <w14:schemeClr w14:val="tx1"/>
            </w14:solidFill>
          </w14:textFill>
        </w:rPr>
        <w:t>表</w:t>
      </w:r>
      <w:r>
        <w:rPr>
          <w:rFonts w:hint="default" w:ascii="Times New Roman" w:hAnsi="Times New Roman" w:eastAsia="黑体" w:cs="Times New Roman"/>
          <w:color w:val="000000" w:themeColor="text1"/>
          <w:sz w:val="24"/>
          <w:lang w:val="en-US" w:eastAsia="zh-CN"/>
          <w14:textFill>
            <w14:solidFill>
              <w14:schemeClr w14:val="tx1"/>
            </w14:solidFill>
          </w14:textFill>
        </w:rPr>
        <w:t>6.</w:t>
      </w:r>
      <w:r>
        <w:rPr>
          <w:rFonts w:hint="eastAsia" w:ascii="Times New Roman" w:hAnsi="Times New Roman" w:eastAsia="黑体" w:cs="Times New Roman"/>
          <w:color w:val="000000" w:themeColor="text1"/>
          <w:sz w:val="24"/>
          <w:lang w:val="en-US" w:eastAsia="zh-CN"/>
          <w14:textFill>
            <w14:solidFill>
              <w14:schemeClr w14:val="tx1"/>
            </w14:solidFill>
          </w14:textFill>
        </w:rPr>
        <w:t>1</w:t>
      </w:r>
      <w:r>
        <w:rPr>
          <w:rFonts w:hint="default" w:ascii="Times New Roman" w:hAnsi="Times New Roman" w:eastAsia="黑体" w:cs="Times New Roman"/>
          <w:color w:val="000000" w:themeColor="text1"/>
          <w:sz w:val="24"/>
          <w:lang w:val="en-US" w:eastAsia="zh-CN"/>
          <w14:textFill>
            <w14:solidFill>
              <w14:schemeClr w14:val="tx1"/>
            </w14:solidFill>
          </w14:textFill>
        </w:rPr>
        <w:t>-</w:t>
      </w:r>
      <w:r>
        <w:rPr>
          <w:rFonts w:hint="eastAsia" w:ascii="Times New Roman" w:hAnsi="Times New Roman" w:eastAsia="黑体" w:cs="Times New Roman"/>
          <w:color w:val="000000" w:themeColor="text1"/>
          <w:sz w:val="24"/>
          <w:lang w:val="en-US" w:eastAsia="zh-CN"/>
          <w14:textFill>
            <w14:solidFill>
              <w14:schemeClr w14:val="tx1"/>
            </w14:solidFill>
          </w14:textFill>
        </w:rPr>
        <w:t>3 废水处理站各阶段设计去除率</w:t>
      </w:r>
    </w:p>
    <w:tbl>
      <w:tblPr>
        <w:tblStyle w:val="8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73"/>
        <w:gridCol w:w="1674"/>
        <w:gridCol w:w="1054"/>
        <w:gridCol w:w="1023"/>
        <w:gridCol w:w="925"/>
        <w:gridCol w:w="925"/>
        <w:gridCol w:w="925"/>
        <w:gridCol w:w="925"/>
      </w:tblGrid>
      <w:tr w14:paraId="1680F5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747" w:type="dxa"/>
            <w:gridSpan w:val="2"/>
            <w:tcBorders>
              <w:tl2br w:val="nil"/>
              <w:tr2bl w:val="nil"/>
            </w:tcBorders>
            <w:shd w:val="clear" w:color="auto" w:fill="auto"/>
            <w:vAlign w:val="center"/>
          </w:tcPr>
          <w:p w14:paraId="3CFAED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000000" w:themeColor="text1"/>
                <w:sz w:val="21"/>
                <w:szCs w:val="21"/>
                <w:lang w:val="en-US"/>
                <w14:textFill>
                  <w14:solidFill>
                    <w14:schemeClr w14:val="tx1"/>
                  </w14:solidFill>
                </w14:textFill>
              </w:rPr>
            </w:pPr>
            <w:r>
              <w:rPr>
                <w:rFonts w:hint="eastAsia" w:ascii="Times New Roman" w:hAnsi="Times New Roman" w:eastAsia="宋体" w:cs="Times New Roman"/>
                <w:b/>
                <w:bCs w:val="0"/>
                <w:color w:val="000000" w:themeColor="text1"/>
                <w:kern w:val="2"/>
                <w:sz w:val="21"/>
                <w:szCs w:val="21"/>
                <w:lang w:val="en-US" w:eastAsia="zh-CN" w:bidi="ar"/>
                <w14:textFill>
                  <w14:solidFill>
                    <w14:schemeClr w14:val="tx1"/>
                  </w14:solidFill>
                </w14:textFill>
              </w:rPr>
              <w:t>项目类别</w:t>
            </w:r>
          </w:p>
        </w:tc>
        <w:tc>
          <w:tcPr>
            <w:tcW w:w="1054" w:type="dxa"/>
            <w:tcBorders>
              <w:tl2br w:val="nil"/>
              <w:tr2bl w:val="nil"/>
            </w:tcBorders>
            <w:shd w:val="clear" w:color="auto" w:fill="auto"/>
            <w:vAlign w:val="center"/>
          </w:tcPr>
          <w:p w14:paraId="7793C3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000000" w:themeColor="text1"/>
                <w:sz w:val="21"/>
                <w:szCs w:val="21"/>
                <w:lang w:val="en-US"/>
                <w14:textFill>
                  <w14:solidFill>
                    <w14:schemeClr w14:val="tx1"/>
                  </w14:solidFill>
                </w14:textFill>
              </w:rPr>
            </w:pPr>
            <w:r>
              <w:rPr>
                <w:rFonts w:hint="default" w:ascii="Times New Roman" w:hAnsi="Times New Roman" w:eastAsia="宋体" w:cs="Times New Roman"/>
                <w:b/>
                <w:bCs w:val="0"/>
                <w:color w:val="000000" w:themeColor="text1"/>
                <w:kern w:val="2"/>
                <w:sz w:val="21"/>
                <w:szCs w:val="21"/>
                <w:lang w:val="en-US" w:eastAsia="zh-CN" w:bidi="ar"/>
                <w14:textFill>
                  <w14:solidFill>
                    <w14:schemeClr w14:val="tx1"/>
                  </w14:solidFill>
                </w14:textFill>
              </w:rPr>
              <w:t>SS</w:t>
            </w:r>
          </w:p>
        </w:tc>
        <w:tc>
          <w:tcPr>
            <w:tcW w:w="1023" w:type="dxa"/>
            <w:tcBorders>
              <w:tl2br w:val="nil"/>
              <w:tr2bl w:val="nil"/>
            </w:tcBorders>
            <w:shd w:val="clear" w:color="auto" w:fill="auto"/>
            <w:vAlign w:val="center"/>
          </w:tcPr>
          <w:p w14:paraId="64AD86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000000" w:themeColor="text1"/>
                <w:sz w:val="21"/>
                <w:szCs w:val="21"/>
                <w:lang w:val="en-US"/>
                <w14:textFill>
                  <w14:solidFill>
                    <w14:schemeClr w14:val="tx1"/>
                  </w14:solidFill>
                </w14:textFill>
              </w:rPr>
            </w:pPr>
            <w:r>
              <w:rPr>
                <w:rFonts w:hint="default" w:ascii="Times New Roman" w:hAnsi="Times New Roman" w:eastAsia="宋体" w:cs="Times New Roman"/>
                <w:b/>
                <w:bCs w:val="0"/>
                <w:color w:val="000000" w:themeColor="text1"/>
                <w:kern w:val="2"/>
                <w:sz w:val="21"/>
                <w:szCs w:val="21"/>
                <w:lang w:val="en-US" w:eastAsia="zh-CN" w:bidi="ar"/>
                <w14:textFill>
                  <w14:solidFill>
                    <w14:schemeClr w14:val="tx1"/>
                  </w14:solidFill>
                </w14:textFill>
              </w:rPr>
              <w:t>COD</w:t>
            </w:r>
          </w:p>
        </w:tc>
        <w:tc>
          <w:tcPr>
            <w:tcW w:w="925" w:type="dxa"/>
            <w:tcBorders>
              <w:tl2br w:val="nil"/>
              <w:tr2bl w:val="nil"/>
            </w:tcBorders>
            <w:shd w:val="clear" w:color="auto" w:fill="auto"/>
            <w:vAlign w:val="center"/>
          </w:tcPr>
          <w:p w14:paraId="192478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b/>
                <w:bCs w:val="0"/>
                <w:color w:val="000000" w:themeColor="text1"/>
                <w:kern w:val="2"/>
                <w:sz w:val="21"/>
                <w:szCs w:val="21"/>
                <w:lang w:val="en-US" w:eastAsia="zh-CN" w:bidi="ar"/>
                <w14:textFill>
                  <w14:solidFill>
                    <w14:schemeClr w14:val="tx1"/>
                  </w14:solidFill>
                </w14:textFill>
              </w:rPr>
              <w:t>BOD</w:t>
            </w:r>
            <w:r>
              <w:rPr>
                <w:rFonts w:hint="eastAsia" w:ascii="Times New Roman" w:hAnsi="Times New Roman" w:eastAsia="宋体" w:cs="Times New Roman"/>
                <w:b/>
                <w:bCs w:val="0"/>
                <w:color w:val="000000" w:themeColor="text1"/>
                <w:kern w:val="2"/>
                <w:sz w:val="21"/>
                <w:szCs w:val="21"/>
                <w:vertAlign w:val="subscript"/>
                <w:lang w:val="en-US" w:eastAsia="zh-CN" w:bidi="ar"/>
                <w14:textFill>
                  <w14:solidFill>
                    <w14:schemeClr w14:val="tx1"/>
                  </w14:solidFill>
                </w14:textFill>
              </w:rPr>
              <w:t>5</w:t>
            </w:r>
          </w:p>
        </w:tc>
        <w:tc>
          <w:tcPr>
            <w:tcW w:w="925" w:type="dxa"/>
            <w:tcBorders>
              <w:tl2br w:val="nil"/>
              <w:tr2bl w:val="nil"/>
            </w:tcBorders>
            <w:shd w:val="clear" w:color="auto" w:fill="auto"/>
            <w:vAlign w:val="center"/>
          </w:tcPr>
          <w:p w14:paraId="4B4E63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000000" w:themeColor="text1"/>
                <w:sz w:val="21"/>
                <w:szCs w:val="21"/>
                <w:lang w:val="en-US"/>
                <w14:textFill>
                  <w14:solidFill>
                    <w14:schemeClr w14:val="tx1"/>
                  </w14:solidFill>
                </w14:textFill>
              </w:rPr>
            </w:pPr>
            <w:r>
              <w:rPr>
                <w:rFonts w:hint="eastAsia" w:ascii="Times New Roman" w:hAnsi="Times New Roman" w:eastAsia="宋体" w:cs="Times New Roman"/>
                <w:b/>
                <w:bCs w:val="0"/>
                <w:color w:val="000000" w:themeColor="text1"/>
                <w:kern w:val="2"/>
                <w:sz w:val="21"/>
                <w:szCs w:val="21"/>
                <w:lang w:val="en-US" w:eastAsia="zh-CN" w:bidi="ar"/>
                <w14:textFill>
                  <w14:solidFill>
                    <w14:schemeClr w14:val="tx1"/>
                  </w14:solidFill>
                </w14:textFill>
              </w:rPr>
              <w:t>氨氮</w:t>
            </w:r>
          </w:p>
        </w:tc>
        <w:tc>
          <w:tcPr>
            <w:tcW w:w="925" w:type="dxa"/>
            <w:tcBorders>
              <w:tl2br w:val="nil"/>
              <w:tr2bl w:val="nil"/>
            </w:tcBorders>
            <w:shd w:val="clear" w:color="auto" w:fill="auto"/>
            <w:vAlign w:val="center"/>
          </w:tcPr>
          <w:p w14:paraId="77D2EC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bCs w:val="0"/>
                <w:color w:val="000000" w:themeColor="text1"/>
                <w:kern w:val="2"/>
                <w:sz w:val="21"/>
                <w:szCs w:val="21"/>
                <w:lang w:val="en-US" w:eastAsia="zh-CN" w:bidi="ar"/>
                <w14:textFill>
                  <w14:solidFill>
                    <w14:schemeClr w14:val="tx1"/>
                  </w14:solidFill>
                </w14:textFill>
              </w:rPr>
            </w:pPr>
            <w:r>
              <w:rPr>
                <w:rFonts w:hint="eastAsia" w:cs="Times New Roman"/>
                <w:b/>
                <w:bCs w:val="0"/>
                <w:color w:val="000000" w:themeColor="text1"/>
                <w:kern w:val="2"/>
                <w:sz w:val="21"/>
                <w:szCs w:val="21"/>
                <w:lang w:val="en-US" w:eastAsia="zh-CN" w:bidi="ar"/>
                <w14:textFill>
                  <w14:solidFill>
                    <w14:schemeClr w14:val="tx1"/>
                  </w14:solidFill>
                </w14:textFill>
              </w:rPr>
              <w:t>总氮</w:t>
            </w:r>
          </w:p>
        </w:tc>
        <w:tc>
          <w:tcPr>
            <w:tcW w:w="925" w:type="dxa"/>
            <w:tcBorders>
              <w:tl2br w:val="nil"/>
              <w:tr2bl w:val="nil"/>
            </w:tcBorders>
            <w:shd w:val="clear" w:color="auto" w:fill="auto"/>
            <w:vAlign w:val="center"/>
          </w:tcPr>
          <w:p w14:paraId="0E3B7C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bCs w:val="0"/>
                <w:color w:val="000000" w:themeColor="text1"/>
                <w:kern w:val="2"/>
                <w:sz w:val="21"/>
                <w:szCs w:val="21"/>
                <w:lang w:val="en-US" w:eastAsia="zh-CN" w:bidi="ar"/>
                <w14:textFill>
                  <w14:solidFill>
                    <w14:schemeClr w14:val="tx1"/>
                  </w14:solidFill>
                </w14:textFill>
              </w:rPr>
            </w:pPr>
            <w:r>
              <w:rPr>
                <w:rFonts w:hint="eastAsia" w:cs="Times New Roman"/>
                <w:b/>
                <w:bCs w:val="0"/>
                <w:color w:val="000000" w:themeColor="text1"/>
                <w:kern w:val="2"/>
                <w:sz w:val="21"/>
                <w:szCs w:val="21"/>
                <w:lang w:val="en-US" w:eastAsia="zh-CN" w:bidi="ar"/>
                <w14:textFill>
                  <w14:solidFill>
                    <w14:schemeClr w14:val="tx1"/>
                  </w14:solidFill>
                </w14:textFill>
              </w:rPr>
              <w:t>总磷</w:t>
            </w:r>
          </w:p>
        </w:tc>
      </w:tr>
      <w:tr w14:paraId="08383D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073" w:type="dxa"/>
            <w:vMerge w:val="restart"/>
            <w:tcBorders>
              <w:tl2br w:val="nil"/>
              <w:tr2bl w:val="nil"/>
            </w:tcBorders>
            <w:shd w:val="clear" w:color="auto" w:fill="auto"/>
            <w:vAlign w:val="center"/>
          </w:tcPr>
          <w:p w14:paraId="38890E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气浮</w:t>
            </w:r>
          </w:p>
        </w:tc>
        <w:tc>
          <w:tcPr>
            <w:tcW w:w="1674" w:type="dxa"/>
            <w:tcBorders>
              <w:tl2br w:val="nil"/>
              <w:tr2bl w:val="nil"/>
            </w:tcBorders>
            <w:shd w:val="clear" w:color="auto" w:fill="auto"/>
            <w:vAlign w:val="center"/>
          </w:tcPr>
          <w:p w14:paraId="716DAB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进水水质（</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mg/l</w:t>
            </w: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1054" w:type="dxa"/>
            <w:tcBorders>
              <w:tl2br w:val="nil"/>
              <w:tr2bl w:val="nil"/>
            </w:tcBorders>
            <w:shd w:val="clear" w:color="auto" w:fill="auto"/>
            <w:vAlign w:val="center"/>
          </w:tcPr>
          <w:p w14:paraId="3EAE8B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kern w:val="2"/>
                <w:sz w:val="21"/>
                <w:szCs w:val="21"/>
                <w:lang w:val="en-US" w:eastAsia="zh-CN" w:bidi="ar"/>
                <w14:textFill>
                  <w14:solidFill>
                    <w14:schemeClr w14:val="tx1"/>
                  </w14:solidFill>
                </w14:textFill>
              </w:rPr>
              <w:t>800</w:t>
            </w:r>
          </w:p>
        </w:tc>
        <w:tc>
          <w:tcPr>
            <w:tcW w:w="1023" w:type="dxa"/>
            <w:tcBorders>
              <w:tl2br w:val="nil"/>
              <w:tr2bl w:val="nil"/>
            </w:tcBorders>
            <w:shd w:val="clear" w:color="auto" w:fill="auto"/>
            <w:vAlign w:val="center"/>
          </w:tcPr>
          <w:p w14:paraId="241697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1019.23</w:t>
            </w:r>
          </w:p>
        </w:tc>
        <w:tc>
          <w:tcPr>
            <w:tcW w:w="925" w:type="dxa"/>
            <w:tcBorders>
              <w:tl2br w:val="nil"/>
              <w:tr2bl w:val="nil"/>
            </w:tcBorders>
            <w:shd w:val="clear" w:color="auto" w:fill="auto"/>
            <w:vAlign w:val="center"/>
          </w:tcPr>
          <w:p w14:paraId="3F8C1C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000000" w:themeColor="text1"/>
                <w:kern w:val="2"/>
                <w:sz w:val="21"/>
                <w:szCs w:val="21"/>
                <w:lang w:val="en-US" w:eastAsia="zh-CN" w:bidi="ar"/>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339.73</w:t>
            </w:r>
          </w:p>
        </w:tc>
        <w:tc>
          <w:tcPr>
            <w:tcW w:w="925" w:type="dxa"/>
            <w:tcBorders>
              <w:tl2br w:val="nil"/>
              <w:tr2bl w:val="nil"/>
            </w:tcBorders>
            <w:shd w:val="clear" w:color="auto" w:fill="auto"/>
            <w:vAlign w:val="center"/>
          </w:tcPr>
          <w:p w14:paraId="2CC600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40.38</w:t>
            </w:r>
          </w:p>
        </w:tc>
        <w:tc>
          <w:tcPr>
            <w:tcW w:w="925" w:type="dxa"/>
            <w:tcBorders>
              <w:tl2br w:val="nil"/>
              <w:tr2bl w:val="nil"/>
            </w:tcBorders>
            <w:shd w:val="clear" w:color="auto" w:fill="auto"/>
            <w:vAlign w:val="center"/>
          </w:tcPr>
          <w:p w14:paraId="5BC0AF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000000" w:themeColor="text1"/>
                <w:kern w:val="2"/>
                <w:sz w:val="21"/>
                <w:szCs w:val="21"/>
                <w:lang w:val="en-US" w:eastAsia="zh-CN" w:bidi="ar"/>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136.15</w:t>
            </w:r>
          </w:p>
        </w:tc>
        <w:tc>
          <w:tcPr>
            <w:tcW w:w="925" w:type="dxa"/>
            <w:tcBorders>
              <w:tl2br w:val="nil"/>
              <w:tr2bl w:val="nil"/>
            </w:tcBorders>
            <w:shd w:val="clear" w:color="auto" w:fill="auto"/>
            <w:vAlign w:val="center"/>
          </w:tcPr>
          <w:p w14:paraId="7DF62F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000000" w:themeColor="text1"/>
                <w:kern w:val="2"/>
                <w:sz w:val="21"/>
                <w:szCs w:val="21"/>
                <w:lang w:val="en-US" w:eastAsia="zh-CN" w:bidi="ar"/>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5</w:t>
            </w:r>
          </w:p>
        </w:tc>
      </w:tr>
      <w:tr w14:paraId="60B9AF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073" w:type="dxa"/>
            <w:vMerge w:val="continue"/>
            <w:tcBorders>
              <w:tl2br w:val="nil"/>
              <w:tr2bl w:val="nil"/>
            </w:tcBorders>
            <w:shd w:val="clear" w:color="auto" w:fill="auto"/>
            <w:vAlign w:val="center"/>
          </w:tcPr>
          <w:p w14:paraId="287B144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Calibri" w:hAnsi="Calibri" w:cs="Times New Roman"/>
                <w:color w:val="000000" w:themeColor="text1"/>
                <w:sz w:val="21"/>
                <w:szCs w:val="21"/>
                <w14:textFill>
                  <w14:solidFill>
                    <w14:schemeClr w14:val="tx1"/>
                  </w14:solidFill>
                </w14:textFill>
              </w:rPr>
            </w:pPr>
          </w:p>
        </w:tc>
        <w:tc>
          <w:tcPr>
            <w:tcW w:w="1674" w:type="dxa"/>
            <w:tcBorders>
              <w:tl2br w:val="nil"/>
              <w:tr2bl w:val="nil"/>
            </w:tcBorders>
            <w:shd w:val="clear" w:color="auto" w:fill="auto"/>
            <w:vAlign w:val="center"/>
          </w:tcPr>
          <w:p w14:paraId="524FB7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出水水质（</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mg/l</w:t>
            </w: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1054" w:type="dxa"/>
            <w:tcBorders>
              <w:tl2br w:val="nil"/>
              <w:tr2bl w:val="nil"/>
            </w:tcBorders>
            <w:shd w:val="clear" w:color="auto" w:fill="auto"/>
            <w:vAlign w:val="center"/>
          </w:tcPr>
          <w:p w14:paraId="7C8077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160</w:t>
            </w:r>
          </w:p>
        </w:tc>
        <w:tc>
          <w:tcPr>
            <w:tcW w:w="1023" w:type="dxa"/>
            <w:tcBorders>
              <w:tl2br w:val="nil"/>
              <w:tr2bl w:val="nil"/>
            </w:tcBorders>
            <w:shd w:val="clear" w:color="auto" w:fill="auto"/>
            <w:vAlign w:val="center"/>
          </w:tcPr>
          <w:p w14:paraId="515C5C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509.62</w:t>
            </w:r>
          </w:p>
        </w:tc>
        <w:tc>
          <w:tcPr>
            <w:tcW w:w="925" w:type="dxa"/>
            <w:tcBorders>
              <w:tl2br w:val="nil"/>
              <w:tr2bl w:val="nil"/>
            </w:tcBorders>
            <w:shd w:val="clear" w:color="auto" w:fill="auto"/>
            <w:vAlign w:val="center"/>
          </w:tcPr>
          <w:p w14:paraId="133AE6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237.81</w:t>
            </w:r>
          </w:p>
        </w:tc>
        <w:tc>
          <w:tcPr>
            <w:tcW w:w="925" w:type="dxa"/>
            <w:tcBorders>
              <w:tl2br w:val="nil"/>
              <w:tr2bl w:val="nil"/>
            </w:tcBorders>
            <w:shd w:val="clear" w:color="auto" w:fill="auto"/>
            <w:vAlign w:val="center"/>
          </w:tcPr>
          <w:p w14:paraId="1B005E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38.36</w:t>
            </w:r>
          </w:p>
        </w:tc>
        <w:tc>
          <w:tcPr>
            <w:tcW w:w="925" w:type="dxa"/>
            <w:tcBorders>
              <w:tl2br w:val="nil"/>
              <w:tr2bl w:val="nil"/>
            </w:tcBorders>
            <w:shd w:val="clear" w:color="auto" w:fill="auto"/>
            <w:vAlign w:val="center"/>
          </w:tcPr>
          <w:p w14:paraId="4E55F3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129.34</w:t>
            </w:r>
          </w:p>
        </w:tc>
        <w:tc>
          <w:tcPr>
            <w:tcW w:w="925" w:type="dxa"/>
            <w:tcBorders>
              <w:tl2br w:val="nil"/>
              <w:tr2bl w:val="nil"/>
            </w:tcBorders>
            <w:shd w:val="clear" w:color="auto" w:fill="auto"/>
            <w:vAlign w:val="center"/>
          </w:tcPr>
          <w:p w14:paraId="790A5C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4.75</w:t>
            </w:r>
          </w:p>
        </w:tc>
      </w:tr>
      <w:tr w14:paraId="6AB89C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073" w:type="dxa"/>
            <w:vMerge w:val="continue"/>
            <w:tcBorders>
              <w:tl2br w:val="nil"/>
              <w:tr2bl w:val="nil"/>
            </w:tcBorders>
            <w:shd w:val="clear" w:color="auto" w:fill="auto"/>
            <w:vAlign w:val="center"/>
          </w:tcPr>
          <w:p w14:paraId="14549DE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Calibri" w:hAnsi="Calibri" w:cs="Times New Roman"/>
                <w:color w:val="000000" w:themeColor="text1"/>
                <w:sz w:val="21"/>
                <w:szCs w:val="21"/>
                <w14:textFill>
                  <w14:solidFill>
                    <w14:schemeClr w14:val="tx1"/>
                  </w14:solidFill>
                </w14:textFill>
              </w:rPr>
            </w:pPr>
          </w:p>
        </w:tc>
        <w:tc>
          <w:tcPr>
            <w:tcW w:w="1674" w:type="dxa"/>
            <w:tcBorders>
              <w:tl2br w:val="nil"/>
              <w:tr2bl w:val="nil"/>
            </w:tcBorders>
            <w:shd w:val="clear" w:color="auto" w:fill="auto"/>
            <w:vAlign w:val="center"/>
          </w:tcPr>
          <w:p w14:paraId="40564E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去除效率</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1054" w:type="dxa"/>
            <w:tcBorders>
              <w:tl2br w:val="nil"/>
              <w:tr2bl w:val="nil"/>
            </w:tcBorders>
            <w:shd w:val="clear" w:color="auto" w:fill="auto"/>
            <w:vAlign w:val="center"/>
          </w:tcPr>
          <w:p w14:paraId="5D123D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8</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0%</w:t>
            </w:r>
          </w:p>
        </w:tc>
        <w:tc>
          <w:tcPr>
            <w:tcW w:w="1023" w:type="dxa"/>
            <w:tcBorders>
              <w:tl2br w:val="nil"/>
              <w:tr2bl w:val="nil"/>
            </w:tcBorders>
            <w:shd w:val="clear" w:color="auto" w:fill="auto"/>
            <w:vAlign w:val="center"/>
          </w:tcPr>
          <w:p w14:paraId="10101E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5</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0%</w:t>
            </w:r>
          </w:p>
        </w:tc>
        <w:tc>
          <w:tcPr>
            <w:tcW w:w="925" w:type="dxa"/>
            <w:tcBorders>
              <w:tl2br w:val="nil"/>
              <w:tr2bl w:val="nil"/>
            </w:tcBorders>
            <w:shd w:val="clear" w:color="auto" w:fill="auto"/>
            <w:vAlign w:val="center"/>
          </w:tcPr>
          <w:p w14:paraId="264887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30%</w:t>
            </w:r>
          </w:p>
        </w:tc>
        <w:tc>
          <w:tcPr>
            <w:tcW w:w="925" w:type="dxa"/>
            <w:tcBorders>
              <w:tl2br w:val="nil"/>
              <w:tr2bl w:val="nil"/>
            </w:tcBorders>
            <w:shd w:val="clear" w:color="auto" w:fill="auto"/>
            <w:vAlign w:val="center"/>
          </w:tcPr>
          <w:p w14:paraId="336B3B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kern w:val="2"/>
                <w:sz w:val="21"/>
                <w:szCs w:val="21"/>
                <w:lang w:val="en-US" w:eastAsia="zh-CN" w:bidi="ar"/>
                <w14:textFill>
                  <w14:solidFill>
                    <w14:schemeClr w14:val="tx1"/>
                  </w14:solidFill>
                </w14:textFill>
              </w:rPr>
              <w:t>5</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925" w:type="dxa"/>
            <w:tcBorders>
              <w:tl2br w:val="nil"/>
              <w:tr2bl w:val="nil"/>
            </w:tcBorders>
            <w:shd w:val="clear" w:color="auto" w:fill="auto"/>
            <w:vAlign w:val="center"/>
          </w:tcPr>
          <w:p w14:paraId="003B03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cs="Times New Roman"/>
                <w:color w:val="000000" w:themeColor="text1"/>
                <w:kern w:val="2"/>
                <w:sz w:val="21"/>
                <w:szCs w:val="21"/>
                <w:lang w:val="en-US" w:eastAsia="zh-CN" w:bidi="ar"/>
                <w14:textFill>
                  <w14:solidFill>
                    <w14:schemeClr w14:val="tx1"/>
                  </w14:solidFill>
                </w14:textFill>
              </w:rPr>
              <w:t>5</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925" w:type="dxa"/>
            <w:tcBorders>
              <w:tl2br w:val="nil"/>
              <w:tr2bl w:val="nil"/>
            </w:tcBorders>
            <w:shd w:val="clear" w:color="auto" w:fill="auto"/>
            <w:vAlign w:val="center"/>
          </w:tcPr>
          <w:p w14:paraId="373B83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cs="Times New Roman"/>
                <w:color w:val="000000" w:themeColor="text1"/>
                <w:kern w:val="2"/>
                <w:sz w:val="21"/>
                <w:szCs w:val="21"/>
                <w:lang w:val="en-US" w:eastAsia="zh-CN" w:bidi="ar"/>
                <w14:textFill>
                  <w14:solidFill>
                    <w14:schemeClr w14:val="tx1"/>
                  </w14:solidFill>
                </w14:textFill>
              </w:rPr>
              <w:t>5</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r>
      <w:tr w14:paraId="0C98B2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073" w:type="dxa"/>
            <w:vMerge w:val="restart"/>
            <w:tcBorders>
              <w:tl2br w:val="nil"/>
              <w:tr2bl w:val="nil"/>
            </w:tcBorders>
            <w:shd w:val="clear" w:color="auto" w:fill="auto"/>
            <w:vAlign w:val="center"/>
          </w:tcPr>
          <w:p w14:paraId="144AEA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A</w:t>
            </w: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O</w:t>
            </w:r>
          </w:p>
        </w:tc>
        <w:tc>
          <w:tcPr>
            <w:tcW w:w="1674" w:type="dxa"/>
            <w:tcBorders>
              <w:tl2br w:val="nil"/>
              <w:tr2bl w:val="nil"/>
            </w:tcBorders>
            <w:shd w:val="clear" w:color="auto" w:fill="auto"/>
            <w:vAlign w:val="center"/>
          </w:tcPr>
          <w:p w14:paraId="01E2CD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进水水质（</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mg/l</w:t>
            </w: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1054" w:type="dxa"/>
            <w:tcBorders>
              <w:tl2br w:val="nil"/>
              <w:tr2bl w:val="nil"/>
            </w:tcBorders>
            <w:shd w:val="clear" w:color="auto" w:fill="auto"/>
            <w:vAlign w:val="center"/>
          </w:tcPr>
          <w:p w14:paraId="52FF88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160</w:t>
            </w:r>
          </w:p>
        </w:tc>
        <w:tc>
          <w:tcPr>
            <w:tcW w:w="1023" w:type="dxa"/>
            <w:tcBorders>
              <w:tl2br w:val="nil"/>
              <w:tr2bl w:val="nil"/>
            </w:tcBorders>
            <w:shd w:val="clear" w:color="auto" w:fill="auto"/>
            <w:vAlign w:val="center"/>
          </w:tcPr>
          <w:p w14:paraId="0EB90D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509.62</w:t>
            </w:r>
          </w:p>
        </w:tc>
        <w:tc>
          <w:tcPr>
            <w:tcW w:w="925" w:type="dxa"/>
            <w:tcBorders>
              <w:tl2br w:val="nil"/>
              <w:tr2bl w:val="nil"/>
            </w:tcBorders>
            <w:shd w:val="clear" w:color="auto" w:fill="auto"/>
            <w:vAlign w:val="center"/>
          </w:tcPr>
          <w:p w14:paraId="012CEA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237.81</w:t>
            </w:r>
          </w:p>
        </w:tc>
        <w:tc>
          <w:tcPr>
            <w:tcW w:w="925" w:type="dxa"/>
            <w:tcBorders>
              <w:tl2br w:val="nil"/>
              <w:tr2bl w:val="nil"/>
            </w:tcBorders>
            <w:shd w:val="clear" w:color="auto" w:fill="auto"/>
            <w:vAlign w:val="center"/>
          </w:tcPr>
          <w:p w14:paraId="1C6D72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38.36</w:t>
            </w:r>
          </w:p>
        </w:tc>
        <w:tc>
          <w:tcPr>
            <w:tcW w:w="925" w:type="dxa"/>
            <w:tcBorders>
              <w:tl2br w:val="nil"/>
              <w:tr2bl w:val="nil"/>
            </w:tcBorders>
            <w:shd w:val="clear" w:color="auto" w:fill="auto"/>
            <w:vAlign w:val="center"/>
          </w:tcPr>
          <w:p w14:paraId="167F0B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129.34</w:t>
            </w:r>
          </w:p>
        </w:tc>
        <w:tc>
          <w:tcPr>
            <w:tcW w:w="925" w:type="dxa"/>
            <w:tcBorders>
              <w:tl2br w:val="nil"/>
              <w:tr2bl w:val="nil"/>
            </w:tcBorders>
            <w:shd w:val="clear" w:color="auto" w:fill="auto"/>
            <w:vAlign w:val="center"/>
          </w:tcPr>
          <w:p w14:paraId="47ED8C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4.75</w:t>
            </w:r>
          </w:p>
        </w:tc>
      </w:tr>
      <w:tr w14:paraId="303690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073" w:type="dxa"/>
            <w:vMerge w:val="continue"/>
            <w:tcBorders>
              <w:tl2br w:val="nil"/>
              <w:tr2bl w:val="nil"/>
            </w:tcBorders>
            <w:shd w:val="clear" w:color="auto" w:fill="auto"/>
            <w:vAlign w:val="center"/>
          </w:tcPr>
          <w:p w14:paraId="4FB0D92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Calibri" w:hAnsi="Calibri" w:cs="Times New Roman"/>
                <w:color w:val="000000" w:themeColor="text1"/>
                <w:sz w:val="21"/>
                <w:szCs w:val="21"/>
                <w14:textFill>
                  <w14:solidFill>
                    <w14:schemeClr w14:val="tx1"/>
                  </w14:solidFill>
                </w14:textFill>
              </w:rPr>
            </w:pPr>
          </w:p>
        </w:tc>
        <w:tc>
          <w:tcPr>
            <w:tcW w:w="1674" w:type="dxa"/>
            <w:tcBorders>
              <w:tl2br w:val="nil"/>
              <w:tr2bl w:val="nil"/>
            </w:tcBorders>
            <w:shd w:val="clear" w:color="auto" w:fill="auto"/>
            <w:vAlign w:val="center"/>
          </w:tcPr>
          <w:p w14:paraId="17DFFC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出水水质（</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mg/l</w:t>
            </w: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1054" w:type="dxa"/>
            <w:tcBorders>
              <w:tl2br w:val="nil"/>
              <w:tr2bl w:val="nil"/>
            </w:tcBorders>
            <w:shd w:val="clear" w:color="auto" w:fill="auto"/>
            <w:vAlign w:val="center"/>
          </w:tcPr>
          <w:p w14:paraId="7A2A68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2"/>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133.33</w:t>
            </w:r>
          </w:p>
        </w:tc>
        <w:tc>
          <w:tcPr>
            <w:tcW w:w="1023" w:type="dxa"/>
            <w:tcBorders>
              <w:tl2br w:val="nil"/>
              <w:tr2bl w:val="nil"/>
            </w:tcBorders>
            <w:shd w:val="clear" w:color="auto" w:fill="auto"/>
            <w:vAlign w:val="center"/>
          </w:tcPr>
          <w:p w14:paraId="236AF1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2"/>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135.9</w:t>
            </w:r>
          </w:p>
        </w:tc>
        <w:tc>
          <w:tcPr>
            <w:tcW w:w="925" w:type="dxa"/>
            <w:tcBorders>
              <w:tl2br w:val="nil"/>
              <w:tr2bl w:val="nil"/>
            </w:tcBorders>
            <w:shd w:val="clear" w:color="auto" w:fill="auto"/>
            <w:vAlign w:val="center"/>
          </w:tcPr>
          <w:p w14:paraId="6BAF1B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42.46</w:t>
            </w:r>
          </w:p>
        </w:tc>
        <w:tc>
          <w:tcPr>
            <w:tcW w:w="925" w:type="dxa"/>
            <w:tcBorders>
              <w:tl2br w:val="nil"/>
              <w:tr2bl w:val="nil"/>
            </w:tcBorders>
            <w:shd w:val="clear" w:color="auto" w:fill="auto"/>
            <w:vAlign w:val="center"/>
          </w:tcPr>
          <w:p w14:paraId="1BBFC4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2"/>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8.51</w:t>
            </w:r>
          </w:p>
        </w:tc>
        <w:tc>
          <w:tcPr>
            <w:tcW w:w="925" w:type="dxa"/>
            <w:tcBorders>
              <w:tl2br w:val="nil"/>
              <w:tr2bl w:val="nil"/>
            </w:tcBorders>
            <w:shd w:val="clear" w:color="auto" w:fill="auto"/>
            <w:vAlign w:val="center"/>
          </w:tcPr>
          <w:p w14:paraId="6613CC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28.66</w:t>
            </w:r>
          </w:p>
        </w:tc>
        <w:tc>
          <w:tcPr>
            <w:tcW w:w="925" w:type="dxa"/>
            <w:tcBorders>
              <w:tl2br w:val="nil"/>
              <w:tr2bl w:val="nil"/>
            </w:tcBorders>
            <w:shd w:val="clear" w:color="auto" w:fill="auto"/>
            <w:vAlign w:val="center"/>
          </w:tcPr>
          <w:p w14:paraId="00E57F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3.16</w:t>
            </w:r>
          </w:p>
        </w:tc>
      </w:tr>
      <w:tr w14:paraId="6FCFA4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073" w:type="dxa"/>
            <w:vMerge w:val="continue"/>
            <w:tcBorders>
              <w:tl2br w:val="nil"/>
              <w:tr2bl w:val="nil"/>
            </w:tcBorders>
            <w:shd w:val="clear" w:color="auto" w:fill="auto"/>
            <w:vAlign w:val="center"/>
          </w:tcPr>
          <w:p w14:paraId="104786C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Calibri" w:hAnsi="Calibri" w:cs="Times New Roman"/>
                <w:color w:val="000000" w:themeColor="text1"/>
                <w:sz w:val="21"/>
                <w:szCs w:val="21"/>
                <w14:textFill>
                  <w14:solidFill>
                    <w14:schemeClr w14:val="tx1"/>
                  </w14:solidFill>
                </w14:textFill>
              </w:rPr>
            </w:pPr>
          </w:p>
        </w:tc>
        <w:tc>
          <w:tcPr>
            <w:tcW w:w="1674" w:type="dxa"/>
            <w:tcBorders>
              <w:tl2br w:val="nil"/>
              <w:tr2bl w:val="nil"/>
            </w:tcBorders>
            <w:shd w:val="clear" w:color="auto" w:fill="auto"/>
            <w:vAlign w:val="center"/>
          </w:tcPr>
          <w:p w14:paraId="13CA02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去除效率</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1054" w:type="dxa"/>
            <w:tcBorders>
              <w:tl2br w:val="nil"/>
              <w:tr2bl w:val="nil"/>
            </w:tcBorders>
            <w:shd w:val="clear" w:color="auto" w:fill="auto"/>
            <w:vAlign w:val="center"/>
          </w:tcPr>
          <w:p w14:paraId="753EDA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17</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1023" w:type="dxa"/>
            <w:tcBorders>
              <w:tl2br w:val="nil"/>
              <w:tr2bl w:val="nil"/>
            </w:tcBorders>
            <w:shd w:val="clear" w:color="auto" w:fill="auto"/>
            <w:vAlign w:val="center"/>
          </w:tcPr>
          <w:p w14:paraId="63088D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73</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925" w:type="dxa"/>
            <w:tcBorders>
              <w:tl2br w:val="nil"/>
              <w:tr2bl w:val="nil"/>
            </w:tcBorders>
            <w:shd w:val="clear" w:color="auto" w:fill="auto"/>
            <w:vAlign w:val="center"/>
          </w:tcPr>
          <w:p w14:paraId="1CBF32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cs="Times New Roman"/>
                <w:color w:val="000000" w:themeColor="text1"/>
                <w:kern w:val="2"/>
                <w:sz w:val="21"/>
                <w:szCs w:val="21"/>
                <w:lang w:val="en-US" w:eastAsia="zh-CN" w:bidi="ar"/>
                <w14:textFill>
                  <w14:solidFill>
                    <w14:schemeClr w14:val="tx1"/>
                  </w14:solidFill>
                </w14:textFill>
              </w:rPr>
              <w:t>8</w:t>
            </w:r>
            <w:r>
              <w:rPr>
                <w:rFonts w:hint="eastAsia" w:cs="Times New Roman"/>
                <w:color w:val="000000" w:themeColor="text1"/>
                <w:kern w:val="2"/>
                <w:sz w:val="21"/>
                <w:szCs w:val="21"/>
                <w:lang w:val="en-US" w:eastAsia="zh-CN" w:bidi="ar"/>
                <w14:textFill>
                  <w14:solidFill>
                    <w14:schemeClr w14:val="tx1"/>
                  </w14:solidFill>
                </w14:textFill>
              </w:rPr>
              <w:t>2</w:t>
            </w:r>
            <w:r>
              <w:rPr>
                <w:rFonts w:hint="eastAsia" w:ascii="Times New Roman" w:hAnsi="Times New Roman" w:cs="Times New Roman"/>
                <w:color w:val="000000" w:themeColor="text1"/>
                <w:kern w:val="2"/>
                <w:sz w:val="21"/>
                <w:szCs w:val="21"/>
                <w:lang w:val="en-US" w:eastAsia="zh-CN" w:bidi="ar"/>
                <w14:textFill>
                  <w14:solidFill>
                    <w14:schemeClr w14:val="tx1"/>
                  </w14:solidFill>
                </w14:textFill>
              </w:rPr>
              <w:t>%</w:t>
            </w:r>
          </w:p>
        </w:tc>
        <w:tc>
          <w:tcPr>
            <w:tcW w:w="925" w:type="dxa"/>
            <w:tcBorders>
              <w:tl2br w:val="nil"/>
              <w:tr2bl w:val="nil"/>
            </w:tcBorders>
            <w:shd w:val="clear" w:color="auto" w:fill="auto"/>
            <w:vAlign w:val="center"/>
          </w:tcPr>
          <w:p w14:paraId="253282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78%</w:t>
            </w:r>
          </w:p>
        </w:tc>
        <w:tc>
          <w:tcPr>
            <w:tcW w:w="925" w:type="dxa"/>
            <w:tcBorders>
              <w:tl2br w:val="nil"/>
              <w:tr2bl w:val="nil"/>
            </w:tcBorders>
            <w:shd w:val="clear" w:color="auto" w:fill="auto"/>
            <w:vAlign w:val="center"/>
          </w:tcPr>
          <w:p w14:paraId="1FF2CC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78%</w:t>
            </w:r>
          </w:p>
        </w:tc>
        <w:tc>
          <w:tcPr>
            <w:tcW w:w="925" w:type="dxa"/>
            <w:tcBorders>
              <w:tl2br w:val="nil"/>
              <w:tr2bl w:val="nil"/>
            </w:tcBorders>
            <w:shd w:val="clear" w:color="auto" w:fill="auto"/>
            <w:vAlign w:val="center"/>
          </w:tcPr>
          <w:p w14:paraId="79012B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33%</w:t>
            </w:r>
          </w:p>
        </w:tc>
      </w:tr>
      <w:tr w14:paraId="1F718E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073" w:type="dxa"/>
            <w:vMerge w:val="restart"/>
            <w:tcBorders>
              <w:tl2br w:val="nil"/>
              <w:tr2bl w:val="nil"/>
            </w:tcBorders>
            <w:shd w:val="clear" w:color="auto" w:fill="auto"/>
            <w:vAlign w:val="center"/>
          </w:tcPr>
          <w:p w14:paraId="15F6AC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二沉池</w:t>
            </w:r>
          </w:p>
        </w:tc>
        <w:tc>
          <w:tcPr>
            <w:tcW w:w="1674" w:type="dxa"/>
            <w:tcBorders>
              <w:tl2br w:val="nil"/>
              <w:tr2bl w:val="nil"/>
            </w:tcBorders>
            <w:shd w:val="clear" w:color="auto" w:fill="auto"/>
            <w:vAlign w:val="center"/>
          </w:tcPr>
          <w:p w14:paraId="23E123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进水水质</w:t>
            </w:r>
          </w:p>
        </w:tc>
        <w:tc>
          <w:tcPr>
            <w:tcW w:w="1054" w:type="dxa"/>
            <w:tcBorders>
              <w:tl2br w:val="nil"/>
              <w:tr2bl w:val="nil"/>
            </w:tcBorders>
            <w:shd w:val="clear" w:color="auto" w:fill="auto"/>
            <w:vAlign w:val="center"/>
          </w:tcPr>
          <w:p w14:paraId="07078B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133.33</w:t>
            </w:r>
          </w:p>
        </w:tc>
        <w:tc>
          <w:tcPr>
            <w:tcW w:w="1023" w:type="dxa"/>
            <w:tcBorders>
              <w:tl2br w:val="nil"/>
              <w:tr2bl w:val="nil"/>
            </w:tcBorders>
            <w:shd w:val="clear" w:color="auto" w:fill="auto"/>
            <w:vAlign w:val="center"/>
          </w:tcPr>
          <w:p w14:paraId="690F1B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135.9</w:t>
            </w:r>
          </w:p>
        </w:tc>
        <w:tc>
          <w:tcPr>
            <w:tcW w:w="925" w:type="dxa"/>
            <w:tcBorders>
              <w:tl2br w:val="nil"/>
              <w:tr2bl w:val="nil"/>
            </w:tcBorders>
            <w:shd w:val="clear" w:color="auto" w:fill="auto"/>
            <w:vAlign w:val="center"/>
          </w:tcPr>
          <w:p w14:paraId="59E89C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42.46</w:t>
            </w:r>
          </w:p>
        </w:tc>
        <w:tc>
          <w:tcPr>
            <w:tcW w:w="925" w:type="dxa"/>
            <w:tcBorders>
              <w:tl2br w:val="nil"/>
              <w:tr2bl w:val="nil"/>
            </w:tcBorders>
            <w:shd w:val="clear" w:color="auto" w:fill="auto"/>
            <w:vAlign w:val="center"/>
          </w:tcPr>
          <w:p w14:paraId="1E0EB8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8.51</w:t>
            </w:r>
          </w:p>
        </w:tc>
        <w:tc>
          <w:tcPr>
            <w:tcW w:w="925" w:type="dxa"/>
            <w:tcBorders>
              <w:tl2br w:val="nil"/>
              <w:tr2bl w:val="nil"/>
            </w:tcBorders>
            <w:shd w:val="clear" w:color="auto" w:fill="auto"/>
            <w:vAlign w:val="center"/>
          </w:tcPr>
          <w:p w14:paraId="276A60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28.66</w:t>
            </w:r>
          </w:p>
        </w:tc>
        <w:tc>
          <w:tcPr>
            <w:tcW w:w="925" w:type="dxa"/>
            <w:tcBorders>
              <w:tl2br w:val="nil"/>
              <w:tr2bl w:val="nil"/>
            </w:tcBorders>
            <w:shd w:val="clear" w:color="auto" w:fill="auto"/>
            <w:vAlign w:val="center"/>
          </w:tcPr>
          <w:p w14:paraId="418A84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3.16</w:t>
            </w:r>
          </w:p>
        </w:tc>
      </w:tr>
      <w:tr w14:paraId="6DB1CB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073" w:type="dxa"/>
            <w:vMerge w:val="continue"/>
            <w:tcBorders>
              <w:tl2br w:val="nil"/>
              <w:tr2bl w:val="nil"/>
            </w:tcBorders>
            <w:shd w:val="clear" w:color="auto" w:fill="auto"/>
            <w:vAlign w:val="center"/>
          </w:tcPr>
          <w:p w14:paraId="5A609F8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Calibri" w:hAnsi="Calibri" w:cs="Times New Roman"/>
                <w:color w:val="000000" w:themeColor="text1"/>
                <w:sz w:val="21"/>
                <w:szCs w:val="21"/>
                <w14:textFill>
                  <w14:solidFill>
                    <w14:schemeClr w14:val="tx1"/>
                  </w14:solidFill>
                </w14:textFill>
              </w:rPr>
            </w:pPr>
          </w:p>
        </w:tc>
        <w:tc>
          <w:tcPr>
            <w:tcW w:w="1674" w:type="dxa"/>
            <w:tcBorders>
              <w:tl2br w:val="nil"/>
              <w:tr2bl w:val="nil"/>
            </w:tcBorders>
            <w:shd w:val="clear" w:color="auto" w:fill="auto"/>
            <w:vAlign w:val="center"/>
          </w:tcPr>
          <w:p w14:paraId="16153A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出水水质</w:t>
            </w:r>
          </w:p>
        </w:tc>
        <w:tc>
          <w:tcPr>
            <w:tcW w:w="1054" w:type="dxa"/>
            <w:tcBorders>
              <w:tl2br w:val="nil"/>
              <w:tr2bl w:val="nil"/>
            </w:tcBorders>
            <w:shd w:val="clear" w:color="auto" w:fill="auto"/>
            <w:vAlign w:val="center"/>
          </w:tcPr>
          <w:p w14:paraId="24C021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2"/>
                <w:sz w:val="21"/>
                <w:szCs w:val="21"/>
                <w:highlight w:val="yellow"/>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w:t>
            </w:r>
          </w:p>
        </w:tc>
        <w:tc>
          <w:tcPr>
            <w:tcW w:w="1023" w:type="dxa"/>
            <w:tcBorders>
              <w:tl2br w:val="nil"/>
              <w:tr2bl w:val="nil"/>
            </w:tcBorders>
            <w:shd w:val="clear" w:color="auto" w:fill="auto"/>
            <w:vAlign w:val="center"/>
          </w:tcPr>
          <w:p w14:paraId="6CEA48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81.54</w:t>
            </w:r>
          </w:p>
        </w:tc>
        <w:tc>
          <w:tcPr>
            <w:tcW w:w="925" w:type="dxa"/>
            <w:tcBorders>
              <w:tl2br w:val="nil"/>
              <w:tr2bl w:val="nil"/>
            </w:tcBorders>
            <w:shd w:val="clear" w:color="auto" w:fill="auto"/>
            <w:vAlign w:val="center"/>
          </w:tcPr>
          <w:p w14:paraId="07E0B3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bidi="ar-SA"/>
                <w14:textFill>
                  <w14:solidFill>
                    <w14:schemeClr w14:val="tx1"/>
                  </w14:solidFill>
                </w14:textFill>
              </w:rPr>
            </w:pPr>
            <w:r>
              <w:rPr>
                <w:rFonts w:hint="eastAsia" w:cs="Times New Roman"/>
                <w:color w:val="000000" w:themeColor="text1"/>
                <w:spacing w:val="-2"/>
                <w:sz w:val="21"/>
                <w:szCs w:val="21"/>
                <w:highlight w:val="none"/>
                <w:lang w:val="en-US" w:eastAsia="zh-CN" w:bidi="ar-SA"/>
                <w14:textFill>
                  <w14:solidFill>
                    <w14:schemeClr w14:val="tx1"/>
                  </w14:solidFill>
                </w14:textFill>
              </w:rPr>
              <w:t>33.97</w:t>
            </w:r>
          </w:p>
        </w:tc>
        <w:tc>
          <w:tcPr>
            <w:tcW w:w="925" w:type="dxa"/>
            <w:tcBorders>
              <w:tl2br w:val="nil"/>
              <w:tr2bl w:val="nil"/>
            </w:tcBorders>
            <w:shd w:val="clear" w:color="auto" w:fill="auto"/>
            <w:vAlign w:val="center"/>
          </w:tcPr>
          <w:p w14:paraId="42D8AC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8.08</w:t>
            </w:r>
          </w:p>
        </w:tc>
        <w:tc>
          <w:tcPr>
            <w:tcW w:w="925" w:type="dxa"/>
            <w:tcBorders>
              <w:tl2br w:val="nil"/>
              <w:tr2bl w:val="nil"/>
            </w:tcBorders>
            <w:shd w:val="clear" w:color="auto" w:fill="auto"/>
            <w:vAlign w:val="center"/>
          </w:tcPr>
          <w:p w14:paraId="75740D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27.23</w:t>
            </w:r>
          </w:p>
        </w:tc>
        <w:tc>
          <w:tcPr>
            <w:tcW w:w="925" w:type="dxa"/>
            <w:tcBorders>
              <w:tl2br w:val="nil"/>
              <w:tr2bl w:val="nil"/>
            </w:tcBorders>
            <w:shd w:val="clear" w:color="auto" w:fill="auto"/>
            <w:vAlign w:val="center"/>
          </w:tcPr>
          <w:p w14:paraId="644200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w:t>
            </w:r>
          </w:p>
        </w:tc>
      </w:tr>
      <w:tr w14:paraId="531C92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073" w:type="dxa"/>
            <w:vMerge w:val="continue"/>
            <w:tcBorders>
              <w:tl2br w:val="nil"/>
              <w:tr2bl w:val="nil"/>
            </w:tcBorders>
            <w:shd w:val="clear" w:color="auto" w:fill="auto"/>
            <w:vAlign w:val="center"/>
          </w:tcPr>
          <w:p w14:paraId="7F42A52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Calibri" w:hAnsi="Calibri" w:cs="Times New Roman"/>
                <w:color w:val="000000" w:themeColor="text1"/>
                <w:sz w:val="21"/>
                <w:szCs w:val="21"/>
                <w14:textFill>
                  <w14:solidFill>
                    <w14:schemeClr w14:val="tx1"/>
                  </w14:solidFill>
                </w14:textFill>
              </w:rPr>
            </w:pPr>
          </w:p>
        </w:tc>
        <w:tc>
          <w:tcPr>
            <w:tcW w:w="1674" w:type="dxa"/>
            <w:tcBorders>
              <w:tl2br w:val="nil"/>
              <w:tr2bl w:val="nil"/>
            </w:tcBorders>
            <w:shd w:val="clear" w:color="auto" w:fill="auto"/>
            <w:vAlign w:val="center"/>
          </w:tcPr>
          <w:p w14:paraId="07A8A2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去除效率</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1054" w:type="dxa"/>
            <w:tcBorders>
              <w:tl2br w:val="nil"/>
              <w:tr2bl w:val="nil"/>
            </w:tcBorders>
            <w:shd w:val="clear" w:color="auto" w:fill="auto"/>
            <w:vAlign w:val="center"/>
          </w:tcPr>
          <w:p w14:paraId="0B916A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7</w:t>
            </w:r>
            <w:r>
              <w:rPr>
                <w:rFonts w:hint="eastAsia" w:ascii="Times New Roman" w:hAnsi="Times New Roman" w:cs="Times New Roman"/>
                <w:color w:val="000000" w:themeColor="text1"/>
                <w:kern w:val="2"/>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1023" w:type="dxa"/>
            <w:tcBorders>
              <w:tl2br w:val="nil"/>
              <w:tr2bl w:val="nil"/>
            </w:tcBorders>
            <w:shd w:val="clear" w:color="auto" w:fill="auto"/>
            <w:vAlign w:val="center"/>
          </w:tcPr>
          <w:p w14:paraId="1C7EB2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4</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0%</w:t>
            </w:r>
          </w:p>
        </w:tc>
        <w:tc>
          <w:tcPr>
            <w:tcW w:w="925" w:type="dxa"/>
            <w:tcBorders>
              <w:tl2br w:val="nil"/>
              <w:tr2bl w:val="nil"/>
            </w:tcBorders>
            <w:shd w:val="clear" w:color="auto" w:fill="auto"/>
            <w:vAlign w:val="center"/>
          </w:tcPr>
          <w:p w14:paraId="4C6FB0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20%</w:t>
            </w:r>
          </w:p>
        </w:tc>
        <w:tc>
          <w:tcPr>
            <w:tcW w:w="925" w:type="dxa"/>
            <w:tcBorders>
              <w:tl2br w:val="nil"/>
              <w:tr2bl w:val="nil"/>
            </w:tcBorders>
            <w:shd w:val="clear" w:color="auto" w:fill="auto"/>
            <w:vAlign w:val="center"/>
          </w:tcPr>
          <w:p w14:paraId="2A0449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5%</w:t>
            </w:r>
          </w:p>
        </w:tc>
        <w:tc>
          <w:tcPr>
            <w:tcW w:w="925" w:type="dxa"/>
            <w:tcBorders>
              <w:tl2br w:val="nil"/>
              <w:tr2bl w:val="nil"/>
            </w:tcBorders>
            <w:shd w:val="clear" w:color="auto" w:fill="auto"/>
            <w:vAlign w:val="center"/>
          </w:tcPr>
          <w:p w14:paraId="70BF25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cs="Times New Roman"/>
                <w:color w:val="000000" w:themeColor="text1"/>
                <w:kern w:val="2"/>
                <w:sz w:val="21"/>
                <w:szCs w:val="21"/>
                <w:lang w:val="en-US" w:eastAsia="zh-CN" w:bidi="ar"/>
                <w14:textFill>
                  <w14:solidFill>
                    <w14:schemeClr w14:val="tx1"/>
                  </w14:solidFill>
                </w14:textFill>
              </w:rPr>
              <w:t>5</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925" w:type="dxa"/>
            <w:tcBorders>
              <w:tl2br w:val="nil"/>
              <w:tr2bl w:val="nil"/>
            </w:tcBorders>
            <w:shd w:val="clear" w:color="auto" w:fill="auto"/>
            <w:vAlign w:val="center"/>
          </w:tcPr>
          <w:p w14:paraId="675DE4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ascii="Times New Roman" w:hAnsi="Times New Roman" w:cs="Times New Roman"/>
                <w:color w:val="000000" w:themeColor="text1"/>
                <w:kern w:val="2"/>
                <w:sz w:val="21"/>
                <w:szCs w:val="21"/>
                <w:lang w:val="en-US" w:eastAsia="zh-CN" w:bidi="ar"/>
                <w14:textFill>
                  <w14:solidFill>
                    <w14:schemeClr w14:val="tx1"/>
                  </w14:solidFill>
                </w14:textFill>
              </w:rPr>
              <w:t>5</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r>
      <w:tr w14:paraId="2A1868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747" w:type="dxa"/>
            <w:gridSpan w:val="2"/>
            <w:tcBorders>
              <w:tl2br w:val="nil"/>
              <w:tr2bl w:val="nil"/>
            </w:tcBorders>
            <w:shd w:val="clear" w:color="auto" w:fill="auto"/>
            <w:vAlign w:val="center"/>
          </w:tcPr>
          <w:p w14:paraId="26CE11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总去除效率</w:t>
            </w:r>
          </w:p>
        </w:tc>
        <w:tc>
          <w:tcPr>
            <w:tcW w:w="1054" w:type="dxa"/>
            <w:tcBorders>
              <w:tl2br w:val="nil"/>
              <w:tr2bl w:val="nil"/>
            </w:tcBorders>
            <w:shd w:val="clear" w:color="auto" w:fill="auto"/>
            <w:vAlign w:val="center"/>
          </w:tcPr>
          <w:p w14:paraId="39A8B1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95</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1023" w:type="dxa"/>
            <w:tcBorders>
              <w:tl2br w:val="nil"/>
              <w:tr2bl w:val="nil"/>
            </w:tcBorders>
            <w:shd w:val="clear" w:color="auto" w:fill="auto"/>
            <w:vAlign w:val="center"/>
          </w:tcPr>
          <w:p w14:paraId="2DBA5A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9</w:t>
            </w: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2</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925" w:type="dxa"/>
            <w:tcBorders>
              <w:tl2br w:val="nil"/>
              <w:tr2bl w:val="nil"/>
            </w:tcBorders>
            <w:shd w:val="clear" w:color="auto" w:fill="auto"/>
            <w:vAlign w:val="center"/>
          </w:tcPr>
          <w:p w14:paraId="0EBAB0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9</w:t>
            </w:r>
            <w:r>
              <w:rPr>
                <w:rFonts w:hint="eastAsia" w:cs="Times New Roman"/>
                <w:color w:val="000000" w:themeColor="text1"/>
                <w:kern w:val="2"/>
                <w:sz w:val="21"/>
                <w:szCs w:val="21"/>
                <w:lang w:val="en-US" w:eastAsia="zh-CN" w:bidi="ar"/>
                <w14:textFill>
                  <w14:solidFill>
                    <w14:schemeClr w14:val="tx1"/>
                  </w14:solidFill>
                </w14:textFill>
              </w:rPr>
              <w:t>0</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925" w:type="dxa"/>
            <w:tcBorders>
              <w:tl2br w:val="nil"/>
              <w:tr2bl w:val="nil"/>
            </w:tcBorders>
            <w:shd w:val="clear" w:color="auto" w:fill="auto"/>
            <w:vAlign w:val="center"/>
          </w:tcPr>
          <w:p w14:paraId="281327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80</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925" w:type="dxa"/>
            <w:tcBorders>
              <w:tl2br w:val="nil"/>
              <w:tr2bl w:val="nil"/>
            </w:tcBorders>
            <w:shd w:val="clear" w:color="auto" w:fill="auto"/>
            <w:vAlign w:val="center"/>
          </w:tcPr>
          <w:p w14:paraId="5AC1E1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80%</w:t>
            </w:r>
          </w:p>
        </w:tc>
        <w:tc>
          <w:tcPr>
            <w:tcW w:w="925" w:type="dxa"/>
            <w:tcBorders>
              <w:tl2br w:val="nil"/>
              <w:tr2bl w:val="nil"/>
            </w:tcBorders>
            <w:shd w:val="clear" w:color="auto" w:fill="auto"/>
            <w:vAlign w:val="center"/>
          </w:tcPr>
          <w:p w14:paraId="764BAE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40%</w:t>
            </w:r>
          </w:p>
        </w:tc>
      </w:tr>
      <w:tr w14:paraId="22603C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747" w:type="dxa"/>
            <w:gridSpan w:val="2"/>
            <w:tcBorders>
              <w:tl2br w:val="nil"/>
              <w:tr2bl w:val="nil"/>
            </w:tcBorders>
            <w:shd w:val="clear" w:color="auto" w:fill="auto"/>
            <w:vAlign w:val="center"/>
          </w:tcPr>
          <w:p w14:paraId="59F8A0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排放水质（</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mg/l</w:t>
            </w: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1054" w:type="dxa"/>
            <w:tcBorders>
              <w:tl2br w:val="nil"/>
              <w:tr2bl w:val="nil"/>
            </w:tcBorders>
            <w:shd w:val="clear" w:color="auto" w:fill="auto"/>
            <w:vAlign w:val="center"/>
          </w:tcPr>
          <w:p w14:paraId="19F58B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yellow"/>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40</w:t>
            </w:r>
          </w:p>
        </w:tc>
        <w:tc>
          <w:tcPr>
            <w:tcW w:w="1023" w:type="dxa"/>
            <w:tcBorders>
              <w:tl2br w:val="nil"/>
              <w:tr2bl w:val="nil"/>
            </w:tcBorders>
            <w:shd w:val="clear" w:color="auto" w:fill="auto"/>
            <w:vAlign w:val="center"/>
          </w:tcPr>
          <w:p w14:paraId="0DDBD1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81.54</w:t>
            </w:r>
          </w:p>
        </w:tc>
        <w:tc>
          <w:tcPr>
            <w:tcW w:w="925" w:type="dxa"/>
            <w:tcBorders>
              <w:tl2br w:val="nil"/>
              <w:tr2bl w:val="nil"/>
            </w:tcBorders>
            <w:shd w:val="clear" w:color="auto" w:fill="auto"/>
            <w:vAlign w:val="center"/>
          </w:tcPr>
          <w:p w14:paraId="33DB2E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33.97</w:t>
            </w:r>
          </w:p>
        </w:tc>
        <w:tc>
          <w:tcPr>
            <w:tcW w:w="925" w:type="dxa"/>
            <w:tcBorders>
              <w:tl2br w:val="nil"/>
              <w:tr2bl w:val="nil"/>
            </w:tcBorders>
            <w:shd w:val="clear" w:color="auto" w:fill="auto"/>
            <w:vAlign w:val="center"/>
          </w:tcPr>
          <w:p w14:paraId="0156B7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8.08</w:t>
            </w:r>
          </w:p>
        </w:tc>
        <w:tc>
          <w:tcPr>
            <w:tcW w:w="925" w:type="dxa"/>
            <w:tcBorders>
              <w:tl2br w:val="nil"/>
              <w:tr2bl w:val="nil"/>
            </w:tcBorders>
            <w:shd w:val="clear" w:color="auto" w:fill="auto"/>
            <w:vAlign w:val="center"/>
          </w:tcPr>
          <w:p w14:paraId="7251D4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27.23</w:t>
            </w:r>
          </w:p>
        </w:tc>
        <w:tc>
          <w:tcPr>
            <w:tcW w:w="925" w:type="dxa"/>
            <w:tcBorders>
              <w:tl2br w:val="nil"/>
              <w:tr2bl w:val="nil"/>
            </w:tcBorders>
            <w:shd w:val="clear" w:color="auto" w:fill="auto"/>
            <w:vAlign w:val="center"/>
          </w:tcPr>
          <w:p w14:paraId="41BCF9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w:t>
            </w:r>
          </w:p>
        </w:tc>
      </w:tr>
      <w:tr w14:paraId="32EA17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747" w:type="dxa"/>
            <w:gridSpan w:val="2"/>
            <w:tcBorders>
              <w:tl2br w:val="nil"/>
              <w:tr2bl w:val="nil"/>
            </w:tcBorders>
            <w:shd w:val="clear" w:color="auto" w:fill="auto"/>
            <w:vAlign w:val="center"/>
          </w:tcPr>
          <w:p w14:paraId="00DE41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kern w:val="2"/>
                <w:sz w:val="21"/>
                <w:szCs w:val="21"/>
                <w:lang w:val="en-US" w:eastAsia="zh-CN" w:bidi="ar"/>
                <w14:textFill>
                  <w14:solidFill>
                    <w14:schemeClr w14:val="tx1"/>
                  </w14:solidFill>
                </w14:textFill>
              </w:rPr>
              <w:t>排放</w:t>
            </w: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标准（</w:t>
            </w:r>
            <w:r>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t>mg/l</w:t>
            </w: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w:t>
            </w:r>
          </w:p>
        </w:tc>
        <w:tc>
          <w:tcPr>
            <w:tcW w:w="1054" w:type="dxa"/>
            <w:tcBorders>
              <w:tl2br w:val="nil"/>
              <w:tr2bl w:val="nil"/>
            </w:tcBorders>
            <w:shd w:val="clear" w:color="auto" w:fill="auto"/>
            <w:vAlign w:val="center"/>
          </w:tcPr>
          <w:p w14:paraId="3B071E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220</w:t>
            </w:r>
          </w:p>
        </w:tc>
        <w:tc>
          <w:tcPr>
            <w:tcW w:w="1023" w:type="dxa"/>
            <w:tcBorders>
              <w:tl2br w:val="nil"/>
              <w:tr2bl w:val="nil"/>
            </w:tcBorders>
            <w:shd w:val="clear" w:color="auto" w:fill="auto"/>
            <w:vAlign w:val="center"/>
          </w:tcPr>
          <w:p w14:paraId="5EE12A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380</w:t>
            </w:r>
          </w:p>
        </w:tc>
        <w:tc>
          <w:tcPr>
            <w:tcW w:w="925" w:type="dxa"/>
            <w:tcBorders>
              <w:tl2br w:val="nil"/>
              <w:tr2bl w:val="nil"/>
            </w:tcBorders>
            <w:shd w:val="clear" w:color="auto" w:fill="auto"/>
            <w:vAlign w:val="center"/>
          </w:tcPr>
          <w:p w14:paraId="25816B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200</w:t>
            </w:r>
          </w:p>
        </w:tc>
        <w:tc>
          <w:tcPr>
            <w:tcW w:w="925" w:type="dxa"/>
            <w:tcBorders>
              <w:tl2br w:val="nil"/>
              <w:tr2bl w:val="nil"/>
            </w:tcBorders>
            <w:shd w:val="clear" w:color="auto" w:fill="auto"/>
            <w:vAlign w:val="center"/>
          </w:tcPr>
          <w:p w14:paraId="1B4000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
                <w14:textFill>
                  <w14:solidFill>
                    <w14:schemeClr w14:val="tx1"/>
                  </w14:solidFill>
                </w14:textFill>
              </w:rPr>
              <w:t>30</w:t>
            </w:r>
          </w:p>
        </w:tc>
        <w:tc>
          <w:tcPr>
            <w:tcW w:w="925" w:type="dxa"/>
            <w:tcBorders>
              <w:tl2br w:val="nil"/>
              <w:tr2bl w:val="nil"/>
            </w:tcBorders>
            <w:shd w:val="clear" w:color="auto" w:fill="auto"/>
            <w:vAlign w:val="center"/>
          </w:tcPr>
          <w:p w14:paraId="231EBD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40</w:t>
            </w:r>
          </w:p>
        </w:tc>
        <w:tc>
          <w:tcPr>
            <w:tcW w:w="925" w:type="dxa"/>
            <w:tcBorders>
              <w:tl2br w:val="nil"/>
              <w:tr2bl w:val="nil"/>
            </w:tcBorders>
            <w:shd w:val="clear" w:color="auto" w:fill="auto"/>
            <w:vAlign w:val="center"/>
          </w:tcPr>
          <w:p w14:paraId="48A2BD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
                <w14:textFill>
                  <w14:solidFill>
                    <w14:schemeClr w14:val="tx1"/>
                  </w14:solidFill>
                </w14:textFill>
              </w:rPr>
            </w:pPr>
            <w:r>
              <w:rPr>
                <w:rFonts w:hint="eastAsia" w:cs="Times New Roman"/>
                <w:color w:val="000000" w:themeColor="text1"/>
                <w:kern w:val="2"/>
                <w:sz w:val="21"/>
                <w:szCs w:val="21"/>
                <w:lang w:val="en-US" w:eastAsia="zh-CN" w:bidi="ar"/>
                <w14:textFill>
                  <w14:solidFill>
                    <w14:schemeClr w14:val="tx1"/>
                  </w14:solidFill>
                </w14:textFill>
              </w:rPr>
              <w:t>4</w:t>
            </w:r>
          </w:p>
        </w:tc>
      </w:tr>
    </w:tbl>
    <w:p w14:paraId="4A023641">
      <w:pPr>
        <w:keepNext w:val="0"/>
        <w:keepLines w:val="0"/>
        <w:pageBreakBefore w:val="0"/>
        <w:widowControl w:val="0"/>
        <w:kinsoku/>
        <w:wordWrap/>
        <w:overflowPunct/>
        <w:topLinePunct w:val="0"/>
        <w:autoSpaceDE/>
        <w:autoSpaceDN/>
        <w:bidi w:val="0"/>
        <w:adjustRightInd/>
        <w:snapToGrid/>
        <w:spacing w:line="360" w:lineRule="auto"/>
        <w:ind w:firstLine="472" w:firstLineChars="200"/>
        <w:textAlignment w:val="auto"/>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shd w:val="clear" w:color="auto" w:fill="FFFFFF"/>
          <w:lang w:val="en-US" w:eastAsia="zh-CN"/>
          <w14:textFill>
            <w14:solidFill>
              <w14:schemeClr w14:val="tx1"/>
            </w14:solidFill>
          </w14:textFill>
        </w:rPr>
        <w:t>综上，本项目生产废水</w:t>
      </w:r>
      <w:r>
        <w:rPr>
          <w:rFonts w:hint="default" w:ascii="Times New Roman" w:hAnsi="Times New Roman" w:eastAsia="宋体" w:cs="Times New Roman"/>
          <w:color w:val="000000" w:themeColor="text1"/>
          <w:sz w:val="24"/>
          <w:szCs w:val="24"/>
          <w:shd w:val="clear" w:color="auto" w:fill="FFFFFF"/>
          <w14:textFill>
            <w14:solidFill>
              <w14:schemeClr w14:val="tx1"/>
            </w14:solidFill>
          </w14:textFill>
        </w:rPr>
        <w:t>经厂内污水处理设施（调节+气浮+A</w:t>
      </w:r>
      <w:r>
        <w:rPr>
          <w:rFonts w:hint="default" w:ascii="Times New Roman" w:hAnsi="Times New Roman" w:eastAsia="宋体" w:cs="Times New Roman"/>
          <w:color w:val="000000" w:themeColor="text1"/>
          <w:sz w:val="24"/>
          <w:szCs w:val="24"/>
          <w:shd w:val="clear" w:color="auto" w:fill="FFFFFF"/>
          <w:vertAlign w:val="superscript"/>
          <w14:textFill>
            <w14:solidFill>
              <w14:schemeClr w14:val="tx1"/>
            </w14:solidFill>
          </w14:textFill>
        </w:rPr>
        <w:t>2</w:t>
      </w:r>
      <w:r>
        <w:rPr>
          <w:rFonts w:hint="default" w:ascii="Times New Roman" w:hAnsi="Times New Roman" w:eastAsia="宋体" w:cs="Times New Roman"/>
          <w:color w:val="000000" w:themeColor="text1"/>
          <w:sz w:val="24"/>
          <w:szCs w:val="24"/>
          <w:shd w:val="clear" w:color="auto" w:fill="FFFFFF"/>
          <w14:textFill>
            <w14:solidFill>
              <w14:schemeClr w14:val="tx1"/>
            </w14:solidFill>
          </w14:textFill>
        </w:rPr>
        <w:t>/O）预处理</w:t>
      </w:r>
      <w:r>
        <w:rPr>
          <w:rFonts w:hint="default" w:ascii="Times New Roman" w:hAnsi="Times New Roman" w:eastAsia="宋体" w:cs="Times New Roman"/>
          <w:color w:val="000000" w:themeColor="text1"/>
          <w:sz w:val="24"/>
          <w:szCs w:val="24"/>
          <w:shd w:val="clear" w:color="auto" w:fill="FFFFFF"/>
          <w:lang w:val="en-US" w:eastAsia="zh-CN"/>
          <w14:textFill>
            <w14:solidFill>
              <w14:schemeClr w14:val="tx1"/>
            </w14:solidFill>
          </w14:textFill>
        </w:rPr>
        <w:t>后，可满足</w:t>
      </w:r>
      <w:r>
        <w:rPr>
          <w:rFonts w:hint="eastAsia" w:ascii="Times New Roman" w:hAnsi="Times New Roman" w:eastAsia="宋体" w:cs="Times New Roman"/>
          <w:color w:val="000000" w:themeColor="text1"/>
          <w:sz w:val="24"/>
          <w:szCs w:val="24"/>
          <w:shd w:val="clear" w:color="auto" w:fill="FFFFFF"/>
          <w:lang w:val="en-US" w:eastAsia="zh-CN"/>
          <w14:textFill>
            <w14:solidFill>
              <w14:schemeClr w14:val="tx1"/>
            </w14:solidFill>
          </w14:textFill>
        </w:rPr>
        <w:t>毛集实验区</w:t>
      </w:r>
      <w:r>
        <w:rPr>
          <w:rFonts w:hint="default" w:ascii="Times New Roman" w:hAnsi="Times New Roman" w:eastAsia="宋体" w:cs="Times New Roman"/>
          <w:color w:val="000000" w:themeColor="text1"/>
          <w:sz w:val="24"/>
          <w:szCs w:val="24"/>
          <w:shd w:val="clear" w:color="auto" w:fill="FFFFFF"/>
          <w14:textFill>
            <w14:solidFill>
              <w14:schemeClr w14:val="tx1"/>
            </w14:solidFill>
          </w14:textFill>
        </w:rPr>
        <w:t>污水处理厂接管标准及《污水综合排放标准》（GB8978-1996）三级标准，与</w:t>
      </w:r>
      <w:r>
        <w:rPr>
          <w:rFonts w:hint="eastAsia" w:ascii="Times New Roman" w:hAnsi="Times New Roman" w:eastAsia="宋体" w:cs="Times New Roman"/>
          <w:color w:val="000000" w:themeColor="text1"/>
          <w:sz w:val="24"/>
          <w:szCs w:val="24"/>
          <w:shd w:val="clear" w:color="auto" w:fill="FFFFFF"/>
          <w:lang w:eastAsia="zh-CN"/>
          <w14:textFill>
            <w14:solidFill>
              <w14:schemeClr w14:val="tx1"/>
            </w14:solidFill>
          </w14:textFill>
        </w:rPr>
        <w:t>经化粪池</w:t>
      </w:r>
      <w:r>
        <w:rPr>
          <w:rFonts w:hint="default" w:ascii="Times New Roman" w:hAnsi="Times New Roman" w:eastAsia="宋体" w:cs="Times New Roman"/>
          <w:color w:val="000000" w:themeColor="text1"/>
          <w:sz w:val="24"/>
          <w:szCs w:val="24"/>
          <w:shd w:val="clear" w:color="auto" w:fill="FFFFFF"/>
          <w14:textFill>
            <w14:solidFill>
              <w14:schemeClr w14:val="tx1"/>
            </w14:solidFill>
          </w14:textFill>
        </w:rPr>
        <w:t>预处理的</w:t>
      </w:r>
      <w:r>
        <w:rPr>
          <w:rFonts w:hint="eastAsia" w:ascii="Times New Roman" w:hAnsi="Times New Roman" w:eastAsia="宋体" w:cs="Times New Roman"/>
          <w:color w:val="000000" w:themeColor="text1"/>
          <w:sz w:val="24"/>
          <w:szCs w:val="24"/>
          <w:shd w:val="clear" w:color="auto" w:fill="FFFFFF"/>
          <w:lang w:eastAsia="zh-CN"/>
          <w14:textFill>
            <w14:solidFill>
              <w14:schemeClr w14:val="tx1"/>
            </w14:solidFill>
          </w14:textFill>
        </w:rPr>
        <w:t>生活污水</w:t>
      </w:r>
      <w:r>
        <w:rPr>
          <w:rFonts w:hint="default" w:ascii="Times New Roman" w:hAnsi="Times New Roman" w:eastAsia="宋体" w:cs="Times New Roman"/>
          <w:color w:val="000000" w:themeColor="text1"/>
          <w:sz w:val="24"/>
          <w:szCs w:val="24"/>
          <w:shd w:val="clear" w:color="auto" w:fill="FFFFFF"/>
          <w14:textFill>
            <w14:solidFill>
              <w14:schemeClr w14:val="tx1"/>
            </w14:solidFill>
          </w14:textFill>
        </w:rPr>
        <w:t>混合后，排入市政管网，进入</w:t>
      </w:r>
      <w:r>
        <w:rPr>
          <w:rFonts w:hint="eastAsia" w:ascii="Times New Roman" w:hAnsi="Times New Roman" w:eastAsia="宋体" w:cs="Times New Roman"/>
          <w:color w:val="000000" w:themeColor="text1"/>
          <w:sz w:val="24"/>
          <w:szCs w:val="24"/>
          <w:shd w:val="clear" w:color="auto" w:fill="FFFFFF"/>
          <w:lang w:eastAsia="zh-CN"/>
          <w14:textFill>
            <w14:solidFill>
              <w14:schemeClr w14:val="tx1"/>
            </w14:solidFill>
          </w14:textFill>
        </w:rPr>
        <w:t>毛集实验区</w:t>
      </w:r>
      <w:r>
        <w:rPr>
          <w:rFonts w:hint="default" w:ascii="Times New Roman" w:hAnsi="Times New Roman" w:eastAsia="宋体" w:cs="Times New Roman"/>
          <w:color w:val="000000" w:themeColor="text1"/>
          <w:sz w:val="24"/>
          <w:szCs w:val="24"/>
          <w:shd w:val="clear" w:color="auto" w:fill="FFFFFF"/>
          <w14:textFill>
            <w14:solidFill>
              <w14:schemeClr w14:val="tx1"/>
            </w14:solidFill>
          </w14:textFill>
        </w:rPr>
        <w:t>污水处理厂进一步处理。最终尾水执行《城镇污水处理厂污染物排放标准》一级A标准，排入</w:t>
      </w:r>
      <w:r>
        <w:rPr>
          <w:rFonts w:hint="eastAsia" w:ascii="Times New Roman" w:hAnsi="Times New Roman" w:eastAsia="宋体" w:cs="Times New Roman"/>
          <w:color w:val="000000" w:themeColor="text1"/>
          <w:sz w:val="24"/>
          <w:szCs w:val="24"/>
          <w:shd w:val="clear" w:color="auto" w:fill="FFFFFF"/>
          <w:lang w:eastAsia="zh-CN"/>
          <w14:textFill>
            <w14:solidFill>
              <w14:schemeClr w14:val="tx1"/>
            </w14:solidFill>
          </w14:textFill>
        </w:rPr>
        <w:t>西淝河。</w:t>
      </w:r>
    </w:p>
    <w:p w14:paraId="6F217264">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根据《排污许可证申请与核发技术规范废弃资源加工工业》（HJ1034—2019）可知，废水应采用预处理+生化处理+深度处理，其中预处理可采用沉淀</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气浮</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混凝</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调节</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等；</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生化处理可采用活性污泥法</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序批式活性污泥法(SBR)</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缺氧/好氧法(A/</w:t>
      </w:r>
      <w:r>
        <w:rPr>
          <w:rFonts w:hint="eastAsia" w:cs="Times New Roman"/>
          <w:color w:val="000000" w:themeColor="text1"/>
          <w:sz w:val="24"/>
          <w:szCs w:val="24"/>
          <w:lang w:val="en-US" w:eastAsia="zh-CN"/>
          <w14:textFill>
            <w14:solidFill>
              <w14:schemeClr w14:val="tx1"/>
            </w14:solidFill>
          </w14:textFill>
        </w:rPr>
        <w:t>O</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厌氧/缺氧/好氧法(A2/O)</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氧化沟法</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膜生物法(MBR)</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曝气生物滤池(BAF)</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生物接触氧化法</w:t>
      </w:r>
      <w:r>
        <w:rPr>
          <w:rFonts w:hint="eastAsia"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周期循环活性污泥法(CASS)</w:t>
      </w:r>
      <w:r>
        <w:rPr>
          <w:rFonts w:hint="eastAsia" w:cs="Times New Roman"/>
          <w:color w:val="000000" w:themeColor="text1"/>
          <w:sz w:val="24"/>
          <w:szCs w:val="24"/>
          <w:lang w:val="en-US" w:eastAsia="zh-CN"/>
          <w14:textFill>
            <w14:solidFill>
              <w14:schemeClr w14:val="tx1"/>
            </w14:solidFill>
          </w14:textFill>
        </w:rPr>
        <w:t>等</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p w14:paraId="0DA7558B">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本项目采用的预处理工艺为调节+气浮</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+混凝</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，生化处理工艺为厌氧+好</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氧</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，污水处理站的处理工艺符合技术规范要求。</w:t>
      </w:r>
    </w:p>
    <w:p w14:paraId="7CCACFFA">
      <w:pPr>
        <w:spacing w:line="360" w:lineRule="auto"/>
        <w:ind w:firstLine="474" w:firstLineChars="200"/>
        <w:jc w:val="both"/>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b/>
          <w:bCs/>
          <w:color w:val="000000" w:themeColor="text1"/>
          <w:sz w:val="24"/>
          <w:szCs w:val="24"/>
          <w14:textFill>
            <w14:solidFill>
              <w14:schemeClr w14:val="tx1"/>
            </w14:solidFill>
          </w14:textFill>
        </w:rPr>
        <w:t>项目污水排入污水处理厂可行性分析</w:t>
      </w:r>
    </w:p>
    <w:p w14:paraId="0858AD30">
      <w:pPr>
        <w:spacing w:line="360" w:lineRule="auto"/>
        <w:ind w:firstLine="476" w:firstLineChars="202"/>
        <w:rPr>
          <w:rFonts w:hint="default" w:ascii="Times New Roman" w:hAnsi="Times New Roman" w:cs="Times New Roman"/>
          <w:bCs/>
          <w:color w:val="000000" w:themeColor="text1"/>
          <w:sz w:val="24"/>
          <w:lang w:eastAsia="zh-CN"/>
          <w14:textFill>
            <w14:solidFill>
              <w14:schemeClr w14:val="tx1"/>
            </w14:solidFill>
          </w14:textFill>
        </w:rPr>
      </w:pPr>
      <w:bookmarkStart w:id="226" w:name="_Toc133333764"/>
      <w:bookmarkStart w:id="227" w:name="_Toc133214607"/>
      <w:r>
        <w:rPr>
          <w:rFonts w:hint="eastAsia" w:ascii="Times New Roman" w:hAnsi="Times New Roman" w:cs="宋体"/>
          <w:color w:val="000000" w:themeColor="text1"/>
          <w:kern w:val="2"/>
          <w:sz w:val="24"/>
          <w:szCs w:val="24"/>
          <w:lang w:val="en-US" w:eastAsia="zh-CN" w:bidi="ar"/>
          <w14:textFill>
            <w14:solidFill>
              <w14:schemeClr w14:val="tx1"/>
            </w14:solidFill>
          </w14:textFill>
        </w:rPr>
        <w:t>（1）</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污水处理厂简介</w:t>
      </w:r>
    </w:p>
    <w:p w14:paraId="3069F87F">
      <w:pPr>
        <w:spacing w:line="360" w:lineRule="auto"/>
        <w:ind w:firstLine="476" w:firstLineChars="202"/>
        <w:rPr>
          <w:rFonts w:hint="default" w:ascii="Times New Roman" w:hAnsi="Times New Roman" w:cs="Times New Roman"/>
          <w:bCs/>
          <w:color w:val="000000" w:themeColor="text1"/>
          <w:sz w:val="24"/>
          <w:lang w:eastAsia="zh-CN"/>
          <w14:textFill>
            <w14:solidFill>
              <w14:schemeClr w14:val="tx1"/>
            </w14:solidFill>
          </w14:textFill>
        </w:rPr>
      </w:pPr>
      <w:r>
        <w:rPr>
          <w:rFonts w:hint="default" w:ascii="Times New Roman" w:hAnsi="Times New Roman" w:cs="Times New Roman"/>
          <w:bCs/>
          <w:color w:val="000000" w:themeColor="text1"/>
          <w:sz w:val="24"/>
          <w:lang w:eastAsia="zh-CN"/>
          <w14:textFill>
            <w14:solidFill>
              <w14:schemeClr w14:val="tx1"/>
            </w14:solidFill>
          </w14:textFill>
        </w:rPr>
        <w:t>毛集实验区污水处理厂位于兴湖路与高速公路交口西南侧周台孜附近，现由淮南市祥源环境工程有限公司（淮南首创）运行管理，主要收集处理主园区工业废水和实验区居民排水。总占地面积3.84公顷，其中，一期工程已建成，运行规模为1.5万m</w:t>
      </w:r>
      <w:r>
        <w:rPr>
          <w:rFonts w:hint="default" w:ascii="Times New Roman" w:hAnsi="Times New Roman" w:cs="Times New Roman"/>
          <w:bCs/>
          <w:color w:val="000000" w:themeColor="text1"/>
          <w:sz w:val="24"/>
          <w:vertAlign w:val="superscript"/>
          <w:lang w:eastAsia="zh-CN"/>
          <w14:textFill>
            <w14:solidFill>
              <w14:schemeClr w14:val="tx1"/>
            </w14:solidFill>
          </w14:textFill>
        </w:rPr>
        <w:t>3</w:t>
      </w:r>
      <w:r>
        <w:rPr>
          <w:rFonts w:hint="default" w:ascii="Times New Roman" w:hAnsi="Times New Roman" w:cs="Times New Roman"/>
          <w:bCs/>
          <w:color w:val="000000" w:themeColor="text1"/>
          <w:sz w:val="24"/>
          <w:lang w:eastAsia="zh-CN"/>
          <w14:textFill>
            <w14:solidFill>
              <w14:schemeClr w14:val="tx1"/>
            </w14:solidFill>
          </w14:textFill>
        </w:rPr>
        <w:t>/d，占地面积2.5公顷，于2017年12月底进水运行，目前已完成验收（淮环函[2017]355号）。现状采用改良型A2/O工艺和微絮凝+过滤深处理工艺处理后，尾水排放各指标达到《城镇污水处理厂污染物排放标准》(GB18918-2002)一级A标准</w:t>
      </w:r>
      <w:r>
        <w:rPr>
          <w:rFonts w:hint="eastAsia" w:cs="Times New Roman"/>
          <w:bCs/>
          <w:color w:val="000000" w:themeColor="text1"/>
          <w:sz w:val="24"/>
          <w:lang w:eastAsia="zh-CN"/>
          <w14:textFill>
            <w14:solidFill>
              <w14:schemeClr w14:val="tx1"/>
            </w14:solidFill>
          </w14:textFill>
        </w:rPr>
        <w:t>及其修改单要求</w:t>
      </w:r>
      <w:r>
        <w:rPr>
          <w:rFonts w:hint="default" w:ascii="Times New Roman" w:hAnsi="Times New Roman" w:cs="Times New Roman"/>
          <w:bCs/>
          <w:color w:val="000000" w:themeColor="text1"/>
          <w:sz w:val="24"/>
          <w:lang w:eastAsia="zh-CN"/>
          <w14:textFill>
            <w14:solidFill>
              <w14:schemeClr w14:val="tx1"/>
            </w14:solidFill>
          </w14:textFill>
        </w:rPr>
        <w:t>排入丁家沟。由于现有毛集实验区污水处理能力不能完全处理收集的污水，急需提标扩能，为此毛集实验区污水处理厂拟于2023年进行改造扩容工程建设，改扩建完成后设计日处理污水2万m</w:t>
      </w:r>
      <w:r>
        <w:rPr>
          <w:rFonts w:hint="default" w:ascii="Times New Roman" w:hAnsi="Times New Roman" w:cs="Times New Roman"/>
          <w:bCs/>
          <w:color w:val="000000" w:themeColor="text1"/>
          <w:sz w:val="24"/>
          <w:vertAlign w:val="superscript"/>
          <w:lang w:eastAsia="zh-CN"/>
          <w14:textFill>
            <w14:solidFill>
              <w14:schemeClr w14:val="tx1"/>
            </w14:solidFill>
          </w14:textFill>
        </w:rPr>
        <w:t>3</w:t>
      </w:r>
      <w:r>
        <w:rPr>
          <w:rFonts w:hint="default" w:ascii="Times New Roman" w:hAnsi="Times New Roman" w:cs="Times New Roman"/>
          <w:bCs/>
          <w:color w:val="000000" w:themeColor="text1"/>
          <w:sz w:val="24"/>
          <w:lang w:eastAsia="zh-CN"/>
          <w14:textFill>
            <w14:solidFill>
              <w14:schemeClr w14:val="tx1"/>
            </w14:solidFill>
          </w14:textFill>
        </w:rPr>
        <w:t>/d，新增中水回用项目，中水处理设计规模为3000m</w:t>
      </w:r>
      <w:r>
        <w:rPr>
          <w:rFonts w:hint="default" w:ascii="Times New Roman" w:hAnsi="Times New Roman" w:cs="Times New Roman"/>
          <w:bCs/>
          <w:color w:val="000000" w:themeColor="text1"/>
          <w:sz w:val="24"/>
          <w:vertAlign w:val="superscript"/>
          <w:lang w:eastAsia="zh-CN"/>
          <w14:textFill>
            <w14:solidFill>
              <w14:schemeClr w14:val="tx1"/>
            </w14:solidFill>
          </w14:textFill>
        </w:rPr>
        <w:t>3</w:t>
      </w:r>
      <w:r>
        <w:rPr>
          <w:rFonts w:hint="default" w:ascii="Times New Roman" w:hAnsi="Times New Roman" w:cs="Times New Roman"/>
          <w:bCs/>
          <w:color w:val="000000" w:themeColor="text1"/>
          <w:sz w:val="24"/>
          <w:lang w:eastAsia="zh-CN"/>
          <w14:textFill>
            <w14:solidFill>
              <w14:schemeClr w14:val="tx1"/>
            </w14:solidFill>
          </w14:textFill>
        </w:rPr>
        <w:t>/d，中水处理建设将减少毛集实验区污水处理厂出水的直接排放，继续处理毛集实验区内的生活污水及企事业单位废水及生活污水。</w:t>
      </w:r>
    </w:p>
    <w:p w14:paraId="421B0697">
      <w:pPr>
        <w:spacing w:line="360" w:lineRule="auto"/>
        <w:ind w:firstLine="476" w:firstLineChars="202"/>
        <w:rPr>
          <w:rFonts w:hint="default" w:ascii="Times New Roman" w:hAnsi="Times New Roman" w:cs="Times New Roman"/>
          <w:bCs/>
          <w:color w:val="000000" w:themeColor="text1"/>
          <w:sz w:val="24"/>
          <w:lang w:eastAsia="zh-CN"/>
          <w14:textFill>
            <w14:solidFill>
              <w14:schemeClr w14:val="tx1"/>
            </w14:solidFill>
          </w14:textFill>
        </w:rPr>
      </w:pPr>
      <w:r>
        <w:rPr>
          <w:rFonts w:hint="default" w:ascii="Times New Roman" w:hAnsi="Times New Roman" w:cs="Times New Roman"/>
          <w:bCs/>
          <w:color w:val="000000" w:themeColor="text1"/>
          <w:sz w:val="24"/>
          <w:lang w:eastAsia="zh-CN"/>
          <w14:textFill>
            <w14:solidFill>
              <w14:schemeClr w14:val="tx1"/>
            </w14:solidFill>
          </w14:textFill>
        </w:rPr>
        <w:t>目前，开发区日均排水量为505m</w:t>
      </w:r>
      <w:r>
        <w:rPr>
          <w:rFonts w:hint="default" w:ascii="Times New Roman" w:hAnsi="Times New Roman" w:cs="Times New Roman"/>
          <w:bCs/>
          <w:color w:val="000000" w:themeColor="text1"/>
          <w:sz w:val="24"/>
          <w:vertAlign w:val="superscript"/>
          <w:lang w:eastAsia="zh-CN"/>
          <w14:textFill>
            <w14:solidFill>
              <w14:schemeClr w14:val="tx1"/>
            </w14:solidFill>
          </w14:textFill>
        </w:rPr>
        <w:t>3</w:t>
      </w:r>
      <w:r>
        <w:rPr>
          <w:rFonts w:hint="default" w:ascii="Times New Roman" w:hAnsi="Times New Roman" w:cs="Times New Roman"/>
          <w:bCs/>
          <w:color w:val="000000" w:themeColor="text1"/>
          <w:sz w:val="24"/>
          <w:lang w:eastAsia="zh-CN"/>
          <w14:textFill>
            <w14:solidFill>
              <w14:schemeClr w14:val="tx1"/>
            </w14:solidFill>
          </w14:textFill>
        </w:rPr>
        <w:t>/d，毛集实验区污水处理厂处于正常运行状态，现状在线监测数据表明，污水均可实现达标排放。其工艺流程如下图：</w:t>
      </w:r>
    </w:p>
    <w:p w14:paraId="620A43FD">
      <w:pPr>
        <w:spacing w:line="360" w:lineRule="auto"/>
        <w:jc w:val="center"/>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color w:val="000000" w:themeColor="text1"/>
          <w:position w:val="-104"/>
          <w14:textFill>
            <w14:solidFill>
              <w14:schemeClr w14:val="tx1"/>
            </w14:solidFill>
          </w14:textFill>
        </w:rPr>
        <w:drawing>
          <wp:inline distT="0" distB="0" distL="114300" distR="114300">
            <wp:extent cx="4219575" cy="3324860"/>
            <wp:effectExtent l="0" t="0" r="9525" b="8890"/>
            <wp:docPr id="7" name="图片 12"/>
            <wp:cNvGraphicFramePr/>
            <a:graphic xmlns:a="http://schemas.openxmlformats.org/drawingml/2006/main">
              <a:graphicData uri="http://schemas.openxmlformats.org/drawingml/2006/picture">
                <pic:pic xmlns:pic="http://schemas.openxmlformats.org/drawingml/2006/picture">
                  <pic:nvPicPr>
                    <pic:cNvPr id="7" name="图片 12"/>
                    <pic:cNvPicPr/>
                  </pic:nvPicPr>
                  <pic:blipFill>
                    <a:blip r:embed="rId78"/>
                    <a:stretch>
                      <a:fillRect/>
                    </a:stretch>
                  </pic:blipFill>
                  <pic:spPr>
                    <a:xfrm>
                      <a:off x="0" y="0"/>
                      <a:ext cx="4219575" cy="3324860"/>
                    </a:xfrm>
                    <a:prstGeom prst="rect">
                      <a:avLst/>
                    </a:prstGeom>
                    <a:noFill/>
                    <a:ln>
                      <a:noFill/>
                    </a:ln>
                  </pic:spPr>
                </pic:pic>
              </a:graphicData>
            </a:graphic>
          </wp:inline>
        </w:drawing>
      </w:r>
    </w:p>
    <w:p w14:paraId="2D1CDB2B">
      <w:pPr>
        <w:spacing w:line="36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黑体" w:cs="Times New Roman"/>
          <w:b w:val="0"/>
          <w:bCs/>
          <w:color w:val="000000" w:themeColor="text1"/>
          <w:sz w:val="24"/>
          <w:szCs w:val="24"/>
          <w14:textFill>
            <w14:solidFill>
              <w14:schemeClr w14:val="tx1"/>
            </w14:solidFill>
          </w14:textFill>
        </w:rPr>
        <w:t>图</w:t>
      </w:r>
      <w:r>
        <w:rPr>
          <w:rFonts w:hint="default" w:ascii="Times New Roman" w:hAnsi="Times New Roman" w:eastAsia="黑体" w:cs="Times New Roman"/>
          <w:b w:val="0"/>
          <w:bCs/>
          <w:color w:val="000000" w:themeColor="text1"/>
          <w:sz w:val="24"/>
          <w:szCs w:val="24"/>
          <w:lang w:val="en-US" w:eastAsia="zh-CN"/>
          <w14:textFill>
            <w14:solidFill>
              <w14:schemeClr w14:val="tx1"/>
            </w14:solidFill>
          </w14:textFill>
        </w:rPr>
        <w:t>6.</w:t>
      </w:r>
      <w:r>
        <w:rPr>
          <w:rFonts w:hint="eastAsia" w:ascii="Times New Roman" w:hAnsi="Times New Roman" w:eastAsia="黑体" w:cs="Times New Roman"/>
          <w:b w:val="0"/>
          <w:bCs/>
          <w:color w:val="000000" w:themeColor="text1"/>
          <w:sz w:val="24"/>
          <w:szCs w:val="24"/>
          <w:lang w:val="en-US" w:eastAsia="zh-CN"/>
          <w14:textFill>
            <w14:solidFill>
              <w14:schemeClr w14:val="tx1"/>
            </w14:solidFill>
          </w14:textFill>
        </w:rPr>
        <w:t>1</w:t>
      </w:r>
      <w:r>
        <w:rPr>
          <w:rFonts w:hint="default" w:ascii="Times New Roman" w:hAnsi="Times New Roman" w:eastAsia="黑体" w:cs="Times New Roman"/>
          <w:b w:val="0"/>
          <w:bCs/>
          <w:color w:val="000000" w:themeColor="text1"/>
          <w:sz w:val="24"/>
          <w:szCs w:val="24"/>
          <w:lang w:val="en-US" w:eastAsia="zh-CN"/>
          <w14:textFill>
            <w14:solidFill>
              <w14:schemeClr w14:val="tx1"/>
            </w14:solidFill>
          </w14:textFill>
        </w:rPr>
        <w:t>-2</w:t>
      </w:r>
      <w:r>
        <w:rPr>
          <w:rFonts w:hint="default" w:ascii="Times New Roman" w:hAnsi="Times New Roman" w:eastAsia="黑体" w:cs="Times New Roman"/>
          <w:b w:val="0"/>
          <w:bCs/>
          <w:color w:val="000000" w:themeColor="text1"/>
          <w:sz w:val="24"/>
          <w:szCs w:val="24"/>
          <w14:textFill>
            <w14:solidFill>
              <w14:schemeClr w14:val="tx1"/>
            </w14:solidFill>
          </w14:textFill>
        </w:rPr>
        <w:t xml:space="preserve"> </w:t>
      </w:r>
      <w:r>
        <w:rPr>
          <w:rFonts w:hint="default" w:ascii="Times New Roman" w:hAnsi="Times New Roman" w:eastAsia="黑体" w:cs="Times New Roman"/>
          <w:b w:val="0"/>
          <w:bCs/>
          <w:color w:val="000000" w:themeColor="text1"/>
          <w:sz w:val="24"/>
          <w:szCs w:val="24"/>
          <w:lang w:eastAsia="zh-CN"/>
          <w14:textFill>
            <w14:solidFill>
              <w14:schemeClr w14:val="tx1"/>
            </w14:solidFill>
          </w14:textFill>
        </w:rPr>
        <w:t>毛集实验区污水处理厂</w:t>
      </w:r>
      <w:r>
        <w:rPr>
          <w:rFonts w:hint="default" w:ascii="Times New Roman" w:hAnsi="Times New Roman" w:eastAsia="黑体" w:cs="Times New Roman"/>
          <w:b w:val="0"/>
          <w:bCs/>
          <w:color w:val="000000" w:themeColor="text1"/>
          <w:sz w:val="24"/>
          <w:szCs w:val="24"/>
          <w14:textFill>
            <w14:solidFill>
              <w14:schemeClr w14:val="tx1"/>
            </w14:solidFill>
          </w14:textFill>
        </w:rPr>
        <w:t>工艺流程图</w:t>
      </w:r>
    </w:p>
    <w:p w14:paraId="403DC01A">
      <w:pPr>
        <w:keepNext w:val="0"/>
        <w:keepLines w:val="0"/>
        <w:widowControl w:val="0"/>
        <w:suppressLineNumbers w:val="0"/>
        <w:spacing w:before="0" w:beforeAutospacing="0" w:after="0" w:afterAutospacing="0" w:line="360" w:lineRule="auto"/>
        <w:ind w:left="0" w:right="0" w:firstLine="472" w:firstLineChars="200"/>
        <w:jc w:val="both"/>
        <w:rPr>
          <w:color w:val="000000" w:themeColor="text1"/>
          <w:sz w:val="24"/>
          <w:szCs w:val="24"/>
          <w:lang w:val="en-US"/>
          <w14:textFill>
            <w14:solidFill>
              <w14:schemeClr w14:val="tx1"/>
            </w14:solidFill>
          </w14:textFill>
        </w:rPr>
      </w:pPr>
      <w:r>
        <w:rPr>
          <w:rFonts w:hint="eastAsia" w:ascii="Times New Roman" w:hAnsi="Times New Roman" w:cs="宋体"/>
          <w:color w:val="000000" w:themeColor="text1"/>
          <w:kern w:val="2"/>
          <w:sz w:val="24"/>
          <w:szCs w:val="24"/>
          <w:lang w:val="en-US" w:eastAsia="zh-CN" w:bidi="ar"/>
          <w14:textFill>
            <w14:solidFill>
              <w14:schemeClr w14:val="tx1"/>
            </w14:solidFill>
          </w14:textFill>
        </w:rPr>
        <w:t>（2）</w:t>
      </w:r>
      <w:r>
        <w:rPr>
          <w:rFonts w:hint="eastAsia" w:ascii="Times New Roman" w:hAnsi="Times New Roman" w:eastAsia="宋体" w:cs="宋体"/>
          <w:color w:val="000000" w:themeColor="text1"/>
          <w:kern w:val="2"/>
          <w:sz w:val="24"/>
          <w:szCs w:val="24"/>
          <w:lang w:val="en-US" w:eastAsia="zh-CN" w:bidi="ar"/>
          <w14:textFill>
            <w14:solidFill>
              <w14:schemeClr w14:val="tx1"/>
            </w14:solidFill>
          </w14:textFill>
        </w:rPr>
        <w:t>接管可行性</w:t>
      </w:r>
    </w:p>
    <w:p w14:paraId="500D1FDB">
      <w:pPr>
        <w:keepNext w:val="0"/>
        <w:keepLines w:val="0"/>
        <w:widowControl w:val="0"/>
        <w:suppressLineNumbers w:val="0"/>
        <w:spacing w:before="0" w:beforeAutospacing="0" w:after="0" w:afterAutospacing="0" w:line="360" w:lineRule="auto"/>
        <w:ind w:left="0" w:right="0" w:firstLine="472" w:firstLineChars="200"/>
        <w:jc w:val="both"/>
        <w:rPr>
          <w:rFonts w:hAnsi="宋体"/>
          <w:color w:val="000000" w:themeColor="text1"/>
          <w:sz w:val="24"/>
          <w:szCs w:val="24"/>
          <w:lang w:val="en-US"/>
          <w14:textFill>
            <w14:solidFill>
              <w14:schemeClr w14:val="tx1"/>
            </w14:solidFill>
          </w14:textFill>
        </w:rPr>
      </w:pPr>
      <w:r>
        <w:rPr>
          <w:rFonts w:hint="eastAsia" w:ascii="Times New Roman" w:hAnsi="宋体" w:eastAsia="宋体" w:cs="宋体"/>
          <w:color w:val="000000" w:themeColor="text1"/>
          <w:kern w:val="2"/>
          <w:sz w:val="24"/>
          <w:szCs w:val="24"/>
          <w:lang w:val="en-US" w:eastAsia="zh-CN" w:bidi="ar"/>
          <w14:textFill>
            <w14:solidFill>
              <w14:schemeClr w14:val="tx1"/>
            </w14:solidFill>
          </w14:textFill>
        </w:rPr>
        <w:t>接管范围：</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本项目位于</w:t>
      </w:r>
      <w:r>
        <w:rPr>
          <w:rFonts w:hint="default" w:ascii="Times New Roman" w:hAnsi="Times New Roman" w:eastAsia="宋体" w:cs="Times New Roman"/>
          <w:b w:val="0"/>
          <w:bCs/>
          <w:color w:val="000000" w:themeColor="text1"/>
          <w:sz w:val="24"/>
          <w:szCs w:val="24"/>
          <w14:textFill>
            <w14:solidFill>
              <w14:schemeClr w14:val="tx1"/>
            </w14:solidFill>
          </w14:textFill>
        </w:rPr>
        <w:t>安徽省</w:t>
      </w:r>
      <w:r>
        <w:rPr>
          <w:rFonts w:hint="eastAsia" w:cs="Times New Roman"/>
          <w:b w:val="0"/>
          <w:bCs/>
          <w:color w:val="000000" w:themeColor="text1"/>
          <w:sz w:val="24"/>
          <w:szCs w:val="24"/>
          <w:lang w:eastAsia="zh-CN"/>
          <w14:textFill>
            <w14:solidFill>
              <w14:schemeClr w14:val="tx1"/>
            </w14:solidFill>
          </w14:textFill>
        </w:rPr>
        <w:t>淮南市毛集实验区烟波北路</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，为</w:t>
      </w:r>
      <w:r>
        <w:rPr>
          <w:rFonts w:hint="eastAsia" w:cs="Times New Roman"/>
          <w:b w:val="0"/>
          <w:bCs/>
          <w:color w:val="000000" w:themeColor="text1"/>
          <w:sz w:val="24"/>
          <w:szCs w:val="24"/>
          <w:lang w:val="en-US" w:eastAsia="zh-CN"/>
          <w14:textFill>
            <w14:solidFill>
              <w14:schemeClr w14:val="tx1"/>
            </w14:solidFill>
          </w14:textFill>
        </w:rPr>
        <w:t>毛集实验区</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污水处理厂收水范围内。项目区域目前已经配套污水管网，可以收纳本项目的废水。本项目废水经市政污水管网进入</w:t>
      </w:r>
      <w:r>
        <w:rPr>
          <w:rFonts w:hint="eastAsia" w:cs="Times New Roman"/>
          <w:b w:val="0"/>
          <w:bCs/>
          <w:color w:val="000000" w:themeColor="text1"/>
          <w:sz w:val="24"/>
          <w:szCs w:val="24"/>
          <w:lang w:val="en-US" w:eastAsia="zh-CN"/>
          <w14:textFill>
            <w14:solidFill>
              <w14:schemeClr w14:val="tx1"/>
            </w14:solidFill>
          </w14:textFill>
        </w:rPr>
        <w:t>毛集实验区</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污水处理厂处理，尾水达到执行《城镇污水处理厂污染物排放标准》（</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GB18918-2002</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）一级</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A</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标准后排入</w:t>
      </w:r>
      <w:r>
        <w:rPr>
          <w:rFonts w:hint="eastAsia" w:cs="Times New Roman"/>
          <w:b w:val="0"/>
          <w:bCs/>
          <w:color w:val="000000" w:themeColor="text1"/>
          <w:sz w:val="24"/>
          <w:szCs w:val="24"/>
          <w:lang w:val="en-US" w:eastAsia="zh-CN"/>
          <w14:textFill>
            <w14:solidFill>
              <w14:schemeClr w14:val="tx1"/>
            </w14:solidFill>
          </w14:textFill>
        </w:rPr>
        <w:t>西淝河</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w:t>
      </w:r>
    </w:p>
    <w:p w14:paraId="5EC19F89">
      <w:pPr>
        <w:keepNext w:val="0"/>
        <w:keepLines w:val="0"/>
        <w:widowControl w:val="0"/>
        <w:suppressLineNumbers w:val="0"/>
        <w:spacing w:before="0" w:beforeAutospacing="0" w:after="0" w:afterAutospacing="0" w:line="360" w:lineRule="auto"/>
        <w:ind w:left="0" w:right="0" w:firstLine="472" w:firstLineChars="200"/>
        <w:jc w:val="both"/>
        <w:rPr>
          <w:rFonts w:hAnsi="宋体"/>
          <w:color w:val="000000" w:themeColor="text1"/>
          <w:sz w:val="24"/>
          <w:szCs w:val="24"/>
          <w:lang w:val="en-US"/>
          <w14:textFill>
            <w14:solidFill>
              <w14:schemeClr w14:val="tx1"/>
            </w14:solidFill>
          </w14:textFill>
        </w:rPr>
      </w:pPr>
      <w:r>
        <w:rPr>
          <w:rFonts w:hint="eastAsia" w:ascii="Times New Roman" w:hAnsi="宋体" w:eastAsia="宋体" w:cs="宋体"/>
          <w:color w:val="000000" w:themeColor="text1"/>
          <w:kern w:val="2"/>
          <w:sz w:val="24"/>
          <w:szCs w:val="24"/>
          <w:lang w:val="en-US" w:eastAsia="zh-CN" w:bidi="ar"/>
          <w14:textFill>
            <w14:solidFill>
              <w14:schemeClr w14:val="tx1"/>
            </w14:solidFill>
          </w14:textFill>
        </w:rPr>
        <w:t>水量：</w:t>
      </w:r>
      <w:r>
        <w:rPr>
          <w:rFonts w:hint="default" w:ascii="Times New Roman" w:hAnsi="Times New Roman" w:eastAsia="宋体" w:cs="Times New Roman"/>
          <w:b w:val="0"/>
          <w:bCs/>
          <w:color w:val="000000" w:themeColor="text1"/>
          <w:sz w:val="24"/>
          <w:szCs w:val="24"/>
          <w14:textFill>
            <w14:solidFill>
              <w14:schemeClr w14:val="tx1"/>
            </w14:solidFill>
          </w14:textFill>
        </w:rPr>
        <w:t>本项目最大废水排放量为</w:t>
      </w:r>
      <w:r>
        <w:rPr>
          <w:rFonts w:hint="eastAsia" w:cs="Times New Roman"/>
          <w:b w:val="0"/>
          <w:bCs/>
          <w:color w:val="000000" w:themeColor="text1"/>
          <w:sz w:val="24"/>
          <w:szCs w:val="24"/>
          <w:lang w:val="en-US" w:eastAsia="zh-CN"/>
          <w14:textFill>
            <w14:solidFill>
              <w14:schemeClr w14:val="tx1"/>
            </w14:solidFill>
          </w14:textFill>
        </w:rPr>
        <w:t>88.67</w:t>
      </w:r>
      <w:r>
        <w:rPr>
          <w:rFonts w:hint="default" w:ascii="Times New Roman" w:hAnsi="Times New Roman" w:eastAsia="宋体" w:cs="Times New Roman"/>
          <w:b w:val="0"/>
          <w:bCs/>
          <w:color w:val="000000" w:themeColor="text1"/>
          <w:sz w:val="24"/>
          <w:szCs w:val="24"/>
          <w14:textFill>
            <w14:solidFill>
              <w14:schemeClr w14:val="tx1"/>
            </w14:solidFill>
          </w14:textFill>
        </w:rPr>
        <w:t>m</w:t>
      </w:r>
      <w:r>
        <w:rPr>
          <w:rFonts w:hint="default" w:ascii="Times New Roman" w:hAnsi="Times New Roman" w:eastAsia="宋体" w:cs="Times New Roman"/>
          <w:b w:val="0"/>
          <w:bCs/>
          <w:color w:val="000000" w:themeColor="text1"/>
          <w:sz w:val="24"/>
          <w:szCs w:val="24"/>
          <w:vertAlign w:val="superscript"/>
          <w14:textFill>
            <w14:solidFill>
              <w14:schemeClr w14:val="tx1"/>
            </w14:solidFill>
          </w14:textFill>
        </w:rPr>
        <w:t>3</w:t>
      </w:r>
      <w:r>
        <w:rPr>
          <w:rFonts w:hint="default" w:ascii="Times New Roman" w:hAnsi="Times New Roman" w:eastAsia="宋体" w:cs="Times New Roman"/>
          <w:b w:val="0"/>
          <w:bCs/>
          <w:color w:val="000000" w:themeColor="text1"/>
          <w:sz w:val="24"/>
          <w:szCs w:val="24"/>
          <w14:textFill>
            <w14:solidFill>
              <w14:schemeClr w14:val="tx1"/>
            </w14:solidFill>
          </w14:textFill>
        </w:rPr>
        <w:t>/d，占污水处理厂日处理量的</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0.</w:t>
      </w:r>
      <w:r>
        <w:rPr>
          <w:rFonts w:hint="eastAsia" w:cs="Times New Roman"/>
          <w:b w:val="0"/>
          <w:bCs/>
          <w:color w:val="000000" w:themeColor="text1"/>
          <w:sz w:val="24"/>
          <w:szCs w:val="24"/>
          <w:lang w:val="en-US" w:eastAsia="zh-CN"/>
          <w14:textFill>
            <w14:solidFill>
              <w14:schemeClr w14:val="tx1"/>
            </w14:solidFill>
          </w14:textFill>
        </w:rPr>
        <w:t>44</w:t>
      </w:r>
      <w:r>
        <w:rPr>
          <w:rFonts w:hint="default" w:ascii="Times New Roman" w:hAnsi="Times New Roman" w:eastAsia="宋体" w:cs="Times New Roman"/>
          <w:b w:val="0"/>
          <w:bCs/>
          <w:color w:val="000000" w:themeColor="text1"/>
          <w:sz w:val="24"/>
          <w:szCs w:val="24"/>
          <w14:textFill>
            <w14:solidFill>
              <w14:schemeClr w14:val="tx1"/>
            </w14:solidFill>
          </w14:textFill>
        </w:rPr>
        <w:t>%</w:t>
      </w:r>
      <w:r>
        <w:rPr>
          <w:rFonts w:hint="eastAsia" w:ascii="Times New Roman" w:hAnsi="宋体" w:eastAsia="宋体" w:cs="宋体"/>
          <w:color w:val="000000" w:themeColor="text1"/>
          <w:kern w:val="2"/>
          <w:sz w:val="24"/>
          <w:szCs w:val="24"/>
          <w:lang w:val="en-US" w:eastAsia="zh-CN" w:bidi="ar"/>
          <w14:textFill>
            <w14:solidFill>
              <w14:schemeClr w14:val="tx1"/>
            </w14:solidFill>
          </w14:textFill>
        </w:rPr>
        <w:t>，不会对其处理能力造成冲击，因在其设计考虑处理范围内，接管水量是可行的。</w:t>
      </w:r>
    </w:p>
    <w:p w14:paraId="4225BAE9">
      <w:pPr>
        <w:keepNext w:val="0"/>
        <w:keepLines w:val="0"/>
        <w:widowControl w:val="0"/>
        <w:suppressLineNumbers w:val="0"/>
        <w:spacing w:before="0" w:beforeAutospacing="0" w:after="0" w:afterAutospacing="0" w:line="360" w:lineRule="auto"/>
        <w:ind w:left="0" w:right="0" w:firstLine="472" w:firstLineChars="200"/>
        <w:jc w:val="both"/>
        <w:rPr>
          <w:color w:val="000000" w:themeColor="text1"/>
          <w:sz w:val="24"/>
          <w:szCs w:val="24"/>
          <w:lang w:val="en-US"/>
          <w14:textFill>
            <w14:solidFill>
              <w14:schemeClr w14:val="tx1"/>
            </w14:solidFill>
          </w14:textFill>
        </w:rPr>
      </w:pPr>
      <w:r>
        <w:rPr>
          <w:rFonts w:hint="eastAsia" w:ascii="Times New Roman" w:hAnsi="宋体" w:eastAsia="宋体" w:cs="宋体"/>
          <w:color w:val="000000" w:themeColor="text1"/>
          <w:kern w:val="2"/>
          <w:sz w:val="24"/>
          <w:szCs w:val="24"/>
          <w:lang w:val="en-US" w:eastAsia="zh-CN" w:bidi="ar"/>
          <w14:textFill>
            <w14:solidFill>
              <w14:schemeClr w14:val="tx1"/>
            </w14:solidFill>
          </w14:textFill>
        </w:rPr>
        <w:t>水质：</w:t>
      </w:r>
      <w:r>
        <w:rPr>
          <w:rFonts w:hint="eastAsia" w:ascii="Times New Roman" w:hAnsi="宋体" w:cs="宋体"/>
          <w:color w:val="000000" w:themeColor="text1"/>
          <w:kern w:val="2"/>
          <w:sz w:val="24"/>
          <w:szCs w:val="24"/>
          <w:lang w:val="en-US" w:eastAsia="zh-CN" w:bidi="ar"/>
          <w14:textFill>
            <w14:solidFill>
              <w14:schemeClr w14:val="tx1"/>
            </w14:solidFill>
          </w14:textFill>
        </w:rPr>
        <w:t>本</w:t>
      </w:r>
      <w:r>
        <w:rPr>
          <w:rFonts w:hint="eastAsia" w:ascii="Times New Roman" w:hAnsi="宋体" w:eastAsia="宋体" w:cs="宋体"/>
          <w:color w:val="000000" w:themeColor="text1"/>
          <w:kern w:val="2"/>
          <w:sz w:val="24"/>
          <w:szCs w:val="24"/>
          <w:lang w:val="en-US" w:eastAsia="zh-CN" w:bidi="ar"/>
          <w14:textFill>
            <w14:solidFill>
              <w14:schemeClr w14:val="tx1"/>
            </w14:solidFill>
          </w14:textFill>
        </w:rPr>
        <w:t>项目废水水质简单，废水经预处理后达到该污水处理厂接管要求。污水管网建成接管后经污水管网接入</w:t>
      </w:r>
      <w:r>
        <w:rPr>
          <w:rFonts w:hint="eastAsia" w:cs="Times New Roman"/>
          <w:b w:val="0"/>
          <w:bCs/>
          <w:color w:val="000000" w:themeColor="text1"/>
          <w:sz w:val="24"/>
          <w:szCs w:val="24"/>
          <w:lang w:val="en-US" w:eastAsia="zh-CN"/>
          <w14:textFill>
            <w14:solidFill>
              <w14:schemeClr w14:val="tx1"/>
            </w14:solidFill>
          </w14:textFill>
        </w:rPr>
        <w:t>毛集实验区</w:t>
      </w:r>
      <w:r>
        <w:rPr>
          <w:rFonts w:hint="eastAsia" w:ascii="Times New Roman" w:hAnsi="宋体" w:eastAsia="宋体" w:cs="宋体"/>
          <w:color w:val="000000" w:themeColor="text1"/>
          <w:kern w:val="2"/>
          <w:sz w:val="24"/>
          <w:szCs w:val="24"/>
          <w:lang w:val="en-US" w:eastAsia="zh-CN" w:bidi="ar"/>
          <w14:textFill>
            <w14:solidFill>
              <w14:schemeClr w14:val="tx1"/>
            </w14:solidFill>
          </w14:textFill>
        </w:rPr>
        <w:t>污水处理厂处理，不会对污水处理厂的正常运行产生冲击负荷，不影响其水质稳定达标排放。因此，从水质上说，废水接管是可行的。</w:t>
      </w:r>
    </w:p>
    <w:p w14:paraId="3155A2E8">
      <w:pPr>
        <w:spacing w:line="360" w:lineRule="auto"/>
        <w:ind w:firstLine="472" w:firstLineChars="200"/>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eastAsia" w:ascii="Times New Roman" w:hAnsi="宋体" w:eastAsia="宋体" w:cs="Times New Roman"/>
          <w:color w:val="000000" w:themeColor="text1"/>
          <w:kern w:val="2"/>
          <w:sz w:val="24"/>
          <w:szCs w:val="24"/>
          <w:lang w:val="en-US" w:eastAsia="zh-CN" w:bidi="ar"/>
          <w14:textFill>
            <w14:solidFill>
              <w14:schemeClr w14:val="tx1"/>
            </w14:solidFill>
          </w14:textFill>
        </w:rPr>
        <w:t>综上所述，从水质水量、接管标准等方面综合考虑，生产废水经污水处理设施处理后依托现有排放口，排入市政污水管网，汇入</w:t>
      </w: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毛集实验区污水处理厂</w:t>
      </w:r>
      <w:r>
        <w:rPr>
          <w:rFonts w:hint="eastAsia" w:ascii="Times New Roman" w:hAnsi="宋体" w:eastAsia="宋体" w:cs="Times New Roman"/>
          <w:color w:val="000000" w:themeColor="text1"/>
          <w:kern w:val="2"/>
          <w:sz w:val="24"/>
          <w:szCs w:val="24"/>
          <w:lang w:val="en-US" w:eastAsia="zh-CN" w:bidi="ar"/>
          <w14:textFill>
            <w14:solidFill>
              <w14:schemeClr w14:val="tx1"/>
            </w14:solidFill>
          </w14:textFill>
        </w:rPr>
        <w:t>集中处理后，达到《城镇污水处理厂污染物排放标准》（</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GB18918-2002</w:t>
      </w:r>
      <w:r>
        <w:rPr>
          <w:rFonts w:hint="eastAsia" w:ascii="Times New Roman" w:hAnsi="宋体" w:eastAsia="宋体" w:cs="Times New Roman"/>
          <w:color w:val="000000" w:themeColor="text1"/>
          <w:kern w:val="2"/>
          <w:sz w:val="24"/>
          <w:szCs w:val="24"/>
          <w:lang w:val="en-US" w:eastAsia="zh-CN" w:bidi="ar"/>
          <w14:textFill>
            <w14:solidFill>
              <w14:schemeClr w14:val="tx1"/>
            </w14:solidFill>
          </w14:textFill>
        </w:rPr>
        <w:t>）一级</w:t>
      </w:r>
      <w:r>
        <w:rPr>
          <w:rFonts w:hint="default" w:ascii="Times New Roman" w:hAnsi="Times New Roman" w:eastAsia="宋体" w:cs="Times New Roman"/>
          <w:color w:val="000000" w:themeColor="text1"/>
          <w:kern w:val="2"/>
          <w:sz w:val="24"/>
          <w:szCs w:val="24"/>
          <w:lang w:val="en-US" w:eastAsia="zh-CN" w:bidi="ar"/>
          <w14:textFill>
            <w14:solidFill>
              <w14:schemeClr w14:val="tx1"/>
            </w14:solidFill>
          </w14:textFill>
        </w:rPr>
        <w:t>A</w:t>
      </w:r>
      <w:r>
        <w:rPr>
          <w:rFonts w:hint="eastAsia" w:ascii="Times New Roman" w:hAnsi="宋体" w:eastAsia="宋体" w:cs="Times New Roman"/>
          <w:color w:val="000000" w:themeColor="text1"/>
          <w:kern w:val="2"/>
          <w:sz w:val="24"/>
          <w:szCs w:val="24"/>
          <w:lang w:val="en-US" w:eastAsia="zh-CN" w:bidi="ar"/>
          <w14:textFill>
            <w14:solidFill>
              <w14:schemeClr w14:val="tx1"/>
            </w14:solidFill>
          </w14:textFill>
        </w:rPr>
        <w:t>标</w:t>
      </w:r>
      <w:r>
        <w:rPr>
          <w:rFonts w:hint="eastAsia" w:ascii="Times New Roman" w:hAnsi="宋体" w:cs="Times New Roman"/>
          <w:color w:val="000000" w:themeColor="text1"/>
          <w:kern w:val="2"/>
          <w:sz w:val="24"/>
          <w:szCs w:val="24"/>
          <w:lang w:val="en-US" w:eastAsia="zh-CN" w:bidi="ar"/>
          <w14:textFill>
            <w14:solidFill>
              <w14:schemeClr w14:val="tx1"/>
            </w14:solidFill>
          </w14:textFill>
        </w:rPr>
        <w:t>。</w:t>
      </w:r>
      <w:r>
        <w:rPr>
          <w:rFonts w:hint="eastAsia" w:ascii="Times New Roman" w:hAnsi="宋体" w:eastAsia="宋体" w:cs="Times New Roman"/>
          <w:color w:val="000000" w:themeColor="text1"/>
          <w:kern w:val="2"/>
          <w:sz w:val="24"/>
          <w:szCs w:val="24"/>
          <w:lang w:val="en-US" w:eastAsia="zh-CN" w:bidi="ar"/>
          <w14:textFill>
            <w14:solidFill>
              <w14:schemeClr w14:val="tx1"/>
            </w14:solidFill>
          </w14:textFill>
        </w:rPr>
        <w:t>因此，本项目对地表水环境的影响较小。</w:t>
      </w:r>
    </w:p>
    <w:bookmarkEnd w:id="226"/>
    <w:bookmarkEnd w:id="227"/>
    <w:p w14:paraId="43DE615E">
      <w:pPr>
        <w:pStyle w:val="3159"/>
        <w:rPr>
          <w:rFonts w:hint="default" w:ascii="Times New Roman" w:hAnsi="Times New Roman" w:eastAsia="黑体" w:cs="Times New Roman"/>
          <w:b w:val="0"/>
          <w:color w:val="000000" w:themeColor="text1"/>
          <w14:textFill>
            <w14:solidFill>
              <w14:schemeClr w14:val="tx1"/>
            </w14:solidFill>
          </w14:textFill>
        </w:rPr>
      </w:pPr>
      <w:bookmarkStart w:id="228" w:name="_Toc133214608"/>
      <w:bookmarkStart w:id="229" w:name="_Toc133333765"/>
      <w:bookmarkStart w:id="230" w:name="_Toc170562269"/>
      <w:bookmarkStart w:id="231" w:name="_Toc141627899"/>
      <w:bookmarkStart w:id="232" w:name="_Toc173837764"/>
      <w:r>
        <w:rPr>
          <w:rFonts w:hint="eastAsia" w:ascii="Times New Roman" w:hAnsi="Times New Roman" w:eastAsia="黑体" w:cs="Times New Roman"/>
          <w:b w:val="0"/>
          <w:color w:val="000000" w:themeColor="text1"/>
          <w:lang w:val="en-US" w:eastAsia="zh-CN"/>
          <w14:textFill>
            <w14:solidFill>
              <w14:schemeClr w14:val="tx1"/>
            </w14:solidFill>
          </w14:textFill>
        </w:rPr>
        <w:t>6</w:t>
      </w:r>
      <w:r>
        <w:rPr>
          <w:rFonts w:hint="default" w:ascii="Times New Roman" w:hAnsi="Times New Roman" w:eastAsia="黑体" w:cs="Times New Roman"/>
          <w:b w:val="0"/>
          <w:color w:val="000000" w:themeColor="text1"/>
          <w14:textFill>
            <w14:solidFill>
              <w14:schemeClr w14:val="tx1"/>
            </w14:solidFill>
          </w14:textFill>
        </w:rPr>
        <w:t>.</w:t>
      </w:r>
      <w:r>
        <w:rPr>
          <w:rFonts w:hint="eastAsia" w:ascii="Times New Roman" w:hAnsi="Times New Roman" w:eastAsia="黑体" w:cs="Times New Roman"/>
          <w:b w:val="0"/>
          <w:color w:val="000000" w:themeColor="text1"/>
          <w:lang w:val="en-US" w:eastAsia="zh-CN"/>
          <w14:textFill>
            <w14:solidFill>
              <w14:schemeClr w14:val="tx1"/>
            </w14:solidFill>
          </w14:textFill>
        </w:rPr>
        <w:t>1</w:t>
      </w:r>
      <w:r>
        <w:rPr>
          <w:rFonts w:hint="default" w:ascii="Times New Roman" w:hAnsi="Times New Roman" w:eastAsia="黑体" w:cs="Times New Roman"/>
          <w:b w:val="0"/>
          <w:color w:val="000000" w:themeColor="text1"/>
          <w14:textFill>
            <w14:solidFill>
              <w14:schemeClr w14:val="tx1"/>
            </w14:solidFill>
          </w14:textFill>
        </w:rPr>
        <w:t>.3噪声污染防治措施及可行性分析</w:t>
      </w:r>
      <w:bookmarkEnd w:id="228"/>
      <w:bookmarkEnd w:id="229"/>
      <w:bookmarkEnd w:id="230"/>
      <w:bookmarkEnd w:id="231"/>
      <w:bookmarkEnd w:id="232"/>
    </w:p>
    <w:p w14:paraId="61282A1B">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本项目在噪声控制上优先选用低噪声设备，对</w:t>
      </w:r>
      <w:r>
        <w:rPr>
          <w:rFonts w:hint="default" w:ascii="Times New Roman" w:hAnsi="Times New Roman" w:cs="Times New Roman"/>
          <w:color w:val="000000" w:themeColor="text1"/>
          <w:sz w:val="24"/>
          <w:szCs w:val="24"/>
          <w:lang w:eastAsia="zh-CN"/>
          <w14:textFill>
            <w14:solidFill>
              <w14:schemeClr w14:val="tx1"/>
            </w14:solidFill>
          </w14:textFill>
        </w:rPr>
        <w:t>风机</w:t>
      </w:r>
      <w:r>
        <w:rPr>
          <w:rFonts w:hint="default" w:ascii="Times New Roman" w:hAnsi="Times New Roman" w:cs="Times New Roman"/>
          <w:color w:val="000000" w:themeColor="text1"/>
          <w:sz w:val="24"/>
          <w:szCs w:val="24"/>
          <w14:textFill>
            <w14:solidFill>
              <w14:schemeClr w14:val="tx1"/>
            </w14:solidFill>
          </w14:textFill>
        </w:rPr>
        <w:t>等噪声设备采取减振、隔声等措施。主要噪声防治措施如下：</w:t>
      </w:r>
    </w:p>
    <w:p w14:paraId="261BAC2F">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1、在场区总图设计上科学规划，合理布局，尽可能将噪声设备集中布置、集中管理、远离办公生活区，并加强场区绿化，充分利用距离衰减和草丛、树木的吸声作用降噪，减小项目运行对外环境的影响。</w:t>
      </w:r>
    </w:p>
    <w:p w14:paraId="78F6AA9E">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2、在设计中按《工业企业噪声控制设计规范》选用性能优、噪声低的设备。</w:t>
      </w:r>
    </w:p>
    <w:p w14:paraId="3EC5F230">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3、高噪声设备尽量在车间内布置，并设置减振基础，通过车间的建筑隔声，可起到较好的降噪效果。</w:t>
      </w:r>
    </w:p>
    <w:p w14:paraId="7055A6F8">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4、对各类泵进行基础减振。</w:t>
      </w:r>
    </w:p>
    <w:p w14:paraId="75FE2633">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5、制定场区内高噪声设备运行管理和检修计划，确保高噪声设备处于良好的运行状态。</w:t>
      </w:r>
    </w:p>
    <w:p w14:paraId="77D255B8">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在采取上述有效的防治措施后，加上距离衰减作用，厂界噪声可满足《工业企业场界环境噪声排放标准》（GB12348-2008）中的3类标准要求。</w:t>
      </w:r>
    </w:p>
    <w:p w14:paraId="35782DD1">
      <w:pPr>
        <w:pStyle w:val="3159"/>
        <w:rPr>
          <w:rFonts w:hint="default" w:ascii="Times New Roman" w:hAnsi="Times New Roman" w:eastAsia="黑体" w:cs="Times New Roman"/>
          <w:b w:val="0"/>
          <w:color w:val="000000" w:themeColor="text1"/>
          <w14:textFill>
            <w14:solidFill>
              <w14:schemeClr w14:val="tx1"/>
            </w14:solidFill>
          </w14:textFill>
        </w:rPr>
      </w:pPr>
      <w:bookmarkStart w:id="233" w:name="_Toc133333766"/>
      <w:bookmarkStart w:id="234" w:name="_Toc141627900"/>
      <w:bookmarkStart w:id="235" w:name="_Toc133214609"/>
      <w:bookmarkStart w:id="236" w:name="_Toc170562270"/>
      <w:bookmarkStart w:id="237" w:name="_Toc173837765"/>
      <w:r>
        <w:rPr>
          <w:rFonts w:hint="eastAsia" w:ascii="Times New Roman" w:hAnsi="Times New Roman" w:eastAsia="黑体" w:cs="Times New Roman"/>
          <w:b w:val="0"/>
          <w:color w:val="000000" w:themeColor="text1"/>
          <w:lang w:val="en-US" w:eastAsia="zh-CN"/>
          <w14:textFill>
            <w14:solidFill>
              <w14:schemeClr w14:val="tx1"/>
            </w14:solidFill>
          </w14:textFill>
        </w:rPr>
        <w:t>6</w:t>
      </w:r>
      <w:r>
        <w:rPr>
          <w:rFonts w:hint="default" w:ascii="Times New Roman" w:hAnsi="Times New Roman" w:eastAsia="黑体" w:cs="Times New Roman"/>
          <w:b w:val="0"/>
          <w:color w:val="000000" w:themeColor="text1"/>
          <w14:textFill>
            <w14:solidFill>
              <w14:schemeClr w14:val="tx1"/>
            </w14:solidFill>
          </w14:textFill>
        </w:rPr>
        <w:t>.</w:t>
      </w:r>
      <w:r>
        <w:rPr>
          <w:rFonts w:hint="eastAsia" w:ascii="Times New Roman" w:hAnsi="Times New Roman" w:eastAsia="黑体" w:cs="Times New Roman"/>
          <w:b w:val="0"/>
          <w:color w:val="000000" w:themeColor="text1"/>
          <w:lang w:val="en-US" w:eastAsia="zh-CN"/>
          <w14:textFill>
            <w14:solidFill>
              <w14:schemeClr w14:val="tx1"/>
            </w14:solidFill>
          </w14:textFill>
        </w:rPr>
        <w:t>1</w:t>
      </w:r>
      <w:r>
        <w:rPr>
          <w:rFonts w:hint="default" w:ascii="Times New Roman" w:hAnsi="Times New Roman" w:eastAsia="黑体" w:cs="Times New Roman"/>
          <w:b w:val="0"/>
          <w:color w:val="000000" w:themeColor="text1"/>
          <w14:textFill>
            <w14:solidFill>
              <w14:schemeClr w14:val="tx1"/>
            </w14:solidFill>
          </w14:textFill>
        </w:rPr>
        <w:t>.4固体废物污染防治措施</w:t>
      </w:r>
      <w:bookmarkEnd w:id="233"/>
      <w:bookmarkEnd w:id="234"/>
      <w:bookmarkEnd w:id="235"/>
      <w:bookmarkEnd w:id="236"/>
      <w:bookmarkEnd w:id="237"/>
    </w:p>
    <w:p w14:paraId="3273998C">
      <w:pPr>
        <w:spacing w:line="360" w:lineRule="auto"/>
        <w:ind w:firstLine="472" w:firstLineChars="20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1、本项目</w:t>
      </w:r>
      <w:r>
        <w:rPr>
          <w:rFonts w:hint="default" w:ascii="Times New Roman" w:hAnsi="Times New Roman" w:cs="Times New Roman"/>
          <w:bCs/>
          <w:color w:val="000000" w:themeColor="text1"/>
          <w:sz w:val="24"/>
          <w14:textFill>
            <w14:solidFill>
              <w14:schemeClr w14:val="tx1"/>
            </w14:solidFill>
          </w14:textFill>
        </w:rPr>
        <w:t>固体废物种类、数量及拟采取的处理处置方式见下表。</w:t>
      </w:r>
    </w:p>
    <w:p w14:paraId="47FB6FBA">
      <w:pPr>
        <w:spacing w:line="360" w:lineRule="auto"/>
        <w:jc w:val="center"/>
        <w:rPr>
          <w:rFonts w:hint="default" w:ascii="Times New Roman" w:hAnsi="Times New Roman" w:eastAsia="黑体" w:cs="Times New Roman"/>
          <w:color w:val="000000" w:themeColor="text1"/>
          <w:sz w:val="24"/>
          <w14:textFill>
            <w14:solidFill>
              <w14:schemeClr w14:val="tx1"/>
            </w14:solidFill>
          </w14:textFill>
        </w:rPr>
        <w:sectPr>
          <w:footerReference r:id="rId15" w:type="default"/>
          <w:pgSz w:w="11907" w:h="16839"/>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030158CE">
      <w:pPr>
        <w:spacing w:line="360" w:lineRule="auto"/>
        <w:jc w:val="center"/>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w:t>
      </w:r>
      <w:r>
        <w:rPr>
          <w:rFonts w:hint="eastAsia" w:ascii="Times New Roman" w:hAnsi="Times New Roman" w:eastAsia="黑体" w:cs="Times New Roman"/>
          <w:color w:val="000000" w:themeColor="text1"/>
          <w:sz w:val="24"/>
          <w:lang w:val="en-US" w:eastAsia="zh-CN"/>
          <w14:textFill>
            <w14:solidFill>
              <w14:schemeClr w14:val="tx1"/>
            </w14:solidFill>
          </w14:textFill>
        </w:rPr>
        <w:t>6.1</w:t>
      </w:r>
      <w:r>
        <w:rPr>
          <w:rFonts w:hint="default" w:ascii="Times New Roman" w:hAnsi="Times New Roman" w:eastAsia="黑体" w:cs="Times New Roman"/>
          <w:color w:val="000000" w:themeColor="text1"/>
          <w:sz w:val="24"/>
          <w14:textFill>
            <w14:solidFill>
              <w14:schemeClr w14:val="tx1"/>
            </w14:solidFill>
          </w14:textFill>
        </w:rPr>
        <w:t>-</w:t>
      </w:r>
      <w:r>
        <w:rPr>
          <w:rFonts w:hint="eastAsia" w:ascii="Times New Roman" w:hAnsi="Times New Roman" w:eastAsia="黑体" w:cs="Times New Roman"/>
          <w:color w:val="000000" w:themeColor="text1"/>
          <w:sz w:val="24"/>
          <w:lang w:val="en-US" w:eastAsia="zh-CN"/>
          <w14:textFill>
            <w14:solidFill>
              <w14:schemeClr w14:val="tx1"/>
            </w14:solidFill>
          </w14:textFill>
        </w:rPr>
        <w:t>4</w:t>
      </w:r>
      <w:r>
        <w:rPr>
          <w:rFonts w:hint="default" w:ascii="Times New Roman" w:hAnsi="Times New Roman" w:eastAsia="黑体" w:cs="Times New Roman"/>
          <w:color w:val="000000" w:themeColor="text1"/>
          <w:sz w:val="24"/>
          <w14:textFill>
            <w14:solidFill>
              <w14:schemeClr w14:val="tx1"/>
            </w14:solidFill>
          </w14:textFill>
        </w:rPr>
        <w:t>本项目</w:t>
      </w:r>
      <w:r>
        <w:rPr>
          <w:rFonts w:hint="default" w:ascii="Times New Roman" w:hAnsi="Times New Roman" w:eastAsia="黑体" w:cs="Times New Roman"/>
          <w:bCs/>
          <w:color w:val="000000" w:themeColor="text1"/>
          <w:sz w:val="24"/>
          <w14:textFill>
            <w14:solidFill>
              <w14:schemeClr w14:val="tx1"/>
            </w14:solidFill>
          </w14:textFill>
        </w:rPr>
        <w:t>固体废物产生及处置情况</w:t>
      </w:r>
      <w:r>
        <w:rPr>
          <w:rFonts w:hint="default" w:ascii="Times New Roman" w:hAnsi="Times New Roman" w:eastAsia="黑体" w:cs="Times New Roman"/>
          <w:color w:val="000000" w:themeColor="text1"/>
          <w:sz w:val="24"/>
          <w14:textFill>
            <w14:solidFill>
              <w14:schemeClr w14:val="tx1"/>
            </w14:solidFill>
          </w14:textFill>
        </w:rPr>
        <w:t>表</w:t>
      </w:r>
    </w:p>
    <w:tbl>
      <w:tblPr>
        <w:tblStyle w:val="88"/>
        <w:tblW w:w="5153"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535"/>
        <w:gridCol w:w="1963"/>
        <w:gridCol w:w="1229"/>
        <w:gridCol w:w="1581"/>
        <w:gridCol w:w="1480"/>
        <w:gridCol w:w="1512"/>
        <w:gridCol w:w="755"/>
        <w:gridCol w:w="919"/>
        <w:gridCol w:w="1006"/>
        <w:gridCol w:w="1168"/>
        <w:gridCol w:w="2296"/>
      </w:tblGrid>
      <w:tr w14:paraId="3784D2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vAlign w:val="center"/>
          </w:tcPr>
          <w:p w14:paraId="771B330C">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序号</w:t>
            </w:r>
          </w:p>
        </w:tc>
        <w:tc>
          <w:tcPr>
            <w:tcW w:w="679" w:type="pct"/>
            <w:vAlign w:val="center"/>
          </w:tcPr>
          <w:p w14:paraId="730FEE84">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危险废物名称</w:t>
            </w:r>
          </w:p>
        </w:tc>
        <w:tc>
          <w:tcPr>
            <w:tcW w:w="425" w:type="pct"/>
            <w:vAlign w:val="center"/>
          </w:tcPr>
          <w:p w14:paraId="01BDDCCA">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废物类别</w:t>
            </w:r>
          </w:p>
        </w:tc>
        <w:tc>
          <w:tcPr>
            <w:tcW w:w="547" w:type="pct"/>
            <w:vAlign w:val="center"/>
          </w:tcPr>
          <w:p w14:paraId="1B073BA9">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eastAsia" w:cs="Times New Roman"/>
                <w:b/>
                <w:color w:val="000000" w:themeColor="text1"/>
                <w:sz w:val="21"/>
                <w:szCs w:val="21"/>
                <w:lang w:eastAsia="zh-CN"/>
                <w14:textFill>
                  <w14:solidFill>
                    <w14:schemeClr w14:val="tx1"/>
                  </w14:solidFill>
                </w14:textFill>
              </w:rPr>
              <w:t>废物</w:t>
            </w:r>
            <w:r>
              <w:rPr>
                <w:rFonts w:hint="default" w:ascii="Times New Roman" w:hAnsi="Times New Roman" w:cs="Times New Roman"/>
                <w:b/>
                <w:color w:val="000000" w:themeColor="text1"/>
                <w:sz w:val="21"/>
                <w:szCs w:val="21"/>
                <w14:textFill>
                  <w14:solidFill>
                    <w14:schemeClr w14:val="tx1"/>
                  </w14:solidFill>
                </w14:textFill>
              </w:rPr>
              <w:t>代码</w:t>
            </w:r>
          </w:p>
        </w:tc>
        <w:tc>
          <w:tcPr>
            <w:tcW w:w="512" w:type="pct"/>
            <w:vAlign w:val="center"/>
          </w:tcPr>
          <w:p w14:paraId="0EF71317">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产生量（吨/年）</w:t>
            </w:r>
          </w:p>
        </w:tc>
        <w:tc>
          <w:tcPr>
            <w:tcW w:w="523" w:type="pct"/>
            <w:vAlign w:val="center"/>
          </w:tcPr>
          <w:p w14:paraId="6F1BE938">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产生工序及装置</w:t>
            </w:r>
          </w:p>
        </w:tc>
        <w:tc>
          <w:tcPr>
            <w:tcW w:w="261" w:type="pct"/>
            <w:vAlign w:val="center"/>
          </w:tcPr>
          <w:p w14:paraId="5C004A71">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形态</w:t>
            </w:r>
          </w:p>
        </w:tc>
        <w:tc>
          <w:tcPr>
            <w:tcW w:w="318" w:type="pct"/>
            <w:vAlign w:val="center"/>
          </w:tcPr>
          <w:p w14:paraId="5AF86C87">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主要</w:t>
            </w:r>
          </w:p>
          <w:p w14:paraId="58DF2047">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成分</w:t>
            </w:r>
          </w:p>
        </w:tc>
        <w:tc>
          <w:tcPr>
            <w:tcW w:w="348" w:type="pct"/>
            <w:vAlign w:val="center"/>
          </w:tcPr>
          <w:p w14:paraId="10C1B6F6">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有害</w:t>
            </w:r>
          </w:p>
          <w:p w14:paraId="7F209330">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成分</w:t>
            </w:r>
          </w:p>
        </w:tc>
        <w:tc>
          <w:tcPr>
            <w:tcW w:w="404" w:type="pct"/>
            <w:vAlign w:val="center"/>
          </w:tcPr>
          <w:p w14:paraId="7CB7060D">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危险</w:t>
            </w:r>
          </w:p>
          <w:p w14:paraId="2474A428">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特性</w:t>
            </w:r>
          </w:p>
        </w:tc>
        <w:tc>
          <w:tcPr>
            <w:tcW w:w="794" w:type="pct"/>
            <w:vAlign w:val="center"/>
          </w:tcPr>
          <w:p w14:paraId="216F26D1">
            <w:pPr>
              <w:topLinePunct/>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污染防治措施</w:t>
            </w:r>
          </w:p>
        </w:tc>
      </w:tr>
      <w:tr w14:paraId="6DC9EA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vAlign w:val="center"/>
          </w:tcPr>
          <w:p w14:paraId="4924A47F">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679" w:type="pct"/>
            <w:shd w:val="clear" w:color="auto" w:fill="auto"/>
            <w:vAlign w:val="center"/>
          </w:tcPr>
          <w:p w14:paraId="34F7727F">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废活性炭</w:t>
            </w:r>
          </w:p>
        </w:tc>
        <w:tc>
          <w:tcPr>
            <w:tcW w:w="425" w:type="pct"/>
            <w:shd w:val="clear" w:color="auto" w:fill="auto"/>
            <w:vAlign w:val="center"/>
          </w:tcPr>
          <w:p w14:paraId="0DD849CB">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HW49</w:t>
            </w:r>
          </w:p>
        </w:tc>
        <w:tc>
          <w:tcPr>
            <w:tcW w:w="547" w:type="pct"/>
            <w:shd w:val="clear" w:color="auto" w:fill="auto"/>
            <w:vAlign w:val="center"/>
          </w:tcPr>
          <w:p w14:paraId="060BAF48">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900-039-49</w:t>
            </w:r>
          </w:p>
        </w:tc>
        <w:tc>
          <w:tcPr>
            <w:tcW w:w="512" w:type="pct"/>
            <w:shd w:val="clear" w:color="auto" w:fill="auto"/>
            <w:vAlign w:val="center"/>
          </w:tcPr>
          <w:p w14:paraId="425FC06B">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6.92</w:t>
            </w:r>
          </w:p>
        </w:tc>
        <w:tc>
          <w:tcPr>
            <w:tcW w:w="523" w:type="pct"/>
            <w:shd w:val="clear" w:color="auto" w:fill="auto"/>
            <w:vAlign w:val="center"/>
          </w:tcPr>
          <w:p w14:paraId="6A20B011">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废气治理</w:t>
            </w:r>
          </w:p>
        </w:tc>
        <w:tc>
          <w:tcPr>
            <w:tcW w:w="261" w:type="pct"/>
            <w:shd w:val="clear" w:color="auto" w:fill="auto"/>
            <w:vAlign w:val="center"/>
          </w:tcPr>
          <w:p w14:paraId="1D8EE158">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shd w:val="clear" w:color="auto" w:fill="auto"/>
            <w:vAlign w:val="center"/>
          </w:tcPr>
          <w:p w14:paraId="220F92CB">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废活性炭</w:t>
            </w:r>
          </w:p>
        </w:tc>
        <w:tc>
          <w:tcPr>
            <w:tcW w:w="348" w:type="pct"/>
            <w:shd w:val="clear" w:color="auto" w:fill="auto"/>
            <w:vAlign w:val="center"/>
          </w:tcPr>
          <w:p w14:paraId="5FC29482">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废活性炭</w:t>
            </w:r>
          </w:p>
        </w:tc>
        <w:tc>
          <w:tcPr>
            <w:tcW w:w="404" w:type="pct"/>
            <w:shd w:val="clear" w:color="auto" w:fill="auto"/>
            <w:vAlign w:val="center"/>
          </w:tcPr>
          <w:p w14:paraId="01F39ADA">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w:t>
            </w:r>
          </w:p>
        </w:tc>
        <w:tc>
          <w:tcPr>
            <w:tcW w:w="794" w:type="pct"/>
            <w:vMerge w:val="restart"/>
            <w:vAlign w:val="center"/>
          </w:tcPr>
          <w:p w14:paraId="37949BC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委托有资质单位处置</w:t>
            </w:r>
          </w:p>
        </w:tc>
      </w:tr>
      <w:tr w14:paraId="2CA8CA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vAlign w:val="center"/>
          </w:tcPr>
          <w:p w14:paraId="6BA1969A">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679" w:type="pct"/>
            <w:shd w:val="clear" w:color="auto" w:fill="auto"/>
            <w:vAlign w:val="center"/>
          </w:tcPr>
          <w:p w14:paraId="411BA8B3">
            <w:pPr>
              <w:topLinePunct/>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废润滑油</w:t>
            </w:r>
          </w:p>
        </w:tc>
        <w:tc>
          <w:tcPr>
            <w:tcW w:w="425" w:type="pct"/>
            <w:shd w:val="clear" w:color="auto" w:fill="auto"/>
            <w:vAlign w:val="center"/>
          </w:tcPr>
          <w:p w14:paraId="17B95C4A">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HW08</w:t>
            </w:r>
          </w:p>
        </w:tc>
        <w:tc>
          <w:tcPr>
            <w:tcW w:w="547" w:type="pct"/>
            <w:shd w:val="clear" w:color="auto" w:fill="auto"/>
            <w:vAlign w:val="center"/>
          </w:tcPr>
          <w:p w14:paraId="2E11A0B7">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900-214-08</w:t>
            </w:r>
          </w:p>
        </w:tc>
        <w:tc>
          <w:tcPr>
            <w:tcW w:w="512" w:type="pct"/>
            <w:shd w:val="clear" w:color="auto" w:fill="auto"/>
            <w:vAlign w:val="center"/>
          </w:tcPr>
          <w:p w14:paraId="71483652">
            <w:pPr>
              <w:topLinePunct/>
              <w:spacing w:line="276" w:lineRule="auto"/>
              <w:jc w:val="center"/>
              <w:rPr>
                <w:rFonts w:hint="eastAsia"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w:t>
            </w:r>
          </w:p>
        </w:tc>
        <w:tc>
          <w:tcPr>
            <w:tcW w:w="523" w:type="pct"/>
            <w:shd w:val="clear" w:color="auto" w:fill="auto"/>
            <w:vAlign w:val="center"/>
          </w:tcPr>
          <w:p w14:paraId="4AC2897D">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机械维修过程</w:t>
            </w:r>
          </w:p>
        </w:tc>
        <w:tc>
          <w:tcPr>
            <w:tcW w:w="261" w:type="pct"/>
            <w:shd w:val="clear" w:color="auto" w:fill="auto"/>
            <w:vAlign w:val="center"/>
          </w:tcPr>
          <w:p w14:paraId="3B880EBB">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液态</w:t>
            </w:r>
          </w:p>
        </w:tc>
        <w:tc>
          <w:tcPr>
            <w:tcW w:w="318" w:type="pct"/>
            <w:shd w:val="clear" w:color="auto" w:fill="auto"/>
            <w:vAlign w:val="center"/>
          </w:tcPr>
          <w:p w14:paraId="08E72A60">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矿物油</w:t>
            </w:r>
          </w:p>
        </w:tc>
        <w:tc>
          <w:tcPr>
            <w:tcW w:w="348" w:type="pct"/>
            <w:shd w:val="clear" w:color="auto" w:fill="auto"/>
            <w:vAlign w:val="center"/>
          </w:tcPr>
          <w:p w14:paraId="2895BF97">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矿物油</w:t>
            </w:r>
          </w:p>
        </w:tc>
        <w:tc>
          <w:tcPr>
            <w:tcW w:w="404" w:type="pct"/>
            <w:shd w:val="clear" w:color="auto" w:fill="auto"/>
            <w:vAlign w:val="center"/>
          </w:tcPr>
          <w:p w14:paraId="7081CCE8">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T，I</w:t>
            </w:r>
          </w:p>
        </w:tc>
        <w:tc>
          <w:tcPr>
            <w:tcW w:w="794" w:type="pct"/>
            <w:vMerge w:val="continue"/>
            <w:vAlign w:val="center"/>
          </w:tcPr>
          <w:p w14:paraId="571A16A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0DBB1A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shd w:val="clear" w:color="auto" w:fill="auto"/>
            <w:vAlign w:val="center"/>
          </w:tcPr>
          <w:p w14:paraId="17AEEB51">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679" w:type="pct"/>
            <w:shd w:val="clear" w:color="auto" w:fill="auto"/>
            <w:vAlign w:val="center"/>
          </w:tcPr>
          <w:p w14:paraId="48A2D60E">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含油抹布及手套</w:t>
            </w:r>
          </w:p>
        </w:tc>
        <w:tc>
          <w:tcPr>
            <w:tcW w:w="425" w:type="pct"/>
            <w:shd w:val="clear" w:color="auto" w:fill="auto"/>
            <w:vAlign w:val="center"/>
          </w:tcPr>
          <w:p w14:paraId="21EFEC49">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HW49</w:t>
            </w:r>
          </w:p>
        </w:tc>
        <w:tc>
          <w:tcPr>
            <w:tcW w:w="547" w:type="pct"/>
            <w:shd w:val="clear" w:color="auto" w:fill="auto"/>
            <w:vAlign w:val="center"/>
          </w:tcPr>
          <w:p w14:paraId="4E5B066C">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900-041-49</w:t>
            </w:r>
          </w:p>
        </w:tc>
        <w:tc>
          <w:tcPr>
            <w:tcW w:w="512" w:type="pct"/>
            <w:shd w:val="clear" w:color="auto" w:fill="auto"/>
            <w:vAlign w:val="center"/>
          </w:tcPr>
          <w:p w14:paraId="159BE5B5">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0.1</w:t>
            </w:r>
          </w:p>
        </w:tc>
        <w:tc>
          <w:tcPr>
            <w:tcW w:w="523" w:type="pct"/>
            <w:shd w:val="clear" w:color="auto" w:fill="auto"/>
            <w:vAlign w:val="center"/>
          </w:tcPr>
          <w:p w14:paraId="0BF85F92">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机械维修过程</w:t>
            </w:r>
          </w:p>
        </w:tc>
        <w:tc>
          <w:tcPr>
            <w:tcW w:w="261" w:type="pct"/>
            <w:shd w:val="clear" w:color="auto" w:fill="auto"/>
            <w:vAlign w:val="center"/>
          </w:tcPr>
          <w:p w14:paraId="2D0AD942">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shd w:val="clear" w:color="auto" w:fill="auto"/>
            <w:vAlign w:val="center"/>
          </w:tcPr>
          <w:p w14:paraId="6351D0EB">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矿物油</w:t>
            </w:r>
          </w:p>
        </w:tc>
        <w:tc>
          <w:tcPr>
            <w:tcW w:w="348" w:type="pct"/>
            <w:shd w:val="clear" w:color="auto" w:fill="auto"/>
            <w:vAlign w:val="center"/>
          </w:tcPr>
          <w:p w14:paraId="77AB5870">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矿物油</w:t>
            </w:r>
          </w:p>
        </w:tc>
        <w:tc>
          <w:tcPr>
            <w:tcW w:w="404" w:type="pct"/>
            <w:shd w:val="clear" w:color="auto" w:fill="auto"/>
            <w:vAlign w:val="center"/>
          </w:tcPr>
          <w:p w14:paraId="3C98BA4E">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T/In</w:t>
            </w:r>
          </w:p>
        </w:tc>
        <w:tc>
          <w:tcPr>
            <w:tcW w:w="794" w:type="pct"/>
            <w:vMerge w:val="continue"/>
            <w:vAlign w:val="center"/>
          </w:tcPr>
          <w:p w14:paraId="2530A93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128D8A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shd w:val="clear" w:color="auto" w:fill="auto"/>
            <w:vAlign w:val="center"/>
          </w:tcPr>
          <w:p w14:paraId="6F27D59C">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w:t>
            </w:r>
          </w:p>
        </w:tc>
        <w:tc>
          <w:tcPr>
            <w:tcW w:w="679" w:type="pct"/>
            <w:vAlign w:val="center"/>
          </w:tcPr>
          <w:p w14:paraId="75BA3F29">
            <w:pPr>
              <w:topLinePunct/>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废油桶</w:t>
            </w:r>
          </w:p>
        </w:tc>
        <w:tc>
          <w:tcPr>
            <w:tcW w:w="425" w:type="pct"/>
            <w:shd w:val="clear" w:color="auto" w:fill="auto"/>
            <w:vAlign w:val="center"/>
          </w:tcPr>
          <w:p w14:paraId="505CD4B1">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HW49</w:t>
            </w:r>
          </w:p>
        </w:tc>
        <w:tc>
          <w:tcPr>
            <w:tcW w:w="547" w:type="pct"/>
            <w:shd w:val="clear" w:color="auto" w:fill="auto"/>
            <w:vAlign w:val="center"/>
          </w:tcPr>
          <w:p w14:paraId="35E2C70B">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900-041-49</w:t>
            </w:r>
          </w:p>
        </w:tc>
        <w:tc>
          <w:tcPr>
            <w:tcW w:w="512" w:type="pct"/>
            <w:shd w:val="clear" w:color="auto" w:fill="auto"/>
            <w:vAlign w:val="center"/>
          </w:tcPr>
          <w:p w14:paraId="149BAE53">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2</w:t>
            </w:r>
          </w:p>
        </w:tc>
        <w:tc>
          <w:tcPr>
            <w:tcW w:w="523" w:type="pct"/>
            <w:shd w:val="clear" w:color="auto" w:fill="auto"/>
            <w:vAlign w:val="center"/>
          </w:tcPr>
          <w:p w14:paraId="1CA12442">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机械维修过程</w:t>
            </w:r>
          </w:p>
        </w:tc>
        <w:tc>
          <w:tcPr>
            <w:tcW w:w="261" w:type="pct"/>
            <w:shd w:val="clear" w:color="auto" w:fill="auto"/>
            <w:vAlign w:val="center"/>
          </w:tcPr>
          <w:p w14:paraId="7828351C">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shd w:val="clear" w:color="auto" w:fill="auto"/>
            <w:vAlign w:val="center"/>
          </w:tcPr>
          <w:p w14:paraId="5288A048">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矿物油</w:t>
            </w:r>
          </w:p>
        </w:tc>
        <w:tc>
          <w:tcPr>
            <w:tcW w:w="348" w:type="pct"/>
            <w:shd w:val="clear" w:color="auto" w:fill="auto"/>
            <w:vAlign w:val="center"/>
          </w:tcPr>
          <w:p w14:paraId="2AE2BB0F">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矿物油</w:t>
            </w:r>
          </w:p>
        </w:tc>
        <w:tc>
          <w:tcPr>
            <w:tcW w:w="404" w:type="pct"/>
            <w:shd w:val="clear" w:color="auto" w:fill="auto"/>
            <w:vAlign w:val="center"/>
          </w:tcPr>
          <w:p w14:paraId="514616F6">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T/In</w:t>
            </w:r>
          </w:p>
        </w:tc>
        <w:tc>
          <w:tcPr>
            <w:tcW w:w="794" w:type="pct"/>
            <w:vMerge w:val="continue"/>
            <w:vAlign w:val="center"/>
          </w:tcPr>
          <w:p w14:paraId="65656CE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1F7761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shd w:val="clear" w:color="auto" w:fill="auto"/>
            <w:vAlign w:val="center"/>
          </w:tcPr>
          <w:p w14:paraId="149ED8EC">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w:t>
            </w:r>
          </w:p>
        </w:tc>
        <w:tc>
          <w:tcPr>
            <w:tcW w:w="679" w:type="pct"/>
            <w:vAlign w:val="center"/>
          </w:tcPr>
          <w:p w14:paraId="3A05C03C">
            <w:pPr>
              <w:topLinePunct/>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固体杂质</w:t>
            </w:r>
          </w:p>
        </w:tc>
        <w:tc>
          <w:tcPr>
            <w:tcW w:w="425" w:type="pct"/>
            <w:vAlign w:val="center"/>
          </w:tcPr>
          <w:p w14:paraId="16C59838">
            <w:pPr>
              <w:topLinePunct/>
              <w:spacing w:line="276" w:lineRule="auto"/>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SW59</w:t>
            </w:r>
          </w:p>
        </w:tc>
        <w:tc>
          <w:tcPr>
            <w:tcW w:w="547" w:type="pct"/>
            <w:vAlign w:val="center"/>
          </w:tcPr>
          <w:p w14:paraId="7C3CB560">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900-099-S59</w:t>
            </w:r>
          </w:p>
        </w:tc>
        <w:tc>
          <w:tcPr>
            <w:tcW w:w="512" w:type="pct"/>
            <w:vAlign w:val="center"/>
          </w:tcPr>
          <w:p w14:paraId="2224567D">
            <w:pPr>
              <w:topLinePunct/>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185.505</w:t>
            </w:r>
          </w:p>
        </w:tc>
        <w:tc>
          <w:tcPr>
            <w:tcW w:w="523" w:type="pct"/>
            <w:vAlign w:val="center"/>
          </w:tcPr>
          <w:p w14:paraId="20090B6C">
            <w:pPr>
              <w:topLinePunct/>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分选</w:t>
            </w:r>
          </w:p>
        </w:tc>
        <w:tc>
          <w:tcPr>
            <w:tcW w:w="261" w:type="pct"/>
            <w:vAlign w:val="center"/>
          </w:tcPr>
          <w:p w14:paraId="6A4CA730">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vAlign w:val="center"/>
          </w:tcPr>
          <w:p w14:paraId="5C075930">
            <w:pPr>
              <w:topLinePunct/>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348" w:type="pct"/>
            <w:vAlign w:val="center"/>
          </w:tcPr>
          <w:p w14:paraId="77847F65">
            <w:pPr>
              <w:topLinePunct/>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404" w:type="pct"/>
            <w:vAlign w:val="center"/>
          </w:tcPr>
          <w:p w14:paraId="528DC5DC">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794" w:type="pct"/>
            <w:vMerge w:val="restart"/>
            <w:vAlign w:val="center"/>
          </w:tcPr>
          <w:p w14:paraId="21437746">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外售综合利用</w:t>
            </w:r>
          </w:p>
        </w:tc>
      </w:tr>
      <w:tr w14:paraId="6EF8F4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shd w:val="clear" w:color="auto" w:fill="auto"/>
            <w:vAlign w:val="center"/>
          </w:tcPr>
          <w:p w14:paraId="3EE75B16">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6</w:t>
            </w:r>
          </w:p>
        </w:tc>
        <w:tc>
          <w:tcPr>
            <w:tcW w:w="679" w:type="pct"/>
            <w:shd w:val="clear" w:color="auto" w:fill="auto"/>
            <w:vAlign w:val="center"/>
          </w:tcPr>
          <w:p w14:paraId="35F7EA69">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布袋除尘器收集粉尘</w:t>
            </w:r>
          </w:p>
        </w:tc>
        <w:tc>
          <w:tcPr>
            <w:tcW w:w="425" w:type="pct"/>
            <w:shd w:val="clear" w:color="auto" w:fill="auto"/>
            <w:vAlign w:val="center"/>
          </w:tcPr>
          <w:p w14:paraId="7DE6174E">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SW59</w:t>
            </w:r>
          </w:p>
        </w:tc>
        <w:tc>
          <w:tcPr>
            <w:tcW w:w="547" w:type="pct"/>
            <w:shd w:val="clear" w:color="auto" w:fill="auto"/>
            <w:vAlign w:val="center"/>
          </w:tcPr>
          <w:p w14:paraId="51A312B3">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900-099-S59</w:t>
            </w:r>
          </w:p>
        </w:tc>
        <w:tc>
          <w:tcPr>
            <w:tcW w:w="512" w:type="pct"/>
            <w:vAlign w:val="center"/>
          </w:tcPr>
          <w:p w14:paraId="6AFE80A6">
            <w:pPr>
              <w:topLinePunct/>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12.257</w:t>
            </w:r>
          </w:p>
        </w:tc>
        <w:tc>
          <w:tcPr>
            <w:tcW w:w="523" w:type="pct"/>
            <w:vAlign w:val="center"/>
          </w:tcPr>
          <w:p w14:paraId="1FBD3317">
            <w:pPr>
              <w:topLinePunct/>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废气治理</w:t>
            </w:r>
          </w:p>
        </w:tc>
        <w:tc>
          <w:tcPr>
            <w:tcW w:w="261" w:type="pct"/>
            <w:vAlign w:val="center"/>
          </w:tcPr>
          <w:p w14:paraId="09E735F7">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vAlign w:val="center"/>
          </w:tcPr>
          <w:p w14:paraId="1E66BE5C">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348" w:type="pct"/>
            <w:vAlign w:val="center"/>
          </w:tcPr>
          <w:p w14:paraId="7D01B49F">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404" w:type="pct"/>
            <w:vAlign w:val="center"/>
          </w:tcPr>
          <w:p w14:paraId="1079C212">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794" w:type="pct"/>
            <w:vMerge w:val="continue"/>
            <w:vAlign w:val="center"/>
          </w:tcPr>
          <w:p w14:paraId="5054562E">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25554A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shd w:val="clear" w:color="auto" w:fill="auto"/>
            <w:vAlign w:val="center"/>
          </w:tcPr>
          <w:p w14:paraId="3746BB62">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w:t>
            </w:r>
          </w:p>
        </w:tc>
        <w:tc>
          <w:tcPr>
            <w:tcW w:w="679" w:type="pct"/>
            <w:shd w:val="clear" w:color="auto" w:fill="auto"/>
            <w:vAlign w:val="center"/>
          </w:tcPr>
          <w:p w14:paraId="149AC02C">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废包装材料</w:t>
            </w:r>
          </w:p>
        </w:tc>
        <w:tc>
          <w:tcPr>
            <w:tcW w:w="425" w:type="pct"/>
            <w:shd w:val="clear" w:color="auto" w:fill="auto"/>
            <w:vAlign w:val="center"/>
          </w:tcPr>
          <w:p w14:paraId="3DFB0538">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SW59</w:t>
            </w:r>
          </w:p>
        </w:tc>
        <w:tc>
          <w:tcPr>
            <w:tcW w:w="547" w:type="pct"/>
            <w:shd w:val="clear" w:color="auto" w:fill="auto"/>
            <w:vAlign w:val="center"/>
          </w:tcPr>
          <w:p w14:paraId="12B9E332">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900-099-S59</w:t>
            </w:r>
          </w:p>
        </w:tc>
        <w:tc>
          <w:tcPr>
            <w:tcW w:w="512" w:type="pct"/>
            <w:vAlign w:val="center"/>
          </w:tcPr>
          <w:p w14:paraId="08F19761">
            <w:pPr>
              <w:topLinePunct/>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523" w:type="pct"/>
            <w:vAlign w:val="center"/>
          </w:tcPr>
          <w:p w14:paraId="4C4E2F94">
            <w:pPr>
              <w:topLinePunct/>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拆包</w:t>
            </w:r>
          </w:p>
        </w:tc>
        <w:tc>
          <w:tcPr>
            <w:tcW w:w="261" w:type="pct"/>
            <w:vAlign w:val="center"/>
          </w:tcPr>
          <w:p w14:paraId="5CA8E2F4">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vAlign w:val="center"/>
          </w:tcPr>
          <w:p w14:paraId="0E53ABBE">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348" w:type="pct"/>
            <w:vAlign w:val="center"/>
          </w:tcPr>
          <w:p w14:paraId="0812E984">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404" w:type="pct"/>
            <w:vAlign w:val="center"/>
          </w:tcPr>
          <w:p w14:paraId="7213DC5E">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794" w:type="pct"/>
            <w:vMerge w:val="continue"/>
            <w:vAlign w:val="center"/>
          </w:tcPr>
          <w:p w14:paraId="34F4773C">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598BD6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185" w:type="pct"/>
            <w:shd w:val="clear" w:color="auto" w:fill="auto"/>
            <w:vAlign w:val="center"/>
          </w:tcPr>
          <w:p w14:paraId="4E45D810">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8</w:t>
            </w:r>
          </w:p>
        </w:tc>
        <w:tc>
          <w:tcPr>
            <w:tcW w:w="679" w:type="pct"/>
            <w:shd w:val="clear" w:color="auto" w:fill="auto"/>
            <w:vAlign w:val="center"/>
          </w:tcPr>
          <w:p w14:paraId="777BC9AA">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废沙</w:t>
            </w:r>
          </w:p>
        </w:tc>
        <w:tc>
          <w:tcPr>
            <w:tcW w:w="425" w:type="pct"/>
            <w:vAlign w:val="center"/>
          </w:tcPr>
          <w:p w14:paraId="4D380728">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SW59</w:t>
            </w:r>
          </w:p>
        </w:tc>
        <w:tc>
          <w:tcPr>
            <w:tcW w:w="547" w:type="pct"/>
            <w:vAlign w:val="center"/>
          </w:tcPr>
          <w:p w14:paraId="45EC7940">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900-009-S59</w:t>
            </w:r>
          </w:p>
        </w:tc>
        <w:tc>
          <w:tcPr>
            <w:tcW w:w="512" w:type="pct"/>
            <w:vAlign w:val="center"/>
          </w:tcPr>
          <w:p w14:paraId="32110C76">
            <w:pPr>
              <w:topLinePunct/>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2.5</w:t>
            </w:r>
          </w:p>
        </w:tc>
        <w:tc>
          <w:tcPr>
            <w:tcW w:w="523" w:type="pct"/>
            <w:vAlign w:val="center"/>
          </w:tcPr>
          <w:p w14:paraId="723D67FE">
            <w:pPr>
              <w:topLinePunct/>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过滤净化</w:t>
            </w:r>
          </w:p>
        </w:tc>
        <w:tc>
          <w:tcPr>
            <w:tcW w:w="261" w:type="pct"/>
            <w:vAlign w:val="center"/>
          </w:tcPr>
          <w:p w14:paraId="4346D586">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vAlign w:val="center"/>
          </w:tcPr>
          <w:p w14:paraId="4A2A9475">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348" w:type="pct"/>
            <w:vAlign w:val="center"/>
          </w:tcPr>
          <w:p w14:paraId="0EDC7058">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404" w:type="pct"/>
            <w:vAlign w:val="center"/>
          </w:tcPr>
          <w:p w14:paraId="6B8BF333">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794" w:type="pct"/>
            <w:vMerge w:val="continue"/>
            <w:vAlign w:val="center"/>
          </w:tcPr>
          <w:p w14:paraId="0A1B338D">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07A333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shd w:val="clear" w:color="auto" w:fill="auto"/>
            <w:vAlign w:val="center"/>
          </w:tcPr>
          <w:p w14:paraId="7084DDEE">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9</w:t>
            </w:r>
          </w:p>
        </w:tc>
        <w:tc>
          <w:tcPr>
            <w:tcW w:w="679" w:type="pct"/>
            <w:shd w:val="clear" w:color="auto" w:fill="auto"/>
            <w:vAlign w:val="center"/>
          </w:tcPr>
          <w:p w14:paraId="2DFAEF7B">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污水站污泥</w:t>
            </w:r>
          </w:p>
        </w:tc>
        <w:tc>
          <w:tcPr>
            <w:tcW w:w="425" w:type="pct"/>
            <w:vAlign w:val="center"/>
          </w:tcPr>
          <w:p w14:paraId="5780E333">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SW59</w:t>
            </w:r>
          </w:p>
        </w:tc>
        <w:tc>
          <w:tcPr>
            <w:tcW w:w="547" w:type="pct"/>
            <w:vAlign w:val="center"/>
          </w:tcPr>
          <w:p w14:paraId="21532851">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900-099-S59</w:t>
            </w:r>
          </w:p>
        </w:tc>
        <w:tc>
          <w:tcPr>
            <w:tcW w:w="512" w:type="pct"/>
            <w:vAlign w:val="center"/>
          </w:tcPr>
          <w:p w14:paraId="30E33851">
            <w:pPr>
              <w:topLinePunct/>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20</w:t>
            </w:r>
            <w:r>
              <w:rPr>
                <w:rFonts w:hint="default" w:ascii="Times New Roman" w:hAnsi="Times New Roman" w:cs="Times New Roman"/>
                <w:color w:val="000000" w:themeColor="text1"/>
                <w:sz w:val="21"/>
                <w:szCs w:val="21"/>
                <w:lang w:val="en-US" w:eastAsia="zh-CN"/>
                <w14:textFill>
                  <w14:solidFill>
                    <w14:schemeClr w14:val="tx1"/>
                  </w14:solidFill>
                </w14:textFill>
              </w:rPr>
              <w:t>0</w:t>
            </w:r>
          </w:p>
        </w:tc>
        <w:tc>
          <w:tcPr>
            <w:tcW w:w="523" w:type="pct"/>
            <w:vAlign w:val="center"/>
          </w:tcPr>
          <w:p w14:paraId="195A8525">
            <w:pPr>
              <w:topLinePunct/>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污水处理</w:t>
            </w:r>
          </w:p>
        </w:tc>
        <w:tc>
          <w:tcPr>
            <w:tcW w:w="261" w:type="pct"/>
            <w:vAlign w:val="center"/>
          </w:tcPr>
          <w:p w14:paraId="08D6B909">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vAlign w:val="center"/>
          </w:tcPr>
          <w:p w14:paraId="642A68F0">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348" w:type="pct"/>
            <w:vAlign w:val="center"/>
          </w:tcPr>
          <w:p w14:paraId="4D746830">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404" w:type="pct"/>
            <w:vAlign w:val="center"/>
          </w:tcPr>
          <w:p w14:paraId="40C06ADC">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794" w:type="pct"/>
            <w:vMerge w:val="continue"/>
            <w:vAlign w:val="center"/>
          </w:tcPr>
          <w:p w14:paraId="2475B5F7">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7DB3D55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85" w:type="pct"/>
            <w:vAlign w:val="center"/>
          </w:tcPr>
          <w:p w14:paraId="0CC412E1">
            <w:pPr>
              <w:topLinePunct/>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c>
          <w:tcPr>
            <w:tcW w:w="679" w:type="pct"/>
            <w:vAlign w:val="center"/>
          </w:tcPr>
          <w:p w14:paraId="795F6220">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生活垃圾</w:t>
            </w:r>
          </w:p>
        </w:tc>
        <w:tc>
          <w:tcPr>
            <w:tcW w:w="425" w:type="pct"/>
            <w:vAlign w:val="center"/>
          </w:tcPr>
          <w:p w14:paraId="1BCFC3FB">
            <w:pPr>
              <w:topLinePunct/>
              <w:spacing w:line="276"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SW64</w:t>
            </w:r>
          </w:p>
        </w:tc>
        <w:tc>
          <w:tcPr>
            <w:tcW w:w="547" w:type="pct"/>
            <w:vAlign w:val="center"/>
          </w:tcPr>
          <w:p w14:paraId="43532C39">
            <w:pPr>
              <w:topLinePunct/>
              <w:spacing w:line="276"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900-099-S64</w:t>
            </w:r>
          </w:p>
        </w:tc>
        <w:tc>
          <w:tcPr>
            <w:tcW w:w="512" w:type="pct"/>
            <w:vAlign w:val="center"/>
          </w:tcPr>
          <w:p w14:paraId="42FA7AE6">
            <w:pPr>
              <w:topLinePunct/>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7.5</w:t>
            </w:r>
          </w:p>
        </w:tc>
        <w:tc>
          <w:tcPr>
            <w:tcW w:w="523" w:type="pct"/>
            <w:vAlign w:val="center"/>
          </w:tcPr>
          <w:p w14:paraId="2C50A76E">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办公区</w:t>
            </w:r>
          </w:p>
        </w:tc>
        <w:tc>
          <w:tcPr>
            <w:tcW w:w="261" w:type="pct"/>
            <w:vAlign w:val="center"/>
          </w:tcPr>
          <w:p w14:paraId="0CE307E7">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w:t>
            </w:r>
          </w:p>
        </w:tc>
        <w:tc>
          <w:tcPr>
            <w:tcW w:w="318" w:type="pct"/>
            <w:vAlign w:val="center"/>
          </w:tcPr>
          <w:p w14:paraId="2F3A454D">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生活垃圾</w:t>
            </w:r>
          </w:p>
        </w:tc>
        <w:tc>
          <w:tcPr>
            <w:tcW w:w="348" w:type="pct"/>
            <w:vAlign w:val="center"/>
          </w:tcPr>
          <w:p w14:paraId="5395AE30">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404" w:type="pct"/>
            <w:vAlign w:val="center"/>
          </w:tcPr>
          <w:p w14:paraId="4345EA30">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794" w:type="pct"/>
            <w:vAlign w:val="center"/>
          </w:tcPr>
          <w:p w14:paraId="43C4650F">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环卫部门统一清运</w:t>
            </w:r>
          </w:p>
        </w:tc>
      </w:tr>
    </w:tbl>
    <w:p w14:paraId="6A3C002A">
      <w:pPr>
        <w:spacing w:line="360" w:lineRule="auto"/>
        <w:jc w:val="center"/>
        <w:rPr>
          <w:rFonts w:hint="default" w:ascii="Times New Roman" w:hAnsi="Times New Roman" w:eastAsia="黑体" w:cs="Times New Roman"/>
          <w:color w:val="000000" w:themeColor="text1"/>
          <w:sz w:val="24"/>
          <w14:textFill>
            <w14:solidFill>
              <w14:schemeClr w14:val="tx1"/>
            </w14:solidFill>
          </w14:textFill>
        </w:rPr>
      </w:pPr>
    </w:p>
    <w:p w14:paraId="6D776BB6">
      <w:pPr>
        <w:spacing w:before="156" w:line="360" w:lineRule="auto"/>
        <w:ind w:firstLine="412" w:firstLineChars="200"/>
        <w:rPr>
          <w:rFonts w:hint="default" w:ascii="Times New Roman" w:hAnsi="Times New Roman" w:cs="Times New Roman"/>
          <w:color w:val="000000" w:themeColor="text1"/>
          <w:sz w:val="21"/>
          <w:szCs w:val="21"/>
          <w14:textFill>
            <w14:solidFill>
              <w14:schemeClr w14:val="tx1"/>
            </w14:solidFill>
          </w14:textFill>
        </w:rPr>
        <w:sectPr>
          <w:pgSz w:w="16839" w:h="11907"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08FDE1A1">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2、一般工业固体废物污染防治措施</w:t>
      </w:r>
    </w:p>
    <w:p w14:paraId="046C3586">
      <w:pPr>
        <w:spacing w:line="360" w:lineRule="auto"/>
        <w:ind w:firstLine="472" w:firstLineChars="200"/>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项目产生的固体杂质</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布袋除尘器收集粉尘</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废包装材料</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废沙</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污水站污泥暂存于一般工业固体废物暂存仓库，定期外售综合利用</w:t>
      </w:r>
      <w:r>
        <w:rPr>
          <w:rFonts w:hint="default" w:ascii="Times New Roman" w:hAnsi="Times New Roman" w:cs="Times New Roman"/>
          <w:color w:val="000000" w:themeColor="text1"/>
          <w:sz w:val="24"/>
          <w:szCs w:val="24"/>
          <w:lang w:eastAsia="zh-CN"/>
          <w14:textFill>
            <w14:solidFill>
              <w14:schemeClr w14:val="tx1"/>
            </w14:solidFill>
          </w14:textFill>
        </w:rPr>
        <w:t>。</w:t>
      </w:r>
    </w:p>
    <w:p w14:paraId="7F3ED7B1">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3、危险废物污染防治措施</w:t>
      </w:r>
    </w:p>
    <w:p w14:paraId="58B794C8">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（1）危险废物收集污染防治措施</w:t>
      </w:r>
    </w:p>
    <w:p w14:paraId="4EA641E2">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针对本项目各类危险废物的收集应根据各类危险废物产生的工艺环节特征、排放周期、危险特性、废物管理计划等因素对不同危险废物进行分类收集；各类危险废物在收集的过程中应制定详细的操作规程，内容至少应包括适用范围、操作程序和方法、专用设备和工具、转移和交接、安全保障和应急防护等；危险废物收集和厂内转运作业人员应根据工作需要配备必要的个人防护装备，如手套、防护镜、防护服、防毒面具或口罩等；在危险废物的收集和内部转运过程中，应采取相应的安全防护和污染防治措施，包括防爆、防火、防中毒、防感染、防泄漏、防飞扬、防雨或其它防止污染环境的措施。</w:t>
      </w:r>
    </w:p>
    <w:p w14:paraId="51180DA1">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危险废物厂内收集时应根据危险废物的种类、数量、危险特性、物理形态要求等因素确定包装形式，具体包装应符合如下要求：</w:t>
      </w:r>
    </w:p>
    <w:p w14:paraId="18907156">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①包装材质要与各类危险废物相容，可根据废物特性选择钢、铝、塑料等材质；</w:t>
      </w:r>
    </w:p>
    <w:p w14:paraId="554EA0F5">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②性质类似的废物可收集到同一容器中，性质不相容的危险废物不应混合包装；</w:t>
      </w:r>
    </w:p>
    <w:p w14:paraId="13F18534">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③危险废物包装应能有效隔断危险废物迁移扩散途径，并达到防渗、防漏要求；</w:t>
      </w:r>
    </w:p>
    <w:p w14:paraId="64A5E125">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④包装好的危险废物应设置相应的标签，标签信息应填写完整翔实；</w:t>
      </w:r>
    </w:p>
    <w:p w14:paraId="41A15295">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⑤盛装过危险废物的包装袋或包装容器破损后应按危险废物进行管理和处置。</w:t>
      </w:r>
    </w:p>
    <w:p w14:paraId="4C144C60">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（2）危险废物内部转运污染防治措施分析</w:t>
      </w:r>
    </w:p>
    <w:p w14:paraId="0AC422A2">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①危险废物内部转运应综合考虑厂区的实际情况确定转运路线，尽量避开办公区和生活区；</w:t>
      </w:r>
    </w:p>
    <w:p w14:paraId="43A162AE">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②危险废物内部转运作业应采用专用的工具，危险废物内部转运应参照按照HJ2025-2012填写《危险废物厂内转运记录表》；</w:t>
      </w:r>
    </w:p>
    <w:p w14:paraId="25B0106B">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③危险废物内部转运结束后，应对转运路线进行检查和清理，确保无危险废物遗失在转运路线上，并对转运工具进行清洗。</w:t>
      </w:r>
    </w:p>
    <w:p w14:paraId="7E48029B">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（3）危险废物场外转运污染防治措施分析</w:t>
      </w:r>
    </w:p>
    <w:p w14:paraId="61837E59">
      <w:pPr>
        <w:adjustRightInd w:val="0"/>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①运输路线及沿线敏感点</w:t>
      </w:r>
    </w:p>
    <w:p w14:paraId="35015172">
      <w:pPr>
        <w:adjustRightInd w:val="0"/>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根据设计方案，本项目的危险废物运输工作由接收单位负责。各接收单位结合《道路危险货物运输管理规定》《危险废物收集贮存运输技术规范》(HJ2025-2012)等要求制定了运输路线。</w:t>
      </w:r>
    </w:p>
    <w:p w14:paraId="0586A316">
      <w:pPr>
        <w:adjustRightInd w:val="0"/>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涉及的固体废物采用公路运输，根据接收单位制定的运输路线，总体而言，项目选定的路线均为当地交通运输主要线路，避开了敏感点分部集中的居住混合区、文教区、商贸混合区等敏感区域。同时，接收单位针对每辆固废运输车辆配备北斗导航定位系统，准确观察其运输路线。在运输车辆随意改变运输路线或者运输车辆发生故障的情况下，能够第一时间发现，并启动应急预案。</w:t>
      </w:r>
    </w:p>
    <w:p w14:paraId="3D0C16F5">
      <w:pPr>
        <w:adjustRightInd w:val="0"/>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②影响分析</w:t>
      </w:r>
    </w:p>
    <w:p w14:paraId="27F8A1D3">
      <w:pPr>
        <w:adjustRightInd w:val="0"/>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运输车产生的噪声影响主要是车流量的增加导致道路交通噪声对两侧敏感点影响。本项目危废运输道路，均依托现有高速路网及现有公路网，不新建厂外运输道路，因此，本项目固废运输对区域交通噪声造成的影响甚为有限，可以忽略不计。</w:t>
      </w:r>
    </w:p>
    <w:p w14:paraId="01575210">
      <w:pPr>
        <w:adjustRightInd w:val="0"/>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③污染防治措施</w:t>
      </w:r>
    </w:p>
    <w:p w14:paraId="0BFB994C">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a.采用专用的危险废物运输车辆，车身全密闭。每辆车配套</w:t>
      </w:r>
      <w:r>
        <w:rPr>
          <w:rFonts w:hint="default" w:ascii="Times New Roman" w:hAnsi="Times New Roman" w:cs="Times New Roman"/>
          <w:color w:val="000000" w:themeColor="text1"/>
          <w:sz w:val="24"/>
          <w:szCs w:val="24"/>
          <w14:textFill>
            <w14:solidFill>
              <w14:schemeClr w14:val="tx1"/>
            </w14:solidFill>
          </w14:textFill>
        </w:rPr>
        <w:t>一套灭火设备、配备司机及押运员各1名。运输车辆应按设计拟定路线行驶。</w:t>
      </w:r>
    </w:p>
    <w:p w14:paraId="048E892C">
      <w:pPr>
        <w:spacing w:line="360" w:lineRule="auto"/>
        <w:ind w:firstLine="472" w:firstLineChars="200"/>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b.每辆车配备车载北斗导航定位系统、</w:t>
      </w:r>
      <w:r>
        <w:rPr>
          <w:rFonts w:hint="default" w:ascii="Times New Roman" w:hAnsi="Times New Roman" w:cs="Times New Roman"/>
          <w:bCs/>
          <w:color w:val="000000" w:themeColor="text1"/>
          <w:sz w:val="24"/>
          <w:szCs w:val="24"/>
          <w14:textFill>
            <w14:solidFill>
              <w14:schemeClr w14:val="tx1"/>
            </w14:solidFill>
          </w14:textFill>
        </w:rPr>
        <w:t>在运输车辆随意改变运输路线或者运输车辆发生故障的情况下，能够第一时间发现，并启动应急预案。</w:t>
      </w:r>
    </w:p>
    <w:p w14:paraId="226FADB3">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c.工作人员应熟悉危险废物的危险特性，配备适当的个人防护装备，避免危险废物运输过程中发生意外人员伤亡。</w:t>
      </w:r>
    </w:p>
    <w:p w14:paraId="62F62442">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（4）危险废物暂存仓库污染防治措施</w:t>
      </w:r>
    </w:p>
    <w:p w14:paraId="52B6C29D">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项目危险废物暂存仓库位于</w:t>
      </w:r>
      <w:r>
        <w:rPr>
          <w:rFonts w:hint="eastAsia" w:cs="Times New Roman"/>
          <w:color w:val="000000" w:themeColor="text1"/>
          <w:sz w:val="24"/>
          <w:szCs w:val="24"/>
          <w:lang w:val="en-US" w:eastAsia="zh-CN"/>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#厂房</w:t>
      </w:r>
      <w:r>
        <w:rPr>
          <w:rFonts w:hint="eastAsia" w:cs="Times New Roman"/>
          <w:color w:val="000000" w:themeColor="text1"/>
          <w:sz w:val="24"/>
          <w:szCs w:val="24"/>
          <w:lang w:eastAsia="zh-CN"/>
          <w14:textFill>
            <w14:solidFill>
              <w14:schemeClr w14:val="tx1"/>
            </w14:solidFill>
          </w14:textFill>
        </w:rPr>
        <w:t>西北</w:t>
      </w:r>
      <w:r>
        <w:rPr>
          <w:rFonts w:hint="default" w:ascii="Times New Roman" w:hAnsi="Times New Roman" w:cs="Times New Roman"/>
          <w:color w:val="000000" w:themeColor="text1"/>
          <w:sz w:val="24"/>
          <w:szCs w:val="24"/>
          <w14:textFill>
            <w14:solidFill>
              <w14:schemeClr w14:val="tx1"/>
            </w14:solidFill>
          </w14:textFill>
        </w:rPr>
        <w:t>侧，占地面积为</w:t>
      </w:r>
      <w:r>
        <w:rPr>
          <w:rFonts w:hint="default" w:ascii="Times New Roman" w:hAnsi="Times New Roman" w:cs="Times New Roman"/>
          <w:color w:val="000000" w:themeColor="text1"/>
          <w:sz w:val="24"/>
          <w:szCs w:val="24"/>
          <w:lang w:val="en-US" w:eastAsia="zh-CN"/>
          <w14:textFill>
            <w14:solidFill>
              <w14:schemeClr w14:val="tx1"/>
            </w14:solidFill>
          </w14:textFill>
        </w:rPr>
        <w:t>5</w:t>
      </w:r>
      <w:r>
        <w:rPr>
          <w:rFonts w:hint="default" w:ascii="Times New Roman" w:hAnsi="Times New Roman" w:cs="Times New Roman"/>
          <w:color w:val="000000" w:themeColor="text1"/>
          <w:sz w:val="24"/>
          <w:szCs w:val="24"/>
          <w14:textFill>
            <w14:solidFill>
              <w14:schemeClr w14:val="tx1"/>
            </w14:solidFill>
          </w14:textFill>
        </w:rPr>
        <w:t>0m</w:t>
      </w:r>
      <w:r>
        <w:rPr>
          <w:rFonts w:hint="default" w:ascii="Times New Roman" w:hAnsi="Times New Roman" w:cs="Times New Roman"/>
          <w:color w:val="000000" w:themeColor="text1"/>
          <w:sz w:val="24"/>
          <w:szCs w:val="24"/>
          <w:vertAlign w:val="superscript"/>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，基本情况如下表所示。</w:t>
      </w:r>
    </w:p>
    <w:p w14:paraId="530870EE">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w:t>
      </w:r>
      <w:r>
        <w:rPr>
          <w:rFonts w:hint="eastAsia" w:ascii="Times New Roman" w:hAnsi="Times New Roman" w:eastAsia="黑体" w:cs="Times New Roman"/>
          <w:color w:val="000000" w:themeColor="text1"/>
          <w:sz w:val="24"/>
          <w:lang w:val="en-US" w:eastAsia="zh-CN"/>
          <w14:textFill>
            <w14:solidFill>
              <w14:schemeClr w14:val="tx1"/>
            </w14:solidFill>
          </w14:textFill>
        </w:rPr>
        <w:t>6.1</w:t>
      </w:r>
      <w:r>
        <w:rPr>
          <w:rFonts w:hint="default" w:ascii="Times New Roman" w:hAnsi="Times New Roman" w:eastAsia="黑体" w:cs="Times New Roman"/>
          <w:color w:val="000000" w:themeColor="text1"/>
          <w:sz w:val="24"/>
          <w14:textFill>
            <w14:solidFill>
              <w14:schemeClr w14:val="tx1"/>
            </w14:solidFill>
          </w14:textFill>
        </w:rPr>
        <w:t>-</w:t>
      </w:r>
      <w:r>
        <w:rPr>
          <w:rFonts w:hint="eastAsia" w:ascii="Times New Roman" w:hAnsi="Times New Roman" w:eastAsia="黑体" w:cs="Times New Roman"/>
          <w:color w:val="000000" w:themeColor="text1"/>
          <w:sz w:val="24"/>
          <w:lang w:val="en-US" w:eastAsia="zh-CN"/>
          <w14:textFill>
            <w14:solidFill>
              <w14:schemeClr w14:val="tx1"/>
            </w14:solidFill>
          </w14:textFill>
        </w:rPr>
        <w:t>5</w:t>
      </w:r>
      <w:r>
        <w:rPr>
          <w:rFonts w:hint="default" w:ascii="Times New Roman" w:hAnsi="Times New Roman" w:eastAsia="黑体" w:cs="Times New Roman"/>
          <w:color w:val="000000" w:themeColor="text1"/>
          <w:sz w:val="24"/>
          <w14:textFill>
            <w14:solidFill>
              <w14:schemeClr w14:val="tx1"/>
            </w14:solidFill>
          </w14:textFill>
        </w:rPr>
        <w:t>建设项目危险废物暂存仓库基本</w:t>
      </w:r>
      <w:r>
        <w:rPr>
          <w:rFonts w:hint="default" w:ascii="Times New Roman" w:hAnsi="Times New Roman" w:eastAsia="黑体" w:cs="Times New Roman"/>
          <w:bCs/>
          <w:color w:val="000000" w:themeColor="text1"/>
          <w:sz w:val="24"/>
          <w14:textFill>
            <w14:solidFill>
              <w14:schemeClr w14:val="tx1"/>
            </w14:solidFill>
          </w14:textFill>
        </w:rPr>
        <w:t>情况</w:t>
      </w:r>
      <w:r>
        <w:rPr>
          <w:rFonts w:hint="default" w:ascii="Times New Roman" w:hAnsi="Times New Roman" w:eastAsia="黑体" w:cs="Times New Roman"/>
          <w:color w:val="000000" w:themeColor="text1"/>
          <w:sz w:val="24"/>
          <w14:textFill>
            <w14:solidFill>
              <w14:schemeClr w14:val="tx1"/>
            </w14:solidFill>
          </w14:textFill>
        </w:rPr>
        <w:t>表</w:t>
      </w:r>
    </w:p>
    <w:tbl>
      <w:tblPr>
        <w:tblStyle w:val="88"/>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61"/>
        <w:gridCol w:w="1765"/>
        <w:gridCol w:w="916"/>
        <w:gridCol w:w="1201"/>
        <w:gridCol w:w="423"/>
        <w:gridCol w:w="771"/>
        <w:gridCol w:w="478"/>
        <w:gridCol w:w="689"/>
        <w:gridCol w:w="478"/>
        <w:gridCol w:w="647"/>
      </w:tblGrid>
      <w:tr w14:paraId="2161A8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161" w:type="dxa"/>
            <w:vAlign w:val="center"/>
          </w:tcPr>
          <w:p w14:paraId="1CE91F1D">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贮存场所（设施）名称</w:t>
            </w:r>
          </w:p>
        </w:tc>
        <w:tc>
          <w:tcPr>
            <w:tcW w:w="1765" w:type="dxa"/>
            <w:vAlign w:val="center"/>
          </w:tcPr>
          <w:p w14:paraId="7B2CC803">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危险废物名称</w:t>
            </w:r>
          </w:p>
        </w:tc>
        <w:tc>
          <w:tcPr>
            <w:tcW w:w="916" w:type="dxa"/>
            <w:vAlign w:val="center"/>
          </w:tcPr>
          <w:p w14:paraId="6BE18C3B">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危险废物类别</w:t>
            </w:r>
          </w:p>
        </w:tc>
        <w:tc>
          <w:tcPr>
            <w:tcW w:w="0" w:type="auto"/>
            <w:vAlign w:val="center"/>
          </w:tcPr>
          <w:p w14:paraId="1CF12C01">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危险废物代码</w:t>
            </w:r>
          </w:p>
        </w:tc>
        <w:tc>
          <w:tcPr>
            <w:tcW w:w="0" w:type="auto"/>
            <w:vAlign w:val="center"/>
          </w:tcPr>
          <w:p w14:paraId="209D359D">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位置</w:t>
            </w:r>
          </w:p>
        </w:tc>
        <w:tc>
          <w:tcPr>
            <w:tcW w:w="0" w:type="auto"/>
            <w:vAlign w:val="center"/>
          </w:tcPr>
          <w:p w14:paraId="57A473EE">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占地面积m</w:t>
            </w:r>
            <w:r>
              <w:rPr>
                <w:rFonts w:hint="default" w:ascii="Times New Roman" w:hAnsi="Times New Roman" w:cs="Times New Roman"/>
                <w:b/>
                <w:color w:val="000000" w:themeColor="text1"/>
                <w:sz w:val="21"/>
                <w:szCs w:val="21"/>
                <w:vertAlign w:val="superscript"/>
                <w14:textFill>
                  <w14:solidFill>
                    <w14:schemeClr w14:val="tx1"/>
                  </w14:solidFill>
                </w14:textFill>
              </w:rPr>
              <w:t>2</w:t>
            </w:r>
          </w:p>
        </w:tc>
        <w:tc>
          <w:tcPr>
            <w:tcW w:w="0" w:type="auto"/>
            <w:vAlign w:val="center"/>
          </w:tcPr>
          <w:p w14:paraId="0D525B0F">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贮存方式</w:t>
            </w:r>
          </w:p>
        </w:tc>
        <w:tc>
          <w:tcPr>
            <w:tcW w:w="0" w:type="auto"/>
            <w:vAlign w:val="center"/>
          </w:tcPr>
          <w:p w14:paraId="24D4A62B">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贮存能力t</w:t>
            </w:r>
          </w:p>
        </w:tc>
        <w:tc>
          <w:tcPr>
            <w:tcW w:w="0" w:type="auto"/>
            <w:vAlign w:val="center"/>
          </w:tcPr>
          <w:p w14:paraId="0949585A">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贮存周期</w:t>
            </w:r>
          </w:p>
        </w:tc>
        <w:tc>
          <w:tcPr>
            <w:tcW w:w="0" w:type="auto"/>
            <w:vAlign w:val="center"/>
          </w:tcPr>
          <w:p w14:paraId="5987E4A0">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最大暂存量t</w:t>
            </w:r>
          </w:p>
        </w:tc>
      </w:tr>
      <w:tr w14:paraId="7866CE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161" w:type="dxa"/>
            <w:vMerge w:val="restart"/>
            <w:vAlign w:val="center"/>
          </w:tcPr>
          <w:p w14:paraId="3827C69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危险废物暂存仓库</w:t>
            </w:r>
          </w:p>
        </w:tc>
        <w:tc>
          <w:tcPr>
            <w:tcW w:w="1765" w:type="dxa"/>
            <w:shd w:val="clear" w:color="auto" w:fill="auto"/>
            <w:vAlign w:val="center"/>
          </w:tcPr>
          <w:p w14:paraId="24569616">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废活性炭</w:t>
            </w:r>
          </w:p>
        </w:tc>
        <w:tc>
          <w:tcPr>
            <w:tcW w:w="916" w:type="dxa"/>
            <w:shd w:val="clear" w:color="auto" w:fill="auto"/>
            <w:vAlign w:val="center"/>
          </w:tcPr>
          <w:p w14:paraId="1AE9DC7E">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HW49</w:t>
            </w:r>
          </w:p>
        </w:tc>
        <w:tc>
          <w:tcPr>
            <w:tcW w:w="0" w:type="auto"/>
            <w:shd w:val="clear" w:color="auto" w:fill="auto"/>
            <w:vAlign w:val="center"/>
          </w:tcPr>
          <w:p w14:paraId="4851B6DA">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900-039-49</w:t>
            </w:r>
          </w:p>
        </w:tc>
        <w:tc>
          <w:tcPr>
            <w:tcW w:w="423" w:type="dxa"/>
            <w:vMerge w:val="restart"/>
            <w:vAlign w:val="center"/>
          </w:tcPr>
          <w:p w14:paraId="39E207B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#厂房</w:t>
            </w:r>
            <w:r>
              <w:rPr>
                <w:rFonts w:hint="default" w:ascii="Times New Roman" w:hAnsi="Times New Roman" w:cs="Times New Roman"/>
                <w:color w:val="000000" w:themeColor="text1"/>
                <w:sz w:val="21"/>
                <w:szCs w:val="21"/>
                <w:lang w:eastAsia="zh-CN"/>
                <w14:textFill>
                  <w14:solidFill>
                    <w14:schemeClr w14:val="tx1"/>
                  </w14:solidFill>
                </w14:textFill>
              </w:rPr>
              <w:t>西北</w:t>
            </w:r>
            <w:r>
              <w:rPr>
                <w:rFonts w:hint="default" w:ascii="Times New Roman" w:hAnsi="Times New Roman" w:cs="Times New Roman"/>
                <w:color w:val="000000" w:themeColor="text1"/>
                <w:sz w:val="21"/>
                <w:szCs w:val="21"/>
                <w14:textFill>
                  <w14:solidFill>
                    <w14:schemeClr w14:val="tx1"/>
                  </w14:solidFill>
                </w14:textFill>
              </w:rPr>
              <w:t>侧</w:t>
            </w:r>
          </w:p>
        </w:tc>
        <w:tc>
          <w:tcPr>
            <w:tcW w:w="771" w:type="dxa"/>
            <w:vMerge w:val="restart"/>
            <w:shd w:val="clear" w:color="auto" w:fill="auto"/>
            <w:vAlign w:val="center"/>
          </w:tcPr>
          <w:p w14:paraId="4DCBA7CB">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50</w:t>
            </w:r>
          </w:p>
        </w:tc>
        <w:tc>
          <w:tcPr>
            <w:tcW w:w="0" w:type="auto"/>
            <w:shd w:val="clear" w:color="auto" w:fill="auto"/>
            <w:vAlign w:val="center"/>
          </w:tcPr>
          <w:p w14:paraId="50EC330E">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袋装</w:t>
            </w:r>
          </w:p>
        </w:tc>
        <w:tc>
          <w:tcPr>
            <w:tcW w:w="689" w:type="dxa"/>
            <w:vMerge w:val="restart"/>
            <w:shd w:val="clear" w:color="auto" w:fill="auto"/>
            <w:vAlign w:val="center"/>
          </w:tcPr>
          <w:p w14:paraId="36C01A21">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50</w:t>
            </w:r>
          </w:p>
        </w:tc>
        <w:tc>
          <w:tcPr>
            <w:tcW w:w="0" w:type="auto"/>
            <w:shd w:val="clear" w:color="auto" w:fill="auto"/>
            <w:vAlign w:val="center"/>
          </w:tcPr>
          <w:p w14:paraId="2834F625">
            <w:pPr>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w:t>
            </w:r>
            <w:r>
              <w:rPr>
                <w:rFonts w:hint="default" w:ascii="Times New Roman" w:hAnsi="Times New Roman" w:cs="Times New Roman"/>
                <w:color w:val="000000" w:themeColor="text1"/>
                <w:sz w:val="21"/>
                <w:szCs w:val="21"/>
                <w14:textFill>
                  <w14:solidFill>
                    <w14:schemeClr w14:val="tx1"/>
                  </w14:solidFill>
                </w14:textFill>
              </w:rPr>
              <w:t>个月</w:t>
            </w:r>
          </w:p>
        </w:tc>
        <w:tc>
          <w:tcPr>
            <w:tcW w:w="0" w:type="auto"/>
            <w:shd w:val="clear" w:color="auto" w:fill="auto"/>
            <w:vAlign w:val="center"/>
          </w:tcPr>
          <w:p w14:paraId="7221F5C9">
            <w:pPr>
              <w:pStyle w:val="3181"/>
              <w:adjustRightInd/>
              <w:spacing w:before="0" w:after="0" w:line="276" w:lineRule="auto"/>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6.92</w:t>
            </w:r>
          </w:p>
        </w:tc>
      </w:tr>
      <w:tr w14:paraId="321E79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161" w:type="dxa"/>
            <w:vMerge w:val="continue"/>
            <w:vAlign w:val="center"/>
          </w:tcPr>
          <w:p w14:paraId="1E5C795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65" w:type="dxa"/>
            <w:vAlign w:val="center"/>
          </w:tcPr>
          <w:p w14:paraId="44E441C5">
            <w:pPr>
              <w:topLinePunct/>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含油抹布及手套</w:t>
            </w:r>
          </w:p>
        </w:tc>
        <w:tc>
          <w:tcPr>
            <w:tcW w:w="916" w:type="dxa"/>
            <w:vAlign w:val="center"/>
          </w:tcPr>
          <w:p w14:paraId="7FA7EA98">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HW49</w:t>
            </w:r>
          </w:p>
        </w:tc>
        <w:tc>
          <w:tcPr>
            <w:tcW w:w="0" w:type="auto"/>
            <w:vAlign w:val="center"/>
          </w:tcPr>
          <w:p w14:paraId="3B211E64">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900-047-49</w:t>
            </w:r>
          </w:p>
        </w:tc>
        <w:tc>
          <w:tcPr>
            <w:tcW w:w="423" w:type="dxa"/>
            <w:vMerge w:val="continue"/>
            <w:vAlign w:val="center"/>
          </w:tcPr>
          <w:p w14:paraId="4F6A85B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771" w:type="dxa"/>
            <w:vMerge w:val="continue"/>
            <w:vAlign w:val="center"/>
          </w:tcPr>
          <w:p w14:paraId="6B78E5B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0" w:type="auto"/>
            <w:vAlign w:val="center"/>
          </w:tcPr>
          <w:p w14:paraId="5F13F0E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袋装</w:t>
            </w:r>
          </w:p>
        </w:tc>
        <w:tc>
          <w:tcPr>
            <w:tcW w:w="689" w:type="dxa"/>
            <w:vMerge w:val="continue"/>
            <w:vAlign w:val="center"/>
          </w:tcPr>
          <w:p w14:paraId="06C553F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0" w:type="auto"/>
            <w:vAlign w:val="center"/>
          </w:tcPr>
          <w:p w14:paraId="58B0FCF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1年</w:t>
            </w:r>
          </w:p>
        </w:tc>
        <w:tc>
          <w:tcPr>
            <w:tcW w:w="0" w:type="auto"/>
            <w:vAlign w:val="center"/>
          </w:tcPr>
          <w:p w14:paraId="7538C71D">
            <w:pPr>
              <w:pStyle w:val="3181"/>
              <w:adjustRightInd/>
              <w:spacing w:before="0" w:after="0" w:line="276" w:lineRule="auto"/>
              <w:rPr>
                <w:rFonts w:hint="default" w:ascii="Times New Roman" w:hAnsi="Times New Roman" w:eastAsia="宋体" w:cs="Times New Roman"/>
                <w:color w:val="000000" w:themeColor="text1"/>
                <w:spacing w:val="0"/>
                <w:sz w:val="21"/>
                <w:szCs w:val="21"/>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lang w:val="en-US" w:eastAsia="zh-CN"/>
                <w14:textFill>
                  <w14:solidFill>
                    <w14:schemeClr w14:val="tx1"/>
                  </w14:solidFill>
                </w14:textFill>
              </w:rPr>
              <w:t>0.1</w:t>
            </w:r>
          </w:p>
        </w:tc>
      </w:tr>
      <w:tr w14:paraId="08C315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161" w:type="dxa"/>
            <w:vMerge w:val="continue"/>
            <w:vAlign w:val="center"/>
          </w:tcPr>
          <w:p w14:paraId="5F32C9C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65" w:type="dxa"/>
            <w:vAlign w:val="center"/>
          </w:tcPr>
          <w:p w14:paraId="7D4D9C25">
            <w:pPr>
              <w:topLinePunct/>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w:t>
            </w:r>
            <w:r>
              <w:rPr>
                <w:rFonts w:hint="eastAsia" w:cs="Times New Roman"/>
                <w:color w:val="000000" w:themeColor="text1"/>
                <w:sz w:val="21"/>
                <w:szCs w:val="21"/>
                <w:lang w:val="en-US" w:eastAsia="zh-CN"/>
                <w14:textFill>
                  <w14:solidFill>
                    <w14:schemeClr w14:val="tx1"/>
                  </w14:solidFill>
                </w14:textFill>
              </w:rPr>
              <w:t>润滑油</w:t>
            </w:r>
          </w:p>
        </w:tc>
        <w:tc>
          <w:tcPr>
            <w:tcW w:w="916" w:type="dxa"/>
            <w:vAlign w:val="center"/>
          </w:tcPr>
          <w:p w14:paraId="30A738BF">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HW08</w:t>
            </w:r>
          </w:p>
        </w:tc>
        <w:tc>
          <w:tcPr>
            <w:tcW w:w="0" w:type="auto"/>
            <w:vAlign w:val="center"/>
          </w:tcPr>
          <w:p w14:paraId="4E8A6F08">
            <w:pPr>
              <w:topLinePunct/>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900-214-08</w:t>
            </w:r>
          </w:p>
        </w:tc>
        <w:tc>
          <w:tcPr>
            <w:tcW w:w="423" w:type="dxa"/>
            <w:vMerge w:val="continue"/>
            <w:vAlign w:val="center"/>
          </w:tcPr>
          <w:p w14:paraId="5BD99EE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771" w:type="dxa"/>
            <w:vMerge w:val="continue"/>
            <w:vAlign w:val="center"/>
          </w:tcPr>
          <w:p w14:paraId="303EF1D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0" w:type="auto"/>
            <w:vAlign w:val="center"/>
          </w:tcPr>
          <w:p w14:paraId="7F0779A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桶装</w:t>
            </w:r>
          </w:p>
        </w:tc>
        <w:tc>
          <w:tcPr>
            <w:tcW w:w="689" w:type="dxa"/>
            <w:vMerge w:val="continue"/>
            <w:vAlign w:val="center"/>
          </w:tcPr>
          <w:p w14:paraId="5ADBC4C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0" w:type="auto"/>
            <w:vAlign w:val="center"/>
          </w:tcPr>
          <w:p w14:paraId="0A00AAB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1年</w:t>
            </w:r>
          </w:p>
        </w:tc>
        <w:tc>
          <w:tcPr>
            <w:tcW w:w="0" w:type="auto"/>
            <w:vAlign w:val="center"/>
          </w:tcPr>
          <w:p w14:paraId="30E28738">
            <w:pPr>
              <w:pStyle w:val="3181"/>
              <w:adjustRightInd/>
              <w:spacing w:before="0" w:after="0" w:line="276" w:lineRule="auto"/>
              <w:rPr>
                <w:rFonts w:hint="eastAsia" w:ascii="Times New Roman" w:hAnsi="Times New Roman" w:eastAsia="宋体" w:cs="Times New Roman"/>
                <w:color w:val="000000" w:themeColor="text1"/>
                <w:spacing w:val="0"/>
                <w:sz w:val="21"/>
                <w:szCs w:val="21"/>
                <w:lang w:val="en-US" w:eastAsia="zh-CN"/>
                <w14:textFill>
                  <w14:solidFill>
                    <w14:schemeClr w14:val="tx1"/>
                  </w14:solidFill>
                </w14:textFill>
              </w:rPr>
            </w:pPr>
            <w:r>
              <w:rPr>
                <w:rFonts w:hint="eastAsia" w:cs="Times New Roman"/>
                <w:color w:val="000000" w:themeColor="text1"/>
                <w:spacing w:val="0"/>
                <w:sz w:val="21"/>
                <w:szCs w:val="21"/>
                <w:lang w:val="en-US" w:eastAsia="zh-CN"/>
                <w14:textFill>
                  <w14:solidFill>
                    <w14:schemeClr w14:val="tx1"/>
                  </w14:solidFill>
                </w14:textFill>
              </w:rPr>
              <w:t>2</w:t>
            </w:r>
          </w:p>
        </w:tc>
      </w:tr>
      <w:tr w14:paraId="289792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161" w:type="dxa"/>
            <w:vMerge w:val="continue"/>
            <w:vAlign w:val="center"/>
          </w:tcPr>
          <w:p w14:paraId="218D409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65" w:type="dxa"/>
            <w:vAlign w:val="center"/>
          </w:tcPr>
          <w:p w14:paraId="5A916FE8">
            <w:pPr>
              <w:topLinePunct/>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废油桶</w:t>
            </w:r>
          </w:p>
        </w:tc>
        <w:tc>
          <w:tcPr>
            <w:tcW w:w="916" w:type="dxa"/>
            <w:shd w:val="clear" w:color="auto" w:fill="auto"/>
            <w:vAlign w:val="center"/>
          </w:tcPr>
          <w:p w14:paraId="3E7EFA96">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HW49</w:t>
            </w:r>
          </w:p>
        </w:tc>
        <w:tc>
          <w:tcPr>
            <w:tcW w:w="0" w:type="auto"/>
            <w:shd w:val="clear" w:color="auto" w:fill="auto"/>
            <w:vAlign w:val="center"/>
          </w:tcPr>
          <w:p w14:paraId="139296D0">
            <w:pPr>
              <w:topLinePunct/>
              <w:spacing w:line="276"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900-047-49</w:t>
            </w:r>
          </w:p>
        </w:tc>
        <w:tc>
          <w:tcPr>
            <w:tcW w:w="423" w:type="dxa"/>
            <w:vMerge w:val="continue"/>
            <w:vAlign w:val="center"/>
          </w:tcPr>
          <w:p w14:paraId="499EA17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771" w:type="dxa"/>
            <w:vMerge w:val="continue"/>
            <w:vAlign w:val="center"/>
          </w:tcPr>
          <w:p w14:paraId="2A01BFA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0" w:type="auto"/>
            <w:vAlign w:val="center"/>
          </w:tcPr>
          <w:p w14:paraId="1C7CF62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桶装</w:t>
            </w:r>
          </w:p>
        </w:tc>
        <w:tc>
          <w:tcPr>
            <w:tcW w:w="689" w:type="dxa"/>
            <w:vMerge w:val="continue"/>
            <w:vAlign w:val="center"/>
          </w:tcPr>
          <w:p w14:paraId="30118C9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0" w:type="auto"/>
            <w:vAlign w:val="center"/>
          </w:tcPr>
          <w:p w14:paraId="41C930F0">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1年</w:t>
            </w:r>
          </w:p>
        </w:tc>
        <w:tc>
          <w:tcPr>
            <w:tcW w:w="0" w:type="auto"/>
            <w:vAlign w:val="center"/>
          </w:tcPr>
          <w:p w14:paraId="553026B7">
            <w:pPr>
              <w:pStyle w:val="3181"/>
              <w:adjustRightInd/>
              <w:spacing w:before="0" w:after="0" w:line="276" w:lineRule="auto"/>
              <w:rPr>
                <w:rFonts w:hint="default" w:ascii="Times New Roman" w:hAnsi="Times New Roman" w:eastAsia="宋体" w:cs="Times New Roman"/>
                <w:color w:val="000000" w:themeColor="text1"/>
                <w:spacing w:val="0"/>
                <w:sz w:val="21"/>
                <w:szCs w:val="21"/>
                <w:lang w:val="en-US" w:eastAsia="zh-CN"/>
                <w14:textFill>
                  <w14:solidFill>
                    <w14:schemeClr w14:val="tx1"/>
                  </w14:solidFill>
                </w14:textFill>
              </w:rPr>
            </w:pPr>
            <w:r>
              <w:rPr>
                <w:rFonts w:hint="eastAsia" w:cs="Times New Roman"/>
                <w:color w:val="000000" w:themeColor="text1"/>
                <w:spacing w:val="0"/>
                <w:sz w:val="21"/>
                <w:szCs w:val="21"/>
                <w:lang w:val="en-US" w:eastAsia="zh-CN"/>
                <w14:textFill>
                  <w14:solidFill>
                    <w14:schemeClr w14:val="tx1"/>
                  </w14:solidFill>
                </w14:textFill>
              </w:rPr>
              <w:t>0.2</w:t>
            </w:r>
          </w:p>
        </w:tc>
      </w:tr>
    </w:tbl>
    <w:p w14:paraId="2A68F6B0">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厂区危险废物暂存仓库暂存的危险废物一次最大暂存量为</w:t>
      </w:r>
      <w:r>
        <w:rPr>
          <w:rFonts w:hint="eastAsia" w:cs="Times New Roman"/>
          <w:color w:val="000000" w:themeColor="text1"/>
          <w:sz w:val="24"/>
          <w:lang w:val="en-US" w:eastAsia="zh-CN"/>
          <w14:textFill>
            <w14:solidFill>
              <w14:schemeClr w14:val="tx1"/>
            </w14:solidFill>
          </w14:textFill>
        </w:rPr>
        <w:t>9.22t</w:t>
      </w:r>
      <w:r>
        <w:rPr>
          <w:rFonts w:hint="default" w:ascii="Times New Roman" w:hAnsi="Times New Roman" w:cs="Times New Roman"/>
          <w:color w:val="000000" w:themeColor="text1"/>
          <w:sz w:val="24"/>
          <w14:textFill>
            <w14:solidFill>
              <w14:schemeClr w14:val="tx1"/>
            </w14:solidFill>
          </w14:textFill>
        </w:rPr>
        <w:t>，危险废物暂存仓库暂存能力为</w:t>
      </w:r>
      <w:r>
        <w:rPr>
          <w:rFonts w:hint="default" w:ascii="Times New Roman" w:hAnsi="Times New Roman" w:cs="Times New Roman"/>
          <w:color w:val="000000" w:themeColor="text1"/>
          <w:sz w:val="24"/>
          <w:lang w:val="en-US" w:eastAsia="zh-CN"/>
          <w14:textFill>
            <w14:solidFill>
              <w14:schemeClr w14:val="tx1"/>
            </w14:solidFill>
          </w14:textFill>
        </w:rPr>
        <w:t>50</w:t>
      </w:r>
      <w:r>
        <w:rPr>
          <w:rFonts w:hint="default" w:ascii="Times New Roman" w:hAnsi="Times New Roman" w:cs="Times New Roman"/>
          <w:color w:val="000000" w:themeColor="text1"/>
          <w:sz w:val="24"/>
          <w14:textFill>
            <w14:solidFill>
              <w14:schemeClr w14:val="tx1"/>
            </w14:solidFill>
          </w14:textFill>
        </w:rPr>
        <w:t>t，能够满足要求。</w:t>
      </w:r>
    </w:p>
    <w:p w14:paraId="5F61FC76">
      <w:pPr>
        <w:tabs>
          <w:tab w:val="center" w:pos="4393"/>
          <w:tab w:val="left" w:pos="7215"/>
        </w:tabs>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根据《危险废物贮存污染控制标准》（GB18597-2023）及《建设项目危险废物环境影评价技术指南》要求，项目危废暂存仓库建设应满足下列要求：</w:t>
      </w:r>
    </w:p>
    <w:p w14:paraId="1DBF8606">
      <w:pPr>
        <w:tabs>
          <w:tab w:val="center" w:pos="4393"/>
          <w:tab w:val="left" w:pos="7215"/>
        </w:tabs>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①危废暂存场所设计要求</w:t>
      </w:r>
    </w:p>
    <w:p w14:paraId="67C79363">
      <w:pPr>
        <w:tabs>
          <w:tab w:val="center" w:pos="4393"/>
          <w:tab w:val="left" w:pos="7215"/>
        </w:tabs>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a.贮存设施应根据危险废物的形态、物理化学性质、包装形式和污染物迁移途径，采取必要的防风、防雨、防晒、防治危险废物流失、扬散以及其他环境污染防治措施，不应露天堆放危险废物；</w:t>
      </w:r>
    </w:p>
    <w:p w14:paraId="54973374">
      <w:pPr>
        <w:tabs>
          <w:tab w:val="center" w:pos="4393"/>
          <w:tab w:val="left" w:pos="7215"/>
        </w:tabs>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b.贮存设施应根据危险废物的类别、数量、形态、物理化学性质和污染防治等要求设置必要的贮存分区，避免不相容的危险废物接触、混合；不同贮存分区之间应采取隔离措施。隔离措施可根据危险废物特性采用过道、隔板或隔墙等方式；</w:t>
      </w:r>
    </w:p>
    <w:p w14:paraId="76FC2141">
      <w:pPr>
        <w:tabs>
          <w:tab w:val="center" w:pos="4393"/>
          <w:tab w:val="left" w:pos="7215"/>
        </w:tabs>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c.贮存设施或贮存分区内地面、墙面裙脚、堵截泄漏的围堰、接触危险废物的隔板和墙体等应采用坚固的材料建造，表面无裂缝；</w:t>
      </w:r>
    </w:p>
    <w:p w14:paraId="52E7EA8C">
      <w:pPr>
        <w:tabs>
          <w:tab w:val="center" w:pos="4393"/>
          <w:tab w:val="left" w:pos="7215"/>
        </w:tabs>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d.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cs="Times New Roman"/>
          <w:color w:val="000000" w:themeColor="text1"/>
          <w:sz w:val="24"/>
          <w:vertAlign w:val="superscript"/>
          <w14:textFill>
            <w14:solidFill>
              <w14:schemeClr w14:val="tx1"/>
            </w14:solidFill>
          </w14:textFill>
        </w:rPr>
        <w:t>-7</w:t>
      </w:r>
      <w:r>
        <w:rPr>
          <w:rFonts w:hint="default" w:ascii="Times New Roman" w:hAnsi="Times New Roman" w:cs="Times New Roman"/>
          <w:color w:val="000000" w:themeColor="text1"/>
          <w:sz w:val="24"/>
          <w14:textFill>
            <w14:solidFill>
              <w14:schemeClr w14:val="tx1"/>
            </w14:solidFill>
          </w14:textFill>
        </w:rPr>
        <w:t>cm/s），或至少2mm厚高密度聚乙烯膜等人工防渗材料（渗透系数不大于10</w:t>
      </w:r>
      <w:r>
        <w:rPr>
          <w:rFonts w:hint="default" w:ascii="Times New Roman" w:hAnsi="Times New Roman" w:cs="Times New Roman"/>
          <w:color w:val="000000" w:themeColor="text1"/>
          <w:sz w:val="24"/>
          <w:vertAlign w:val="superscript"/>
          <w14:textFill>
            <w14:solidFill>
              <w14:schemeClr w14:val="tx1"/>
            </w14:solidFill>
          </w14:textFill>
        </w:rPr>
        <w:t>-10</w:t>
      </w:r>
      <w:r>
        <w:rPr>
          <w:rFonts w:hint="default" w:ascii="Times New Roman" w:hAnsi="Times New Roman" w:cs="Times New Roman"/>
          <w:color w:val="000000" w:themeColor="text1"/>
          <w:sz w:val="24"/>
          <w14:textFill>
            <w14:solidFill>
              <w14:schemeClr w14:val="tx1"/>
            </w14:solidFill>
          </w14:textFill>
        </w:rPr>
        <w:t>cm/s），或其他防渗性能等效的材料；</w:t>
      </w:r>
    </w:p>
    <w:p w14:paraId="2BD61E72">
      <w:pPr>
        <w:tabs>
          <w:tab w:val="center" w:pos="4393"/>
          <w:tab w:val="left" w:pos="7215"/>
        </w:tabs>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e.同一贮存设施宜采用相同的防渗、防腐工艺（包括防渗、防腐结构或材料），防渗、防腐材料应覆盖所有可能与废物及其渗滤液、渗漏液等接触的构筑物表面；采用不同防渗、防腐工艺应分别建设贮存分区；</w:t>
      </w:r>
    </w:p>
    <w:p w14:paraId="5357CA83">
      <w:pPr>
        <w:tabs>
          <w:tab w:val="center" w:pos="4393"/>
          <w:tab w:val="left" w:pos="7215"/>
        </w:tabs>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f.贮存设施应采取技术和管理措施防止无关人员进入；</w:t>
      </w:r>
    </w:p>
    <w:p w14:paraId="577421EA">
      <w:pPr>
        <w:tabs>
          <w:tab w:val="center" w:pos="4393"/>
          <w:tab w:val="left" w:pos="7215"/>
        </w:tabs>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g.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w:t>
      </w:r>
    </w:p>
    <w:p w14:paraId="1B868A3D">
      <w:pPr>
        <w:tabs>
          <w:tab w:val="center" w:pos="4393"/>
          <w:tab w:val="left" w:pos="7215"/>
        </w:tabs>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②危废堆存控制要求</w:t>
      </w:r>
    </w:p>
    <w:p w14:paraId="6D78CA48">
      <w:pPr>
        <w:pStyle w:val="2662"/>
        <w:spacing w:beforeLines="0" w:afterLines="0" w:line="360" w:lineRule="auto"/>
        <w:ind w:firstLine="482"/>
        <w:jc w:val="both"/>
        <w:outlineLvl w:val="9"/>
        <w:rPr>
          <w:rFonts w:hint="default" w:ascii="Times New Roman" w:hAnsi="Times New Roman" w:eastAsia="宋体" w:cs="Times New Roman"/>
          <w:b w:val="0"/>
          <w:bCs w:val="0"/>
          <w:color w:val="000000" w:themeColor="text1"/>
          <w:spacing w:val="-2"/>
          <w:sz w:val="24"/>
          <w14:textFill>
            <w14:solidFill>
              <w14:schemeClr w14:val="tx1"/>
            </w14:solidFill>
          </w14:textFill>
        </w:rPr>
      </w:pPr>
      <w:bookmarkStart w:id="238" w:name="_Toc170562271"/>
      <w:bookmarkStart w:id="239" w:name="_Toc141627901"/>
      <w:r>
        <w:rPr>
          <w:rFonts w:hint="default" w:ascii="Times New Roman" w:hAnsi="Times New Roman" w:eastAsia="宋体" w:cs="Times New Roman"/>
          <w:b w:val="0"/>
          <w:bCs w:val="0"/>
          <w:color w:val="000000" w:themeColor="text1"/>
          <w:spacing w:val="-2"/>
          <w:sz w:val="24"/>
          <w14:textFill>
            <w14:solidFill>
              <w14:schemeClr w14:val="tx1"/>
            </w14:solidFill>
          </w14:textFill>
        </w:rPr>
        <w:t>a.按《建设项目危险废物环境影评价技术指南》要求，切实落实危废暂存场所的四防（防风、防雨、防晒、防渗漏）措施，并按重点防渗的要求进行了防渗防腐，并建有导流沟及渗滤液收集池，配套危险废物堆放方式、警示标识、废气收集处理等方面内容。周围应设置围墙或其它防护栅栏。</w:t>
      </w:r>
      <w:bookmarkEnd w:id="238"/>
      <w:bookmarkEnd w:id="239"/>
    </w:p>
    <w:p w14:paraId="2A9C1363">
      <w:pPr>
        <w:pStyle w:val="2662"/>
        <w:spacing w:beforeLines="0" w:afterLines="0" w:line="360" w:lineRule="auto"/>
        <w:ind w:firstLine="482"/>
        <w:jc w:val="both"/>
        <w:outlineLvl w:val="9"/>
        <w:rPr>
          <w:rFonts w:hint="default" w:ascii="Times New Roman" w:hAnsi="Times New Roman" w:eastAsia="宋体" w:cs="Times New Roman"/>
          <w:b w:val="0"/>
          <w:bCs w:val="0"/>
          <w:color w:val="000000" w:themeColor="text1"/>
          <w:spacing w:val="-2"/>
          <w:sz w:val="24"/>
          <w14:textFill>
            <w14:solidFill>
              <w14:schemeClr w14:val="tx1"/>
            </w14:solidFill>
          </w14:textFill>
        </w:rPr>
      </w:pPr>
      <w:bookmarkStart w:id="240" w:name="_Toc141627902"/>
      <w:bookmarkStart w:id="241" w:name="_Toc170562272"/>
      <w:r>
        <w:rPr>
          <w:rFonts w:hint="default" w:ascii="Times New Roman" w:hAnsi="Times New Roman" w:eastAsia="宋体" w:cs="Times New Roman"/>
          <w:b w:val="0"/>
          <w:bCs w:val="0"/>
          <w:color w:val="000000" w:themeColor="text1"/>
          <w:spacing w:val="-2"/>
          <w:sz w:val="24"/>
          <w14:textFill>
            <w14:solidFill>
              <w14:schemeClr w14:val="tx1"/>
            </w14:solidFill>
          </w14:textFill>
        </w:rPr>
        <w:t>危废暂存场所地面基础必须防渗，若采用天然材料防渗结构，其防渗层饱和渗透系数不应大于1.0×10</w:t>
      </w:r>
      <w:r>
        <w:rPr>
          <w:rFonts w:hint="default" w:ascii="Times New Roman" w:hAnsi="Times New Roman" w:eastAsia="宋体" w:cs="Times New Roman"/>
          <w:b w:val="0"/>
          <w:bCs w:val="0"/>
          <w:color w:val="000000" w:themeColor="text1"/>
          <w:spacing w:val="-2"/>
          <w:sz w:val="24"/>
          <w:vertAlign w:val="superscript"/>
          <w14:textFill>
            <w14:solidFill>
              <w14:schemeClr w14:val="tx1"/>
            </w14:solidFill>
          </w14:textFill>
        </w:rPr>
        <w:t>-7</w:t>
      </w:r>
      <w:r>
        <w:rPr>
          <w:rFonts w:hint="default" w:ascii="Times New Roman" w:hAnsi="Times New Roman" w:eastAsia="宋体" w:cs="Times New Roman"/>
          <w:b w:val="0"/>
          <w:bCs w:val="0"/>
          <w:color w:val="000000" w:themeColor="text1"/>
          <w:spacing w:val="-2"/>
          <w:sz w:val="24"/>
          <w14:textFill>
            <w14:solidFill>
              <w14:schemeClr w14:val="tx1"/>
            </w14:solidFill>
          </w14:textFill>
        </w:rPr>
        <w:t>cm/s，厚度不应小于2m；若采用刚性防渗结构，水泥基渗透结晶型抗渗混凝土（厚度不宜小于150mm）+水泥基渗透结晶型防渗图层（厚度不小于0.8mm）结构形式，防渗结构层渗透系数不应大于1.0×10</w:t>
      </w:r>
      <w:r>
        <w:rPr>
          <w:rFonts w:hint="default" w:ascii="Times New Roman" w:hAnsi="Times New Roman" w:eastAsia="宋体" w:cs="Times New Roman"/>
          <w:b w:val="0"/>
          <w:bCs w:val="0"/>
          <w:color w:val="000000" w:themeColor="text1"/>
          <w:spacing w:val="-2"/>
          <w:sz w:val="24"/>
          <w:vertAlign w:val="superscript"/>
          <w14:textFill>
            <w14:solidFill>
              <w14:schemeClr w14:val="tx1"/>
            </w14:solidFill>
          </w14:textFill>
        </w:rPr>
        <w:t>-10</w:t>
      </w:r>
      <w:r>
        <w:rPr>
          <w:rFonts w:hint="default" w:ascii="Times New Roman" w:hAnsi="Times New Roman" w:eastAsia="宋体" w:cs="Times New Roman"/>
          <w:b w:val="0"/>
          <w:bCs w:val="0"/>
          <w:color w:val="000000" w:themeColor="text1"/>
          <w:spacing w:val="-2"/>
          <w:sz w:val="24"/>
          <w14:textFill>
            <w14:solidFill>
              <w14:schemeClr w14:val="tx1"/>
            </w14:solidFill>
          </w14:textFill>
        </w:rPr>
        <w:t>cm/s；若采用符合防渗结构，土工膜（厚度不小于1.5m）+抗渗混凝土（厚度不小于100mm）结构。抗渗混凝土的渗透系数不大于1×10</w:t>
      </w:r>
      <w:r>
        <w:rPr>
          <w:rFonts w:hint="default" w:ascii="Times New Roman" w:hAnsi="Times New Roman" w:eastAsia="宋体" w:cs="Times New Roman"/>
          <w:b w:val="0"/>
          <w:bCs w:val="0"/>
          <w:color w:val="000000" w:themeColor="text1"/>
          <w:spacing w:val="-2"/>
          <w:sz w:val="24"/>
          <w:vertAlign w:val="superscript"/>
          <w14:textFill>
            <w14:solidFill>
              <w14:schemeClr w14:val="tx1"/>
            </w14:solidFill>
          </w14:textFill>
        </w:rPr>
        <w:t>-6</w:t>
      </w:r>
      <w:r>
        <w:rPr>
          <w:rFonts w:hint="default" w:ascii="Times New Roman" w:hAnsi="Times New Roman" w:eastAsia="宋体" w:cs="Times New Roman"/>
          <w:b w:val="0"/>
          <w:bCs w:val="0"/>
          <w:color w:val="000000" w:themeColor="text1"/>
          <w:spacing w:val="-2"/>
          <w:sz w:val="24"/>
          <w14:textFill>
            <w14:solidFill>
              <w14:schemeClr w14:val="tx1"/>
            </w14:solidFill>
          </w14:textFill>
        </w:rPr>
        <w:t>cm/s；危废暂存场所必须设置落实防风、防雨、防晒、防治危险废物流失、扬散要求，配套渗出液收集池和疏导系统</w:t>
      </w:r>
      <w:bookmarkEnd w:id="240"/>
      <w:r>
        <w:rPr>
          <w:rFonts w:hint="default" w:ascii="Times New Roman" w:hAnsi="Times New Roman" w:eastAsia="宋体" w:cs="Times New Roman"/>
          <w:b w:val="0"/>
          <w:bCs w:val="0"/>
          <w:color w:val="000000" w:themeColor="text1"/>
          <w:spacing w:val="-2"/>
          <w:sz w:val="24"/>
          <w14:textFill>
            <w14:solidFill>
              <w14:schemeClr w14:val="tx1"/>
            </w14:solidFill>
          </w14:textFill>
        </w:rPr>
        <w:t>。</w:t>
      </w:r>
      <w:bookmarkEnd w:id="241"/>
    </w:p>
    <w:p w14:paraId="50FCBB33">
      <w:pPr>
        <w:pStyle w:val="2662"/>
        <w:spacing w:beforeLines="0" w:afterLines="0" w:line="360" w:lineRule="auto"/>
        <w:ind w:firstLine="482"/>
        <w:jc w:val="both"/>
        <w:outlineLvl w:val="9"/>
        <w:rPr>
          <w:rFonts w:hint="default" w:ascii="Times New Roman" w:hAnsi="Times New Roman" w:eastAsia="宋体" w:cs="Times New Roman"/>
          <w:b w:val="0"/>
          <w:bCs w:val="0"/>
          <w:color w:val="000000" w:themeColor="text1"/>
          <w:spacing w:val="-2"/>
          <w:sz w:val="24"/>
          <w14:textFill>
            <w14:solidFill>
              <w14:schemeClr w14:val="tx1"/>
            </w14:solidFill>
          </w14:textFill>
        </w:rPr>
      </w:pPr>
      <w:bookmarkStart w:id="242" w:name="_Toc141627903"/>
      <w:bookmarkStart w:id="243" w:name="_Toc170562273"/>
      <w:r>
        <w:rPr>
          <w:rFonts w:hint="default" w:ascii="Times New Roman" w:hAnsi="Times New Roman" w:eastAsia="宋体" w:cs="Times New Roman"/>
          <w:b w:val="0"/>
          <w:bCs w:val="0"/>
          <w:color w:val="000000" w:themeColor="text1"/>
          <w:spacing w:val="-2"/>
          <w:sz w:val="24"/>
          <w14:textFill>
            <w14:solidFill>
              <w14:schemeClr w14:val="tx1"/>
            </w14:solidFill>
          </w14:textFill>
        </w:rPr>
        <w:t>b.堆放危险废物的高度应根据地面承载能力确定</w:t>
      </w:r>
      <w:bookmarkEnd w:id="242"/>
      <w:r>
        <w:rPr>
          <w:rFonts w:hint="default" w:ascii="Times New Roman" w:hAnsi="Times New Roman" w:eastAsia="宋体" w:cs="Times New Roman"/>
          <w:b w:val="0"/>
          <w:bCs w:val="0"/>
          <w:color w:val="000000" w:themeColor="text1"/>
          <w:spacing w:val="-2"/>
          <w:sz w:val="24"/>
          <w14:textFill>
            <w14:solidFill>
              <w14:schemeClr w14:val="tx1"/>
            </w14:solidFill>
          </w14:textFill>
        </w:rPr>
        <w:t>。</w:t>
      </w:r>
      <w:bookmarkEnd w:id="243"/>
    </w:p>
    <w:p w14:paraId="120CF3E5">
      <w:pPr>
        <w:pStyle w:val="2662"/>
        <w:spacing w:beforeLines="0" w:afterLines="0" w:line="360" w:lineRule="auto"/>
        <w:ind w:firstLine="482"/>
        <w:jc w:val="both"/>
        <w:outlineLvl w:val="9"/>
        <w:rPr>
          <w:rFonts w:hint="default" w:ascii="Times New Roman" w:hAnsi="Times New Roman" w:eastAsia="宋体" w:cs="Times New Roman"/>
          <w:b w:val="0"/>
          <w:bCs w:val="0"/>
          <w:color w:val="000000" w:themeColor="text1"/>
          <w:spacing w:val="-2"/>
          <w:sz w:val="24"/>
          <w14:textFill>
            <w14:solidFill>
              <w14:schemeClr w14:val="tx1"/>
            </w14:solidFill>
          </w14:textFill>
        </w:rPr>
      </w:pPr>
      <w:bookmarkStart w:id="244" w:name="_Toc141627904"/>
      <w:bookmarkStart w:id="245" w:name="_Toc170562274"/>
      <w:r>
        <w:rPr>
          <w:rFonts w:hint="default" w:ascii="Times New Roman" w:hAnsi="Times New Roman" w:eastAsia="宋体" w:cs="Times New Roman"/>
          <w:b w:val="0"/>
          <w:bCs w:val="0"/>
          <w:color w:val="000000" w:themeColor="text1"/>
          <w:spacing w:val="-2"/>
          <w:sz w:val="24"/>
          <w14:textFill>
            <w14:solidFill>
              <w14:schemeClr w14:val="tx1"/>
            </w14:solidFill>
          </w14:textFill>
        </w:rPr>
        <w:t>c.衬里放在一个基础或底座上</w:t>
      </w:r>
      <w:bookmarkEnd w:id="244"/>
      <w:r>
        <w:rPr>
          <w:rFonts w:hint="default" w:ascii="Times New Roman" w:hAnsi="Times New Roman" w:eastAsia="宋体" w:cs="Times New Roman"/>
          <w:b w:val="0"/>
          <w:bCs w:val="0"/>
          <w:color w:val="000000" w:themeColor="text1"/>
          <w:spacing w:val="-2"/>
          <w:sz w:val="24"/>
          <w14:textFill>
            <w14:solidFill>
              <w14:schemeClr w14:val="tx1"/>
            </w14:solidFill>
          </w14:textFill>
        </w:rPr>
        <w:t>。</w:t>
      </w:r>
      <w:bookmarkEnd w:id="245"/>
    </w:p>
    <w:p w14:paraId="0B7B472C">
      <w:pPr>
        <w:pStyle w:val="2662"/>
        <w:spacing w:beforeLines="0" w:afterLines="0" w:line="360" w:lineRule="auto"/>
        <w:ind w:firstLine="482"/>
        <w:jc w:val="both"/>
        <w:outlineLvl w:val="9"/>
        <w:rPr>
          <w:rFonts w:hint="default" w:ascii="Times New Roman" w:hAnsi="Times New Roman" w:eastAsia="宋体" w:cs="Times New Roman"/>
          <w:b w:val="0"/>
          <w:bCs w:val="0"/>
          <w:color w:val="000000" w:themeColor="text1"/>
          <w:spacing w:val="-2"/>
          <w:sz w:val="24"/>
          <w14:textFill>
            <w14:solidFill>
              <w14:schemeClr w14:val="tx1"/>
            </w14:solidFill>
          </w14:textFill>
        </w:rPr>
      </w:pPr>
      <w:bookmarkStart w:id="246" w:name="_Toc141627905"/>
      <w:bookmarkStart w:id="247" w:name="_Toc170562275"/>
      <w:r>
        <w:rPr>
          <w:rFonts w:hint="default" w:ascii="Times New Roman" w:hAnsi="Times New Roman" w:eastAsia="宋体" w:cs="Times New Roman"/>
          <w:b w:val="0"/>
          <w:bCs w:val="0"/>
          <w:color w:val="000000" w:themeColor="text1"/>
          <w:spacing w:val="-2"/>
          <w:sz w:val="24"/>
          <w14:textFill>
            <w14:solidFill>
              <w14:schemeClr w14:val="tx1"/>
            </w14:solidFill>
          </w14:textFill>
        </w:rPr>
        <w:t>d.衬里要能够覆盖危险废物或其溶出物可能涉及到的范围</w:t>
      </w:r>
      <w:bookmarkEnd w:id="246"/>
      <w:r>
        <w:rPr>
          <w:rFonts w:hint="default" w:ascii="Times New Roman" w:hAnsi="Times New Roman" w:eastAsia="宋体" w:cs="Times New Roman"/>
          <w:b w:val="0"/>
          <w:bCs w:val="0"/>
          <w:color w:val="000000" w:themeColor="text1"/>
          <w:spacing w:val="-2"/>
          <w:sz w:val="24"/>
          <w14:textFill>
            <w14:solidFill>
              <w14:schemeClr w14:val="tx1"/>
            </w14:solidFill>
          </w14:textFill>
        </w:rPr>
        <w:t>。</w:t>
      </w:r>
      <w:bookmarkEnd w:id="247"/>
    </w:p>
    <w:p w14:paraId="6D92D9C4">
      <w:pPr>
        <w:pStyle w:val="2662"/>
        <w:spacing w:beforeLines="0" w:afterLines="0" w:line="360" w:lineRule="auto"/>
        <w:ind w:firstLine="482"/>
        <w:jc w:val="both"/>
        <w:outlineLvl w:val="9"/>
        <w:rPr>
          <w:rFonts w:hint="default" w:ascii="Times New Roman" w:hAnsi="Times New Roman" w:eastAsia="宋体" w:cs="Times New Roman"/>
          <w:b w:val="0"/>
          <w:bCs w:val="0"/>
          <w:color w:val="000000" w:themeColor="text1"/>
          <w:spacing w:val="-2"/>
          <w:sz w:val="24"/>
          <w14:textFill>
            <w14:solidFill>
              <w14:schemeClr w14:val="tx1"/>
            </w14:solidFill>
          </w14:textFill>
        </w:rPr>
      </w:pPr>
      <w:bookmarkStart w:id="248" w:name="_Toc141627906"/>
      <w:bookmarkStart w:id="249" w:name="_Toc170562276"/>
      <w:r>
        <w:rPr>
          <w:rFonts w:hint="default" w:ascii="Times New Roman" w:hAnsi="Times New Roman" w:eastAsia="宋体" w:cs="Times New Roman"/>
          <w:b w:val="0"/>
          <w:bCs w:val="0"/>
          <w:color w:val="000000" w:themeColor="text1"/>
          <w:spacing w:val="-2"/>
          <w:sz w:val="24"/>
          <w14:textFill>
            <w14:solidFill>
              <w14:schemeClr w14:val="tx1"/>
            </w14:solidFill>
          </w14:textFill>
        </w:rPr>
        <w:t>e.衬里材料与堆放危险废物相容；在衬里上设计、建造浸出液收集清除系统。</w:t>
      </w:r>
      <w:bookmarkEnd w:id="248"/>
      <w:bookmarkEnd w:id="249"/>
    </w:p>
    <w:p w14:paraId="7700775A">
      <w:pPr>
        <w:pStyle w:val="2662"/>
        <w:spacing w:beforeLines="0" w:afterLines="0" w:line="360" w:lineRule="auto"/>
        <w:ind w:firstLine="482"/>
        <w:jc w:val="both"/>
        <w:outlineLvl w:val="9"/>
        <w:rPr>
          <w:rFonts w:hint="default" w:ascii="Times New Roman" w:hAnsi="Times New Roman" w:eastAsia="宋体" w:cs="Times New Roman"/>
          <w:b w:val="0"/>
          <w:bCs w:val="0"/>
          <w:color w:val="000000" w:themeColor="text1"/>
          <w:spacing w:val="-2"/>
          <w:sz w:val="24"/>
          <w14:textFill>
            <w14:solidFill>
              <w14:schemeClr w14:val="tx1"/>
            </w14:solidFill>
          </w14:textFill>
        </w:rPr>
      </w:pPr>
      <w:bookmarkStart w:id="250" w:name="_Toc170562277"/>
      <w:bookmarkStart w:id="251" w:name="_Toc141627907"/>
      <w:r>
        <w:rPr>
          <w:rFonts w:hint="default" w:ascii="Times New Roman" w:hAnsi="Times New Roman" w:eastAsia="宋体" w:cs="Times New Roman"/>
          <w:b w:val="0"/>
          <w:bCs w:val="0"/>
          <w:color w:val="000000" w:themeColor="text1"/>
          <w:spacing w:val="-2"/>
          <w:sz w:val="24"/>
          <w14:textFill>
            <w14:solidFill>
              <w14:schemeClr w14:val="tx1"/>
            </w14:solidFill>
          </w14:textFill>
        </w:rPr>
        <w:t>f.不相容的危险废物不能堆放在一起。</w:t>
      </w:r>
      <w:bookmarkEnd w:id="250"/>
      <w:bookmarkEnd w:id="251"/>
    </w:p>
    <w:p w14:paraId="71480E60">
      <w:pPr>
        <w:pStyle w:val="2662"/>
        <w:spacing w:beforeLines="0" w:afterLines="0" w:line="360" w:lineRule="auto"/>
        <w:ind w:firstLine="482"/>
        <w:jc w:val="both"/>
        <w:outlineLvl w:val="9"/>
        <w:rPr>
          <w:rFonts w:hint="default" w:ascii="Times New Roman" w:hAnsi="Times New Roman" w:eastAsia="宋体" w:cs="Times New Roman"/>
          <w:b w:val="0"/>
          <w:bCs w:val="0"/>
          <w:color w:val="000000" w:themeColor="text1"/>
          <w:spacing w:val="-2"/>
          <w:sz w:val="24"/>
          <w14:textFill>
            <w14:solidFill>
              <w14:schemeClr w14:val="tx1"/>
            </w14:solidFill>
          </w14:textFill>
        </w:rPr>
      </w:pPr>
      <w:bookmarkStart w:id="252" w:name="_Toc141627908"/>
      <w:bookmarkStart w:id="253" w:name="_Toc170562278"/>
      <w:r>
        <w:rPr>
          <w:rFonts w:hint="default" w:ascii="Times New Roman" w:hAnsi="Times New Roman" w:eastAsia="宋体" w:cs="Times New Roman"/>
          <w:b w:val="0"/>
          <w:bCs w:val="0"/>
          <w:color w:val="000000" w:themeColor="text1"/>
          <w:spacing w:val="-2"/>
          <w:sz w:val="24"/>
          <w14:textFill>
            <w14:solidFill>
              <w14:schemeClr w14:val="tx1"/>
            </w14:solidFill>
          </w14:textFill>
        </w:rPr>
        <w:t>g.总贮存量不超过300kg（L）的危险废物要放入符合标准的容器内，加上标签，容器放入坚固的柜或箱中，柜或箱应设多个直径不少于30毫米的排气孔。</w:t>
      </w:r>
      <w:bookmarkEnd w:id="252"/>
      <w:bookmarkEnd w:id="253"/>
    </w:p>
    <w:p w14:paraId="0B844B33">
      <w:pPr>
        <w:pStyle w:val="2662"/>
        <w:spacing w:beforeLines="0" w:afterLines="0" w:line="360" w:lineRule="auto"/>
        <w:ind w:firstLine="482"/>
        <w:jc w:val="both"/>
        <w:outlineLvl w:val="9"/>
        <w:rPr>
          <w:rFonts w:hint="default" w:ascii="Times New Roman" w:hAnsi="Times New Roman" w:eastAsia="宋体" w:cs="Times New Roman"/>
          <w:b w:val="0"/>
          <w:bCs w:val="0"/>
          <w:color w:val="000000" w:themeColor="text1"/>
          <w:spacing w:val="-2"/>
          <w:sz w:val="24"/>
          <w14:textFill>
            <w14:solidFill>
              <w14:schemeClr w14:val="tx1"/>
            </w14:solidFill>
          </w14:textFill>
        </w:rPr>
      </w:pPr>
      <w:bookmarkStart w:id="254" w:name="_Toc170562279"/>
      <w:bookmarkStart w:id="255" w:name="_Toc141627909"/>
      <w:r>
        <w:rPr>
          <w:rFonts w:hint="default" w:ascii="Times New Roman" w:hAnsi="Times New Roman" w:eastAsia="宋体" w:cs="Times New Roman"/>
          <w:b w:val="0"/>
          <w:bCs w:val="0"/>
          <w:color w:val="000000" w:themeColor="text1"/>
          <w:spacing w:val="-2"/>
          <w:sz w:val="24"/>
          <w14:textFill>
            <w14:solidFill>
              <w14:schemeClr w14:val="tx1"/>
            </w14:solidFill>
          </w14:textFill>
        </w:rPr>
        <w:t>不相容危险废物要分别存放或存放在不渗透间隔分开的区域内，每个部分都应有防漏裙脚或储漏盘，防漏裙脚或储漏盘的材料要与危险废物相容，并应设置防雨、防火、防雷、防扬尘装置；贮存易燃危险废物(废解析液、废机油等)应配置有机气体报警、火灾报警装置和导出静电的接地装置。</w:t>
      </w:r>
      <w:bookmarkEnd w:id="254"/>
      <w:bookmarkEnd w:id="255"/>
    </w:p>
    <w:p w14:paraId="77206B9E">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（5）危险废物处置污染防治措施</w:t>
      </w:r>
    </w:p>
    <w:p w14:paraId="7178925F">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次评价要求建设单位在选择危险废物处置单位时应选择有处理本项目产生的危险废物经营许可证以及未发生危废处置事故单位，同时建议建设单位选择与本项目较近的处置单位，减少运输过程中发生危废流失的可行性。</w:t>
      </w:r>
    </w:p>
    <w:p w14:paraId="242B9204">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综上所述，项目固体废物根据特性、组成采取相应的处理或处置方案，处理率可以达到100%。</w:t>
      </w:r>
    </w:p>
    <w:p w14:paraId="18BAAB88">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（6）危险废物贮存管理要求</w:t>
      </w:r>
    </w:p>
    <w:p w14:paraId="6E94CB2F">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①危险废物存入贮存设施前应对危险废物类别和特性与危险废物标签等危险废物识别标志的一致性进行核验，不一致的或类别、特性不明的不应存入。</w:t>
      </w:r>
    </w:p>
    <w:p w14:paraId="2F3276DC">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②应定期检查危险废物的贮存状况，及时清理贮存设施地面，更换破损泄漏的危险废物贮存容器和包装物，保证堆存危险废物的防雨、防风、防扬尘等设施功能完好。</w:t>
      </w:r>
    </w:p>
    <w:p w14:paraId="0732466F">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③贮存设施运行期间，应按国家有关标准和规定建立危险废物管理台账并保存。</w:t>
      </w:r>
    </w:p>
    <w:p w14:paraId="47FE96FF">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④建设单位应建立贮存设施环境管理制度、管理人员岗位职责制度、设施运行操作制度、人员岗位培训制度等。</w:t>
      </w:r>
    </w:p>
    <w:p w14:paraId="355080FB">
      <w:pPr>
        <w:pStyle w:val="3159"/>
        <w:rPr>
          <w:rFonts w:hint="default" w:ascii="Times New Roman" w:hAnsi="Times New Roman" w:eastAsia="黑体" w:cs="Times New Roman"/>
          <w:b w:val="0"/>
          <w:color w:val="000000" w:themeColor="text1"/>
          <w14:textFill>
            <w14:solidFill>
              <w14:schemeClr w14:val="tx1"/>
            </w14:solidFill>
          </w14:textFill>
        </w:rPr>
      </w:pPr>
      <w:bookmarkStart w:id="256" w:name="_Toc133214610"/>
      <w:bookmarkStart w:id="257" w:name="_Toc173837766"/>
      <w:bookmarkStart w:id="258" w:name="_Toc133333767"/>
      <w:bookmarkStart w:id="259" w:name="_Toc141627910"/>
      <w:bookmarkStart w:id="260" w:name="_Toc170562280"/>
      <w:r>
        <w:rPr>
          <w:rFonts w:hint="eastAsia" w:ascii="Times New Roman" w:hAnsi="Times New Roman" w:eastAsia="黑体" w:cs="Times New Roman"/>
          <w:b w:val="0"/>
          <w:color w:val="000000" w:themeColor="text1"/>
          <w:lang w:val="en-US" w:eastAsia="zh-CN"/>
          <w14:textFill>
            <w14:solidFill>
              <w14:schemeClr w14:val="tx1"/>
            </w14:solidFill>
          </w14:textFill>
        </w:rPr>
        <w:t>6.1</w:t>
      </w:r>
      <w:r>
        <w:rPr>
          <w:rFonts w:hint="default" w:ascii="Times New Roman" w:hAnsi="Times New Roman" w:eastAsia="黑体" w:cs="Times New Roman"/>
          <w:b w:val="0"/>
          <w:color w:val="000000" w:themeColor="text1"/>
          <w14:textFill>
            <w14:solidFill>
              <w14:schemeClr w14:val="tx1"/>
            </w14:solidFill>
          </w14:textFill>
        </w:rPr>
        <w:t>.5地下水污染防治措施与建议</w:t>
      </w:r>
      <w:bookmarkEnd w:id="256"/>
      <w:bookmarkEnd w:id="257"/>
      <w:bookmarkEnd w:id="258"/>
      <w:bookmarkEnd w:id="259"/>
      <w:bookmarkEnd w:id="260"/>
    </w:p>
    <w:p w14:paraId="7AB11776">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项目地下水污染防治措施应按照“源头控制、分区防治、污染监控、应急响应”的原则进行。</w:t>
      </w:r>
    </w:p>
    <w:p w14:paraId="2E19FF54">
      <w:pPr>
        <w:spacing w:line="360" w:lineRule="auto"/>
        <w:ind w:firstLine="482" w:firstLineChars="200"/>
        <w:rPr>
          <w:rFonts w:hint="default" w:ascii="Times New Roman" w:hAnsi="Times New Roman" w:cs="Times New Roman"/>
          <w:b/>
          <w:color w:val="000000" w:themeColor="text1"/>
          <w:spacing w:val="0"/>
          <w:sz w:val="24"/>
          <w14:textFill>
            <w14:solidFill>
              <w14:schemeClr w14:val="tx1"/>
            </w14:solidFill>
          </w14:textFill>
        </w:rPr>
      </w:pPr>
      <w:bookmarkStart w:id="261" w:name="_Toc133333768"/>
      <w:bookmarkStart w:id="262" w:name="_Toc133214611"/>
      <w:r>
        <w:rPr>
          <w:rFonts w:hint="default" w:ascii="Times New Roman" w:hAnsi="Times New Roman" w:cs="Times New Roman"/>
          <w:b/>
          <w:color w:val="000000" w:themeColor="text1"/>
          <w:spacing w:val="0"/>
          <w:sz w:val="24"/>
          <w14:textFill>
            <w14:solidFill>
              <w14:schemeClr w14:val="tx1"/>
            </w14:solidFill>
          </w14:textFill>
        </w:rPr>
        <w:t>1、源头控制措施</w:t>
      </w:r>
      <w:bookmarkEnd w:id="261"/>
      <w:bookmarkEnd w:id="262"/>
    </w:p>
    <w:p w14:paraId="4657D58E">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（1）实施清洁生产和循环经济，减少废水、废气、固废等污染物的排放量；</w:t>
      </w:r>
    </w:p>
    <w:p w14:paraId="16885CE7">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（2）严格按照国家相关规范要求，工艺装置、管道、设备、污水和固废储存及处理构筑物均采取对应的防渗或防腐措施，防止和降低污染物的跑、冒、滴、漏，将污染物泄露的环境风险事故降低到最低程度；</w:t>
      </w:r>
    </w:p>
    <w:p w14:paraId="48AB961C">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（3）本项目危废堆放避免危险废物与地面的直接接触，危险废物均使用符合规范的容器收集，源头避免了危废贮存渗滤液的产生；</w:t>
      </w:r>
    </w:p>
    <w:p w14:paraId="53AC8858">
      <w:pPr>
        <w:spacing w:line="360" w:lineRule="auto"/>
        <w:ind w:firstLine="472" w:firstLineChars="200"/>
        <w:rPr>
          <w:rFonts w:hint="default" w:ascii="Times New Roman" w:hAnsi="Times New Roman" w:cs="Times New Roman"/>
          <w:color w:val="000000" w:themeColor="text1"/>
          <w:sz w:val="24"/>
          <w:lang w:val="en-US" w:eastAsia="zh-CN"/>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（4）收集的危险废物及时分类处理，减少废物堆存的时间；危废贮存仓库负责人定期检查危险废物贮存容器，进一步降低危险废物滴漏等事故产生的可能性。</w:t>
      </w:r>
      <w:bookmarkStart w:id="263" w:name="_Toc133333769"/>
      <w:bookmarkStart w:id="264" w:name="_Toc133214612"/>
      <w:r>
        <w:rPr>
          <w:rFonts w:hint="default" w:ascii="Times New Roman" w:hAnsi="Times New Roman" w:cs="Times New Roman"/>
          <w:color w:val="000000" w:themeColor="text1"/>
          <w:sz w:val="24"/>
          <w:lang w:val="en-US" w:eastAsia="zh-CN"/>
          <w14:textFill>
            <w14:solidFill>
              <w14:schemeClr w14:val="tx1"/>
            </w14:solidFill>
          </w14:textFill>
        </w:rPr>
        <w:t xml:space="preserve">   </w:t>
      </w:r>
    </w:p>
    <w:p w14:paraId="76C1E919">
      <w:pPr>
        <w:spacing w:line="360" w:lineRule="auto"/>
        <w:ind w:firstLine="482" w:firstLineChars="200"/>
        <w:rPr>
          <w:rFonts w:hint="default" w:ascii="Times New Roman" w:hAnsi="Times New Roman" w:cs="Times New Roman"/>
          <w:b/>
          <w:color w:val="000000" w:themeColor="text1"/>
          <w:spacing w:val="0"/>
          <w:sz w:val="24"/>
          <w14:textFill>
            <w14:solidFill>
              <w14:schemeClr w14:val="tx1"/>
            </w14:solidFill>
          </w14:textFill>
        </w:rPr>
      </w:pPr>
      <w:r>
        <w:rPr>
          <w:rFonts w:hint="default" w:ascii="Times New Roman" w:hAnsi="Times New Roman" w:cs="Times New Roman"/>
          <w:b/>
          <w:color w:val="000000" w:themeColor="text1"/>
          <w:spacing w:val="0"/>
          <w:sz w:val="24"/>
          <w14:textFill>
            <w14:solidFill>
              <w14:schemeClr w14:val="tx1"/>
            </w14:solidFill>
          </w14:textFill>
        </w:rPr>
        <w:t>2、分区防渗措施</w:t>
      </w:r>
      <w:bookmarkEnd w:id="263"/>
      <w:bookmarkEnd w:id="264"/>
    </w:p>
    <w:p w14:paraId="29236AD9">
      <w:pPr>
        <w:spacing w:line="360" w:lineRule="auto"/>
        <w:ind w:firstLine="472" w:firstLineChars="200"/>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为防止本项目污染地下水，在项目设计和施工过程中，应对厂区进行专项防渗设计和分区防渗处理。根据《环境影响评价技术导则地下水环境》（HJ610-2016）及《危险废物贮存污染控制标准》（GB18597-2023）中相关要求，污染防治区可分为重点防渗区、一般防渗区和简单防渗区。具体见下表：</w:t>
      </w:r>
    </w:p>
    <w:p w14:paraId="3D1A2749">
      <w:pPr>
        <w:spacing w:line="360" w:lineRule="auto"/>
        <w:jc w:val="center"/>
        <w:rPr>
          <w:rFonts w:hint="default" w:ascii="Times New Roman" w:hAnsi="Times New Roman" w:eastAsia="黑体" w:cs="Times New Roman"/>
          <w:color w:val="000000" w:themeColor="text1"/>
          <w:sz w:val="24"/>
          <w14:textFill>
            <w14:solidFill>
              <w14:schemeClr w14:val="tx1"/>
            </w14:solidFill>
          </w14:textFill>
        </w:rPr>
      </w:pPr>
      <w:r>
        <w:rPr>
          <w:rFonts w:hint="default" w:ascii="Times New Roman" w:hAnsi="Times New Roman" w:eastAsia="黑体" w:cs="Times New Roman"/>
          <w:color w:val="000000" w:themeColor="text1"/>
          <w:sz w:val="24"/>
          <w14:textFill>
            <w14:solidFill>
              <w14:schemeClr w14:val="tx1"/>
            </w14:solidFill>
          </w14:textFill>
        </w:rPr>
        <w:t>表</w:t>
      </w:r>
      <w:r>
        <w:rPr>
          <w:rFonts w:hint="eastAsia" w:ascii="Times New Roman" w:hAnsi="Times New Roman" w:eastAsia="黑体" w:cs="Times New Roman"/>
          <w:color w:val="000000" w:themeColor="text1"/>
          <w:sz w:val="24"/>
          <w:lang w:val="en-US" w:eastAsia="zh-CN"/>
          <w14:textFill>
            <w14:solidFill>
              <w14:schemeClr w14:val="tx1"/>
            </w14:solidFill>
          </w14:textFill>
        </w:rPr>
        <w:t>6.1</w:t>
      </w:r>
      <w:r>
        <w:rPr>
          <w:rFonts w:hint="default" w:ascii="Times New Roman" w:hAnsi="Times New Roman" w:eastAsia="黑体" w:cs="Times New Roman"/>
          <w:color w:val="000000" w:themeColor="text1"/>
          <w:sz w:val="24"/>
          <w14:textFill>
            <w14:solidFill>
              <w14:schemeClr w14:val="tx1"/>
            </w14:solidFill>
          </w14:textFill>
        </w:rPr>
        <w:t>-</w:t>
      </w:r>
      <w:r>
        <w:rPr>
          <w:rFonts w:hint="eastAsia" w:ascii="Times New Roman" w:hAnsi="Times New Roman" w:eastAsia="黑体" w:cs="Times New Roman"/>
          <w:color w:val="000000" w:themeColor="text1"/>
          <w:sz w:val="24"/>
          <w:lang w:val="en-US" w:eastAsia="zh-CN"/>
          <w14:textFill>
            <w14:solidFill>
              <w14:schemeClr w14:val="tx1"/>
            </w14:solidFill>
          </w14:textFill>
        </w:rPr>
        <w:t>6</w:t>
      </w:r>
      <w:r>
        <w:rPr>
          <w:rFonts w:hint="default" w:ascii="Times New Roman" w:hAnsi="Times New Roman" w:eastAsia="黑体" w:cs="Times New Roman"/>
          <w:color w:val="000000" w:themeColor="text1"/>
          <w:sz w:val="24"/>
          <w14:textFill>
            <w14:solidFill>
              <w14:schemeClr w14:val="tx1"/>
            </w14:solidFill>
          </w14:textFill>
        </w:rPr>
        <w:t>地下水污染防渗分区参照表</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27"/>
        <w:gridCol w:w="1750"/>
        <w:gridCol w:w="1750"/>
        <w:gridCol w:w="1750"/>
        <w:gridCol w:w="1752"/>
      </w:tblGrid>
      <w:tr w14:paraId="6E2B9E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shd w:val="clear" w:color="auto" w:fill="auto"/>
            <w:vAlign w:val="center"/>
          </w:tcPr>
          <w:p w14:paraId="62C36F80">
            <w:pPr>
              <w:pStyle w:val="3676"/>
              <w:spacing w:line="276" w:lineRule="auto"/>
              <w:ind w:firstLine="0" w:firstLine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防渗分区</w:t>
            </w:r>
          </w:p>
        </w:tc>
        <w:tc>
          <w:tcPr>
            <w:tcW w:w="1026" w:type="pct"/>
            <w:shd w:val="clear" w:color="auto" w:fill="auto"/>
            <w:vAlign w:val="center"/>
          </w:tcPr>
          <w:p w14:paraId="204CBD56">
            <w:pPr>
              <w:pStyle w:val="3676"/>
              <w:spacing w:line="276" w:lineRule="auto"/>
              <w:ind w:firstLine="0" w:firstLine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天然包气带防污性能</w:t>
            </w:r>
          </w:p>
        </w:tc>
        <w:tc>
          <w:tcPr>
            <w:tcW w:w="1026" w:type="pct"/>
            <w:shd w:val="clear" w:color="auto" w:fill="auto"/>
            <w:vAlign w:val="center"/>
          </w:tcPr>
          <w:p w14:paraId="52F55B12">
            <w:pPr>
              <w:pStyle w:val="3676"/>
              <w:spacing w:line="276" w:lineRule="auto"/>
              <w:ind w:firstLine="0" w:firstLine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污染物控制难易程度</w:t>
            </w:r>
          </w:p>
        </w:tc>
        <w:tc>
          <w:tcPr>
            <w:tcW w:w="1026" w:type="pct"/>
            <w:shd w:val="clear" w:color="auto" w:fill="auto"/>
            <w:vAlign w:val="center"/>
          </w:tcPr>
          <w:p w14:paraId="3139460B">
            <w:pPr>
              <w:pStyle w:val="3676"/>
              <w:spacing w:line="276" w:lineRule="auto"/>
              <w:ind w:firstLine="0" w:firstLine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污染物类型</w:t>
            </w:r>
          </w:p>
        </w:tc>
        <w:tc>
          <w:tcPr>
            <w:tcW w:w="1027" w:type="pct"/>
            <w:shd w:val="clear" w:color="auto" w:fill="auto"/>
            <w:vAlign w:val="center"/>
          </w:tcPr>
          <w:p w14:paraId="0943CCEC">
            <w:pPr>
              <w:pStyle w:val="3676"/>
              <w:spacing w:line="276" w:lineRule="auto"/>
              <w:ind w:firstLine="0" w:firstLineChars="0"/>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防渗技术要求</w:t>
            </w:r>
          </w:p>
        </w:tc>
      </w:tr>
      <w:tr w14:paraId="2C84797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Merge w:val="restart"/>
            <w:shd w:val="clear" w:color="auto" w:fill="auto"/>
            <w:vAlign w:val="center"/>
          </w:tcPr>
          <w:p w14:paraId="3442A440">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重点防渗区</w:t>
            </w:r>
          </w:p>
        </w:tc>
        <w:tc>
          <w:tcPr>
            <w:tcW w:w="1026" w:type="pct"/>
            <w:shd w:val="clear" w:color="auto" w:fill="auto"/>
            <w:vAlign w:val="center"/>
          </w:tcPr>
          <w:p w14:paraId="2741F9AA">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弱</w:t>
            </w:r>
          </w:p>
        </w:tc>
        <w:tc>
          <w:tcPr>
            <w:tcW w:w="1026" w:type="pct"/>
            <w:shd w:val="clear" w:color="auto" w:fill="auto"/>
            <w:vAlign w:val="center"/>
          </w:tcPr>
          <w:p w14:paraId="480AA756">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难</w:t>
            </w:r>
          </w:p>
        </w:tc>
        <w:tc>
          <w:tcPr>
            <w:tcW w:w="1026" w:type="pct"/>
            <w:vMerge w:val="restart"/>
            <w:shd w:val="clear" w:color="auto" w:fill="auto"/>
            <w:vAlign w:val="center"/>
          </w:tcPr>
          <w:p w14:paraId="5FBE296C">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重金属、持久性有机污染物</w:t>
            </w:r>
          </w:p>
        </w:tc>
        <w:tc>
          <w:tcPr>
            <w:tcW w:w="1027" w:type="pct"/>
            <w:vMerge w:val="restart"/>
            <w:shd w:val="clear" w:color="auto" w:fill="auto"/>
            <w:vAlign w:val="center"/>
          </w:tcPr>
          <w:p w14:paraId="4E545A0E">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等效黏土防渗层Mb≥6.0m，K≤1×10</w:t>
            </w:r>
            <w:r>
              <w:rPr>
                <w:rFonts w:hint="default" w:ascii="Times New Roman" w:hAnsi="Times New Roman" w:cs="Times New Roman"/>
                <w:color w:val="000000" w:themeColor="text1"/>
                <w:sz w:val="21"/>
                <w:szCs w:val="21"/>
                <w:vertAlign w:val="superscript"/>
                <w14:textFill>
                  <w14:solidFill>
                    <w14:schemeClr w14:val="tx1"/>
                  </w14:solidFill>
                </w14:textFill>
              </w:rPr>
              <w:t>-7</w:t>
            </w:r>
            <w:r>
              <w:rPr>
                <w:rFonts w:hint="default" w:ascii="Times New Roman" w:hAnsi="Times New Roman" w:cs="Times New Roman"/>
                <w:color w:val="000000" w:themeColor="text1"/>
                <w:sz w:val="21"/>
                <w:szCs w:val="21"/>
                <w14:textFill>
                  <w14:solidFill>
                    <w14:schemeClr w14:val="tx1"/>
                  </w14:solidFill>
                </w14:textFill>
              </w:rPr>
              <w:t>cm/s；或参照GB18598</w:t>
            </w:r>
          </w:p>
        </w:tc>
      </w:tr>
      <w:tr w14:paraId="7D2BC0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Merge w:val="continue"/>
            <w:shd w:val="clear" w:color="auto" w:fill="auto"/>
            <w:vAlign w:val="center"/>
          </w:tcPr>
          <w:p w14:paraId="0D4ADA49">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1026" w:type="pct"/>
            <w:shd w:val="clear" w:color="auto" w:fill="auto"/>
            <w:vAlign w:val="center"/>
          </w:tcPr>
          <w:p w14:paraId="24915D7D">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中—强</w:t>
            </w:r>
          </w:p>
        </w:tc>
        <w:tc>
          <w:tcPr>
            <w:tcW w:w="1026" w:type="pct"/>
            <w:shd w:val="clear" w:color="auto" w:fill="auto"/>
            <w:vAlign w:val="center"/>
          </w:tcPr>
          <w:p w14:paraId="2BAE054A">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难</w:t>
            </w:r>
          </w:p>
        </w:tc>
        <w:tc>
          <w:tcPr>
            <w:tcW w:w="1026" w:type="pct"/>
            <w:vMerge w:val="continue"/>
            <w:shd w:val="clear" w:color="auto" w:fill="auto"/>
            <w:vAlign w:val="center"/>
          </w:tcPr>
          <w:p w14:paraId="676C5E09">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1027" w:type="pct"/>
            <w:vMerge w:val="continue"/>
            <w:shd w:val="clear" w:color="auto" w:fill="auto"/>
            <w:vAlign w:val="center"/>
          </w:tcPr>
          <w:p w14:paraId="238AE2C8">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r>
      <w:tr w14:paraId="7CFB03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Merge w:val="continue"/>
            <w:shd w:val="clear" w:color="auto" w:fill="auto"/>
            <w:vAlign w:val="center"/>
          </w:tcPr>
          <w:p w14:paraId="311625BB">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1026" w:type="pct"/>
            <w:shd w:val="clear" w:color="auto" w:fill="auto"/>
            <w:vAlign w:val="center"/>
          </w:tcPr>
          <w:p w14:paraId="3FB4EC45">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弱</w:t>
            </w:r>
          </w:p>
        </w:tc>
        <w:tc>
          <w:tcPr>
            <w:tcW w:w="1026" w:type="pct"/>
            <w:shd w:val="clear" w:color="auto" w:fill="auto"/>
            <w:vAlign w:val="center"/>
          </w:tcPr>
          <w:p w14:paraId="276C37F5">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易</w:t>
            </w:r>
          </w:p>
        </w:tc>
        <w:tc>
          <w:tcPr>
            <w:tcW w:w="1026" w:type="pct"/>
            <w:vMerge w:val="continue"/>
            <w:shd w:val="clear" w:color="auto" w:fill="auto"/>
            <w:vAlign w:val="center"/>
          </w:tcPr>
          <w:p w14:paraId="552992AD">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1027" w:type="pct"/>
            <w:vMerge w:val="continue"/>
            <w:shd w:val="clear" w:color="auto" w:fill="auto"/>
            <w:vAlign w:val="center"/>
          </w:tcPr>
          <w:p w14:paraId="4DFA6202">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r>
      <w:tr w14:paraId="24EAA0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Merge w:val="restart"/>
            <w:shd w:val="clear" w:color="auto" w:fill="auto"/>
            <w:vAlign w:val="center"/>
          </w:tcPr>
          <w:p w14:paraId="264E6B00">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一般防渗区</w:t>
            </w:r>
          </w:p>
        </w:tc>
        <w:tc>
          <w:tcPr>
            <w:tcW w:w="1026" w:type="pct"/>
            <w:shd w:val="clear" w:color="auto" w:fill="auto"/>
            <w:vAlign w:val="center"/>
          </w:tcPr>
          <w:p w14:paraId="5FD23C60">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弱</w:t>
            </w:r>
          </w:p>
        </w:tc>
        <w:tc>
          <w:tcPr>
            <w:tcW w:w="1026" w:type="pct"/>
            <w:shd w:val="clear" w:color="auto" w:fill="auto"/>
            <w:vAlign w:val="center"/>
          </w:tcPr>
          <w:p w14:paraId="4500CFF9">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易-难</w:t>
            </w:r>
          </w:p>
        </w:tc>
        <w:tc>
          <w:tcPr>
            <w:tcW w:w="1026" w:type="pct"/>
            <w:vMerge w:val="restart"/>
            <w:shd w:val="clear" w:color="auto" w:fill="auto"/>
            <w:vAlign w:val="center"/>
          </w:tcPr>
          <w:p w14:paraId="70D1C671">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其他类型</w:t>
            </w:r>
          </w:p>
        </w:tc>
        <w:tc>
          <w:tcPr>
            <w:tcW w:w="1027" w:type="pct"/>
            <w:vMerge w:val="restart"/>
            <w:shd w:val="clear" w:color="auto" w:fill="auto"/>
            <w:vAlign w:val="center"/>
          </w:tcPr>
          <w:p w14:paraId="09FBF115">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等效黏土防渗层Mb≥1.5m，K≤1×10</w:t>
            </w:r>
            <w:r>
              <w:rPr>
                <w:rFonts w:hint="default" w:ascii="Times New Roman" w:hAnsi="Times New Roman" w:cs="Times New Roman"/>
                <w:color w:val="000000" w:themeColor="text1"/>
                <w:sz w:val="21"/>
                <w:szCs w:val="21"/>
                <w:vertAlign w:val="superscript"/>
                <w14:textFill>
                  <w14:solidFill>
                    <w14:schemeClr w14:val="tx1"/>
                  </w14:solidFill>
                </w14:textFill>
              </w:rPr>
              <w:t>-7</w:t>
            </w:r>
            <w:r>
              <w:rPr>
                <w:rFonts w:hint="default" w:ascii="Times New Roman" w:hAnsi="Times New Roman" w:cs="Times New Roman"/>
                <w:color w:val="000000" w:themeColor="text1"/>
                <w:sz w:val="21"/>
                <w:szCs w:val="21"/>
                <w14:textFill>
                  <w14:solidFill>
                    <w14:schemeClr w14:val="tx1"/>
                  </w14:solidFill>
                </w14:textFill>
              </w:rPr>
              <w:t>cm/s；或参照GB18598</w:t>
            </w:r>
          </w:p>
        </w:tc>
      </w:tr>
      <w:tr w14:paraId="3C6C904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Merge w:val="continue"/>
            <w:shd w:val="clear" w:color="auto" w:fill="auto"/>
            <w:vAlign w:val="center"/>
          </w:tcPr>
          <w:p w14:paraId="26CB2CD8">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1026" w:type="pct"/>
            <w:shd w:val="clear" w:color="auto" w:fill="auto"/>
            <w:vAlign w:val="center"/>
          </w:tcPr>
          <w:p w14:paraId="63A9E022">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中—强</w:t>
            </w:r>
          </w:p>
        </w:tc>
        <w:tc>
          <w:tcPr>
            <w:tcW w:w="1026" w:type="pct"/>
            <w:shd w:val="clear" w:color="auto" w:fill="auto"/>
            <w:vAlign w:val="center"/>
          </w:tcPr>
          <w:p w14:paraId="7A1D5D94">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难</w:t>
            </w:r>
          </w:p>
        </w:tc>
        <w:tc>
          <w:tcPr>
            <w:tcW w:w="1026" w:type="pct"/>
            <w:vMerge w:val="continue"/>
            <w:shd w:val="clear" w:color="auto" w:fill="auto"/>
            <w:vAlign w:val="center"/>
          </w:tcPr>
          <w:p w14:paraId="47230776">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1027" w:type="pct"/>
            <w:vMerge w:val="continue"/>
            <w:shd w:val="clear" w:color="auto" w:fill="auto"/>
            <w:vAlign w:val="center"/>
          </w:tcPr>
          <w:p w14:paraId="50C4D8DC">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r>
      <w:tr w14:paraId="1B5855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vMerge w:val="continue"/>
            <w:shd w:val="clear" w:color="auto" w:fill="auto"/>
            <w:vAlign w:val="center"/>
          </w:tcPr>
          <w:p w14:paraId="48D68EBE">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1026" w:type="pct"/>
            <w:shd w:val="clear" w:color="auto" w:fill="auto"/>
            <w:vAlign w:val="center"/>
          </w:tcPr>
          <w:p w14:paraId="32E28622">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中—强</w:t>
            </w:r>
          </w:p>
        </w:tc>
        <w:tc>
          <w:tcPr>
            <w:tcW w:w="1026" w:type="pct"/>
            <w:shd w:val="clear" w:color="auto" w:fill="auto"/>
            <w:vAlign w:val="center"/>
          </w:tcPr>
          <w:p w14:paraId="292CF83B">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易</w:t>
            </w:r>
          </w:p>
        </w:tc>
        <w:tc>
          <w:tcPr>
            <w:tcW w:w="1026" w:type="pct"/>
            <w:shd w:val="clear" w:color="auto" w:fill="auto"/>
            <w:vAlign w:val="center"/>
          </w:tcPr>
          <w:p w14:paraId="18A4ED5F">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重金属、持久性有机污染物</w:t>
            </w:r>
          </w:p>
        </w:tc>
        <w:tc>
          <w:tcPr>
            <w:tcW w:w="1027" w:type="pct"/>
            <w:vMerge w:val="continue"/>
            <w:shd w:val="clear" w:color="auto" w:fill="auto"/>
            <w:vAlign w:val="center"/>
          </w:tcPr>
          <w:p w14:paraId="3662DC36">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r>
      <w:tr w14:paraId="616F8D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95" w:type="pct"/>
            <w:shd w:val="clear" w:color="auto" w:fill="auto"/>
            <w:vAlign w:val="center"/>
          </w:tcPr>
          <w:p w14:paraId="19BB6CB0">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简单防渗区</w:t>
            </w:r>
          </w:p>
        </w:tc>
        <w:tc>
          <w:tcPr>
            <w:tcW w:w="1026" w:type="pct"/>
            <w:shd w:val="clear" w:color="auto" w:fill="auto"/>
            <w:vAlign w:val="center"/>
          </w:tcPr>
          <w:p w14:paraId="252729F1">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中—强</w:t>
            </w:r>
          </w:p>
        </w:tc>
        <w:tc>
          <w:tcPr>
            <w:tcW w:w="1026" w:type="pct"/>
            <w:shd w:val="clear" w:color="auto" w:fill="auto"/>
            <w:vAlign w:val="center"/>
          </w:tcPr>
          <w:p w14:paraId="3E9A0AAB">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易</w:t>
            </w:r>
          </w:p>
        </w:tc>
        <w:tc>
          <w:tcPr>
            <w:tcW w:w="1026" w:type="pct"/>
            <w:shd w:val="clear" w:color="auto" w:fill="auto"/>
            <w:vAlign w:val="center"/>
          </w:tcPr>
          <w:p w14:paraId="41C8505E">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其他类型</w:t>
            </w:r>
          </w:p>
        </w:tc>
        <w:tc>
          <w:tcPr>
            <w:tcW w:w="1027" w:type="pct"/>
            <w:shd w:val="clear" w:color="auto" w:fill="auto"/>
            <w:vAlign w:val="center"/>
          </w:tcPr>
          <w:p w14:paraId="37738532">
            <w:pPr>
              <w:pStyle w:val="3676"/>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一般地面硬化</w:t>
            </w:r>
          </w:p>
        </w:tc>
      </w:tr>
    </w:tbl>
    <w:p w14:paraId="27EE3DF2">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参照（HJ610-2016）要求，并根据厂区可能泄漏至地面区域污染物的性质以及各设施及建构筑物污染物难易控制程度进行分级，本项目分区防渗情况如下。</w:t>
      </w:r>
    </w:p>
    <w:p w14:paraId="1553A31B">
      <w:pPr>
        <w:pStyle w:val="3676"/>
        <w:spacing w:line="360" w:lineRule="auto"/>
        <w:ind w:firstLine="472"/>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（1）重点防渗区：重点防渗区是指对地下水环境隐患大的区域，泄漏污染物可能会对地下水造成污染，泄漏不易及时发现和处理，需要重点防治或者需要重点保护的区域。主要包括本项目</w:t>
      </w:r>
      <w:r>
        <w:rPr>
          <w:rFonts w:hint="default" w:ascii="Times New Roman" w:hAnsi="Times New Roman" w:cs="Times New Roman"/>
          <w:color w:val="000000" w:themeColor="text1"/>
          <w:sz w:val="24"/>
          <w:szCs w:val="24"/>
          <w:lang w:eastAsia="zh-CN"/>
          <w14:textFill>
            <w14:solidFill>
              <w14:schemeClr w14:val="tx1"/>
            </w14:solidFill>
          </w14:textFill>
        </w:rPr>
        <w:t>污水站</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eastAsia="zh-CN"/>
          <w14:textFill>
            <w14:solidFill>
              <w14:schemeClr w14:val="tx1"/>
            </w14:solidFill>
          </w14:textFill>
        </w:rPr>
        <w:t>清洗区域、</w:t>
      </w:r>
      <w:r>
        <w:rPr>
          <w:rFonts w:hint="default" w:ascii="Times New Roman" w:hAnsi="Times New Roman" w:cs="Times New Roman"/>
          <w:color w:val="000000" w:themeColor="text1"/>
          <w:sz w:val="24"/>
          <w:szCs w:val="24"/>
          <w14:textFill>
            <w14:solidFill>
              <w14:schemeClr w14:val="tx1"/>
            </w14:solidFill>
          </w14:textFill>
        </w:rPr>
        <w:t>危险废物暂存仓库、事故应急池等区域。根据《</w:t>
      </w:r>
      <w:r>
        <w:rPr>
          <w:rFonts w:hint="default" w:ascii="Times New Roman" w:hAnsi="Times New Roman" w:cs="Times New Roman"/>
          <w:color w:val="000000" w:themeColor="text1"/>
          <w:sz w:val="24"/>
          <w14:textFill>
            <w14:solidFill>
              <w14:schemeClr w14:val="tx1"/>
            </w14:solidFill>
          </w14:textFill>
        </w:rPr>
        <w:t>环境影响评价技术导则地下水环境》（HJ610-2016）及</w:t>
      </w:r>
      <w:r>
        <w:rPr>
          <w:rFonts w:hint="default" w:ascii="Times New Roman" w:hAnsi="Times New Roman" w:cs="Times New Roman"/>
          <w:color w:val="000000" w:themeColor="text1"/>
          <w:sz w:val="24"/>
          <w:szCs w:val="24"/>
          <w14:textFill>
            <w14:solidFill>
              <w14:schemeClr w14:val="tx1"/>
            </w14:solidFill>
          </w14:textFill>
        </w:rPr>
        <w:t>《危险废物贮存污染控制标准》（GB18597-2023）中相关要求</w:t>
      </w:r>
      <w:r>
        <w:rPr>
          <w:rFonts w:hint="default" w:ascii="Times New Roman" w:hAnsi="Times New Roman" w:cs="Times New Roman"/>
          <w:color w:val="000000" w:themeColor="text1"/>
          <w:sz w:val="24"/>
          <w14:textFill>
            <w14:solidFill>
              <w14:schemeClr w14:val="tx1"/>
            </w14:solidFill>
          </w14:textFill>
        </w:rPr>
        <w:t>，防渗要求如下：等效黏土防渗层Mb≥6.0m，K≤1×10</w:t>
      </w:r>
      <w:r>
        <w:rPr>
          <w:rFonts w:hint="default" w:ascii="Times New Roman" w:hAnsi="Times New Roman" w:cs="Times New Roman"/>
          <w:color w:val="000000" w:themeColor="text1"/>
          <w:sz w:val="24"/>
          <w:vertAlign w:val="superscript"/>
          <w14:textFill>
            <w14:solidFill>
              <w14:schemeClr w14:val="tx1"/>
            </w14:solidFill>
          </w14:textFill>
        </w:rPr>
        <w:t>-7</w:t>
      </w:r>
      <w:r>
        <w:rPr>
          <w:rFonts w:hint="default" w:ascii="Times New Roman" w:hAnsi="Times New Roman" w:cs="Times New Roman"/>
          <w:color w:val="000000" w:themeColor="text1"/>
          <w:sz w:val="24"/>
          <w14:textFill>
            <w14:solidFill>
              <w14:schemeClr w14:val="tx1"/>
            </w14:solidFill>
          </w14:textFill>
        </w:rPr>
        <w:t>cm/s；或参照GB18598。</w:t>
      </w:r>
    </w:p>
    <w:p w14:paraId="6CFC2C1A">
      <w:pPr>
        <w:pStyle w:val="3676"/>
        <w:spacing w:line="360" w:lineRule="auto"/>
        <w:ind w:firstLine="472"/>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（2）一般防渗区：一般防渗区是指泄漏污染物可能会对地下水造成污染，但危害性和风险程度较低，或者泄漏容易及时发现和处理的区域，主要包括本项目原料仓库、成品仓库、一般工业固体废物暂存仓库、</w:t>
      </w:r>
      <w:r>
        <w:rPr>
          <w:rFonts w:hint="default" w:ascii="Times New Roman" w:hAnsi="Times New Roman" w:cs="Times New Roman"/>
          <w:color w:val="000000" w:themeColor="text1"/>
          <w:sz w:val="24"/>
          <w:szCs w:val="24"/>
          <w:lang w:eastAsia="zh-CN"/>
          <w14:textFill>
            <w14:solidFill>
              <w14:schemeClr w14:val="tx1"/>
            </w14:solidFill>
          </w14:textFill>
        </w:rPr>
        <w:t>生产车间</w:t>
      </w:r>
      <w:r>
        <w:rPr>
          <w:rFonts w:hint="default" w:ascii="Times New Roman" w:hAnsi="Times New Roman" w:cs="Times New Roman"/>
          <w:color w:val="000000" w:themeColor="text1"/>
          <w:sz w:val="24"/>
          <w:szCs w:val="24"/>
          <w14:textFill>
            <w14:solidFill>
              <w14:schemeClr w14:val="tx1"/>
            </w14:solidFill>
          </w14:textFill>
        </w:rPr>
        <w:t>等区域。一般防渗区</w:t>
      </w:r>
      <w:r>
        <w:rPr>
          <w:rFonts w:hint="default" w:ascii="Times New Roman" w:hAnsi="Times New Roman" w:cs="Times New Roman"/>
          <w:color w:val="000000" w:themeColor="text1"/>
          <w:sz w:val="24"/>
          <w14:textFill>
            <w14:solidFill>
              <w14:schemeClr w14:val="tx1"/>
            </w14:solidFill>
          </w14:textFill>
        </w:rPr>
        <w:t>防渗要求如下：等效黏土防渗层Mb≥1.5m，K≤1×10</w:t>
      </w:r>
      <w:r>
        <w:rPr>
          <w:rFonts w:hint="default" w:ascii="Times New Roman" w:hAnsi="Times New Roman" w:cs="Times New Roman"/>
          <w:color w:val="000000" w:themeColor="text1"/>
          <w:sz w:val="24"/>
          <w:vertAlign w:val="superscript"/>
          <w14:textFill>
            <w14:solidFill>
              <w14:schemeClr w14:val="tx1"/>
            </w14:solidFill>
          </w14:textFill>
        </w:rPr>
        <w:t>-7</w:t>
      </w:r>
      <w:r>
        <w:rPr>
          <w:rFonts w:hint="default" w:ascii="Times New Roman" w:hAnsi="Times New Roman" w:cs="Times New Roman"/>
          <w:color w:val="000000" w:themeColor="text1"/>
          <w:sz w:val="24"/>
          <w14:textFill>
            <w14:solidFill>
              <w14:schemeClr w14:val="tx1"/>
            </w14:solidFill>
          </w14:textFill>
        </w:rPr>
        <w:t>cm/s。</w:t>
      </w:r>
    </w:p>
    <w:p w14:paraId="6C75D186">
      <w:pPr>
        <w:spacing w:line="36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（3）简单防渗区：一般不会对地下水造成污染的区域，只需一般地面硬化。</w:t>
      </w:r>
    </w:p>
    <w:p w14:paraId="2A31FD90">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6.1</w:t>
      </w:r>
      <w:r>
        <w:rPr>
          <w:rFonts w:hint="default" w:ascii="Times New Roman" w:hAnsi="Times New Roman" w:eastAsia="黑体" w:cs="Times New Roman"/>
          <w:color w:val="000000" w:themeColor="text1"/>
          <w:sz w:val="24"/>
          <w:szCs w:val="24"/>
          <w14:textFill>
            <w14:solidFill>
              <w14:schemeClr w14:val="tx1"/>
            </w14:solidFill>
          </w14:textFill>
        </w:rPr>
        <w:t>-</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7</w:t>
      </w:r>
      <w:r>
        <w:rPr>
          <w:rFonts w:hint="default" w:ascii="Times New Roman" w:hAnsi="Times New Roman" w:eastAsia="黑体" w:cs="Times New Roman"/>
          <w:color w:val="000000" w:themeColor="text1"/>
          <w:sz w:val="24"/>
          <w:szCs w:val="24"/>
          <w14:textFill>
            <w14:solidFill>
              <w14:schemeClr w14:val="tx1"/>
            </w14:solidFill>
          </w14:textFill>
        </w:rPr>
        <w:t>本项目分区防渗一览表</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958"/>
        <w:gridCol w:w="2835"/>
        <w:gridCol w:w="2978"/>
        <w:gridCol w:w="1332"/>
      </w:tblGrid>
      <w:tr w14:paraId="2CABED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1" w:type="pct"/>
            <w:gridSpan w:val="2"/>
            <w:vAlign w:val="center"/>
          </w:tcPr>
          <w:p w14:paraId="601D9C87">
            <w:pPr>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分区</w:t>
            </w:r>
          </w:p>
        </w:tc>
        <w:tc>
          <w:tcPr>
            <w:tcW w:w="1662" w:type="pct"/>
            <w:vAlign w:val="center"/>
          </w:tcPr>
          <w:p w14:paraId="7B6415FD">
            <w:pPr>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厂内分区</w:t>
            </w:r>
          </w:p>
        </w:tc>
        <w:tc>
          <w:tcPr>
            <w:tcW w:w="1746" w:type="pct"/>
            <w:vAlign w:val="center"/>
          </w:tcPr>
          <w:p w14:paraId="654F2F26">
            <w:pPr>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防渗等级</w:t>
            </w:r>
          </w:p>
        </w:tc>
        <w:tc>
          <w:tcPr>
            <w:tcW w:w="781" w:type="pct"/>
            <w:vAlign w:val="center"/>
          </w:tcPr>
          <w:p w14:paraId="525A77C7">
            <w:pPr>
              <w:spacing w:line="276" w:lineRule="auto"/>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防渗方案</w:t>
            </w:r>
          </w:p>
        </w:tc>
      </w:tr>
      <w:tr w14:paraId="4DA13B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48" w:hRule="atLeast"/>
        </w:trPr>
        <w:tc>
          <w:tcPr>
            <w:tcW w:w="249" w:type="pct"/>
            <w:vMerge w:val="restart"/>
            <w:vAlign w:val="center"/>
          </w:tcPr>
          <w:p w14:paraId="491F7328">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污染区</w:t>
            </w:r>
          </w:p>
        </w:tc>
        <w:tc>
          <w:tcPr>
            <w:tcW w:w="562" w:type="pct"/>
            <w:vMerge w:val="restart"/>
            <w:vAlign w:val="center"/>
          </w:tcPr>
          <w:p w14:paraId="26F0E946">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重点污染防治区</w:t>
            </w:r>
          </w:p>
        </w:tc>
        <w:tc>
          <w:tcPr>
            <w:tcW w:w="1662" w:type="pct"/>
            <w:vAlign w:val="center"/>
          </w:tcPr>
          <w:p w14:paraId="2DD5B064">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污水站</w:t>
            </w:r>
            <w:r>
              <w:rPr>
                <w:rFonts w:hint="default" w:ascii="Times New Roman" w:hAnsi="Times New Roman" w:cs="Times New Roman"/>
                <w:color w:val="000000" w:themeColor="text1"/>
                <w:spacing w:val="0"/>
                <w:sz w:val="21"/>
                <w:szCs w:val="21"/>
                <w14:textFill>
                  <w14:solidFill>
                    <w14:schemeClr w14:val="tx1"/>
                  </w14:solidFill>
                </w14:textFill>
              </w:rPr>
              <w:t>、</w:t>
            </w:r>
            <w:r>
              <w:rPr>
                <w:rFonts w:hint="default" w:ascii="Times New Roman" w:hAnsi="Times New Roman" w:cs="Times New Roman"/>
                <w:color w:val="000000" w:themeColor="text1"/>
                <w:spacing w:val="0"/>
                <w:sz w:val="21"/>
                <w:szCs w:val="21"/>
                <w:lang w:eastAsia="zh-CN"/>
                <w14:textFill>
                  <w14:solidFill>
                    <w14:schemeClr w14:val="tx1"/>
                  </w14:solidFill>
                </w14:textFill>
              </w:rPr>
              <w:t>清洗区域</w:t>
            </w:r>
            <w:r>
              <w:rPr>
                <w:rFonts w:hint="default" w:ascii="Times New Roman" w:hAnsi="Times New Roman" w:cs="Times New Roman"/>
                <w:color w:val="000000" w:themeColor="text1"/>
                <w:spacing w:val="0"/>
                <w:sz w:val="21"/>
                <w:szCs w:val="21"/>
                <w14:textFill>
                  <w14:solidFill>
                    <w14:schemeClr w14:val="tx1"/>
                  </w14:solidFill>
                </w14:textFill>
              </w:rPr>
              <w:t>、事故应急池</w:t>
            </w:r>
          </w:p>
        </w:tc>
        <w:tc>
          <w:tcPr>
            <w:tcW w:w="1746" w:type="pct"/>
            <w:vAlign w:val="center"/>
          </w:tcPr>
          <w:p w14:paraId="5A58834D">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等效黏土防渗层Mb≥6.0m，K≤1×10</w:t>
            </w:r>
            <w:r>
              <w:rPr>
                <w:rFonts w:hint="default" w:ascii="Times New Roman" w:hAnsi="Times New Roman" w:cs="Times New Roman"/>
                <w:color w:val="000000" w:themeColor="text1"/>
                <w:spacing w:val="0"/>
                <w:sz w:val="21"/>
                <w:szCs w:val="21"/>
                <w:vertAlign w:val="superscript"/>
                <w14:textFill>
                  <w14:solidFill>
                    <w14:schemeClr w14:val="tx1"/>
                  </w14:solidFill>
                </w14:textFill>
              </w:rPr>
              <w:t>-7</w:t>
            </w:r>
            <w:r>
              <w:rPr>
                <w:rFonts w:hint="default" w:ascii="Times New Roman" w:hAnsi="Times New Roman" w:cs="Times New Roman"/>
                <w:color w:val="000000" w:themeColor="text1"/>
                <w:spacing w:val="0"/>
                <w:sz w:val="21"/>
                <w:szCs w:val="21"/>
                <w14:textFill>
                  <w14:solidFill>
                    <w14:schemeClr w14:val="tx1"/>
                  </w14:solidFill>
                </w14:textFill>
              </w:rPr>
              <w:t>cm/s</w:t>
            </w:r>
          </w:p>
        </w:tc>
        <w:tc>
          <w:tcPr>
            <w:tcW w:w="781" w:type="pct"/>
            <w:vMerge w:val="restart"/>
            <w:vAlign w:val="center"/>
          </w:tcPr>
          <w:p w14:paraId="5D019E4F">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15cm抗渗混凝土+2mm厚HDPE膜或其他等效材料</w:t>
            </w:r>
          </w:p>
        </w:tc>
      </w:tr>
      <w:tr w14:paraId="65DAB7C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49" w:type="pct"/>
            <w:vMerge w:val="continue"/>
            <w:vAlign w:val="center"/>
          </w:tcPr>
          <w:p w14:paraId="0D30495D">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562" w:type="pct"/>
            <w:vMerge w:val="continue"/>
            <w:vAlign w:val="center"/>
          </w:tcPr>
          <w:p w14:paraId="26A867CC">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662" w:type="pct"/>
            <w:vAlign w:val="center"/>
          </w:tcPr>
          <w:p w14:paraId="1528BE13">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危险废物暂存仓库</w:t>
            </w:r>
          </w:p>
        </w:tc>
        <w:tc>
          <w:tcPr>
            <w:tcW w:w="1746" w:type="pct"/>
            <w:vAlign w:val="center"/>
          </w:tcPr>
          <w:p w14:paraId="5FF78295">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至少1m厚黏土层（渗透系数≤10</w:t>
            </w:r>
            <w:r>
              <w:rPr>
                <w:rFonts w:hint="default" w:ascii="Times New Roman" w:hAnsi="Times New Roman" w:cs="Times New Roman"/>
                <w:color w:val="000000" w:themeColor="text1"/>
                <w:spacing w:val="0"/>
                <w:sz w:val="21"/>
                <w:szCs w:val="21"/>
                <w:vertAlign w:val="superscript"/>
                <w14:textFill>
                  <w14:solidFill>
                    <w14:schemeClr w14:val="tx1"/>
                  </w14:solidFill>
                </w14:textFill>
              </w:rPr>
              <w:t>-7</w:t>
            </w:r>
            <w:r>
              <w:rPr>
                <w:rFonts w:hint="default" w:ascii="Times New Roman" w:hAnsi="Times New Roman" w:cs="Times New Roman"/>
                <w:color w:val="000000" w:themeColor="text1"/>
                <w:spacing w:val="0"/>
                <w:sz w:val="21"/>
                <w:szCs w:val="21"/>
                <w14:textFill>
                  <w14:solidFill>
                    <w14:schemeClr w14:val="tx1"/>
                  </w14:solidFill>
                </w14:textFill>
              </w:rPr>
              <w:t>cm/s），或至少2mm厚高密度聚乙烯膜等人工防渗材料（渗透系数≤10</w:t>
            </w:r>
            <w:r>
              <w:rPr>
                <w:rFonts w:hint="default" w:ascii="Times New Roman" w:hAnsi="Times New Roman" w:cs="Times New Roman"/>
                <w:color w:val="000000" w:themeColor="text1"/>
                <w:spacing w:val="0"/>
                <w:sz w:val="21"/>
                <w:szCs w:val="21"/>
                <w:vertAlign w:val="superscript"/>
                <w14:textFill>
                  <w14:solidFill>
                    <w14:schemeClr w14:val="tx1"/>
                  </w14:solidFill>
                </w14:textFill>
              </w:rPr>
              <w:t>-10</w:t>
            </w:r>
            <w:r>
              <w:rPr>
                <w:rFonts w:hint="default" w:ascii="Times New Roman" w:hAnsi="Times New Roman" w:cs="Times New Roman"/>
                <w:color w:val="000000" w:themeColor="text1"/>
                <w:spacing w:val="0"/>
                <w:sz w:val="21"/>
                <w:szCs w:val="21"/>
                <w14:textFill>
                  <w14:solidFill>
                    <w14:schemeClr w14:val="tx1"/>
                  </w14:solidFill>
                </w14:textFill>
              </w:rPr>
              <w:t>cm/s），或其他防渗性能等效的材料</w:t>
            </w:r>
          </w:p>
        </w:tc>
        <w:tc>
          <w:tcPr>
            <w:tcW w:w="781" w:type="pct"/>
            <w:vMerge w:val="continue"/>
            <w:vAlign w:val="center"/>
          </w:tcPr>
          <w:p w14:paraId="49844080">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r>
      <w:tr w14:paraId="686316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06" w:hRule="atLeast"/>
        </w:trPr>
        <w:tc>
          <w:tcPr>
            <w:tcW w:w="249" w:type="pct"/>
            <w:vMerge w:val="continue"/>
            <w:vAlign w:val="center"/>
          </w:tcPr>
          <w:p w14:paraId="73CB07F9">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562" w:type="pct"/>
            <w:vAlign w:val="center"/>
          </w:tcPr>
          <w:p w14:paraId="655F292C">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一般污染防治区</w:t>
            </w:r>
          </w:p>
        </w:tc>
        <w:tc>
          <w:tcPr>
            <w:tcW w:w="1662" w:type="pct"/>
            <w:vAlign w:val="center"/>
          </w:tcPr>
          <w:p w14:paraId="47A9F9D4">
            <w:pPr>
              <w:spacing w:line="276"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原料仓库、成品仓库、一般工业固体废物暂存仓库、</w:t>
            </w:r>
            <w:r>
              <w:rPr>
                <w:rFonts w:hint="default" w:ascii="Times New Roman" w:hAnsi="Times New Roman" w:cs="Times New Roman"/>
                <w:color w:val="000000" w:themeColor="text1"/>
                <w:spacing w:val="0"/>
                <w:sz w:val="21"/>
                <w:szCs w:val="21"/>
                <w:lang w:eastAsia="zh-CN"/>
                <w14:textFill>
                  <w14:solidFill>
                    <w14:schemeClr w14:val="tx1"/>
                  </w14:solidFill>
                </w14:textFill>
              </w:rPr>
              <w:t>生产车间</w:t>
            </w:r>
          </w:p>
        </w:tc>
        <w:tc>
          <w:tcPr>
            <w:tcW w:w="1746" w:type="pct"/>
            <w:vAlign w:val="center"/>
          </w:tcPr>
          <w:p w14:paraId="7F18ABA7">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等效黏土防渗层Mb≥1.5m，K≤1×10</w:t>
            </w:r>
            <w:r>
              <w:rPr>
                <w:rFonts w:hint="default" w:ascii="Times New Roman" w:hAnsi="Times New Roman" w:cs="Times New Roman"/>
                <w:color w:val="000000" w:themeColor="text1"/>
                <w:spacing w:val="0"/>
                <w:sz w:val="21"/>
                <w:szCs w:val="21"/>
                <w:vertAlign w:val="superscript"/>
                <w14:textFill>
                  <w14:solidFill>
                    <w14:schemeClr w14:val="tx1"/>
                  </w14:solidFill>
                </w14:textFill>
              </w:rPr>
              <w:t>-7</w:t>
            </w:r>
            <w:r>
              <w:rPr>
                <w:rFonts w:hint="default" w:ascii="Times New Roman" w:hAnsi="Times New Roman" w:cs="Times New Roman"/>
                <w:color w:val="000000" w:themeColor="text1"/>
                <w:spacing w:val="0"/>
                <w:sz w:val="21"/>
                <w:szCs w:val="21"/>
                <w14:textFill>
                  <w14:solidFill>
                    <w14:schemeClr w14:val="tx1"/>
                  </w14:solidFill>
                </w14:textFill>
              </w:rPr>
              <w:t>cm/s</w:t>
            </w:r>
          </w:p>
        </w:tc>
        <w:tc>
          <w:tcPr>
            <w:tcW w:w="781" w:type="pct"/>
            <w:vAlign w:val="center"/>
          </w:tcPr>
          <w:p w14:paraId="4FBF27A3">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15cm抗渗混凝土</w:t>
            </w:r>
          </w:p>
        </w:tc>
      </w:tr>
      <w:tr w14:paraId="746740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49" w:type="pct"/>
            <w:vAlign w:val="center"/>
          </w:tcPr>
          <w:p w14:paraId="3E3C03B5">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562" w:type="pct"/>
            <w:vAlign w:val="center"/>
          </w:tcPr>
          <w:p w14:paraId="17CD7AD4">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其他区域</w:t>
            </w:r>
          </w:p>
        </w:tc>
        <w:tc>
          <w:tcPr>
            <w:tcW w:w="1662" w:type="pct"/>
            <w:vAlign w:val="center"/>
          </w:tcPr>
          <w:p w14:paraId="718A5773">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厂区其他区域</w:t>
            </w:r>
          </w:p>
        </w:tc>
        <w:tc>
          <w:tcPr>
            <w:tcW w:w="1746" w:type="pct"/>
            <w:vAlign w:val="center"/>
          </w:tcPr>
          <w:p w14:paraId="0E922FE1">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一般地面硬化</w:t>
            </w:r>
          </w:p>
        </w:tc>
        <w:tc>
          <w:tcPr>
            <w:tcW w:w="781" w:type="pct"/>
            <w:vAlign w:val="center"/>
          </w:tcPr>
          <w:p w14:paraId="563FC0D1">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混凝土</w:t>
            </w:r>
          </w:p>
        </w:tc>
      </w:tr>
    </w:tbl>
    <w:p w14:paraId="37B4A86D">
      <w:pPr>
        <w:pStyle w:val="3159"/>
        <w:rPr>
          <w:rFonts w:hint="default" w:ascii="Times New Roman" w:hAnsi="Times New Roman" w:eastAsia="黑体" w:cs="Times New Roman"/>
          <w:b w:val="0"/>
          <w:color w:val="000000" w:themeColor="text1"/>
          <w14:textFill>
            <w14:solidFill>
              <w14:schemeClr w14:val="tx1"/>
            </w14:solidFill>
          </w14:textFill>
        </w:rPr>
      </w:pPr>
      <w:bookmarkStart w:id="265" w:name="_Toc141627911"/>
      <w:bookmarkStart w:id="266" w:name="_Toc133214614"/>
      <w:bookmarkStart w:id="267" w:name="_Toc133333771"/>
      <w:bookmarkStart w:id="268" w:name="_Toc170562281"/>
      <w:bookmarkStart w:id="269" w:name="_Toc173837767"/>
      <w:r>
        <w:rPr>
          <w:rFonts w:hint="eastAsia" w:ascii="Times New Roman" w:hAnsi="Times New Roman" w:eastAsia="黑体" w:cs="Times New Roman"/>
          <w:b w:val="0"/>
          <w:color w:val="000000" w:themeColor="text1"/>
          <w:lang w:val="en-US" w:eastAsia="zh-CN"/>
          <w14:textFill>
            <w14:solidFill>
              <w14:schemeClr w14:val="tx1"/>
            </w14:solidFill>
          </w14:textFill>
        </w:rPr>
        <w:t>6.1</w:t>
      </w:r>
      <w:r>
        <w:rPr>
          <w:rFonts w:hint="default" w:ascii="Times New Roman" w:hAnsi="Times New Roman" w:eastAsia="黑体" w:cs="Times New Roman"/>
          <w:b w:val="0"/>
          <w:color w:val="000000" w:themeColor="text1"/>
          <w14:textFill>
            <w14:solidFill>
              <w14:schemeClr w14:val="tx1"/>
            </w14:solidFill>
          </w14:textFill>
        </w:rPr>
        <w:t>.6土壤污染防治措施及建议</w:t>
      </w:r>
      <w:bookmarkEnd w:id="265"/>
      <w:bookmarkEnd w:id="266"/>
      <w:bookmarkEnd w:id="267"/>
      <w:bookmarkEnd w:id="268"/>
      <w:bookmarkEnd w:id="269"/>
    </w:p>
    <w:p w14:paraId="032143B6">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（1）大气沉降途径的防控措施</w:t>
      </w:r>
    </w:p>
    <w:p w14:paraId="42C69005">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建设单位需按照规划设计积极开展厂区绿化，以种植具有较强吸附能力的植物为主，减少影响。</w:t>
      </w:r>
    </w:p>
    <w:p w14:paraId="58BD0B80">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（2）垂直入渗途径的防控措施</w:t>
      </w:r>
    </w:p>
    <w:p w14:paraId="046DA1B5">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对于原辅材料、废水事故状态下泄漏可能造成的垂直入渗影响，应严格落实本评价提出的分区防控要求，防止土壤环境污染。</w:t>
      </w:r>
    </w:p>
    <w:p w14:paraId="18D1750E">
      <w:pPr>
        <w:pStyle w:val="2855"/>
        <w:spacing w:beforeLines="50" w:afterLines="50"/>
        <w:rPr>
          <w:rFonts w:hint="default" w:ascii="Times New Roman" w:hAnsi="Times New Roman" w:eastAsia="黑体" w:cs="Times New Roman"/>
          <w:b w:val="0"/>
          <w:color w:val="000000" w:themeColor="text1"/>
          <w14:textFill>
            <w14:solidFill>
              <w14:schemeClr w14:val="tx1"/>
            </w14:solidFill>
          </w14:textFill>
        </w:rPr>
        <w:sectPr>
          <w:pgSz w:w="11907" w:h="16839"/>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bookmarkStart w:id="270" w:name="_Toc133214617"/>
      <w:bookmarkStart w:id="271" w:name="_Toc133333774"/>
      <w:bookmarkStart w:id="272" w:name="_Toc479085403"/>
      <w:bookmarkStart w:id="273" w:name="_Toc346616444"/>
      <w:bookmarkStart w:id="274" w:name="_Toc109135998"/>
    </w:p>
    <w:p w14:paraId="62E615E9">
      <w:pPr>
        <w:pStyle w:val="2855"/>
        <w:spacing w:beforeLines="50" w:afterLines="50"/>
        <w:rPr>
          <w:rFonts w:hint="default" w:ascii="Times New Roman" w:hAnsi="Times New Roman" w:eastAsia="黑体" w:cs="Times New Roman"/>
          <w:b w:val="0"/>
          <w:color w:val="000000" w:themeColor="text1"/>
          <w14:textFill>
            <w14:solidFill>
              <w14:schemeClr w14:val="tx1"/>
            </w14:solidFill>
          </w14:textFill>
        </w:rPr>
      </w:pPr>
      <w:bookmarkStart w:id="275" w:name="_Toc173837768"/>
      <w:r>
        <w:rPr>
          <w:rFonts w:hint="default" w:ascii="Times New Roman" w:hAnsi="Times New Roman"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14:textFill>
            <w14:solidFill>
              <w14:schemeClr w14:val="tx1"/>
            </w14:solidFill>
          </w14:textFill>
        </w:rPr>
        <w:t>环境影响经济损益分析</w:t>
      </w:r>
      <w:bookmarkEnd w:id="270"/>
      <w:bookmarkEnd w:id="271"/>
      <w:bookmarkEnd w:id="272"/>
      <w:bookmarkEnd w:id="273"/>
      <w:bookmarkEnd w:id="274"/>
      <w:bookmarkEnd w:id="275"/>
    </w:p>
    <w:p w14:paraId="145A655A">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bookmarkStart w:id="276" w:name="_Toc479085404"/>
      <w:bookmarkStart w:id="277" w:name="_Toc346616445"/>
      <w:r>
        <w:rPr>
          <w:rFonts w:hint="default" w:ascii="Times New Roman" w:hAnsi="Times New Roman" w:cs="Times New Roman"/>
          <w:color w:val="000000" w:themeColor="text1"/>
          <w:kern w:val="24"/>
          <w:sz w:val="24"/>
          <w:szCs w:val="24"/>
          <w14:textFill>
            <w14:solidFill>
              <w14:schemeClr w14:val="tx1"/>
            </w14:solidFill>
          </w14:textFill>
        </w:rPr>
        <w:t>环境经济损益分析是工程开发可行性研究的重要组成部分，是从环境经济的角度对项目的可行性进行评价，以货币的形式定量表述建设项目对环境的影响程度和相应的环境工程效益，从而为决策部门提供科学依据，使建设项目在营运后能更好地实现经济效益、环境效益和社会效益的统一。</w:t>
      </w:r>
    </w:p>
    <w:p w14:paraId="020F8A2D">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278" w:name="_Toc23923856"/>
      <w:bookmarkStart w:id="279" w:name="_Toc133214618"/>
      <w:bookmarkStart w:id="280" w:name="_Toc109135999"/>
      <w:bookmarkStart w:id="281" w:name="_Toc133333775"/>
      <w:bookmarkStart w:id="282" w:name="_Toc173837769"/>
      <w:r>
        <w:rPr>
          <w:rFonts w:hint="default" w:ascii="Times New Roman" w:hAnsi="Times New Roman"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14:textFill>
            <w14:solidFill>
              <w14:schemeClr w14:val="tx1"/>
            </w14:solidFill>
          </w14:textFill>
        </w:rPr>
        <w:t>.1环保投资估算</w:t>
      </w:r>
      <w:bookmarkEnd w:id="278"/>
      <w:bookmarkEnd w:id="279"/>
      <w:bookmarkEnd w:id="280"/>
      <w:bookmarkEnd w:id="281"/>
      <w:bookmarkEnd w:id="282"/>
    </w:p>
    <w:p w14:paraId="31B2719C">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环保设施为废水处理、废气治理、降噪、固废收集处置和风险防范等，</w:t>
      </w:r>
      <w:r>
        <w:rPr>
          <w:rFonts w:hint="default" w:ascii="Times New Roman" w:hAnsi="Times New Roman" w:cs="Times New Roman"/>
          <w:color w:val="000000" w:themeColor="text1"/>
          <w:sz w:val="24"/>
          <w:szCs w:val="24"/>
          <w14:textFill>
            <w14:solidFill>
              <w14:schemeClr w14:val="tx1"/>
            </w14:solidFill>
          </w14:textFill>
        </w:rPr>
        <w:t>项目各类污染防治措施环保投资估算汇总见下表。</w:t>
      </w:r>
    </w:p>
    <w:p w14:paraId="68B84002">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default" w:ascii="Times New Roman" w:hAnsi="Times New Roman" w:eastAsia="黑体" w:cs="Times New Roman"/>
          <w:bCs/>
          <w:color w:val="000000" w:themeColor="text1"/>
          <w:sz w:val="24"/>
          <w:lang w:val="en-US" w:eastAsia="zh-CN"/>
          <w14:textFill>
            <w14:solidFill>
              <w14:schemeClr w14:val="tx1"/>
            </w14:solidFill>
          </w14:textFill>
        </w:rPr>
        <w:t>7</w:t>
      </w:r>
      <w:r>
        <w:rPr>
          <w:rFonts w:hint="default" w:ascii="Times New Roman" w:hAnsi="Times New Roman" w:eastAsia="黑体" w:cs="Times New Roman"/>
          <w:bCs/>
          <w:color w:val="000000" w:themeColor="text1"/>
          <w:sz w:val="24"/>
          <w14:textFill>
            <w14:solidFill>
              <w14:schemeClr w14:val="tx1"/>
            </w14:solidFill>
          </w14:textFill>
        </w:rPr>
        <w:t>.1-1</w:t>
      </w:r>
      <w:r>
        <w:rPr>
          <w:rFonts w:hint="eastAsia" w:ascii="Times New Roman" w:hAnsi="Times New Roman" w:eastAsia="黑体" w:cs="Times New Roman"/>
          <w:bCs/>
          <w:color w:val="000000" w:themeColor="text1"/>
          <w:sz w:val="24"/>
          <w:lang w:val="en-US" w:eastAsia="zh-CN"/>
          <w14:textFill>
            <w14:solidFill>
              <w14:schemeClr w14:val="tx1"/>
            </w14:solidFill>
          </w14:textFill>
        </w:rPr>
        <w:t xml:space="preserve">  </w:t>
      </w:r>
      <w:r>
        <w:rPr>
          <w:rFonts w:hint="default" w:ascii="Times New Roman" w:hAnsi="Times New Roman" w:eastAsia="黑体" w:cs="Times New Roman"/>
          <w:bCs/>
          <w:color w:val="000000" w:themeColor="text1"/>
          <w:sz w:val="24"/>
          <w14:textFill>
            <w14:solidFill>
              <w14:schemeClr w14:val="tx1"/>
            </w14:solidFill>
          </w14:textFill>
        </w:rPr>
        <w:t>污染防治措施及投资估算一览表单位：万元</w:t>
      </w:r>
    </w:p>
    <w:tbl>
      <w:tblPr>
        <w:tblStyle w:val="88"/>
        <w:tblW w:w="8523"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661"/>
        <w:gridCol w:w="862"/>
        <w:gridCol w:w="1701"/>
        <w:gridCol w:w="3827"/>
        <w:gridCol w:w="1472"/>
      </w:tblGrid>
      <w:tr w14:paraId="6FAC562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661" w:type="dxa"/>
            <w:vAlign w:val="center"/>
          </w:tcPr>
          <w:p w14:paraId="76C46F46">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序号</w:t>
            </w:r>
          </w:p>
        </w:tc>
        <w:tc>
          <w:tcPr>
            <w:tcW w:w="862" w:type="dxa"/>
            <w:vAlign w:val="center"/>
          </w:tcPr>
          <w:p w14:paraId="4B8C8508">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分类</w:t>
            </w:r>
          </w:p>
        </w:tc>
        <w:tc>
          <w:tcPr>
            <w:tcW w:w="1701" w:type="dxa"/>
            <w:vAlign w:val="center"/>
          </w:tcPr>
          <w:p w14:paraId="51B27802">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工程设施名称</w:t>
            </w:r>
          </w:p>
        </w:tc>
        <w:tc>
          <w:tcPr>
            <w:tcW w:w="3827" w:type="dxa"/>
            <w:vAlign w:val="center"/>
          </w:tcPr>
          <w:p w14:paraId="2988D27B">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说明</w:t>
            </w:r>
          </w:p>
        </w:tc>
        <w:tc>
          <w:tcPr>
            <w:tcW w:w="1472" w:type="dxa"/>
            <w:vAlign w:val="center"/>
          </w:tcPr>
          <w:p w14:paraId="001EE212">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费用（万元）</w:t>
            </w:r>
          </w:p>
        </w:tc>
      </w:tr>
      <w:tr w14:paraId="64B4412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661" w:type="dxa"/>
            <w:vAlign w:val="center"/>
          </w:tcPr>
          <w:p w14:paraId="0F27FD2C">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862" w:type="dxa"/>
            <w:vAlign w:val="center"/>
          </w:tcPr>
          <w:p w14:paraId="36B488F1">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废水</w:t>
            </w:r>
          </w:p>
        </w:tc>
        <w:tc>
          <w:tcPr>
            <w:tcW w:w="1701" w:type="dxa"/>
            <w:vAlign w:val="center"/>
          </w:tcPr>
          <w:p w14:paraId="3346987E">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废水处理</w:t>
            </w:r>
          </w:p>
        </w:tc>
        <w:tc>
          <w:tcPr>
            <w:tcW w:w="3827" w:type="dxa"/>
            <w:vAlign w:val="center"/>
          </w:tcPr>
          <w:p w14:paraId="14807F53">
            <w:pPr>
              <w:tabs>
                <w:tab w:val="left" w:pos="210"/>
              </w:tabs>
              <w:spacing w:line="264"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化粪池；</w:t>
            </w:r>
            <w:r>
              <w:rPr>
                <w:rFonts w:hint="default" w:ascii="Times New Roman" w:hAnsi="Times New Roman" w:cs="Times New Roman"/>
                <w:color w:val="000000" w:themeColor="text1"/>
                <w:sz w:val="21"/>
                <w:szCs w:val="21"/>
                <w:lang w:eastAsia="zh-CN"/>
                <w14:textFill>
                  <w14:solidFill>
                    <w14:schemeClr w14:val="tx1"/>
                  </w14:solidFill>
                </w14:textFill>
              </w:rPr>
              <w:t>污水管网；污水站</w:t>
            </w:r>
          </w:p>
        </w:tc>
        <w:tc>
          <w:tcPr>
            <w:tcW w:w="1472" w:type="dxa"/>
            <w:vAlign w:val="center"/>
          </w:tcPr>
          <w:p w14:paraId="73560607">
            <w:pPr>
              <w:spacing w:line="264"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300</w:t>
            </w:r>
          </w:p>
        </w:tc>
      </w:tr>
      <w:tr w14:paraId="227C3DC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661" w:type="dxa"/>
            <w:vAlign w:val="center"/>
          </w:tcPr>
          <w:p w14:paraId="111647A1">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862" w:type="dxa"/>
            <w:vMerge w:val="restart"/>
            <w:vAlign w:val="center"/>
          </w:tcPr>
          <w:p w14:paraId="2E06898B">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废气</w:t>
            </w:r>
          </w:p>
        </w:tc>
        <w:tc>
          <w:tcPr>
            <w:tcW w:w="1701" w:type="dxa"/>
            <w:vAlign w:val="center"/>
          </w:tcPr>
          <w:p w14:paraId="284A1D3D">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改性粒子熔融挤出</w:t>
            </w:r>
            <w:r>
              <w:rPr>
                <w:rFonts w:hint="default" w:ascii="Times New Roman" w:hAnsi="Times New Roman" w:cs="Times New Roman"/>
                <w:color w:val="000000" w:themeColor="text1"/>
                <w:sz w:val="21"/>
                <w:szCs w:val="21"/>
                <w14:textFill>
                  <w14:solidFill>
                    <w14:schemeClr w14:val="tx1"/>
                  </w14:solidFill>
                </w14:textFill>
              </w:rPr>
              <w:t>废气</w:t>
            </w:r>
          </w:p>
        </w:tc>
        <w:tc>
          <w:tcPr>
            <w:tcW w:w="3827" w:type="dxa"/>
            <w:vAlign w:val="center"/>
          </w:tcPr>
          <w:p w14:paraId="167249A0">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区域封闭</w:t>
            </w:r>
            <w:r>
              <w:rPr>
                <w:rFonts w:hint="default" w:ascii="Times New Roman" w:hAnsi="Times New Roman"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集气罩收集＋</w:t>
            </w:r>
            <w:r>
              <w:rPr>
                <w:rFonts w:hint="default" w:ascii="Times New Roman" w:hAnsi="Times New Roman" w:cs="Times New Roman"/>
                <w:color w:val="000000" w:themeColor="text1"/>
                <w:sz w:val="21"/>
                <w:szCs w:val="21"/>
                <w:lang w:eastAsia="zh-CN"/>
                <w14:textFill>
                  <w14:solidFill>
                    <w14:schemeClr w14:val="tx1"/>
                  </w14:solidFill>
                </w14:textFill>
              </w:rPr>
              <w:t>油烟净化器</w:t>
            </w:r>
            <w:r>
              <w:rPr>
                <w:rFonts w:hint="default" w:ascii="Times New Roman" w:hAnsi="Times New Roman" w:cs="Times New Roman"/>
                <w:color w:val="000000" w:themeColor="text1"/>
                <w:sz w:val="21"/>
                <w:szCs w:val="21"/>
                <w14:textFill>
                  <w14:solidFill>
                    <w14:schemeClr w14:val="tx1"/>
                  </w14:solidFill>
                </w14:textFill>
              </w:rPr>
              <w:t>＋两级活性炭吸附装置＋1</w:t>
            </w:r>
            <w:r>
              <w:rPr>
                <w:rFonts w:hint="default" w:ascii="Times New Roman" w:hAnsi="Times New Roman"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m高DA001排气筒</w:t>
            </w:r>
          </w:p>
        </w:tc>
        <w:tc>
          <w:tcPr>
            <w:tcW w:w="1472" w:type="dxa"/>
            <w:vMerge w:val="restart"/>
            <w:vAlign w:val="center"/>
          </w:tcPr>
          <w:p w14:paraId="63C540C5">
            <w:pPr>
              <w:spacing w:line="264" w:lineRule="auto"/>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100</w:t>
            </w:r>
          </w:p>
        </w:tc>
      </w:tr>
      <w:tr w14:paraId="2EE294C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661" w:type="dxa"/>
            <w:vAlign w:val="center"/>
          </w:tcPr>
          <w:p w14:paraId="3B971EB8">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862" w:type="dxa"/>
            <w:vMerge w:val="continue"/>
            <w:vAlign w:val="center"/>
          </w:tcPr>
          <w:p w14:paraId="0AEDD06D">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01" w:type="dxa"/>
            <w:vAlign w:val="center"/>
          </w:tcPr>
          <w:p w14:paraId="0AF9FEAD">
            <w:pPr>
              <w:spacing w:line="264"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bCs/>
                <w:color w:val="000000" w:themeColor="text1"/>
                <w:sz w:val="21"/>
                <w:szCs w:val="21"/>
                <w:lang w:eastAsia="zh-CN"/>
                <w14:textFill>
                  <w14:solidFill>
                    <w14:schemeClr w14:val="tx1"/>
                  </w14:solidFill>
                </w14:textFill>
              </w:rPr>
              <w:t>标签纸</w:t>
            </w:r>
            <w:r>
              <w:rPr>
                <w:rFonts w:hint="eastAsia" w:cs="Times New Roman"/>
                <w:bCs/>
                <w:color w:val="000000" w:themeColor="text1"/>
                <w:sz w:val="21"/>
                <w:szCs w:val="21"/>
                <w:lang w:eastAsia="zh-CN"/>
                <w14:textFill>
                  <w14:solidFill>
                    <w14:schemeClr w14:val="tx1"/>
                  </w14:solidFill>
                </w14:textFill>
              </w:rPr>
              <w:t>高温分选</w:t>
            </w:r>
            <w:r>
              <w:rPr>
                <w:rFonts w:hint="default" w:ascii="Times New Roman" w:hAnsi="Times New Roman" w:cs="Times New Roman"/>
                <w:bCs/>
                <w:color w:val="000000" w:themeColor="text1"/>
                <w:sz w:val="21"/>
                <w:szCs w:val="21"/>
                <w:lang w:eastAsia="zh-CN"/>
                <w14:textFill>
                  <w14:solidFill>
                    <w14:schemeClr w14:val="tx1"/>
                  </w14:solidFill>
                </w14:textFill>
              </w:rPr>
              <w:t>废气</w:t>
            </w:r>
          </w:p>
        </w:tc>
        <w:tc>
          <w:tcPr>
            <w:tcW w:w="3827" w:type="dxa"/>
            <w:vAlign w:val="center"/>
          </w:tcPr>
          <w:p w14:paraId="428B5340">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设备密闭</w:t>
            </w:r>
            <w:r>
              <w:rPr>
                <w:rFonts w:hint="default" w:ascii="Times New Roman" w:hAnsi="Times New Roman"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集气罩收集＋</w:t>
            </w:r>
            <w:r>
              <w:rPr>
                <w:rFonts w:hint="default" w:ascii="Times New Roman" w:hAnsi="Times New Roman" w:cs="Times New Roman"/>
                <w:color w:val="000000" w:themeColor="text1"/>
                <w:sz w:val="21"/>
                <w:szCs w:val="21"/>
                <w:lang w:eastAsia="zh-CN"/>
                <w14:textFill>
                  <w14:solidFill>
                    <w14:schemeClr w14:val="tx1"/>
                  </w14:solidFill>
                </w14:textFill>
              </w:rPr>
              <w:t>油烟净化器</w:t>
            </w:r>
            <w:r>
              <w:rPr>
                <w:rFonts w:hint="default" w:ascii="Times New Roman" w:hAnsi="Times New Roman" w:cs="Times New Roman"/>
                <w:color w:val="000000" w:themeColor="text1"/>
                <w:sz w:val="21"/>
                <w:szCs w:val="21"/>
                <w14:textFill>
                  <w14:solidFill>
                    <w14:schemeClr w14:val="tx1"/>
                  </w14:solidFill>
                </w14:textFill>
              </w:rPr>
              <w:t>＋两级活性炭吸附装置＋1</w:t>
            </w:r>
            <w:r>
              <w:rPr>
                <w:rFonts w:hint="default" w:ascii="Times New Roman" w:hAnsi="Times New Roman"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m高DA001排气筒</w:t>
            </w:r>
          </w:p>
        </w:tc>
        <w:tc>
          <w:tcPr>
            <w:tcW w:w="1472" w:type="dxa"/>
            <w:vMerge w:val="continue"/>
            <w:vAlign w:val="center"/>
          </w:tcPr>
          <w:p w14:paraId="3DA3A0D8">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3774204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661" w:type="dxa"/>
            <w:vAlign w:val="center"/>
          </w:tcPr>
          <w:p w14:paraId="5E244AA5">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862" w:type="dxa"/>
            <w:vMerge w:val="continue"/>
            <w:vAlign w:val="center"/>
          </w:tcPr>
          <w:p w14:paraId="570F3455">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01" w:type="dxa"/>
            <w:vAlign w:val="center"/>
          </w:tcPr>
          <w:p w14:paraId="6D5DA65C">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拆包</w:t>
            </w:r>
            <w:r>
              <w:rPr>
                <w:rFonts w:hint="default" w:ascii="Times New Roman" w:hAnsi="Times New Roman" w:cs="Times New Roman"/>
                <w:color w:val="000000" w:themeColor="text1"/>
                <w:sz w:val="21"/>
                <w:szCs w:val="21"/>
                <w14:textFill>
                  <w14:solidFill>
                    <w14:schemeClr w14:val="tx1"/>
                  </w14:solidFill>
                </w14:textFill>
              </w:rPr>
              <w:t>废气</w:t>
            </w:r>
          </w:p>
        </w:tc>
        <w:tc>
          <w:tcPr>
            <w:tcW w:w="3827" w:type="dxa"/>
            <w:vAlign w:val="center"/>
          </w:tcPr>
          <w:p w14:paraId="02105708">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软帘</w:t>
            </w:r>
            <w:r>
              <w:rPr>
                <w:rFonts w:hint="default" w:ascii="Times New Roman" w:hAnsi="Times New Roman"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lang w:eastAsia="zh-CN"/>
                <w14:textFill>
                  <w14:solidFill>
                    <w14:schemeClr w14:val="tx1"/>
                  </w14:solidFill>
                </w14:textFill>
              </w:rPr>
              <w:t>集气罩</w:t>
            </w:r>
            <w:r>
              <w:rPr>
                <w:rFonts w:hint="default" w:ascii="Times New Roman" w:hAnsi="Times New Roman" w:cs="Times New Roman"/>
                <w:color w:val="000000" w:themeColor="text1"/>
                <w:sz w:val="21"/>
                <w:szCs w:val="21"/>
                <w14:textFill>
                  <w14:solidFill>
                    <w14:schemeClr w14:val="tx1"/>
                  </w14:solidFill>
                </w14:textFill>
              </w:rPr>
              <w:t>+布袋除尘器</w:t>
            </w:r>
            <w:r>
              <w:rPr>
                <w:rFonts w:hint="default" w:ascii="Times New Roman" w:hAnsi="Times New Roman" w:cs="Times New Roman"/>
                <w:bCs/>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lang w:val="en-US" w:eastAsia="zh-CN"/>
                <w14:textFill>
                  <w14:solidFill>
                    <w14:schemeClr w14:val="tx1"/>
                  </w14:solidFill>
                </w14:textFill>
              </w:rPr>
              <w:t>1</w:t>
            </w:r>
            <w:r>
              <w:rPr>
                <w:rFonts w:hint="default" w:ascii="Times New Roman" w:hAnsi="Times New Roman" w:cs="Times New Roman"/>
                <w:bCs/>
                <w:color w:val="000000" w:themeColor="text1"/>
                <w:sz w:val="21"/>
                <w:szCs w:val="21"/>
                <w14:textFill>
                  <w14:solidFill>
                    <w14:schemeClr w14:val="tx1"/>
                  </w14:solidFill>
                </w14:textFill>
              </w:rPr>
              <w:t>5m高DA00</w:t>
            </w:r>
            <w:r>
              <w:rPr>
                <w:rFonts w:hint="default" w:ascii="Times New Roman" w:hAnsi="Times New Roman" w:cs="Times New Roman"/>
                <w:bCs/>
                <w:color w:val="000000" w:themeColor="text1"/>
                <w:sz w:val="21"/>
                <w:szCs w:val="21"/>
                <w:lang w:val="en-US" w:eastAsia="zh-CN"/>
                <w14:textFill>
                  <w14:solidFill>
                    <w14:schemeClr w14:val="tx1"/>
                  </w14:solidFill>
                </w14:textFill>
              </w:rPr>
              <w:t>2</w:t>
            </w:r>
            <w:r>
              <w:rPr>
                <w:rFonts w:hint="default" w:ascii="Times New Roman" w:hAnsi="Times New Roman" w:cs="Times New Roman"/>
                <w:bCs/>
                <w:color w:val="000000" w:themeColor="text1"/>
                <w:sz w:val="21"/>
                <w:szCs w:val="21"/>
                <w14:textFill>
                  <w14:solidFill>
                    <w14:schemeClr w14:val="tx1"/>
                  </w14:solidFill>
                </w14:textFill>
              </w:rPr>
              <w:t>排气筒</w:t>
            </w:r>
          </w:p>
        </w:tc>
        <w:tc>
          <w:tcPr>
            <w:tcW w:w="1472" w:type="dxa"/>
            <w:vMerge w:val="restart"/>
            <w:vAlign w:val="center"/>
          </w:tcPr>
          <w:p w14:paraId="3F6262DE">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50</w:t>
            </w:r>
          </w:p>
        </w:tc>
      </w:tr>
      <w:tr w14:paraId="40E6760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661" w:type="dxa"/>
            <w:vAlign w:val="center"/>
          </w:tcPr>
          <w:p w14:paraId="6F240BB5">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862" w:type="dxa"/>
            <w:vMerge w:val="continue"/>
            <w:vAlign w:val="center"/>
          </w:tcPr>
          <w:p w14:paraId="552E7ED1">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01" w:type="dxa"/>
            <w:vAlign w:val="center"/>
          </w:tcPr>
          <w:p w14:paraId="22AABDF7">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磨粉</w:t>
            </w:r>
            <w:r>
              <w:rPr>
                <w:rFonts w:hint="default" w:ascii="Times New Roman" w:hAnsi="Times New Roman" w:cs="Times New Roman"/>
                <w:color w:val="000000" w:themeColor="text1"/>
                <w:sz w:val="21"/>
                <w:szCs w:val="21"/>
                <w14:textFill>
                  <w14:solidFill>
                    <w14:schemeClr w14:val="tx1"/>
                  </w14:solidFill>
                </w14:textFill>
              </w:rPr>
              <w:t>废气</w:t>
            </w:r>
          </w:p>
        </w:tc>
        <w:tc>
          <w:tcPr>
            <w:tcW w:w="3827" w:type="dxa"/>
            <w:vAlign w:val="center"/>
          </w:tcPr>
          <w:p w14:paraId="5A4678E5">
            <w:pPr>
              <w:spacing w:line="276" w:lineRule="auto"/>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设备密闭</w:t>
            </w:r>
            <w:r>
              <w:rPr>
                <w:rFonts w:hint="default" w:ascii="Times New Roman" w:hAnsi="Times New Roman"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lang w:eastAsia="zh-CN"/>
                <w14:textFill>
                  <w14:solidFill>
                    <w14:schemeClr w14:val="tx1"/>
                  </w14:solidFill>
                </w14:textFill>
              </w:rPr>
              <w:t>集气罩</w:t>
            </w:r>
            <w:r>
              <w:rPr>
                <w:rFonts w:hint="default" w:ascii="Times New Roman" w:hAnsi="Times New Roman" w:cs="Times New Roman"/>
                <w:color w:val="000000" w:themeColor="text1"/>
                <w:sz w:val="21"/>
                <w:szCs w:val="21"/>
                <w14:textFill>
                  <w14:solidFill>
                    <w14:schemeClr w14:val="tx1"/>
                  </w14:solidFill>
                </w14:textFill>
              </w:rPr>
              <w:t>+布袋除尘器</w:t>
            </w:r>
            <w:r>
              <w:rPr>
                <w:rFonts w:hint="default" w:ascii="Times New Roman" w:hAnsi="Times New Roman" w:cs="Times New Roman"/>
                <w:bCs/>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lang w:val="en-US" w:eastAsia="zh-CN"/>
                <w14:textFill>
                  <w14:solidFill>
                    <w14:schemeClr w14:val="tx1"/>
                  </w14:solidFill>
                </w14:textFill>
              </w:rPr>
              <w:t>1</w:t>
            </w:r>
            <w:r>
              <w:rPr>
                <w:rFonts w:hint="default" w:ascii="Times New Roman" w:hAnsi="Times New Roman" w:cs="Times New Roman"/>
                <w:bCs/>
                <w:color w:val="000000" w:themeColor="text1"/>
                <w:sz w:val="21"/>
                <w:szCs w:val="21"/>
                <w14:textFill>
                  <w14:solidFill>
                    <w14:schemeClr w14:val="tx1"/>
                  </w14:solidFill>
                </w14:textFill>
              </w:rPr>
              <w:t>5m高DA00</w:t>
            </w:r>
            <w:r>
              <w:rPr>
                <w:rFonts w:hint="default" w:ascii="Times New Roman" w:hAnsi="Times New Roman" w:cs="Times New Roman"/>
                <w:bCs/>
                <w:color w:val="000000" w:themeColor="text1"/>
                <w:sz w:val="21"/>
                <w:szCs w:val="21"/>
                <w:lang w:val="en-US" w:eastAsia="zh-CN"/>
                <w14:textFill>
                  <w14:solidFill>
                    <w14:schemeClr w14:val="tx1"/>
                  </w14:solidFill>
                </w14:textFill>
              </w:rPr>
              <w:t>2</w:t>
            </w:r>
            <w:r>
              <w:rPr>
                <w:rFonts w:hint="default" w:ascii="Times New Roman" w:hAnsi="Times New Roman" w:cs="Times New Roman"/>
                <w:bCs/>
                <w:color w:val="000000" w:themeColor="text1"/>
                <w:sz w:val="21"/>
                <w:szCs w:val="21"/>
                <w14:textFill>
                  <w14:solidFill>
                    <w14:schemeClr w14:val="tx1"/>
                  </w14:solidFill>
                </w14:textFill>
              </w:rPr>
              <w:t>排气筒</w:t>
            </w:r>
          </w:p>
        </w:tc>
        <w:tc>
          <w:tcPr>
            <w:tcW w:w="1472" w:type="dxa"/>
            <w:vMerge w:val="continue"/>
            <w:vAlign w:val="center"/>
          </w:tcPr>
          <w:p w14:paraId="5615C4CD">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057B598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661" w:type="dxa"/>
            <w:vAlign w:val="center"/>
          </w:tcPr>
          <w:p w14:paraId="18A3D952">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862" w:type="dxa"/>
            <w:vMerge w:val="continue"/>
            <w:vAlign w:val="center"/>
          </w:tcPr>
          <w:p w14:paraId="19770064">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701" w:type="dxa"/>
            <w:vAlign w:val="center"/>
          </w:tcPr>
          <w:p w14:paraId="5AD9470B">
            <w:pPr>
              <w:spacing w:line="264"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污水站废气</w:t>
            </w:r>
          </w:p>
        </w:tc>
        <w:tc>
          <w:tcPr>
            <w:tcW w:w="3827" w:type="dxa"/>
            <w:vAlign w:val="center"/>
          </w:tcPr>
          <w:p w14:paraId="63210AB8">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封闭</w:t>
            </w:r>
            <w:r>
              <w:rPr>
                <w:rFonts w:hint="default" w:ascii="Times New Roman" w:hAnsi="Times New Roman" w:cs="Times New Roman"/>
                <w:color w:val="000000" w:themeColor="text1"/>
                <w:sz w:val="21"/>
                <w:szCs w:val="21"/>
                <w14:textFill>
                  <w14:solidFill>
                    <w14:schemeClr w14:val="tx1"/>
                  </w14:solidFill>
                </w14:textFill>
              </w:rPr>
              <w:t>负压收集+</w:t>
            </w:r>
            <w:r>
              <w:rPr>
                <w:rFonts w:hint="eastAsia" w:cs="Times New Roman"/>
                <w:color w:val="000000" w:themeColor="text1"/>
                <w:sz w:val="21"/>
                <w:szCs w:val="21"/>
                <w:lang w:eastAsia="zh-CN"/>
                <w14:textFill>
                  <w14:solidFill>
                    <w14:schemeClr w14:val="tx1"/>
                  </w14:solidFill>
                </w14:textFill>
              </w:rPr>
              <w:t>两级活性炭</w:t>
            </w:r>
            <w:r>
              <w:rPr>
                <w:rFonts w:hint="default" w:ascii="Times New Roman" w:hAnsi="Times New Roman" w:cs="Times New Roman"/>
                <w:color w:val="000000" w:themeColor="text1"/>
                <w:sz w:val="21"/>
                <w:szCs w:val="21"/>
                <w14:textFill>
                  <w14:solidFill>
                    <w14:schemeClr w14:val="tx1"/>
                  </w14:solidFill>
                </w14:textFill>
              </w:rPr>
              <w:t>+1</w:t>
            </w:r>
            <w:r>
              <w:rPr>
                <w:rFonts w:hint="default" w:ascii="Times New Roman" w:hAnsi="Times New Roman"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m高DA00</w:t>
            </w:r>
            <w:r>
              <w:rPr>
                <w:rFonts w:hint="default" w:ascii="Times New Roman" w:hAnsi="Times New Roman" w:cs="Times New Roman"/>
                <w:color w:val="000000" w:themeColor="text1"/>
                <w:sz w:val="21"/>
                <w:szCs w:val="21"/>
                <w:lang w:val="en-US" w:eastAsia="zh-CN"/>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排气筒</w:t>
            </w:r>
          </w:p>
        </w:tc>
        <w:tc>
          <w:tcPr>
            <w:tcW w:w="1472" w:type="dxa"/>
            <w:vAlign w:val="center"/>
          </w:tcPr>
          <w:p w14:paraId="75854734">
            <w:pPr>
              <w:spacing w:line="264"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20</w:t>
            </w:r>
          </w:p>
        </w:tc>
      </w:tr>
      <w:tr w14:paraId="3B81098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661" w:type="dxa"/>
            <w:vAlign w:val="center"/>
          </w:tcPr>
          <w:p w14:paraId="43354015">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w:t>
            </w:r>
          </w:p>
        </w:tc>
        <w:tc>
          <w:tcPr>
            <w:tcW w:w="862" w:type="dxa"/>
            <w:vAlign w:val="center"/>
          </w:tcPr>
          <w:p w14:paraId="4E3C1D19">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噪声</w:t>
            </w:r>
          </w:p>
        </w:tc>
        <w:tc>
          <w:tcPr>
            <w:tcW w:w="1701" w:type="dxa"/>
            <w:vAlign w:val="center"/>
          </w:tcPr>
          <w:p w14:paraId="3F05FAC8">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降噪设施</w:t>
            </w:r>
          </w:p>
        </w:tc>
        <w:tc>
          <w:tcPr>
            <w:tcW w:w="3827" w:type="dxa"/>
            <w:vAlign w:val="center"/>
          </w:tcPr>
          <w:p w14:paraId="027EA974">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安装减震垫和消声器等降噪措施</w:t>
            </w:r>
          </w:p>
        </w:tc>
        <w:tc>
          <w:tcPr>
            <w:tcW w:w="1472" w:type="dxa"/>
            <w:vAlign w:val="center"/>
          </w:tcPr>
          <w:p w14:paraId="45EC1BDA">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0</w:t>
            </w:r>
          </w:p>
        </w:tc>
      </w:tr>
      <w:tr w14:paraId="6BB2699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661" w:type="dxa"/>
            <w:vAlign w:val="center"/>
          </w:tcPr>
          <w:p w14:paraId="64A40F63">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8</w:t>
            </w:r>
          </w:p>
        </w:tc>
        <w:tc>
          <w:tcPr>
            <w:tcW w:w="862" w:type="dxa"/>
            <w:vAlign w:val="center"/>
          </w:tcPr>
          <w:p w14:paraId="76F8D82E">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固废</w:t>
            </w:r>
          </w:p>
        </w:tc>
        <w:tc>
          <w:tcPr>
            <w:tcW w:w="1701" w:type="dxa"/>
            <w:vAlign w:val="center"/>
          </w:tcPr>
          <w:p w14:paraId="0DBE3175">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固废收集与处置</w:t>
            </w:r>
          </w:p>
        </w:tc>
        <w:tc>
          <w:tcPr>
            <w:tcW w:w="3827" w:type="dxa"/>
            <w:vAlign w:val="center"/>
          </w:tcPr>
          <w:p w14:paraId="31EC5BAA">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危险废物暂存仓库（</w:t>
            </w:r>
            <w:r>
              <w:rPr>
                <w:rFonts w:hint="default" w:ascii="Times New Roman" w:hAnsi="Times New Roman"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0m</w:t>
            </w:r>
            <w:r>
              <w:rPr>
                <w:rFonts w:hint="default" w:ascii="Times New Roman" w:hAnsi="Times New Roman" w:cs="Times New Roman"/>
                <w:color w:val="000000" w:themeColor="text1"/>
                <w:sz w:val="21"/>
                <w:szCs w:val="21"/>
                <w:vertAlign w:val="super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）、一般工业固体废物暂存仓库（50m</w:t>
            </w:r>
            <w:r>
              <w:rPr>
                <w:rFonts w:hint="default" w:ascii="Times New Roman" w:hAnsi="Times New Roman" w:cs="Times New Roman"/>
                <w:color w:val="000000" w:themeColor="text1"/>
                <w:sz w:val="21"/>
                <w:szCs w:val="21"/>
                <w:vertAlign w:val="super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w:t>
            </w:r>
          </w:p>
        </w:tc>
        <w:tc>
          <w:tcPr>
            <w:tcW w:w="1472" w:type="dxa"/>
            <w:vAlign w:val="center"/>
          </w:tcPr>
          <w:p w14:paraId="2177EB70">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r>
      <w:tr w14:paraId="62F2E79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661" w:type="dxa"/>
            <w:vAlign w:val="center"/>
          </w:tcPr>
          <w:p w14:paraId="36684271">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w:t>
            </w:r>
          </w:p>
        </w:tc>
        <w:tc>
          <w:tcPr>
            <w:tcW w:w="862" w:type="dxa"/>
            <w:vAlign w:val="center"/>
          </w:tcPr>
          <w:p w14:paraId="01B991B3">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地下水</w:t>
            </w:r>
          </w:p>
        </w:tc>
        <w:tc>
          <w:tcPr>
            <w:tcW w:w="1701" w:type="dxa"/>
            <w:vAlign w:val="center"/>
          </w:tcPr>
          <w:p w14:paraId="0A7F2B2B">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分区防渗</w:t>
            </w:r>
          </w:p>
        </w:tc>
        <w:tc>
          <w:tcPr>
            <w:tcW w:w="3827" w:type="dxa"/>
            <w:vAlign w:val="center"/>
          </w:tcPr>
          <w:p w14:paraId="7964E59B">
            <w:pPr>
              <w:spacing w:line="26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地下水防渗</w:t>
            </w:r>
          </w:p>
        </w:tc>
        <w:tc>
          <w:tcPr>
            <w:tcW w:w="1472" w:type="dxa"/>
            <w:vAlign w:val="center"/>
          </w:tcPr>
          <w:p w14:paraId="0F180852">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r>
      <w:tr w14:paraId="2AC814E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661" w:type="dxa"/>
            <w:vAlign w:val="center"/>
          </w:tcPr>
          <w:p w14:paraId="64D84388">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c>
          <w:tcPr>
            <w:tcW w:w="2563" w:type="dxa"/>
            <w:gridSpan w:val="2"/>
            <w:vAlign w:val="center"/>
          </w:tcPr>
          <w:p w14:paraId="1EC79151">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风险防范</w:t>
            </w:r>
          </w:p>
        </w:tc>
        <w:tc>
          <w:tcPr>
            <w:tcW w:w="3827" w:type="dxa"/>
            <w:vAlign w:val="center"/>
          </w:tcPr>
          <w:p w14:paraId="699F86F4">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事故应急池</w:t>
            </w:r>
          </w:p>
        </w:tc>
        <w:tc>
          <w:tcPr>
            <w:tcW w:w="1472" w:type="dxa"/>
            <w:vAlign w:val="center"/>
          </w:tcPr>
          <w:p w14:paraId="32D6E4D1">
            <w:pPr>
              <w:spacing w:line="264"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20</w:t>
            </w:r>
          </w:p>
        </w:tc>
      </w:tr>
      <w:tr w14:paraId="7ED8093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661" w:type="dxa"/>
            <w:vAlign w:val="center"/>
          </w:tcPr>
          <w:p w14:paraId="34436BF8">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11</w:t>
            </w:r>
          </w:p>
        </w:tc>
        <w:tc>
          <w:tcPr>
            <w:tcW w:w="2563" w:type="dxa"/>
            <w:gridSpan w:val="2"/>
            <w:vAlign w:val="center"/>
          </w:tcPr>
          <w:p w14:paraId="5D07EA46">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生态环境</w:t>
            </w:r>
          </w:p>
        </w:tc>
        <w:tc>
          <w:tcPr>
            <w:tcW w:w="3827" w:type="dxa"/>
            <w:vAlign w:val="center"/>
          </w:tcPr>
          <w:p w14:paraId="5EB5E003">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厂区绿化</w:t>
            </w:r>
          </w:p>
        </w:tc>
        <w:tc>
          <w:tcPr>
            <w:tcW w:w="1472" w:type="dxa"/>
            <w:vAlign w:val="center"/>
          </w:tcPr>
          <w:p w14:paraId="7449C8A6">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0</w:t>
            </w:r>
          </w:p>
        </w:tc>
      </w:tr>
      <w:tr w14:paraId="7665E93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83" w:hRule="atLeast"/>
          <w:jc w:val="center"/>
        </w:trPr>
        <w:tc>
          <w:tcPr>
            <w:tcW w:w="3224" w:type="dxa"/>
            <w:gridSpan w:val="3"/>
            <w:vAlign w:val="center"/>
          </w:tcPr>
          <w:p w14:paraId="49EF80FE">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合计</w:t>
            </w:r>
          </w:p>
        </w:tc>
        <w:tc>
          <w:tcPr>
            <w:tcW w:w="3827" w:type="dxa"/>
            <w:vAlign w:val="center"/>
          </w:tcPr>
          <w:p w14:paraId="0C444E4A">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472" w:type="dxa"/>
            <w:vAlign w:val="center"/>
          </w:tcPr>
          <w:p w14:paraId="03DA55F8">
            <w:pPr>
              <w:spacing w:line="264"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550</w:t>
            </w:r>
          </w:p>
        </w:tc>
      </w:tr>
    </w:tbl>
    <w:p w14:paraId="3E6154C5">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bookmarkStart w:id="283" w:name="_Hlt90199576"/>
      <w:r>
        <w:rPr>
          <w:rFonts w:hint="default" w:ascii="Times New Roman" w:hAnsi="Times New Roman" w:cs="Times New Roman"/>
          <w:color w:val="000000" w:themeColor="text1"/>
          <w:kern w:val="24"/>
          <w:sz w:val="24"/>
          <w:szCs w:val="24"/>
          <w14:textFill>
            <w14:solidFill>
              <w14:schemeClr w14:val="tx1"/>
            </w14:solidFill>
          </w14:textFill>
        </w:rPr>
        <w:t>由上表可知，项目环保设施建设所需投资</w:t>
      </w:r>
      <w:r>
        <w:rPr>
          <w:rFonts w:hint="default" w:ascii="Times New Roman" w:hAnsi="Times New Roman" w:cs="Times New Roman"/>
          <w:color w:val="000000" w:themeColor="text1"/>
          <w:kern w:val="24"/>
          <w:sz w:val="24"/>
          <w:szCs w:val="24"/>
          <w:lang w:val="en-US" w:eastAsia="zh-CN"/>
          <w14:textFill>
            <w14:solidFill>
              <w14:schemeClr w14:val="tx1"/>
            </w14:solidFill>
          </w14:textFill>
        </w:rPr>
        <w:t>550</w:t>
      </w:r>
      <w:r>
        <w:rPr>
          <w:rFonts w:hint="default" w:ascii="Times New Roman" w:hAnsi="Times New Roman" w:cs="Times New Roman"/>
          <w:color w:val="000000" w:themeColor="text1"/>
          <w:kern w:val="24"/>
          <w:sz w:val="24"/>
          <w:szCs w:val="24"/>
          <w14:textFill>
            <w14:solidFill>
              <w14:schemeClr w14:val="tx1"/>
            </w14:solidFill>
          </w14:textFill>
        </w:rPr>
        <w:t>万元，约占总投资的</w:t>
      </w:r>
      <w:r>
        <w:rPr>
          <w:rFonts w:hint="default" w:ascii="Times New Roman" w:hAnsi="Times New Roman" w:cs="Times New Roman"/>
          <w:color w:val="000000" w:themeColor="text1"/>
          <w:kern w:val="24"/>
          <w:sz w:val="24"/>
          <w:szCs w:val="24"/>
          <w:lang w:val="en-US" w:eastAsia="zh-CN"/>
          <w14:textFill>
            <w14:solidFill>
              <w14:schemeClr w14:val="tx1"/>
            </w14:solidFill>
          </w14:textFill>
        </w:rPr>
        <w:t>13.1</w:t>
      </w:r>
      <w:r>
        <w:rPr>
          <w:rFonts w:hint="default" w:ascii="Times New Roman" w:hAnsi="Times New Roman" w:cs="Times New Roman"/>
          <w:color w:val="000000" w:themeColor="text1"/>
          <w:kern w:val="24"/>
          <w:sz w:val="24"/>
          <w:szCs w:val="24"/>
          <w14:textFill>
            <w14:solidFill>
              <w14:schemeClr w14:val="tx1"/>
            </w14:solidFill>
          </w14:textFill>
        </w:rPr>
        <w:t>%。</w:t>
      </w:r>
    </w:p>
    <w:bookmarkEnd w:id="283"/>
    <w:p w14:paraId="5CA625A5">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284" w:name="_Toc109136000"/>
      <w:bookmarkStart w:id="285" w:name="_Toc531340219"/>
      <w:bookmarkStart w:id="286" w:name="_Toc173837770"/>
      <w:bookmarkStart w:id="287" w:name="_Toc531339546"/>
      <w:bookmarkStart w:id="288" w:name="_Toc133214619"/>
      <w:bookmarkStart w:id="289" w:name="_Toc133333776"/>
      <w:bookmarkStart w:id="290" w:name="_Toc23923857"/>
      <w:r>
        <w:rPr>
          <w:rFonts w:hint="default" w:ascii="Times New Roman" w:hAnsi="Times New Roman"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14:textFill>
            <w14:solidFill>
              <w14:schemeClr w14:val="tx1"/>
            </w14:solidFill>
          </w14:textFill>
        </w:rPr>
        <w:t>.2环保效益分析</w:t>
      </w:r>
      <w:bookmarkEnd w:id="284"/>
      <w:bookmarkEnd w:id="285"/>
      <w:bookmarkEnd w:id="286"/>
      <w:bookmarkEnd w:id="287"/>
      <w:bookmarkEnd w:id="288"/>
      <w:bookmarkEnd w:id="289"/>
      <w:bookmarkEnd w:id="290"/>
    </w:p>
    <w:p w14:paraId="7BD7E356">
      <w:pPr>
        <w:pStyle w:val="3159"/>
        <w:rPr>
          <w:rFonts w:hint="default" w:ascii="Times New Roman" w:hAnsi="Times New Roman" w:cs="Times New Roman"/>
          <w:color w:val="000000" w:themeColor="text1"/>
          <w:kern w:val="24"/>
          <w:szCs w:val="24"/>
          <w14:textFill>
            <w14:solidFill>
              <w14:schemeClr w14:val="tx1"/>
            </w14:solidFill>
          </w14:textFill>
        </w:rPr>
      </w:pPr>
      <w:bookmarkStart w:id="291" w:name="_Toc173837771"/>
      <w:bookmarkStart w:id="292" w:name="_Toc170562285"/>
      <w:r>
        <w:rPr>
          <w:rFonts w:hint="default" w:ascii="Times New Roman" w:hAnsi="Times New Roman"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14:textFill>
            <w14:solidFill>
              <w14:schemeClr w14:val="tx1"/>
            </w14:solidFill>
          </w14:textFill>
        </w:rPr>
        <w:t>.2.1目的和内容</w:t>
      </w:r>
      <w:bookmarkEnd w:id="291"/>
      <w:bookmarkEnd w:id="292"/>
    </w:p>
    <w:p w14:paraId="5EE4CF62">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将项目产生的直接和间接、定量和非定量的各种影响列于分析范围内，通过分析计算用于控制污染所需投资费用、环境经济指标，估算可能收到的环境与经济实效，全面衡量项目建设投资在环保经济上的合理水平，反映项目投资的环保经济效益和社会环境效益。</w:t>
      </w:r>
    </w:p>
    <w:p w14:paraId="64D89E3A">
      <w:pPr>
        <w:pStyle w:val="3159"/>
        <w:rPr>
          <w:rFonts w:hint="default" w:ascii="Times New Roman" w:hAnsi="Times New Roman" w:cs="Times New Roman"/>
          <w:color w:val="000000" w:themeColor="text1"/>
          <w:kern w:val="24"/>
          <w:szCs w:val="24"/>
          <w14:textFill>
            <w14:solidFill>
              <w14:schemeClr w14:val="tx1"/>
            </w14:solidFill>
          </w14:textFill>
        </w:rPr>
      </w:pPr>
      <w:bookmarkStart w:id="293" w:name="_Toc173837772"/>
      <w:bookmarkStart w:id="294" w:name="_Toc170562286"/>
      <w:r>
        <w:rPr>
          <w:rFonts w:hint="default" w:ascii="Times New Roman" w:hAnsi="Times New Roman"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14:textFill>
            <w14:solidFill>
              <w14:schemeClr w14:val="tx1"/>
            </w14:solidFill>
          </w14:textFill>
        </w:rPr>
        <w:t>.2.2分析方法</w:t>
      </w:r>
      <w:bookmarkEnd w:id="293"/>
      <w:bookmarkEnd w:id="294"/>
    </w:p>
    <w:p w14:paraId="14C17FDB">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采用指标计算方法进行建设项目的环境经济损益分析。将项目对环境产生的损益分解成各项经济指标，包括环保费用指标、污染损失指标和环境效益，逐项计算。然后通过环境经济的静态分析，得出项目环保投资的年净效益、环保费用的经济效益，以及效益与费用比例等各项参数。</w:t>
      </w:r>
    </w:p>
    <w:p w14:paraId="613DBF6D">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年净效益是指环保投资的直接经济效益，扣除污染控制费用。</w:t>
      </w:r>
    </w:p>
    <w:p w14:paraId="0C3CFC50">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环保污染治理费用的经济效益等于环保效益指标与污染控制费用之比，当比值大于等于1时，可以认为项目的环保治理方案在经济技术上是可行的，否则是不可行的。</w:t>
      </w:r>
    </w:p>
    <w:p w14:paraId="0AC95968">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环保效益与费用的比是在对项目污染控制投资进行分析，当比值大于等于1时，可以认为环保费用在环保经济效益上是可行的，否则就认为在经济方案上是不合理的。</w:t>
      </w:r>
    </w:p>
    <w:p w14:paraId="595E26C8">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295" w:name="_Toc23923858"/>
      <w:bookmarkStart w:id="296" w:name="_Toc173837773"/>
      <w:bookmarkStart w:id="297" w:name="_Toc109136001"/>
      <w:bookmarkStart w:id="298" w:name="_Toc133333777"/>
      <w:bookmarkStart w:id="299" w:name="_Toc133214620"/>
      <w:r>
        <w:rPr>
          <w:rFonts w:hint="default" w:ascii="Times New Roman" w:hAnsi="Times New Roman"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14:textFill>
            <w14:solidFill>
              <w14:schemeClr w14:val="tx1"/>
            </w14:solidFill>
          </w14:textFill>
        </w:rPr>
        <w:t>.3环保运行费用估算</w:t>
      </w:r>
      <w:bookmarkEnd w:id="295"/>
      <w:bookmarkEnd w:id="296"/>
      <w:bookmarkEnd w:id="297"/>
      <w:bookmarkEnd w:id="298"/>
      <w:bookmarkEnd w:id="299"/>
    </w:p>
    <w:p w14:paraId="1A382493">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环保运行费用包括“三废”处理的成本费和固定费用，成本费用包括原辅材料费、燃料动力消耗及人员工资等，固定费用包括环保设备维修费、折旧费、技术措施费、环保管理费及其它费用。其费用估算见下表。</w:t>
      </w:r>
    </w:p>
    <w:p w14:paraId="4B1FBDE5">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eastAsia" w:ascii="Times New Roman" w:hAnsi="Times New Roman" w:eastAsia="黑体" w:cs="Times New Roman"/>
          <w:bCs/>
          <w:color w:val="000000" w:themeColor="text1"/>
          <w:sz w:val="24"/>
          <w:lang w:val="en-US" w:eastAsia="zh-CN"/>
          <w14:textFill>
            <w14:solidFill>
              <w14:schemeClr w14:val="tx1"/>
            </w14:solidFill>
          </w14:textFill>
        </w:rPr>
        <w:t>7</w:t>
      </w:r>
      <w:r>
        <w:rPr>
          <w:rFonts w:hint="default" w:ascii="Times New Roman" w:hAnsi="Times New Roman" w:eastAsia="黑体" w:cs="Times New Roman"/>
          <w:bCs/>
          <w:color w:val="000000" w:themeColor="text1"/>
          <w:sz w:val="24"/>
          <w14:textFill>
            <w14:solidFill>
              <w14:schemeClr w14:val="tx1"/>
            </w14:solidFill>
          </w14:textFill>
        </w:rPr>
        <w:t>.3-1</w:t>
      </w:r>
      <w:r>
        <w:rPr>
          <w:rFonts w:hint="eastAsia" w:ascii="Times New Roman" w:hAnsi="Times New Roman" w:eastAsia="黑体" w:cs="Times New Roman"/>
          <w:bCs/>
          <w:color w:val="000000" w:themeColor="text1"/>
          <w:sz w:val="24"/>
          <w:lang w:val="en-US" w:eastAsia="zh-CN"/>
          <w14:textFill>
            <w14:solidFill>
              <w14:schemeClr w14:val="tx1"/>
            </w14:solidFill>
          </w14:textFill>
        </w:rPr>
        <w:t xml:space="preserve">  </w:t>
      </w:r>
      <w:r>
        <w:rPr>
          <w:rFonts w:hint="default" w:ascii="Times New Roman" w:hAnsi="Times New Roman" w:eastAsia="黑体" w:cs="Times New Roman"/>
          <w:bCs/>
          <w:color w:val="000000" w:themeColor="text1"/>
          <w:sz w:val="24"/>
          <w14:textFill>
            <w14:solidFill>
              <w14:schemeClr w14:val="tx1"/>
            </w14:solidFill>
          </w14:textFill>
        </w:rPr>
        <w:t>环保设施年运行费用估算单位：万元</w:t>
      </w:r>
    </w:p>
    <w:tbl>
      <w:tblPr>
        <w:tblStyle w:val="88"/>
        <w:tblW w:w="8523"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936"/>
        <w:gridCol w:w="3736"/>
        <w:gridCol w:w="3851"/>
      </w:tblGrid>
      <w:tr w14:paraId="15790B7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936" w:type="dxa"/>
            <w:vAlign w:val="center"/>
          </w:tcPr>
          <w:p w14:paraId="112541CA">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序号</w:t>
            </w:r>
          </w:p>
        </w:tc>
        <w:tc>
          <w:tcPr>
            <w:tcW w:w="3736" w:type="dxa"/>
            <w:vAlign w:val="center"/>
          </w:tcPr>
          <w:p w14:paraId="0A7E2353">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环保项目</w:t>
            </w:r>
          </w:p>
        </w:tc>
        <w:tc>
          <w:tcPr>
            <w:tcW w:w="3851" w:type="dxa"/>
            <w:vAlign w:val="center"/>
          </w:tcPr>
          <w:p w14:paraId="5DE2EFC6">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年运行费用</w:t>
            </w:r>
          </w:p>
        </w:tc>
      </w:tr>
      <w:tr w14:paraId="3C6549C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936" w:type="dxa"/>
            <w:vAlign w:val="center"/>
          </w:tcPr>
          <w:p w14:paraId="0C94AA9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3736" w:type="dxa"/>
            <w:vAlign w:val="center"/>
          </w:tcPr>
          <w:p w14:paraId="1FDF72B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废气处理</w:t>
            </w:r>
          </w:p>
        </w:tc>
        <w:tc>
          <w:tcPr>
            <w:tcW w:w="3851" w:type="dxa"/>
            <w:vAlign w:val="center"/>
          </w:tcPr>
          <w:p w14:paraId="531ED94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0</w:t>
            </w:r>
          </w:p>
        </w:tc>
      </w:tr>
      <w:tr w14:paraId="49C34D2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936" w:type="dxa"/>
            <w:vAlign w:val="center"/>
          </w:tcPr>
          <w:p w14:paraId="76F0BF4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3736" w:type="dxa"/>
            <w:vAlign w:val="center"/>
          </w:tcPr>
          <w:p w14:paraId="3D9A1D7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废水处理及利用</w:t>
            </w:r>
          </w:p>
        </w:tc>
        <w:tc>
          <w:tcPr>
            <w:tcW w:w="3851" w:type="dxa"/>
            <w:vAlign w:val="center"/>
          </w:tcPr>
          <w:p w14:paraId="1440ED5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w:t>
            </w:r>
            <w:r>
              <w:rPr>
                <w:rFonts w:hint="default" w:ascii="Times New Roman" w:hAnsi="Times New Roman" w:cs="Times New Roman"/>
                <w:color w:val="000000" w:themeColor="text1"/>
                <w:sz w:val="21"/>
                <w:szCs w:val="21"/>
                <w14:textFill>
                  <w14:solidFill>
                    <w14:schemeClr w14:val="tx1"/>
                  </w14:solidFill>
                </w14:textFill>
              </w:rPr>
              <w:t>0</w:t>
            </w:r>
          </w:p>
        </w:tc>
      </w:tr>
      <w:tr w14:paraId="57BE03A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936" w:type="dxa"/>
            <w:vAlign w:val="center"/>
          </w:tcPr>
          <w:p w14:paraId="1491F88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3736" w:type="dxa"/>
            <w:vAlign w:val="center"/>
          </w:tcPr>
          <w:p w14:paraId="336C9EF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噪声控制</w:t>
            </w:r>
          </w:p>
        </w:tc>
        <w:tc>
          <w:tcPr>
            <w:tcW w:w="3851" w:type="dxa"/>
            <w:vAlign w:val="center"/>
          </w:tcPr>
          <w:p w14:paraId="4E347DF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w:t>
            </w:r>
          </w:p>
        </w:tc>
      </w:tr>
      <w:tr w14:paraId="3237F2E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936" w:type="dxa"/>
            <w:vAlign w:val="center"/>
          </w:tcPr>
          <w:p w14:paraId="05970EC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3736" w:type="dxa"/>
            <w:vAlign w:val="center"/>
          </w:tcPr>
          <w:p w14:paraId="114F38C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固体废物综合利用和处置</w:t>
            </w:r>
          </w:p>
        </w:tc>
        <w:tc>
          <w:tcPr>
            <w:tcW w:w="3851" w:type="dxa"/>
            <w:vAlign w:val="center"/>
          </w:tcPr>
          <w:p w14:paraId="48B5933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w:t>
            </w:r>
          </w:p>
        </w:tc>
      </w:tr>
      <w:tr w14:paraId="05D0B1F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936" w:type="dxa"/>
            <w:vAlign w:val="center"/>
          </w:tcPr>
          <w:p w14:paraId="2F89D62B">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p>
        </w:tc>
        <w:tc>
          <w:tcPr>
            <w:tcW w:w="3736" w:type="dxa"/>
            <w:vAlign w:val="center"/>
          </w:tcPr>
          <w:p w14:paraId="14100265">
            <w:pPr>
              <w:spacing w:line="276" w:lineRule="auto"/>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风险</w:t>
            </w:r>
          </w:p>
        </w:tc>
        <w:tc>
          <w:tcPr>
            <w:tcW w:w="3851" w:type="dxa"/>
            <w:vAlign w:val="center"/>
          </w:tcPr>
          <w:p w14:paraId="7516733A">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10</w:t>
            </w:r>
          </w:p>
        </w:tc>
      </w:tr>
      <w:tr w14:paraId="4E56B88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672" w:type="dxa"/>
            <w:gridSpan w:val="2"/>
            <w:vAlign w:val="center"/>
          </w:tcPr>
          <w:p w14:paraId="43163FC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总计</w:t>
            </w:r>
          </w:p>
        </w:tc>
        <w:tc>
          <w:tcPr>
            <w:tcW w:w="3851" w:type="dxa"/>
            <w:vAlign w:val="center"/>
          </w:tcPr>
          <w:p w14:paraId="4E389C2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150</w:t>
            </w:r>
          </w:p>
        </w:tc>
      </w:tr>
    </w:tbl>
    <w:p w14:paraId="4CF5B71B">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300" w:name="_Toc133214621"/>
      <w:bookmarkStart w:id="301" w:name="_Toc510532502"/>
      <w:bookmarkStart w:id="302" w:name="_Toc109136002"/>
      <w:bookmarkStart w:id="303" w:name="_Toc133333778"/>
      <w:bookmarkStart w:id="304" w:name="_Toc173837774"/>
      <w:bookmarkStart w:id="305" w:name="_Toc23923859"/>
      <w:r>
        <w:rPr>
          <w:rFonts w:hint="default" w:ascii="Times New Roman" w:hAnsi="Times New Roman"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14:textFill>
            <w14:solidFill>
              <w14:schemeClr w14:val="tx1"/>
            </w14:solidFill>
          </w14:textFill>
        </w:rPr>
        <w:t>.4环境经济损益指标分析</w:t>
      </w:r>
      <w:bookmarkEnd w:id="300"/>
      <w:bookmarkEnd w:id="301"/>
      <w:bookmarkEnd w:id="302"/>
      <w:bookmarkEnd w:id="303"/>
      <w:bookmarkEnd w:id="304"/>
      <w:bookmarkEnd w:id="305"/>
    </w:p>
    <w:p w14:paraId="55B7BE74">
      <w:pPr>
        <w:pStyle w:val="3159"/>
        <w:rPr>
          <w:rFonts w:hint="default" w:ascii="Times New Roman" w:hAnsi="Times New Roman" w:eastAsia="黑体" w:cs="Times New Roman"/>
          <w:b w:val="0"/>
          <w:color w:val="000000" w:themeColor="text1"/>
          <w14:textFill>
            <w14:solidFill>
              <w14:schemeClr w14:val="tx1"/>
            </w14:solidFill>
          </w14:textFill>
        </w:rPr>
      </w:pPr>
      <w:bookmarkStart w:id="306" w:name="_Toc133214622"/>
      <w:bookmarkStart w:id="307" w:name="_Toc173837775"/>
      <w:bookmarkStart w:id="308" w:name="_Toc141627917"/>
      <w:bookmarkStart w:id="309" w:name="_Toc133333779"/>
      <w:bookmarkStart w:id="310" w:name="_Toc170562289"/>
      <w:r>
        <w:rPr>
          <w:rFonts w:hint="default" w:ascii="Times New Roman" w:hAnsi="Times New Roman"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14:textFill>
            <w14:solidFill>
              <w14:schemeClr w14:val="tx1"/>
            </w14:solidFill>
          </w14:textFill>
        </w:rPr>
        <w:t>.4.1环保投资比例系数Hz</w:t>
      </w:r>
      <w:bookmarkEnd w:id="306"/>
      <w:bookmarkEnd w:id="307"/>
      <w:bookmarkEnd w:id="308"/>
      <w:bookmarkEnd w:id="309"/>
      <w:bookmarkEnd w:id="310"/>
    </w:p>
    <w:p w14:paraId="255E483D">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该系数是指环保建设投资与企业建设总投资的比值，它体现了企业对环保的重视程度。</w:t>
      </w:r>
    </w:p>
    <w:p w14:paraId="5579D633">
      <w:pPr>
        <w:spacing w:line="360"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H</w:t>
      </w:r>
      <w:r>
        <w:rPr>
          <w:rFonts w:hint="default" w:ascii="Times New Roman" w:hAnsi="Times New Roman" w:cs="Times New Roman"/>
          <w:color w:val="000000" w:themeColor="text1"/>
          <w:kern w:val="24"/>
          <w:sz w:val="24"/>
          <w:szCs w:val="24"/>
          <w:vertAlign w:val="subscript"/>
          <w14:textFill>
            <w14:solidFill>
              <w14:schemeClr w14:val="tx1"/>
            </w14:solidFill>
          </w14:textFill>
        </w:rPr>
        <w:t>Z</w:t>
      </w:r>
      <w:r>
        <w:rPr>
          <w:rFonts w:hint="default" w:ascii="Times New Roman" w:hAnsi="Times New Roman" w:cs="Times New Roman"/>
          <w:color w:val="000000" w:themeColor="text1"/>
          <w:kern w:val="24"/>
          <w:sz w:val="24"/>
          <w:szCs w:val="24"/>
          <w14:textFill>
            <w14:solidFill>
              <w14:schemeClr w14:val="tx1"/>
            </w14:solidFill>
          </w14:textFill>
        </w:rPr>
        <w:t>=E</w:t>
      </w:r>
      <w:r>
        <w:rPr>
          <w:rFonts w:hint="default" w:ascii="Times New Roman" w:hAnsi="Times New Roman" w:cs="Times New Roman"/>
          <w:color w:val="000000" w:themeColor="text1"/>
          <w:kern w:val="24"/>
          <w:sz w:val="24"/>
          <w:szCs w:val="24"/>
          <w:vertAlign w:val="subscript"/>
          <w14:textFill>
            <w14:solidFill>
              <w14:schemeClr w14:val="tx1"/>
            </w14:solidFill>
          </w14:textFill>
        </w:rPr>
        <w:t>0</w:t>
      </w:r>
      <w:r>
        <w:rPr>
          <w:rFonts w:hint="default" w:ascii="Times New Roman" w:hAnsi="Times New Roman" w:cs="Times New Roman"/>
          <w:color w:val="000000" w:themeColor="text1"/>
          <w:kern w:val="24"/>
          <w:sz w:val="24"/>
          <w:szCs w:val="24"/>
          <w14:textFill>
            <w14:solidFill>
              <w14:schemeClr w14:val="tx1"/>
            </w14:solidFill>
          </w14:textFill>
        </w:rPr>
        <w:t>/Er</w:t>
      </w:r>
    </w:p>
    <w:p w14:paraId="727FAC93">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式中：E</w:t>
      </w:r>
      <w:r>
        <w:rPr>
          <w:rFonts w:hint="default" w:ascii="Times New Roman" w:hAnsi="Times New Roman" w:cs="Times New Roman"/>
          <w:color w:val="000000" w:themeColor="text1"/>
          <w:kern w:val="24"/>
          <w:sz w:val="24"/>
          <w:szCs w:val="24"/>
          <w:vertAlign w:val="subscript"/>
          <w14:textFill>
            <w14:solidFill>
              <w14:schemeClr w14:val="tx1"/>
            </w14:solidFill>
          </w14:textFill>
        </w:rPr>
        <w:t>0</w:t>
      </w:r>
      <w:r>
        <w:rPr>
          <w:rFonts w:hint="default" w:ascii="Times New Roman" w:hAnsi="Times New Roman" w:cs="Times New Roman"/>
          <w:color w:val="000000" w:themeColor="text1"/>
          <w:kern w:val="24"/>
          <w:sz w:val="24"/>
          <w:szCs w:val="24"/>
          <w14:textFill>
            <w14:solidFill>
              <w14:schemeClr w14:val="tx1"/>
            </w14:solidFill>
          </w14:textFill>
        </w:rPr>
        <w:t>—环保建设投资，万元；</w:t>
      </w:r>
    </w:p>
    <w:p w14:paraId="1A085DEB">
      <w:pPr>
        <w:spacing w:line="360" w:lineRule="auto"/>
        <w:ind w:firstLine="1180" w:firstLineChars="5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E</w:t>
      </w:r>
      <w:r>
        <w:rPr>
          <w:rFonts w:hint="default" w:ascii="Times New Roman" w:hAnsi="Times New Roman" w:cs="Times New Roman"/>
          <w:color w:val="000000" w:themeColor="text1"/>
          <w:kern w:val="24"/>
          <w:sz w:val="24"/>
          <w:szCs w:val="24"/>
          <w:vertAlign w:val="subscript"/>
          <w14:textFill>
            <w14:solidFill>
              <w14:schemeClr w14:val="tx1"/>
            </w14:solidFill>
          </w14:textFill>
        </w:rPr>
        <w:t>r</w:t>
      </w:r>
      <w:r>
        <w:rPr>
          <w:rFonts w:hint="default" w:ascii="Times New Roman" w:hAnsi="Times New Roman" w:cs="Times New Roman"/>
          <w:color w:val="000000" w:themeColor="text1"/>
          <w:kern w:val="24"/>
          <w:sz w:val="24"/>
          <w:szCs w:val="24"/>
          <w14:textFill>
            <w14:solidFill>
              <w14:schemeClr w14:val="tx1"/>
            </w14:solidFill>
          </w14:textFill>
        </w:rPr>
        <w:t>—企业建设总投资，万元。</w:t>
      </w:r>
    </w:p>
    <w:p w14:paraId="602DB7EB">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项目建设总投资为</w:t>
      </w:r>
      <w:r>
        <w:rPr>
          <w:rFonts w:hint="eastAsia" w:cs="Times New Roman"/>
          <w:color w:val="000000" w:themeColor="text1"/>
          <w:kern w:val="24"/>
          <w:sz w:val="24"/>
          <w:szCs w:val="24"/>
          <w:lang w:val="en-US" w:eastAsia="zh-CN"/>
          <w14:textFill>
            <w14:solidFill>
              <w14:schemeClr w14:val="tx1"/>
            </w14:solidFill>
          </w14:textFill>
        </w:rPr>
        <w:t>4197</w:t>
      </w:r>
      <w:r>
        <w:rPr>
          <w:rFonts w:hint="default" w:ascii="Times New Roman" w:hAnsi="Times New Roman" w:cs="Times New Roman"/>
          <w:color w:val="000000" w:themeColor="text1"/>
          <w:kern w:val="24"/>
          <w:sz w:val="24"/>
          <w:szCs w:val="24"/>
          <w14:textFill>
            <w14:solidFill>
              <w14:schemeClr w14:val="tx1"/>
            </w14:solidFill>
          </w14:textFill>
        </w:rPr>
        <w:t>万元，其中环保投资估算为</w:t>
      </w:r>
      <w:r>
        <w:rPr>
          <w:rFonts w:hint="eastAsia" w:cs="Times New Roman"/>
          <w:color w:val="000000" w:themeColor="text1"/>
          <w:kern w:val="24"/>
          <w:sz w:val="24"/>
          <w:szCs w:val="24"/>
          <w:lang w:val="en-US" w:eastAsia="zh-CN"/>
          <w14:textFill>
            <w14:solidFill>
              <w14:schemeClr w14:val="tx1"/>
            </w14:solidFill>
          </w14:textFill>
        </w:rPr>
        <w:t>550</w:t>
      </w:r>
      <w:r>
        <w:rPr>
          <w:rFonts w:hint="default" w:ascii="Times New Roman" w:hAnsi="Times New Roman" w:cs="Times New Roman"/>
          <w:color w:val="000000" w:themeColor="text1"/>
          <w:kern w:val="24"/>
          <w:sz w:val="24"/>
          <w:szCs w:val="24"/>
          <w14:textFill>
            <w14:solidFill>
              <w14:schemeClr w14:val="tx1"/>
            </w14:solidFill>
          </w14:textFill>
        </w:rPr>
        <w:t>万元，占总投资的</w:t>
      </w:r>
      <w:r>
        <w:rPr>
          <w:rFonts w:hint="eastAsia" w:cs="Times New Roman"/>
          <w:color w:val="000000" w:themeColor="text1"/>
          <w:kern w:val="24"/>
          <w:sz w:val="24"/>
          <w:szCs w:val="24"/>
          <w:lang w:val="en-US" w:eastAsia="zh-CN"/>
          <w14:textFill>
            <w14:solidFill>
              <w14:schemeClr w14:val="tx1"/>
            </w14:solidFill>
          </w14:textFill>
        </w:rPr>
        <w:t>13.1</w:t>
      </w:r>
      <w:r>
        <w:rPr>
          <w:rFonts w:hint="default" w:ascii="Times New Roman" w:hAnsi="Times New Roman" w:cs="Times New Roman"/>
          <w:color w:val="000000" w:themeColor="text1"/>
          <w:kern w:val="24"/>
          <w:sz w:val="24"/>
          <w:szCs w:val="24"/>
          <w14:textFill>
            <w14:solidFill>
              <w14:schemeClr w14:val="tx1"/>
            </w14:solidFill>
          </w14:textFill>
        </w:rPr>
        <w:t>%。</w:t>
      </w:r>
    </w:p>
    <w:p w14:paraId="62928B57">
      <w:pPr>
        <w:pStyle w:val="3159"/>
        <w:rPr>
          <w:rFonts w:hint="default" w:ascii="Times New Roman" w:hAnsi="Times New Roman" w:eastAsia="黑体" w:cs="Times New Roman"/>
          <w:b w:val="0"/>
          <w:color w:val="000000" w:themeColor="text1"/>
          <w14:textFill>
            <w14:solidFill>
              <w14:schemeClr w14:val="tx1"/>
            </w14:solidFill>
          </w14:textFill>
        </w:rPr>
      </w:pPr>
      <w:bookmarkStart w:id="311" w:name="_Toc170562290"/>
      <w:bookmarkStart w:id="312" w:name="_Toc141627918"/>
      <w:bookmarkStart w:id="313" w:name="_Toc133214623"/>
      <w:bookmarkStart w:id="314" w:name="_Toc173837776"/>
      <w:bookmarkStart w:id="315" w:name="_Toc133333780"/>
      <w:r>
        <w:rPr>
          <w:rFonts w:hint="default" w:ascii="Times New Roman" w:hAnsi="Times New Roman"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14:textFill>
            <w14:solidFill>
              <w14:schemeClr w14:val="tx1"/>
            </w14:solidFill>
          </w14:textFill>
        </w:rPr>
        <w:t>.4.2产值环境系数Fg</w:t>
      </w:r>
      <w:bookmarkEnd w:id="311"/>
      <w:bookmarkEnd w:id="312"/>
      <w:bookmarkEnd w:id="313"/>
      <w:bookmarkEnd w:id="314"/>
      <w:bookmarkEnd w:id="315"/>
    </w:p>
    <w:p w14:paraId="563B6437">
      <w:pPr>
        <w:spacing w:line="336"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产值环境系数是指年环保费用与年工业总产值的比值，环保年费用是指环保治理设施及综合利用装置的运行费、折旧费、日常管理费及排污费等，每年用于环保运行费用之和150万元/年，折旧费按环保投资20年分摊，约36万元/年，则每年的环保费用为186万元/年。</w:t>
      </w:r>
    </w:p>
    <w:p w14:paraId="5EB6A393">
      <w:pPr>
        <w:spacing w:line="336"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产值环境系数Fg的表达式为：</w:t>
      </w:r>
    </w:p>
    <w:p w14:paraId="3A161F29">
      <w:pPr>
        <w:spacing w:line="336"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pict>
          <v:shape id="Picture 602" o:spid="_x0000_s2051" o:spt="75" type="#_x0000_t75" style="position:absolute;left:0pt;margin-left:211.9pt;margin-top:4.15pt;height:31pt;width:46pt;mso-wrap-distance-bottom:0pt;mso-wrap-distance-top:0pt;z-index:251816960;mso-width-relative:page;mso-height-relative:page;" o:ole="t" filled="f" o:preferrelative="t" stroked="f" coordsize="21600,21600">
            <v:path/>
            <v:fill on="f" focussize="0,0"/>
            <v:stroke on="f" joinstyle="miter"/>
            <v:imagedata r:id="rId80" o:title=""/>
            <o:lock v:ext="edit" aspectratio="t"/>
            <w10:wrap type="topAndBottom"/>
          </v:shape>
          <o:OLEObject Type="Embed" ProgID="Equation.3" ShapeID="Picture 602" DrawAspect="Content" ObjectID="_1468075728" r:id="rId79">
            <o:LockedField>false</o:LockedField>
          </o:OLEObject>
        </w:pict>
      </w:r>
      <w:r>
        <w:rPr>
          <w:rFonts w:hint="default" w:ascii="Times New Roman" w:hAnsi="Times New Roman" w:cs="Times New Roman"/>
          <w:color w:val="000000" w:themeColor="text1"/>
          <w:kern w:val="24"/>
          <w:sz w:val="24"/>
          <w:szCs w:val="24"/>
          <w14:textFill>
            <w14:solidFill>
              <w14:schemeClr w14:val="tx1"/>
            </w14:solidFill>
          </w14:textFill>
        </w:rPr>
        <w:t>式中：E</w:t>
      </w:r>
      <w:r>
        <w:rPr>
          <w:rFonts w:hint="default" w:ascii="Times New Roman" w:hAnsi="Times New Roman" w:cs="Times New Roman"/>
          <w:color w:val="000000" w:themeColor="text1"/>
          <w:kern w:val="24"/>
          <w:sz w:val="24"/>
          <w:szCs w:val="24"/>
          <w:vertAlign w:val="subscript"/>
          <w14:textFill>
            <w14:solidFill>
              <w14:schemeClr w14:val="tx1"/>
            </w14:solidFill>
          </w14:textFill>
        </w:rPr>
        <w:t>2</w:t>
      </w:r>
      <w:r>
        <w:rPr>
          <w:rFonts w:hint="default" w:ascii="Times New Roman" w:hAnsi="Times New Roman" w:cs="Times New Roman"/>
          <w:color w:val="000000" w:themeColor="text1"/>
          <w:kern w:val="24"/>
          <w:sz w:val="24"/>
          <w:szCs w:val="24"/>
          <w14:textFill>
            <w14:solidFill>
              <w14:schemeClr w14:val="tx1"/>
            </w14:solidFill>
          </w14:textFill>
        </w:rPr>
        <w:t>—年环保费用，万元；</w:t>
      </w:r>
    </w:p>
    <w:p w14:paraId="65E7E15E">
      <w:pPr>
        <w:spacing w:line="336"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Es—年工业总产值，万元。</w:t>
      </w:r>
    </w:p>
    <w:p w14:paraId="27A323F3">
      <w:pPr>
        <w:spacing w:line="336"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拟建工程投产后，预计产值可达</w:t>
      </w:r>
      <w:r>
        <w:rPr>
          <w:rFonts w:hint="eastAsia" w:cs="Times New Roman"/>
          <w:color w:val="000000" w:themeColor="text1"/>
          <w:kern w:val="24"/>
          <w:sz w:val="24"/>
          <w:szCs w:val="24"/>
          <w:lang w:val="en-US" w:eastAsia="zh-CN"/>
          <w14:textFill>
            <w14:solidFill>
              <w14:schemeClr w14:val="tx1"/>
            </w14:solidFill>
          </w14:textFill>
        </w:rPr>
        <w:t>3</w:t>
      </w:r>
      <w:r>
        <w:rPr>
          <w:rFonts w:hint="default" w:ascii="Times New Roman" w:hAnsi="Times New Roman" w:cs="Times New Roman"/>
          <w:color w:val="000000" w:themeColor="text1"/>
          <w:kern w:val="24"/>
          <w:sz w:val="24"/>
          <w:szCs w:val="24"/>
          <w14:textFill>
            <w14:solidFill>
              <w14:schemeClr w14:val="tx1"/>
            </w14:solidFill>
          </w14:textFill>
        </w:rPr>
        <w:t>000万元/年，则产值环境系数为</w:t>
      </w:r>
      <w:r>
        <w:rPr>
          <w:rFonts w:hint="eastAsia" w:cs="Times New Roman"/>
          <w:color w:val="000000" w:themeColor="text1"/>
          <w:kern w:val="24"/>
          <w:sz w:val="24"/>
          <w:szCs w:val="24"/>
          <w:lang w:val="en-US" w:eastAsia="zh-CN"/>
          <w14:textFill>
            <w14:solidFill>
              <w14:schemeClr w14:val="tx1"/>
            </w14:solidFill>
          </w14:textFill>
        </w:rPr>
        <w:t>1.55</w:t>
      </w:r>
      <w:r>
        <w:rPr>
          <w:rFonts w:hint="default" w:ascii="Times New Roman" w:hAnsi="Times New Roman" w:cs="Times New Roman"/>
          <w:color w:val="000000" w:themeColor="text1"/>
          <w:kern w:val="24"/>
          <w:sz w:val="24"/>
          <w:szCs w:val="24"/>
          <w14:textFill>
            <w14:solidFill>
              <w14:schemeClr w14:val="tx1"/>
            </w14:solidFill>
          </w14:textFill>
        </w:rPr>
        <w:t>%，这意味着每生产万元产值，所花费的环保费用为</w:t>
      </w:r>
      <w:r>
        <w:rPr>
          <w:rFonts w:hint="eastAsia" w:cs="Times New Roman"/>
          <w:color w:val="000000" w:themeColor="text1"/>
          <w:kern w:val="24"/>
          <w:sz w:val="24"/>
          <w:szCs w:val="24"/>
          <w:lang w:val="en-US" w:eastAsia="zh-CN"/>
          <w14:textFill>
            <w14:solidFill>
              <w14:schemeClr w14:val="tx1"/>
            </w14:solidFill>
          </w14:textFill>
        </w:rPr>
        <w:t>155</w:t>
      </w:r>
      <w:r>
        <w:rPr>
          <w:rFonts w:hint="default" w:ascii="Times New Roman" w:hAnsi="Times New Roman" w:cs="Times New Roman"/>
          <w:color w:val="000000" w:themeColor="text1"/>
          <w:kern w:val="24"/>
          <w:sz w:val="24"/>
          <w:szCs w:val="24"/>
          <w14:textFill>
            <w14:solidFill>
              <w14:schemeClr w14:val="tx1"/>
            </w14:solidFill>
          </w14:textFill>
        </w:rPr>
        <w:t>元。</w:t>
      </w:r>
    </w:p>
    <w:p w14:paraId="56F4F51E">
      <w:pPr>
        <w:pStyle w:val="3159"/>
        <w:rPr>
          <w:rFonts w:hint="default" w:ascii="Times New Roman" w:hAnsi="Times New Roman" w:eastAsia="黑体" w:cs="Times New Roman"/>
          <w:b w:val="0"/>
          <w:color w:val="000000" w:themeColor="text1"/>
          <w14:textFill>
            <w14:solidFill>
              <w14:schemeClr w14:val="tx1"/>
            </w14:solidFill>
          </w14:textFill>
        </w:rPr>
      </w:pPr>
      <w:bookmarkStart w:id="316" w:name="_Toc133333781"/>
      <w:bookmarkStart w:id="317" w:name="_Toc173837777"/>
      <w:bookmarkStart w:id="318" w:name="_Toc133214624"/>
      <w:bookmarkStart w:id="319" w:name="_Toc170562291"/>
      <w:bookmarkStart w:id="320" w:name="_Toc141627919"/>
      <w:r>
        <w:rPr>
          <w:rFonts w:hint="default" w:ascii="Times New Roman" w:hAnsi="Times New Roman"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14:textFill>
            <w14:solidFill>
              <w14:schemeClr w14:val="tx1"/>
            </w14:solidFill>
          </w14:textFill>
        </w:rPr>
        <w:t>.4.3污染损失指标</w:t>
      </w:r>
      <w:bookmarkEnd w:id="316"/>
      <w:bookmarkEnd w:id="317"/>
      <w:bookmarkEnd w:id="318"/>
      <w:bookmarkEnd w:id="319"/>
      <w:bookmarkEnd w:id="320"/>
    </w:p>
    <w:p w14:paraId="72387ABC">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污染损失指标是指建设项目产生的污染与破坏对环境造成的损失最终以经济形式的表达。主要包括资源和能源流失的损失，各类污染物对生产、生活造成的损失，以及各种环境补偿性损失。</w:t>
      </w:r>
    </w:p>
    <w:p w14:paraId="2E9013B5">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污染损失指标由下式计算：</w:t>
      </w:r>
    </w:p>
    <w:p w14:paraId="6DB500A8">
      <w:pPr>
        <w:adjustRightInd w:val="0"/>
        <w:snapToGrid w:val="0"/>
        <w:spacing w:line="520" w:lineRule="exact"/>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snapToGrid w:val="0"/>
          <w:color w:val="000000" w:themeColor="text1"/>
          <w:sz w:val="24"/>
          <w:szCs w:val="24"/>
          <w14:textFill>
            <w14:solidFill>
              <w14:schemeClr w14:val="tx1"/>
            </w14:solidFill>
          </w14:textFill>
        </w:rPr>
        <w:t>L=</w:t>
      </w:r>
      <w:r>
        <w:rPr>
          <w:rFonts w:hint="default" w:ascii="Times New Roman" w:hAnsi="Times New Roman" w:cs="Times New Roman"/>
          <w:snapToGrid w:val="0"/>
          <w:color w:val="000000" w:themeColor="text1"/>
          <w:position w:val="-28"/>
          <w:sz w:val="24"/>
          <w:szCs w:val="24"/>
          <w14:textFill>
            <w14:solidFill>
              <w14:schemeClr w14:val="tx1"/>
            </w14:solidFill>
          </w14:textFill>
        </w:rPr>
        <w:object>
          <v:shape id="_x0000_i1027" o:spt="75" type="#_x0000_t75" style="height:35.55pt;width:26.2pt;" o:ole="t" filled="f" o:preferrelative="t" stroked="f" coordsize="21600,21600">
            <v:path/>
            <v:fill on="f" focussize="0,0"/>
            <v:stroke on="f" joinstyle="miter"/>
            <v:imagedata r:id="rId82" o:title=""/>
            <o:lock v:ext="edit" aspectratio="t"/>
            <w10:wrap type="none"/>
            <w10:anchorlock/>
          </v:shape>
          <o:OLEObject Type="Embed" ProgID="Equation.3" ShapeID="_x0000_i1027" DrawAspect="Content" ObjectID="_1468075729" r:id="rId81">
            <o:LockedField>false</o:LockedField>
          </o:OLEObject>
        </w:object>
      </w:r>
      <w:r>
        <w:rPr>
          <w:rFonts w:hint="default" w:ascii="Times New Roman" w:hAnsi="Times New Roman" w:cs="Times New Roman"/>
          <w:snapToGrid w:val="0"/>
          <w:color w:val="000000" w:themeColor="text1"/>
          <w:sz w:val="24"/>
          <w:szCs w:val="24"/>
          <w14:textFill>
            <w14:solidFill>
              <w14:schemeClr w14:val="tx1"/>
            </w14:solidFill>
          </w14:textFill>
        </w:rPr>
        <w:t>+</w:t>
      </w:r>
      <w:r>
        <w:rPr>
          <w:rFonts w:hint="default" w:ascii="Times New Roman" w:hAnsi="Times New Roman" w:cs="Times New Roman"/>
          <w:snapToGrid w:val="0"/>
          <w:color w:val="000000" w:themeColor="text1"/>
          <w:position w:val="-28"/>
          <w:sz w:val="24"/>
          <w:szCs w:val="24"/>
          <w14:textFill>
            <w14:solidFill>
              <w14:schemeClr w14:val="tx1"/>
            </w14:solidFill>
          </w14:textFill>
        </w:rPr>
        <w:object>
          <v:shape id="_x0000_i1028" o:spt="75" type="#_x0000_t75" style="height:35.55pt;width:29.9pt;" o:ole="t" filled="f" o:preferrelative="t" stroked="f" coordsize="21600,21600">
            <v:path/>
            <v:fill on="f" focussize="0,0"/>
            <v:stroke on="f" joinstyle="miter"/>
            <v:imagedata r:id="rId84" o:title=""/>
            <o:lock v:ext="edit" aspectratio="t"/>
            <w10:wrap type="none"/>
            <w10:anchorlock/>
          </v:shape>
          <o:OLEObject Type="Embed" ProgID="Equation.3" ShapeID="_x0000_i1028" DrawAspect="Content" ObjectID="_1468075730" r:id="rId83">
            <o:LockedField>false</o:LockedField>
          </o:OLEObject>
        </w:object>
      </w:r>
      <w:r>
        <w:rPr>
          <w:rFonts w:hint="default" w:ascii="Times New Roman" w:hAnsi="Times New Roman" w:cs="Times New Roman"/>
          <w:snapToGrid w:val="0"/>
          <w:color w:val="000000" w:themeColor="text1"/>
          <w:sz w:val="24"/>
          <w:szCs w:val="24"/>
          <w14:textFill>
            <w14:solidFill>
              <w14:schemeClr w14:val="tx1"/>
            </w14:solidFill>
          </w14:textFill>
        </w:rPr>
        <w:t>+</w:t>
      </w:r>
      <w:r>
        <w:rPr>
          <w:rFonts w:hint="default" w:ascii="Times New Roman" w:hAnsi="Times New Roman" w:cs="Times New Roman"/>
          <w:snapToGrid w:val="0"/>
          <w:color w:val="000000" w:themeColor="text1"/>
          <w:position w:val="-28"/>
          <w:sz w:val="24"/>
          <w:szCs w:val="24"/>
          <w14:textFill>
            <w14:solidFill>
              <w14:schemeClr w14:val="tx1"/>
            </w14:solidFill>
          </w14:textFill>
        </w:rPr>
        <w:object>
          <v:shape id="_x0000_i1029" o:spt="75" type="#_x0000_t75" style="height:35.55pt;width:29.9pt;" o:ole="t" filled="f" o:preferrelative="t" stroked="f" coordsize="21600,21600">
            <v:path/>
            <v:fill on="f" focussize="0,0"/>
            <v:stroke on="f" joinstyle="miter"/>
            <v:imagedata r:id="rId86" o:title=""/>
            <o:lock v:ext="edit" aspectratio="t"/>
            <w10:wrap type="none"/>
            <w10:anchorlock/>
          </v:shape>
          <o:OLEObject Type="Embed" ProgID="Equation.3" ShapeID="_x0000_i1029" DrawAspect="Content" ObjectID="_1468075731" r:id="rId85">
            <o:LockedField>false</o:LockedField>
          </o:OLEObject>
        </w:object>
      </w:r>
      <w:r>
        <w:rPr>
          <w:rFonts w:hint="default" w:ascii="Times New Roman" w:hAnsi="Times New Roman" w:cs="Times New Roman"/>
          <w:snapToGrid w:val="0"/>
          <w:color w:val="000000" w:themeColor="text1"/>
          <w:sz w:val="24"/>
          <w:szCs w:val="24"/>
          <w14:textFill>
            <w14:solidFill>
              <w14:schemeClr w14:val="tx1"/>
            </w14:solidFill>
          </w14:textFill>
        </w:rPr>
        <w:t>+</w:t>
      </w:r>
      <w:r>
        <w:rPr>
          <w:rFonts w:hint="default" w:ascii="Times New Roman" w:hAnsi="Times New Roman" w:cs="Times New Roman"/>
          <w:snapToGrid w:val="0"/>
          <w:color w:val="000000" w:themeColor="text1"/>
          <w:position w:val="-28"/>
          <w:sz w:val="24"/>
          <w:szCs w:val="24"/>
          <w14:textFill>
            <w14:solidFill>
              <w14:schemeClr w14:val="tx1"/>
            </w14:solidFill>
          </w14:textFill>
        </w:rPr>
        <w:object>
          <v:shape id="_x0000_i1030" o:spt="75" type="#_x0000_t75" style="height:35.55pt;width:29.9pt;" o:ole="t" filled="f" o:preferrelative="t" stroked="f" coordsize="21600,21600">
            <v:path/>
            <v:fill on="f" focussize="0,0"/>
            <v:stroke on="f" joinstyle="miter"/>
            <v:imagedata r:id="rId88" o:title=""/>
            <o:lock v:ext="edit" aspectratio="t"/>
            <w10:wrap type="none"/>
            <w10:anchorlock/>
          </v:shape>
          <o:OLEObject Type="Embed" ProgID="Equation.3" ShapeID="_x0000_i1030" DrawAspect="Content" ObjectID="_1468075732" r:id="rId87">
            <o:LockedField>false</o:LockedField>
          </o:OLEObject>
        </w:object>
      </w:r>
      <w:r>
        <w:rPr>
          <w:rFonts w:hint="default" w:ascii="Times New Roman" w:hAnsi="Times New Roman" w:cs="Times New Roman"/>
          <w:snapToGrid w:val="0"/>
          <w:color w:val="000000" w:themeColor="text1"/>
          <w:sz w:val="24"/>
          <w:szCs w:val="24"/>
          <w14:textFill>
            <w14:solidFill>
              <w14:schemeClr w14:val="tx1"/>
            </w14:solidFill>
          </w14:textFill>
        </w:rPr>
        <w:t>+</w:t>
      </w:r>
      <w:r>
        <w:rPr>
          <w:rFonts w:hint="default" w:ascii="Times New Roman" w:hAnsi="Times New Roman" w:cs="Times New Roman"/>
          <w:snapToGrid w:val="0"/>
          <w:color w:val="000000" w:themeColor="text1"/>
          <w:position w:val="-28"/>
          <w:sz w:val="24"/>
          <w:szCs w:val="24"/>
          <w14:textFill>
            <w14:solidFill>
              <w14:schemeClr w14:val="tx1"/>
            </w14:solidFill>
          </w14:textFill>
        </w:rPr>
        <w:object>
          <v:shape id="_x0000_i1031" o:spt="75" type="#_x0000_t75" style="height:35.55pt;width:29.9pt;" o:ole="t" filled="f" o:preferrelative="t" stroked="f" coordsize="21600,21600">
            <v:path/>
            <v:fill on="f" focussize="0,0"/>
            <v:stroke on="f" joinstyle="miter"/>
            <v:imagedata r:id="rId90" o:title=""/>
            <o:lock v:ext="edit" aspectratio="t"/>
            <w10:wrap type="none"/>
            <w10:anchorlock/>
          </v:shape>
          <o:OLEObject Type="Embed" ProgID="Equation.3" ShapeID="_x0000_i1031" DrawAspect="Content" ObjectID="_1468075733" r:id="rId89">
            <o:LockedField>false</o:LockedField>
          </o:OLEObject>
        </w:object>
      </w:r>
    </w:p>
    <w:p w14:paraId="4FEE4699">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式中：L—污染损失指标；</w:t>
      </w:r>
    </w:p>
    <w:p w14:paraId="56E0A2BB">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L</w:t>
      </w:r>
      <w:r>
        <w:rPr>
          <w:rFonts w:hint="default" w:ascii="Times New Roman" w:hAnsi="Times New Roman" w:cs="Times New Roman"/>
          <w:color w:val="000000" w:themeColor="text1"/>
          <w:kern w:val="24"/>
          <w:sz w:val="24"/>
          <w:szCs w:val="24"/>
          <w:vertAlign w:val="subscript"/>
          <w14:textFill>
            <w14:solidFill>
              <w14:schemeClr w14:val="tx1"/>
            </w14:solidFill>
          </w14:textFill>
        </w:rPr>
        <w:t>1</w:t>
      </w:r>
      <w:r>
        <w:rPr>
          <w:rFonts w:hint="default" w:ascii="Times New Roman" w:hAnsi="Times New Roman" w:cs="Times New Roman"/>
          <w:color w:val="000000" w:themeColor="text1"/>
          <w:kern w:val="24"/>
          <w:sz w:val="24"/>
          <w:szCs w:val="24"/>
          <w14:textFill>
            <w14:solidFill>
              <w14:schemeClr w14:val="tx1"/>
            </w14:solidFill>
          </w14:textFill>
        </w:rPr>
        <w:t>—资源和能源流失对生产造成的损失；</w:t>
      </w:r>
    </w:p>
    <w:p w14:paraId="51516B10">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L</w:t>
      </w:r>
      <w:r>
        <w:rPr>
          <w:rFonts w:hint="default" w:ascii="Times New Roman" w:hAnsi="Times New Roman" w:cs="Times New Roman"/>
          <w:color w:val="000000" w:themeColor="text1"/>
          <w:kern w:val="24"/>
          <w:sz w:val="24"/>
          <w:szCs w:val="24"/>
          <w:vertAlign w:val="subscript"/>
          <w14:textFill>
            <w14:solidFill>
              <w14:schemeClr w14:val="tx1"/>
            </w14:solidFill>
          </w14:textFill>
        </w:rPr>
        <w:t>2</w:t>
      </w:r>
      <w:r>
        <w:rPr>
          <w:rFonts w:hint="default" w:ascii="Times New Roman" w:hAnsi="Times New Roman" w:cs="Times New Roman"/>
          <w:color w:val="000000" w:themeColor="text1"/>
          <w:kern w:val="24"/>
          <w:sz w:val="24"/>
          <w:szCs w:val="24"/>
          <w14:textFill>
            <w14:solidFill>
              <w14:schemeClr w14:val="tx1"/>
            </w14:solidFill>
          </w14:textFill>
        </w:rPr>
        <w:t>—各类污染物对生产造成的损失；</w:t>
      </w:r>
    </w:p>
    <w:p w14:paraId="18179A7B">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L</w:t>
      </w:r>
      <w:r>
        <w:rPr>
          <w:rFonts w:hint="default" w:ascii="Times New Roman" w:hAnsi="Times New Roman" w:cs="Times New Roman"/>
          <w:color w:val="000000" w:themeColor="text1"/>
          <w:kern w:val="24"/>
          <w:sz w:val="24"/>
          <w:szCs w:val="24"/>
          <w:vertAlign w:val="subscript"/>
          <w14:textFill>
            <w14:solidFill>
              <w14:schemeClr w14:val="tx1"/>
            </w14:solidFill>
          </w14:textFill>
        </w:rPr>
        <w:t>3</w:t>
      </w:r>
      <w:r>
        <w:rPr>
          <w:rFonts w:hint="default" w:ascii="Times New Roman" w:hAnsi="Times New Roman" w:cs="Times New Roman"/>
          <w:color w:val="000000" w:themeColor="text1"/>
          <w:kern w:val="24"/>
          <w:sz w:val="24"/>
          <w:szCs w:val="24"/>
          <w14:textFill>
            <w14:solidFill>
              <w14:schemeClr w14:val="tx1"/>
            </w14:solidFill>
          </w14:textFill>
        </w:rPr>
        <w:t>—各类污染物对生活造成的损失；</w:t>
      </w:r>
    </w:p>
    <w:p w14:paraId="01B9DDB6">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L</w:t>
      </w:r>
      <w:r>
        <w:rPr>
          <w:rFonts w:hint="default" w:ascii="Times New Roman" w:hAnsi="Times New Roman" w:cs="Times New Roman"/>
          <w:color w:val="000000" w:themeColor="text1"/>
          <w:kern w:val="24"/>
          <w:sz w:val="24"/>
          <w:szCs w:val="24"/>
          <w:vertAlign w:val="subscript"/>
          <w14:textFill>
            <w14:solidFill>
              <w14:schemeClr w14:val="tx1"/>
            </w14:solidFill>
          </w14:textFill>
        </w:rPr>
        <w:t>4</w:t>
      </w:r>
      <w:r>
        <w:rPr>
          <w:rFonts w:hint="default" w:ascii="Times New Roman" w:hAnsi="Times New Roman" w:cs="Times New Roman"/>
          <w:color w:val="000000" w:themeColor="text1"/>
          <w:kern w:val="24"/>
          <w:sz w:val="24"/>
          <w:szCs w:val="24"/>
          <w14:textFill>
            <w14:solidFill>
              <w14:schemeClr w14:val="tx1"/>
            </w14:solidFill>
          </w14:textFill>
        </w:rPr>
        <w:t>—污染物对人体健康和劳动力的损失；</w:t>
      </w:r>
    </w:p>
    <w:p w14:paraId="09BA9682">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L</w:t>
      </w:r>
      <w:r>
        <w:rPr>
          <w:rFonts w:hint="default" w:ascii="Times New Roman" w:hAnsi="Times New Roman" w:cs="Times New Roman"/>
          <w:color w:val="000000" w:themeColor="text1"/>
          <w:kern w:val="24"/>
          <w:sz w:val="24"/>
          <w:szCs w:val="24"/>
          <w:vertAlign w:val="subscript"/>
          <w14:textFill>
            <w14:solidFill>
              <w14:schemeClr w14:val="tx1"/>
            </w14:solidFill>
          </w14:textFill>
        </w:rPr>
        <w:t>5</w:t>
      </w:r>
      <w:r>
        <w:rPr>
          <w:rFonts w:hint="default" w:ascii="Times New Roman" w:hAnsi="Times New Roman" w:cs="Times New Roman"/>
          <w:color w:val="000000" w:themeColor="text1"/>
          <w:kern w:val="24"/>
          <w:sz w:val="24"/>
          <w:szCs w:val="24"/>
          <w14:textFill>
            <w14:solidFill>
              <w14:schemeClr w14:val="tx1"/>
            </w14:solidFill>
          </w14:textFill>
        </w:rPr>
        <w:t>—各种补偿性损失；</w:t>
      </w:r>
    </w:p>
    <w:p w14:paraId="3CBA56BD">
      <w:pPr>
        <w:spacing w:line="360" w:lineRule="auto"/>
        <w:ind w:firstLine="1180" w:firstLineChars="5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i—分别为各项损失的种类。</w:t>
      </w:r>
    </w:p>
    <w:p w14:paraId="079E7283">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直接经济损失：按市场价格计算，约10万元/年。</w:t>
      </w:r>
    </w:p>
    <w:p w14:paraId="56C1AEB6">
      <w:pPr>
        <w:pStyle w:val="3159"/>
        <w:rPr>
          <w:rFonts w:hint="default" w:ascii="Times New Roman" w:hAnsi="Times New Roman" w:eastAsia="黑体" w:cs="Times New Roman"/>
          <w:b w:val="0"/>
          <w:color w:val="000000" w:themeColor="text1"/>
          <w14:textFill>
            <w14:solidFill>
              <w14:schemeClr w14:val="tx1"/>
            </w14:solidFill>
          </w14:textFill>
        </w:rPr>
      </w:pPr>
      <w:bookmarkStart w:id="321" w:name="_Toc133214625"/>
      <w:bookmarkStart w:id="322" w:name="_Toc170562292"/>
      <w:bookmarkStart w:id="323" w:name="_Toc133333782"/>
      <w:bookmarkStart w:id="324" w:name="_Toc141627920"/>
      <w:bookmarkStart w:id="325" w:name="_Toc173837778"/>
      <w:r>
        <w:rPr>
          <w:rFonts w:hint="default" w:ascii="Times New Roman" w:hAnsi="Times New Roman"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14:textFill>
            <w14:solidFill>
              <w14:schemeClr w14:val="tx1"/>
            </w14:solidFill>
          </w14:textFill>
        </w:rPr>
        <w:t>.4.4环保效益指标</w:t>
      </w:r>
      <w:bookmarkEnd w:id="321"/>
      <w:bookmarkEnd w:id="322"/>
      <w:bookmarkEnd w:id="323"/>
      <w:bookmarkEnd w:id="324"/>
      <w:bookmarkEnd w:id="325"/>
    </w:p>
    <w:p w14:paraId="4035B77B">
      <w:pPr>
        <w:spacing w:line="336"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环保效益指标包括直接经济效益和间接经济效益。环保效益指标由下式计算：</w:t>
      </w:r>
    </w:p>
    <w:p w14:paraId="4A5B7148">
      <w:pPr>
        <w:spacing w:line="336" w:lineRule="auto"/>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R</w:t>
      </w:r>
      <w:r>
        <w:rPr>
          <w:rFonts w:hint="default" w:ascii="Times New Roman" w:hAnsi="Times New Roman" w:cs="Times New Roman"/>
          <w:color w:val="000000" w:themeColor="text1"/>
          <w:sz w:val="24"/>
          <w:szCs w:val="24"/>
          <w:vertAlign w:val="subscript"/>
          <w14:textFill>
            <w14:solidFill>
              <w14:schemeClr w14:val="tx1"/>
            </w14:solidFill>
          </w14:textFill>
        </w:rPr>
        <w:t>1</w:t>
      </w:r>
      <w:r>
        <w:rPr>
          <w:rFonts w:hint="default" w:ascii="Times New Roman" w:hAnsi="Times New Roman" w:cs="Times New Roman"/>
          <w:snapToGrid w:val="0"/>
          <w:color w:val="000000" w:themeColor="text1"/>
          <w:sz w:val="24"/>
          <w:szCs w:val="24"/>
          <w14:textFill>
            <w14:solidFill>
              <w14:schemeClr w14:val="tx1"/>
            </w14:solidFill>
          </w14:textFill>
        </w:rPr>
        <w:t>=</w:t>
      </w:r>
      <w:r>
        <w:rPr>
          <w:rFonts w:hint="default" w:ascii="Times New Roman" w:hAnsi="Times New Roman" w:cs="Times New Roman"/>
          <w:snapToGrid w:val="0"/>
          <w:color w:val="000000" w:themeColor="text1"/>
          <w:position w:val="-28"/>
          <w:sz w:val="24"/>
          <w:szCs w:val="24"/>
          <w14:textFill>
            <w14:solidFill>
              <w14:schemeClr w14:val="tx1"/>
            </w14:solidFill>
          </w14:textFill>
        </w:rPr>
        <w:object>
          <v:shape id="_x0000_i1032" o:spt="75" type="#_x0000_t75" style="height:35.55pt;width:36.45pt;" o:ole="t" filled="f" o:preferrelative="t" stroked="f" coordsize="21600,21600">
            <v:path/>
            <v:fill on="f" focussize="0,0"/>
            <v:stroke on="f" joinstyle="miter"/>
            <v:imagedata r:id="rId92" o:title=""/>
            <o:lock v:ext="edit" aspectratio="t"/>
            <w10:wrap type="none"/>
            <w10:anchorlock/>
          </v:shape>
          <o:OLEObject Type="Embed" ProgID="Equation.3" ShapeID="_x0000_i1032" DrawAspect="Content" ObjectID="_1468075734" r:id="rId91">
            <o:LockedField>false</o:LockedField>
          </o:OLEObject>
        </w:object>
      </w:r>
      <w:r>
        <w:rPr>
          <w:rFonts w:hint="default" w:ascii="Times New Roman" w:hAnsi="Times New Roman" w:cs="Times New Roman"/>
          <w:snapToGrid w:val="0"/>
          <w:color w:val="000000" w:themeColor="text1"/>
          <w:sz w:val="24"/>
          <w:szCs w:val="24"/>
          <w14:textFill>
            <w14:solidFill>
              <w14:schemeClr w14:val="tx1"/>
            </w14:solidFill>
          </w14:textFill>
        </w:rPr>
        <w:t>+</w:t>
      </w:r>
      <w:r>
        <w:rPr>
          <w:rFonts w:hint="default" w:ascii="Times New Roman" w:hAnsi="Times New Roman" w:cs="Times New Roman"/>
          <w:snapToGrid w:val="0"/>
          <w:color w:val="000000" w:themeColor="text1"/>
          <w:position w:val="-28"/>
          <w:sz w:val="24"/>
          <w:szCs w:val="24"/>
          <w14:textFill>
            <w14:solidFill>
              <w14:schemeClr w14:val="tx1"/>
            </w14:solidFill>
          </w14:textFill>
        </w:rPr>
        <w:object>
          <v:shape id="_x0000_i1033" o:spt="75" type="#_x0000_t75" style="height:35.55pt;width:35.55pt;" o:ole="t" filled="f" o:preferrelative="t" stroked="f" coordsize="21600,21600">
            <v:path/>
            <v:fill on="f" focussize="0,0"/>
            <v:stroke on="f" joinstyle="miter"/>
            <v:imagedata r:id="rId94" o:title=""/>
            <o:lock v:ext="edit" aspectratio="t"/>
            <w10:wrap type="none"/>
            <w10:anchorlock/>
          </v:shape>
          <o:OLEObject Type="Embed" ProgID="Equation.3" ShapeID="_x0000_i1033" DrawAspect="Content" ObjectID="_1468075735" r:id="rId93">
            <o:LockedField>false</o:LockedField>
          </o:OLEObject>
        </w:object>
      </w:r>
      <w:r>
        <w:rPr>
          <w:rFonts w:hint="default" w:ascii="Times New Roman" w:hAnsi="Times New Roman" w:cs="Times New Roman"/>
          <w:snapToGrid w:val="0"/>
          <w:color w:val="000000" w:themeColor="text1"/>
          <w:sz w:val="24"/>
          <w:szCs w:val="24"/>
          <w14:textFill>
            <w14:solidFill>
              <w14:schemeClr w14:val="tx1"/>
            </w14:solidFill>
          </w14:textFill>
        </w:rPr>
        <w:t>+</w:t>
      </w:r>
      <w:r>
        <w:rPr>
          <w:rFonts w:hint="default" w:ascii="Times New Roman" w:hAnsi="Times New Roman" w:cs="Times New Roman"/>
          <w:snapToGrid w:val="0"/>
          <w:color w:val="000000" w:themeColor="text1"/>
          <w:position w:val="-28"/>
          <w:sz w:val="24"/>
          <w:szCs w:val="24"/>
          <w14:textFill>
            <w14:solidFill>
              <w14:schemeClr w14:val="tx1"/>
            </w14:solidFill>
          </w14:textFill>
        </w:rPr>
        <w:object>
          <v:shape id="_x0000_i1034" o:spt="75" type="#_x0000_t75" style="height:35.55pt;width:26.2pt;" o:ole="t" filled="f" o:preferrelative="t" stroked="f" coordsize="21600,21600">
            <v:path/>
            <v:fill on="f" focussize="0,0"/>
            <v:stroke on="f" joinstyle="miter"/>
            <v:imagedata r:id="rId96" o:title=""/>
            <o:lock v:ext="edit" aspectratio="t"/>
            <w10:wrap type="none"/>
            <w10:anchorlock/>
          </v:shape>
          <o:OLEObject Type="Embed" ProgID="Equation.3" ShapeID="_x0000_i1034" DrawAspect="Content" ObjectID="_1468075736" r:id="rId95">
            <o:LockedField>false</o:LockedField>
          </o:OLEObject>
        </w:object>
      </w:r>
    </w:p>
    <w:p w14:paraId="6CF8AA29">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式中：R</w:t>
      </w:r>
      <w:r>
        <w:rPr>
          <w:rFonts w:hint="default" w:ascii="Times New Roman" w:hAnsi="Times New Roman" w:cs="Times New Roman"/>
          <w:color w:val="000000" w:themeColor="text1"/>
          <w:kern w:val="24"/>
          <w:sz w:val="24"/>
          <w:szCs w:val="24"/>
          <w:vertAlign w:val="subscript"/>
          <w14:textFill>
            <w14:solidFill>
              <w14:schemeClr w14:val="tx1"/>
            </w14:solidFill>
          </w14:textFill>
        </w:rPr>
        <w:t>1</w:t>
      </w:r>
      <w:r>
        <w:rPr>
          <w:rFonts w:hint="default" w:ascii="Times New Roman" w:hAnsi="Times New Roman" w:cs="Times New Roman"/>
          <w:color w:val="000000" w:themeColor="text1"/>
          <w:kern w:val="24"/>
          <w:sz w:val="24"/>
          <w:szCs w:val="24"/>
          <w14:textFill>
            <w14:solidFill>
              <w14:schemeClr w14:val="tx1"/>
            </w14:solidFill>
          </w14:textFill>
        </w:rPr>
        <w:t>—环保效益指标；</w:t>
      </w:r>
    </w:p>
    <w:p w14:paraId="2E07A51D">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N</w:t>
      </w:r>
      <w:r>
        <w:rPr>
          <w:rFonts w:hint="default" w:ascii="Times New Roman" w:hAnsi="Times New Roman" w:cs="Times New Roman"/>
          <w:color w:val="000000" w:themeColor="text1"/>
          <w:kern w:val="24"/>
          <w:sz w:val="24"/>
          <w:szCs w:val="24"/>
          <w:vertAlign w:val="subscript"/>
          <w14:textFill>
            <w14:solidFill>
              <w14:schemeClr w14:val="tx1"/>
            </w14:solidFill>
          </w14:textFill>
        </w:rPr>
        <w:t>i</w:t>
      </w:r>
      <w:r>
        <w:rPr>
          <w:rFonts w:hint="default" w:ascii="Times New Roman" w:hAnsi="Times New Roman" w:cs="Times New Roman"/>
          <w:color w:val="000000" w:themeColor="text1"/>
          <w:kern w:val="24"/>
          <w:sz w:val="24"/>
          <w:szCs w:val="24"/>
          <w14:textFill>
            <w14:solidFill>
              <w14:schemeClr w14:val="tx1"/>
            </w14:solidFill>
          </w14:textFill>
        </w:rPr>
        <w:t>—能源利用的经济效益，包括清洁生产工艺带来的动力，原材料利用率提高后产生的环保经济效益；</w:t>
      </w:r>
    </w:p>
    <w:p w14:paraId="5A4CAC9E">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M</w:t>
      </w:r>
      <w:r>
        <w:rPr>
          <w:rFonts w:hint="default" w:ascii="Times New Roman" w:hAnsi="Times New Roman" w:cs="Times New Roman"/>
          <w:color w:val="000000" w:themeColor="text1"/>
          <w:kern w:val="24"/>
          <w:sz w:val="24"/>
          <w:szCs w:val="24"/>
          <w:vertAlign w:val="subscript"/>
          <w14:textFill>
            <w14:solidFill>
              <w14:schemeClr w14:val="tx1"/>
            </w14:solidFill>
          </w14:textFill>
        </w:rPr>
        <w:t>i</w:t>
      </w:r>
      <w:r>
        <w:rPr>
          <w:rFonts w:hint="default" w:ascii="Times New Roman" w:hAnsi="Times New Roman" w:cs="Times New Roman"/>
          <w:color w:val="000000" w:themeColor="text1"/>
          <w:kern w:val="24"/>
          <w:sz w:val="24"/>
          <w:szCs w:val="24"/>
          <w14:textFill>
            <w14:solidFill>
              <w14:schemeClr w14:val="tx1"/>
            </w14:solidFill>
          </w14:textFill>
        </w:rPr>
        <w:t>—减少排污的经济效益；</w:t>
      </w:r>
    </w:p>
    <w:p w14:paraId="6A3355F7">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S</w:t>
      </w:r>
      <w:r>
        <w:rPr>
          <w:rFonts w:hint="default" w:ascii="Times New Roman" w:hAnsi="Times New Roman" w:cs="Times New Roman"/>
          <w:color w:val="000000" w:themeColor="text1"/>
          <w:kern w:val="24"/>
          <w:sz w:val="24"/>
          <w:szCs w:val="24"/>
          <w:vertAlign w:val="subscript"/>
          <w14:textFill>
            <w14:solidFill>
              <w14:schemeClr w14:val="tx1"/>
            </w14:solidFill>
          </w14:textFill>
        </w:rPr>
        <w:t>i</w:t>
      </w:r>
      <w:r>
        <w:rPr>
          <w:rFonts w:hint="default" w:ascii="Times New Roman" w:hAnsi="Times New Roman" w:cs="Times New Roman"/>
          <w:color w:val="000000" w:themeColor="text1"/>
          <w:kern w:val="24"/>
          <w:sz w:val="24"/>
          <w:szCs w:val="24"/>
          <w14:textFill>
            <w14:solidFill>
              <w14:schemeClr w14:val="tx1"/>
            </w14:solidFill>
          </w14:textFill>
        </w:rPr>
        <w:t>—固体废物利用的经济效益；</w:t>
      </w:r>
    </w:p>
    <w:p w14:paraId="4AC1EB33">
      <w:pPr>
        <w:spacing w:line="360" w:lineRule="auto"/>
        <w:ind w:firstLine="1298" w:firstLineChars="55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i—各项效益的种类。</w:t>
      </w:r>
    </w:p>
    <w:p w14:paraId="38FBF475">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为使资、能源充分利用，治理“三废”污染，采取了环保措施，使资、能源流失尽可能减少。本项目的环境保护效益就是对正常运行时的污染物排放采取治理措施后而挽回的污染损失总和。在环境经济分析中，环境污染损失和环境保护是一个问题的两个方面，采取污染治理措施后的环境保护效益与未采取污染治理措施的环境污染损失是相等的，本项目实施污染治理措施后的环保效益约100万元/年。</w:t>
      </w:r>
    </w:p>
    <w:bookmarkEnd w:id="276"/>
    <w:bookmarkEnd w:id="277"/>
    <w:p w14:paraId="3D3C0B87">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326" w:name="_Toc133333783"/>
      <w:bookmarkStart w:id="327" w:name="_Toc17380"/>
      <w:bookmarkStart w:id="328" w:name="_Toc109136003"/>
      <w:bookmarkStart w:id="329" w:name="_Toc25557"/>
      <w:bookmarkStart w:id="330" w:name="_Toc6263607"/>
      <w:bookmarkStart w:id="331" w:name="_Toc133214626"/>
      <w:bookmarkStart w:id="332" w:name="_Toc173837779"/>
      <w:r>
        <w:rPr>
          <w:rFonts w:hint="default" w:ascii="Times New Roman" w:hAnsi="Times New Roman"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14:textFill>
            <w14:solidFill>
              <w14:schemeClr w14:val="tx1"/>
            </w14:solidFill>
          </w14:textFill>
        </w:rPr>
        <w:t>.5项目社会效益分析</w:t>
      </w:r>
      <w:bookmarkEnd w:id="326"/>
      <w:bookmarkEnd w:id="327"/>
      <w:bookmarkEnd w:id="328"/>
      <w:bookmarkEnd w:id="329"/>
      <w:bookmarkEnd w:id="330"/>
      <w:bookmarkEnd w:id="331"/>
      <w:bookmarkEnd w:id="332"/>
    </w:p>
    <w:p w14:paraId="5162EFB4">
      <w:pPr>
        <w:pStyle w:val="3159"/>
        <w:rPr>
          <w:rFonts w:hint="default" w:ascii="Times New Roman" w:hAnsi="Times New Roman" w:cs="Times New Roman"/>
          <w:color w:val="000000" w:themeColor="text1"/>
          <w14:textFill>
            <w14:solidFill>
              <w14:schemeClr w14:val="tx1"/>
            </w14:solidFill>
          </w14:textFill>
        </w:rPr>
      </w:pPr>
      <w:bookmarkStart w:id="333" w:name="_Toc189452182"/>
      <w:bookmarkStart w:id="334" w:name="_Toc237416282"/>
      <w:bookmarkStart w:id="335" w:name="_Toc188279255"/>
      <w:bookmarkStart w:id="336" w:name="_Toc250719283"/>
      <w:bookmarkStart w:id="337" w:name="_Toc191720096"/>
      <w:bookmarkStart w:id="338" w:name="_Toc173837780"/>
      <w:bookmarkStart w:id="339" w:name="_Toc170562294"/>
      <w:bookmarkStart w:id="340" w:name="_Toc280365684"/>
      <w:r>
        <w:rPr>
          <w:rFonts w:hint="default" w:ascii="Times New Roman" w:hAnsi="Times New Roman"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14:textFill>
            <w14:solidFill>
              <w14:schemeClr w14:val="tx1"/>
            </w14:solidFill>
          </w14:textFill>
        </w:rPr>
        <w:t>.5.1具有较好的经济效益</w:t>
      </w:r>
      <w:bookmarkEnd w:id="333"/>
      <w:bookmarkEnd w:id="334"/>
      <w:bookmarkEnd w:id="335"/>
      <w:bookmarkEnd w:id="336"/>
      <w:bookmarkEnd w:id="337"/>
      <w:bookmarkEnd w:id="338"/>
      <w:bookmarkEnd w:id="339"/>
      <w:bookmarkEnd w:id="340"/>
    </w:p>
    <w:p w14:paraId="637D9823">
      <w:pPr>
        <w:adjustRightInd w:val="0"/>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项目投资总额为</w:t>
      </w:r>
      <w:r>
        <w:rPr>
          <w:rFonts w:hint="eastAsia" w:cs="Times New Roman"/>
          <w:color w:val="000000" w:themeColor="text1"/>
          <w:sz w:val="24"/>
          <w:lang w:val="en-US" w:eastAsia="zh-CN"/>
          <w14:textFill>
            <w14:solidFill>
              <w14:schemeClr w14:val="tx1"/>
            </w14:solidFill>
          </w14:textFill>
        </w:rPr>
        <w:t>4197</w:t>
      </w:r>
      <w:r>
        <w:rPr>
          <w:rFonts w:hint="default" w:ascii="Times New Roman" w:hAnsi="Times New Roman" w:cs="Times New Roman"/>
          <w:color w:val="000000" w:themeColor="text1"/>
          <w:sz w:val="24"/>
          <w14:textFill>
            <w14:solidFill>
              <w14:schemeClr w14:val="tx1"/>
            </w14:solidFill>
          </w14:textFill>
        </w:rPr>
        <w:t>万元，企业自筹。根据初步测算，项目建成投产后年均产值</w:t>
      </w:r>
      <w:r>
        <w:rPr>
          <w:rFonts w:hint="eastAsia" w:cs="Times New Roman"/>
          <w:color w:val="000000" w:themeColor="text1"/>
          <w:sz w:val="24"/>
          <w:lang w:val="en-US" w:eastAsia="zh-CN"/>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000万元，具有较好的经济效益。</w:t>
      </w:r>
    </w:p>
    <w:p w14:paraId="0A4EA187">
      <w:pPr>
        <w:pStyle w:val="3159"/>
        <w:rPr>
          <w:rFonts w:hint="default" w:ascii="Times New Roman" w:hAnsi="Times New Roman" w:cs="Times New Roman"/>
          <w:color w:val="000000" w:themeColor="text1"/>
          <w14:textFill>
            <w14:solidFill>
              <w14:schemeClr w14:val="tx1"/>
            </w14:solidFill>
          </w14:textFill>
        </w:rPr>
      </w:pPr>
      <w:bookmarkStart w:id="341" w:name="_Toc173837781"/>
      <w:bookmarkStart w:id="342" w:name="_Toc170562295"/>
      <w:r>
        <w:rPr>
          <w:rFonts w:hint="default" w:ascii="Times New Roman" w:hAnsi="Times New Roman"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14:textFill>
            <w14:solidFill>
              <w14:schemeClr w14:val="tx1"/>
            </w14:solidFill>
          </w14:textFill>
        </w:rPr>
        <w:t>.5.2有利于增加劳动力</w:t>
      </w:r>
      <w:bookmarkEnd w:id="341"/>
      <w:bookmarkEnd w:id="342"/>
    </w:p>
    <w:p w14:paraId="26EC61E9">
      <w:pPr>
        <w:adjustRightInd w:val="0"/>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项目的实施，新增劳动人员50人，有利于增加当地劳动就业机会，接纳农村剩余劳动力。</w:t>
      </w:r>
    </w:p>
    <w:p w14:paraId="13A6C1A4">
      <w:pPr>
        <w:adjustRightInd w:val="0"/>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bookmarkStart w:id="343" w:name="_Toc23923860"/>
      <w:bookmarkStart w:id="344" w:name="_Toc510532503"/>
      <w:r>
        <w:rPr>
          <w:rFonts w:hint="default" w:ascii="Times New Roman" w:hAnsi="Times New Roman" w:cs="Times New Roman"/>
          <w:color w:val="000000" w:themeColor="text1"/>
          <w:sz w:val="24"/>
          <w14:textFill>
            <w14:solidFill>
              <w14:schemeClr w14:val="tx1"/>
            </w14:solidFill>
          </w14:textFill>
        </w:rPr>
        <w:t>总之，项目的实施具有良好的社会效应。</w:t>
      </w:r>
    </w:p>
    <w:p w14:paraId="4E7B24AE">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345" w:name="_Toc133333784"/>
      <w:bookmarkStart w:id="346" w:name="_Toc133214627"/>
      <w:bookmarkStart w:id="347" w:name="_Toc173837782"/>
      <w:bookmarkStart w:id="348" w:name="_Toc109136004"/>
      <w:r>
        <w:rPr>
          <w:rFonts w:hint="default" w:ascii="Times New Roman" w:hAnsi="Times New Roman"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14:textFill>
            <w14:solidFill>
              <w14:schemeClr w14:val="tx1"/>
            </w14:solidFill>
          </w14:textFill>
        </w:rPr>
        <w:t>.6小结</w:t>
      </w:r>
      <w:bookmarkEnd w:id="343"/>
      <w:bookmarkEnd w:id="344"/>
      <w:bookmarkEnd w:id="345"/>
      <w:bookmarkEnd w:id="346"/>
      <w:bookmarkEnd w:id="347"/>
      <w:bookmarkEnd w:id="348"/>
    </w:p>
    <w:p w14:paraId="44C459DE">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sectPr>
          <w:pgSz w:w="11907" w:h="16839"/>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000000" w:themeColor="text1"/>
          <w:kern w:val="24"/>
          <w:sz w:val="24"/>
          <w:szCs w:val="24"/>
          <w14:textFill>
            <w14:solidFill>
              <w14:schemeClr w14:val="tx1"/>
            </w14:solidFill>
          </w14:textFill>
        </w:rPr>
        <w:t>本工程的建设将不可避免地对周围环境产生影响，环境经济效益分析结果表明，在实施必要的环境保护措施和支付一定的环境代价后，不仅可达到预定的环境目标，减轻对环境的破坏，同时还可以挽回一定的经济效益，在促进社会和经济发展的同时，使社会效益、经济效益和环境效益得到较好的统一，保证了社会和环境的可持续发展。</w:t>
      </w:r>
    </w:p>
    <w:p w14:paraId="2873D9C2">
      <w:pPr>
        <w:pStyle w:val="2855"/>
        <w:spacing w:beforeLines="50" w:afterLines="50"/>
        <w:rPr>
          <w:rFonts w:hint="default" w:ascii="Times New Roman" w:hAnsi="Times New Roman" w:eastAsia="黑体" w:cs="Times New Roman"/>
          <w:b w:val="0"/>
          <w:color w:val="000000" w:themeColor="text1"/>
          <w14:textFill>
            <w14:solidFill>
              <w14:schemeClr w14:val="tx1"/>
            </w14:solidFill>
          </w14:textFill>
        </w:rPr>
      </w:pPr>
      <w:bookmarkStart w:id="349" w:name="_Toc479085407"/>
      <w:bookmarkStart w:id="350" w:name="_Toc133214628"/>
      <w:bookmarkStart w:id="351" w:name="_Toc109136005"/>
      <w:bookmarkStart w:id="352" w:name="_Toc133333785"/>
      <w:bookmarkStart w:id="353" w:name="_Toc90469132"/>
      <w:bookmarkStart w:id="354" w:name="_Toc173837783"/>
      <w:bookmarkStart w:id="355" w:name="_Toc226097365"/>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环境管理与监测计划</w:t>
      </w:r>
      <w:bookmarkEnd w:id="349"/>
      <w:bookmarkEnd w:id="350"/>
      <w:bookmarkEnd w:id="351"/>
      <w:bookmarkEnd w:id="352"/>
      <w:bookmarkEnd w:id="353"/>
      <w:bookmarkEnd w:id="354"/>
    </w:p>
    <w:bookmarkEnd w:id="355"/>
    <w:p w14:paraId="60284B97">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bookmarkStart w:id="356" w:name="_Toc176004478"/>
      <w:bookmarkStart w:id="357" w:name="_Toc311812561"/>
      <w:bookmarkStart w:id="358" w:name="_Toc185975258"/>
      <w:bookmarkStart w:id="359" w:name="_Toc120005970"/>
      <w:bookmarkStart w:id="360" w:name="_Toc233192393"/>
      <w:bookmarkStart w:id="361" w:name="_Toc188363831"/>
      <w:bookmarkStart w:id="362" w:name="_Toc143791212"/>
      <w:bookmarkStart w:id="363" w:name="_Toc147207404"/>
      <w:bookmarkStart w:id="364" w:name="_Toc231787568"/>
      <w:r>
        <w:rPr>
          <w:rFonts w:hint="default" w:ascii="Times New Roman" w:hAnsi="Times New Roman" w:cs="Times New Roman"/>
          <w:color w:val="000000" w:themeColor="text1"/>
          <w:kern w:val="24"/>
          <w:sz w:val="24"/>
          <w:szCs w:val="24"/>
          <w14:textFill>
            <w14:solidFill>
              <w14:schemeClr w14:val="tx1"/>
            </w14:solidFill>
          </w14:textFill>
        </w:rPr>
        <w:t>本项目建设期主要为</w:t>
      </w:r>
      <w:r>
        <w:rPr>
          <w:rFonts w:hint="default" w:ascii="Times New Roman" w:hAnsi="Times New Roman" w:cs="Times New Roman"/>
          <w:color w:val="000000" w:themeColor="text1"/>
          <w:kern w:val="24"/>
          <w:sz w:val="24"/>
          <w:szCs w:val="24"/>
          <w:lang w:eastAsia="zh-CN"/>
          <w14:textFill>
            <w14:solidFill>
              <w14:schemeClr w14:val="tx1"/>
            </w14:solidFill>
          </w14:textFill>
        </w:rPr>
        <w:t>设备的安装调试</w:t>
      </w:r>
      <w:r>
        <w:rPr>
          <w:rFonts w:hint="default" w:ascii="Times New Roman" w:hAnsi="Times New Roman" w:cs="Times New Roman"/>
          <w:color w:val="000000" w:themeColor="text1"/>
          <w:kern w:val="24"/>
          <w:sz w:val="24"/>
          <w:szCs w:val="24"/>
          <w14:textFill>
            <w14:solidFill>
              <w14:schemeClr w14:val="tx1"/>
            </w14:solidFill>
          </w14:textFill>
        </w:rPr>
        <w:t>，该过程持续时间较短，对环境的影响也非常小。本项目对其所在区域环境的影响主要为本项目的营运期，建设单位应在加强环境管理的同时，定期进行环境监测，及时了解工程在不同时期对周围环境的影响，以便采取相应措施，消除不利影响，减轻环境污染。本项目建成后，应按省、市生态环境局的要求加强对企业的环境管理，要建立健全的环保监督和管理制度。</w:t>
      </w:r>
    </w:p>
    <w:p w14:paraId="595CF06C">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环境管理和监控计划是以防止工程建设对环境造成污染为主要目的，在工程项目的施工和营运过程中，将对周围环境产生一定的污染影响，将通过采用环境污染控制措施减轻污染影响，环境管理和监控计划的实行将监督和评价工程项目实施过程中的污染控制水平，随时对污染控制措施的实施提出要求，确保环境保护目标的实现。</w:t>
      </w:r>
    </w:p>
    <w:p w14:paraId="31A736B9">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365" w:name="_Toc90469133"/>
      <w:bookmarkStart w:id="366" w:name="_Toc109136006"/>
      <w:bookmarkStart w:id="367" w:name="_Toc173837784"/>
      <w:bookmarkStart w:id="368" w:name="_Toc133214629"/>
      <w:bookmarkStart w:id="369" w:name="_Toc133333786"/>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.1环境管理</w:t>
      </w:r>
      <w:bookmarkEnd w:id="365"/>
      <w:bookmarkEnd w:id="366"/>
      <w:bookmarkEnd w:id="367"/>
      <w:bookmarkEnd w:id="368"/>
      <w:bookmarkEnd w:id="369"/>
    </w:p>
    <w:p w14:paraId="496BF7F8">
      <w:pPr>
        <w:pStyle w:val="3159"/>
        <w:rPr>
          <w:rFonts w:hint="default" w:ascii="Times New Roman" w:hAnsi="Times New Roman" w:eastAsia="黑体" w:cs="Times New Roman"/>
          <w:b w:val="0"/>
          <w:color w:val="000000" w:themeColor="text1"/>
          <w14:textFill>
            <w14:solidFill>
              <w14:schemeClr w14:val="tx1"/>
            </w14:solidFill>
          </w14:textFill>
        </w:rPr>
      </w:pPr>
      <w:bookmarkStart w:id="370" w:name="_Toc170562299"/>
      <w:bookmarkStart w:id="371" w:name="_Toc133214630"/>
      <w:bookmarkStart w:id="372" w:name="_Toc133333787"/>
      <w:bookmarkStart w:id="373" w:name="_Toc173837785"/>
      <w:bookmarkStart w:id="374" w:name="_Toc141627925"/>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.1.1环境管理结构设置的目的</w:t>
      </w:r>
      <w:bookmarkEnd w:id="370"/>
      <w:bookmarkEnd w:id="371"/>
      <w:bookmarkEnd w:id="372"/>
      <w:bookmarkEnd w:id="373"/>
      <w:bookmarkEnd w:id="374"/>
    </w:p>
    <w:p w14:paraId="77466581">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环境管理机构的设置，目的是为了贯彻执行中华人民共和国环境保护法的有关法律、法规，全面落实《国务院关于环境保护若干问题的决定》的有关规定，对项目“三废”排放实行监控，确保建设项目经济、环境和社会效益协调发展；协调地方环保部门工作，为企业的生产管理和环境管理提供保证，针对拟建项目的具体情况，为加强严格管理，企业应设置环境管理机构，并尽相应的职责。</w:t>
      </w:r>
    </w:p>
    <w:p w14:paraId="0D1333D5">
      <w:pPr>
        <w:pStyle w:val="3159"/>
        <w:rPr>
          <w:rFonts w:hint="default" w:ascii="Times New Roman" w:hAnsi="Times New Roman" w:eastAsia="黑体" w:cs="Times New Roman"/>
          <w:b w:val="0"/>
          <w:color w:val="000000" w:themeColor="text1"/>
          <w14:textFill>
            <w14:solidFill>
              <w14:schemeClr w14:val="tx1"/>
            </w14:solidFill>
          </w14:textFill>
        </w:rPr>
      </w:pPr>
      <w:bookmarkStart w:id="375" w:name="_Toc173837786"/>
      <w:bookmarkStart w:id="376" w:name="_Toc170562300"/>
      <w:bookmarkStart w:id="377" w:name="_Toc141627926"/>
      <w:bookmarkStart w:id="378" w:name="_Toc133214631"/>
      <w:bookmarkStart w:id="379" w:name="_Toc133333788"/>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.1.2管理机构及职责</w:t>
      </w:r>
      <w:bookmarkEnd w:id="375"/>
      <w:bookmarkEnd w:id="376"/>
      <w:bookmarkEnd w:id="377"/>
      <w:bookmarkEnd w:id="378"/>
      <w:bookmarkEnd w:id="379"/>
    </w:p>
    <w:p w14:paraId="5E419939">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按照国家有关规定和实际工作的需要，本项目设置专职的安全环保部门，在公司总经理的领导下负责工程施工期和营运期的安全生产、环境保护管理工作，环保人员的设置及工作制度与生产岗位相同。安全环保部门主要职责是：</w:t>
      </w:r>
    </w:p>
    <w:p w14:paraId="50D8F67E">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1、建设期负责落实本项目污染治理设施，在设计实施计划的同时应考虑环保设施的自身建设特点，如建设周期、工程整体性等基本要求，进行统筹安排，严格执行“三同时”。</w:t>
      </w:r>
    </w:p>
    <w:p w14:paraId="4BABE1E1">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2、建立健全的环保工作规章制度，积极认真执行国家、安徽省有关环保法规、政策、制度、条例，如“三同时”，环保设施竣工验收，排污申报与许可证，污染物达标排放与问题控制等制度。</w:t>
      </w:r>
    </w:p>
    <w:p w14:paraId="7432C015">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3、本项目营运期负责对本厂的环境保护工作进行监督与管理，负责公司与地方各级环保主管部门的协调工作。</w:t>
      </w:r>
    </w:p>
    <w:p w14:paraId="24C6CCA0">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4、根据本环境影响报告书提出的环境监测计划，编制项目年度环境监测计划并组织实施，协助有资质的监测单位对本厂的污染物排放进行日常监测，发现问题及时解决。</w:t>
      </w:r>
    </w:p>
    <w:p w14:paraId="1A364EEA">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5、保证污染治理设施的完好率、运行率和主体设施相适应，做到运行、维护检修与主体设施同步进行。</w:t>
      </w:r>
    </w:p>
    <w:p w14:paraId="4F9591A6">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6、对职工进行经常性的环保教育与技术培训，明确环保责任制及奖惩制度，根据确定的环保目标及管理要求对企业各部门、各车间及岗位进行环保执法监督和考核。</w:t>
      </w:r>
    </w:p>
    <w:p w14:paraId="6B7AA721">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7、负责组织突发事故的应急处理及善后事宜，如发生事故应及时报告上级环保部门。</w:t>
      </w:r>
    </w:p>
    <w:p w14:paraId="203CF340">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8、为了落实各项污染防治措施，加强环境保护工作管理，应当根据实际特点，制订各种类型的环保制度，并以文件形式规定，形成一套厂级环境管理制度体系，如：环保设施运行操作规程；污染防治对策控制工艺参数；环境保护工作家常话计划；绿化工作年度计划；厂内环境保护工作管理及奖罚办法等。</w:t>
      </w:r>
    </w:p>
    <w:p w14:paraId="2D161783">
      <w:pPr>
        <w:pStyle w:val="3159"/>
        <w:rPr>
          <w:rFonts w:hint="default" w:ascii="Times New Roman" w:hAnsi="Times New Roman" w:eastAsia="黑体" w:cs="Times New Roman"/>
          <w:b w:val="0"/>
          <w:color w:val="000000" w:themeColor="text1"/>
          <w14:textFill>
            <w14:solidFill>
              <w14:schemeClr w14:val="tx1"/>
            </w14:solidFill>
          </w14:textFill>
        </w:rPr>
      </w:pPr>
      <w:bookmarkStart w:id="380" w:name="_Toc133214632"/>
      <w:bookmarkStart w:id="381" w:name="_Toc141627927"/>
      <w:bookmarkStart w:id="382" w:name="_Toc133333789"/>
      <w:bookmarkStart w:id="383" w:name="_Toc170562301"/>
      <w:bookmarkStart w:id="384" w:name="_Toc173837787"/>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.1.3环境管理计划</w:t>
      </w:r>
      <w:bookmarkEnd w:id="380"/>
      <w:bookmarkEnd w:id="381"/>
      <w:bookmarkEnd w:id="382"/>
      <w:bookmarkEnd w:id="383"/>
      <w:bookmarkEnd w:id="384"/>
    </w:p>
    <w:p w14:paraId="2CFDD5FC">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1、根据国家环保政策、标准及环境监测要求，制定本项目营运期环境管理规章制度、各种污染物排放指标。</w:t>
      </w:r>
    </w:p>
    <w:p w14:paraId="260DE641">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2、对生产车间内废气治理设施进行定期维护和检修，确保废气治理设施的正常运行及废气达标排放。</w:t>
      </w:r>
    </w:p>
    <w:p w14:paraId="6FB3EC4C">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3、生活垃圾和危险废物的收集管理应分类分开收集，危险废物在厂区危险废物暂存库暂存后应定期交给有资质单位进行处理，生活垃圾袋装收集，并及时运往垃圾中转站，由环卫部门统一清运。</w:t>
      </w:r>
    </w:p>
    <w:p w14:paraId="5496DEF9">
      <w:pPr>
        <w:pStyle w:val="3159"/>
        <w:rPr>
          <w:rFonts w:hint="default" w:ascii="Times New Roman" w:hAnsi="Times New Roman" w:eastAsia="黑体" w:cs="Times New Roman"/>
          <w:b w:val="0"/>
          <w:color w:val="000000" w:themeColor="text1"/>
          <w14:textFill>
            <w14:solidFill>
              <w14:schemeClr w14:val="tx1"/>
            </w14:solidFill>
          </w14:textFill>
        </w:rPr>
      </w:pPr>
      <w:bookmarkStart w:id="385" w:name="_Toc173837788"/>
      <w:bookmarkStart w:id="386" w:name="_Toc141627928"/>
      <w:bookmarkStart w:id="387" w:name="_Toc170562302"/>
      <w:bookmarkStart w:id="388" w:name="_Toc133333790"/>
      <w:bookmarkStart w:id="389" w:name="_Toc133214633"/>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.1.4环境管理制度</w:t>
      </w:r>
      <w:bookmarkEnd w:id="385"/>
      <w:bookmarkEnd w:id="386"/>
      <w:bookmarkEnd w:id="387"/>
      <w:bookmarkEnd w:id="388"/>
      <w:bookmarkEnd w:id="389"/>
    </w:p>
    <w:p w14:paraId="75B418A2">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建设单位应制定一系列规章制度以促进环境保护工作，使环境保护工作规范化和程序化，并通过经济杠杆来保证环境保护管理制度的认真执行。根据需要，建议制定的环境保护工作条例有：</w:t>
      </w:r>
    </w:p>
    <w:p w14:paraId="194DACD4">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1、环境保护职责管理条例；</w:t>
      </w:r>
    </w:p>
    <w:p w14:paraId="5FAF2DD6">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2、污水、废气、固体废物排放管理制度；</w:t>
      </w:r>
    </w:p>
    <w:p w14:paraId="196B6BDE">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3、处理装置日常运行管理制度；</w:t>
      </w:r>
    </w:p>
    <w:p w14:paraId="2B9048AF">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4、排污情况报告制度；</w:t>
      </w:r>
    </w:p>
    <w:p w14:paraId="0CF3DF73">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5、污染事故处理制度；</w:t>
      </w:r>
    </w:p>
    <w:p w14:paraId="6175617B">
      <w:pPr>
        <w:spacing w:line="360" w:lineRule="auto"/>
        <w:ind w:firstLine="472" w:firstLineChars="200"/>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6、环保教育制度。</w:t>
      </w:r>
    </w:p>
    <w:p w14:paraId="03B57264">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390" w:name="_Toc90469134"/>
      <w:bookmarkStart w:id="391" w:name="_Toc173837789"/>
      <w:bookmarkStart w:id="392" w:name="_Toc133333791"/>
      <w:bookmarkStart w:id="393" w:name="_Toc109136007"/>
      <w:bookmarkStart w:id="394" w:name="_Toc133214634"/>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.2建设单位污染物排放基本情况</w:t>
      </w:r>
      <w:bookmarkEnd w:id="390"/>
      <w:bookmarkEnd w:id="391"/>
      <w:bookmarkEnd w:id="392"/>
      <w:bookmarkEnd w:id="393"/>
      <w:bookmarkEnd w:id="394"/>
    </w:p>
    <w:p w14:paraId="1BA3BD03">
      <w:pPr>
        <w:pStyle w:val="3159"/>
        <w:rPr>
          <w:rFonts w:hint="default" w:ascii="Times New Roman" w:hAnsi="Times New Roman" w:eastAsia="黑体" w:cs="Times New Roman"/>
          <w:b w:val="0"/>
          <w:color w:val="000000" w:themeColor="text1"/>
          <w14:textFill>
            <w14:solidFill>
              <w14:schemeClr w14:val="tx1"/>
            </w14:solidFill>
          </w14:textFill>
        </w:rPr>
      </w:pPr>
      <w:bookmarkStart w:id="395" w:name="_Toc170562304"/>
      <w:bookmarkStart w:id="396" w:name="_Toc133333792"/>
      <w:bookmarkStart w:id="397" w:name="_Toc141627930"/>
      <w:bookmarkStart w:id="398" w:name="_Toc133214635"/>
      <w:bookmarkStart w:id="399" w:name="_Toc173837790"/>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.2.1产排污节点、污染物及污染治理设施</w:t>
      </w:r>
      <w:bookmarkEnd w:id="395"/>
      <w:bookmarkEnd w:id="396"/>
      <w:bookmarkEnd w:id="397"/>
      <w:bookmarkEnd w:id="398"/>
      <w:bookmarkEnd w:id="399"/>
    </w:p>
    <w:p w14:paraId="7EA20F1E">
      <w:pPr>
        <w:widowControl/>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sectPr>
          <w:pgSz w:w="11907" w:h="16839"/>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000000" w:themeColor="text1"/>
          <w:sz w:val="24"/>
          <w:szCs w:val="24"/>
          <w14:textFill>
            <w14:solidFill>
              <w14:schemeClr w14:val="tx1"/>
            </w14:solidFill>
          </w14:textFill>
        </w:rPr>
        <w:t>参照《排污许可证申请与核发技术规范废弃资源加工工业》（HJ1034-2019）、《排污许可证申请与核发技术规范橡胶和塑料制品工业》（HJ1122—2020），拟建项目废气产排污节点、污染物及污染治理设施信息及废水产排污节点、污染物及污染治理设施信息下表。</w:t>
      </w:r>
    </w:p>
    <w:p w14:paraId="474371A8">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default" w:ascii="Times New Roman" w:hAnsi="Times New Roman" w:eastAsia="黑体" w:cs="Times New Roman"/>
          <w:bCs/>
          <w:color w:val="000000" w:themeColor="text1"/>
          <w:sz w:val="24"/>
          <w:lang w:val="en-US" w:eastAsia="zh-CN"/>
          <w14:textFill>
            <w14:solidFill>
              <w14:schemeClr w14:val="tx1"/>
            </w14:solidFill>
          </w14:textFill>
        </w:rPr>
        <w:t>8</w:t>
      </w:r>
      <w:r>
        <w:rPr>
          <w:rFonts w:hint="default" w:ascii="Times New Roman" w:hAnsi="Times New Roman" w:eastAsia="黑体" w:cs="Times New Roman"/>
          <w:bCs/>
          <w:color w:val="000000" w:themeColor="text1"/>
          <w:sz w:val="24"/>
          <w14:textFill>
            <w14:solidFill>
              <w14:schemeClr w14:val="tx1"/>
            </w14:solidFill>
          </w14:textFill>
        </w:rPr>
        <w:t>.2-1</w:t>
      </w:r>
      <w:r>
        <w:rPr>
          <w:rFonts w:hint="eastAsia" w:ascii="Times New Roman" w:hAnsi="Times New Roman" w:eastAsia="黑体" w:cs="Times New Roman"/>
          <w:bCs/>
          <w:color w:val="000000" w:themeColor="text1"/>
          <w:sz w:val="24"/>
          <w:lang w:val="en-US" w:eastAsia="zh-CN"/>
          <w14:textFill>
            <w14:solidFill>
              <w14:schemeClr w14:val="tx1"/>
            </w14:solidFill>
          </w14:textFill>
        </w:rPr>
        <w:t xml:space="preserve">  </w:t>
      </w:r>
      <w:r>
        <w:rPr>
          <w:rFonts w:hint="default" w:ascii="Times New Roman" w:hAnsi="Times New Roman" w:eastAsia="黑体" w:cs="Times New Roman"/>
          <w:bCs/>
          <w:color w:val="000000" w:themeColor="text1"/>
          <w:sz w:val="24"/>
          <w14:textFill>
            <w14:solidFill>
              <w14:schemeClr w14:val="tx1"/>
            </w14:solidFill>
          </w14:textFill>
        </w:rPr>
        <w:t>项目废气产排污节点、污染物及污染治理设施信息表</w:t>
      </w:r>
    </w:p>
    <w:tbl>
      <w:tblPr>
        <w:tblStyle w:val="88"/>
        <w:tblpPr w:leftFromText="180" w:rightFromText="180" w:vertAnchor="text" w:tblpY="1"/>
        <w:tblOverlap w:val="never"/>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63"/>
        <w:gridCol w:w="1708"/>
        <w:gridCol w:w="969"/>
        <w:gridCol w:w="1131"/>
        <w:gridCol w:w="1458"/>
        <w:gridCol w:w="1215"/>
        <w:gridCol w:w="1761"/>
        <w:gridCol w:w="2207"/>
        <w:gridCol w:w="1090"/>
        <w:gridCol w:w="1273"/>
      </w:tblGrid>
      <w:tr w14:paraId="60215E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63" w:type="dxa"/>
            <w:vMerge w:val="restart"/>
            <w:shd w:val="clear" w:color="auto" w:fill="auto"/>
            <w:vAlign w:val="center"/>
          </w:tcPr>
          <w:p w14:paraId="16E89B29">
            <w:pPr>
              <w:pStyle w:val="951"/>
              <w:adjustRightInd/>
              <w:snapToGrid/>
              <w:spacing w:line="276" w:lineRule="auto"/>
              <w:rPr>
                <w:rFonts w:hint="default" w:ascii="Times New Roman" w:hAnsi="Times New Roman" w:cs="Times New Roman"/>
                <w:b/>
                <w:snapToGrid w:val="0"/>
                <w:color w:val="000000" w:themeColor="text1"/>
                <w:spacing w:val="0"/>
                <w:kern w:val="0"/>
                <w14:textFill>
                  <w14:solidFill>
                    <w14:schemeClr w14:val="tx1"/>
                  </w14:solidFill>
                </w14:textFill>
              </w:rPr>
            </w:pPr>
            <w:r>
              <w:rPr>
                <w:rFonts w:hint="default" w:ascii="Times New Roman" w:hAnsi="Times New Roman" w:cs="Times New Roman"/>
                <w:b/>
                <w:snapToGrid w:val="0"/>
                <w:color w:val="000000" w:themeColor="text1"/>
                <w:spacing w:val="0"/>
                <w:kern w:val="0"/>
                <w14:textFill>
                  <w14:solidFill>
                    <w14:schemeClr w14:val="tx1"/>
                  </w14:solidFill>
                </w14:textFill>
              </w:rPr>
              <w:t>位置</w:t>
            </w:r>
          </w:p>
        </w:tc>
        <w:tc>
          <w:tcPr>
            <w:tcW w:w="1708" w:type="dxa"/>
            <w:vMerge w:val="restart"/>
            <w:shd w:val="clear" w:color="auto" w:fill="auto"/>
            <w:vAlign w:val="center"/>
          </w:tcPr>
          <w:p w14:paraId="489B0358">
            <w:pPr>
              <w:pStyle w:val="951"/>
              <w:adjustRightInd/>
              <w:snapToGrid/>
              <w:spacing w:line="276" w:lineRule="auto"/>
              <w:rPr>
                <w:rFonts w:hint="default" w:ascii="Times New Roman" w:hAnsi="Times New Roman" w:cs="Times New Roman"/>
                <w:b/>
                <w:snapToGrid w:val="0"/>
                <w:color w:val="000000" w:themeColor="text1"/>
                <w:spacing w:val="0"/>
                <w:kern w:val="0"/>
                <w14:textFill>
                  <w14:solidFill>
                    <w14:schemeClr w14:val="tx1"/>
                  </w14:solidFill>
                </w14:textFill>
              </w:rPr>
            </w:pPr>
            <w:r>
              <w:rPr>
                <w:rFonts w:hint="default" w:ascii="Times New Roman" w:hAnsi="Times New Roman" w:cs="Times New Roman"/>
                <w:b/>
                <w:snapToGrid w:val="0"/>
                <w:color w:val="000000" w:themeColor="text1"/>
                <w:spacing w:val="0"/>
                <w:kern w:val="0"/>
                <w14:textFill>
                  <w14:solidFill>
                    <w14:schemeClr w14:val="tx1"/>
                  </w14:solidFill>
                </w14:textFill>
              </w:rPr>
              <w:t>产污环节</w:t>
            </w:r>
          </w:p>
        </w:tc>
        <w:tc>
          <w:tcPr>
            <w:tcW w:w="969" w:type="dxa"/>
            <w:vMerge w:val="restart"/>
            <w:shd w:val="clear" w:color="auto" w:fill="auto"/>
            <w:vAlign w:val="center"/>
          </w:tcPr>
          <w:p w14:paraId="1337D120">
            <w:pPr>
              <w:pStyle w:val="951"/>
              <w:adjustRightInd/>
              <w:snapToGrid/>
              <w:spacing w:line="276" w:lineRule="auto"/>
              <w:rPr>
                <w:rFonts w:hint="default" w:ascii="Times New Roman" w:hAnsi="Times New Roman" w:cs="Times New Roman"/>
                <w:b/>
                <w:snapToGrid w:val="0"/>
                <w:color w:val="000000" w:themeColor="text1"/>
                <w:spacing w:val="0"/>
                <w:kern w:val="0"/>
                <w14:textFill>
                  <w14:solidFill>
                    <w14:schemeClr w14:val="tx1"/>
                  </w14:solidFill>
                </w14:textFill>
              </w:rPr>
            </w:pPr>
            <w:r>
              <w:rPr>
                <w:rFonts w:hint="default" w:ascii="Times New Roman" w:hAnsi="Times New Roman" w:cs="Times New Roman"/>
                <w:b/>
                <w:snapToGrid w:val="0"/>
                <w:color w:val="000000" w:themeColor="text1"/>
                <w:spacing w:val="0"/>
                <w:kern w:val="0"/>
                <w14:textFill>
                  <w14:solidFill>
                    <w14:schemeClr w14:val="tx1"/>
                  </w14:solidFill>
                </w14:textFill>
              </w:rPr>
              <w:t>污染物</w:t>
            </w:r>
          </w:p>
        </w:tc>
        <w:tc>
          <w:tcPr>
            <w:tcW w:w="1131" w:type="dxa"/>
            <w:vMerge w:val="restart"/>
            <w:shd w:val="clear" w:color="auto" w:fill="auto"/>
            <w:vAlign w:val="center"/>
          </w:tcPr>
          <w:p w14:paraId="32771060">
            <w:pPr>
              <w:pStyle w:val="951"/>
              <w:adjustRightInd/>
              <w:snapToGrid/>
              <w:spacing w:line="276" w:lineRule="auto"/>
              <w:rPr>
                <w:rFonts w:hint="default" w:ascii="Times New Roman" w:hAnsi="Times New Roman" w:cs="Times New Roman"/>
                <w:b/>
                <w:snapToGrid w:val="0"/>
                <w:color w:val="000000" w:themeColor="text1"/>
                <w:spacing w:val="0"/>
                <w:kern w:val="0"/>
                <w14:textFill>
                  <w14:solidFill>
                    <w14:schemeClr w14:val="tx1"/>
                  </w14:solidFill>
                </w14:textFill>
              </w:rPr>
            </w:pPr>
            <w:r>
              <w:rPr>
                <w:rFonts w:hint="default" w:ascii="Times New Roman" w:hAnsi="Times New Roman" w:cs="Times New Roman"/>
                <w:b/>
                <w:snapToGrid w:val="0"/>
                <w:color w:val="000000" w:themeColor="text1"/>
                <w:spacing w:val="0"/>
                <w:kern w:val="0"/>
                <w14:textFill>
                  <w14:solidFill>
                    <w14:schemeClr w14:val="tx1"/>
                  </w14:solidFill>
                </w14:textFill>
              </w:rPr>
              <w:t>排放形式</w:t>
            </w:r>
          </w:p>
        </w:tc>
        <w:tc>
          <w:tcPr>
            <w:tcW w:w="6641" w:type="dxa"/>
            <w:gridSpan w:val="4"/>
            <w:shd w:val="clear" w:color="auto" w:fill="auto"/>
            <w:vAlign w:val="center"/>
          </w:tcPr>
          <w:p w14:paraId="2964357F">
            <w:pPr>
              <w:pStyle w:val="951"/>
              <w:adjustRightInd/>
              <w:snapToGrid/>
              <w:spacing w:line="276" w:lineRule="auto"/>
              <w:rPr>
                <w:rFonts w:hint="default" w:ascii="Times New Roman" w:hAnsi="Times New Roman" w:cs="Times New Roman"/>
                <w:b/>
                <w:snapToGrid w:val="0"/>
                <w:color w:val="000000" w:themeColor="text1"/>
                <w:spacing w:val="0"/>
                <w:kern w:val="0"/>
                <w14:textFill>
                  <w14:solidFill>
                    <w14:schemeClr w14:val="tx1"/>
                  </w14:solidFill>
                </w14:textFill>
              </w:rPr>
            </w:pPr>
            <w:r>
              <w:rPr>
                <w:rFonts w:hint="default" w:ascii="Times New Roman" w:hAnsi="Times New Roman" w:cs="Times New Roman"/>
                <w:b/>
                <w:snapToGrid w:val="0"/>
                <w:color w:val="000000" w:themeColor="text1"/>
                <w:spacing w:val="0"/>
                <w:kern w:val="0"/>
                <w14:textFill>
                  <w14:solidFill>
                    <w14:schemeClr w14:val="tx1"/>
                  </w14:solidFill>
                </w14:textFill>
              </w:rPr>
              <w:t>污染治理设施</w:t>
            </w:r>
          </w:p>
        </w:tc>
        <w:tc>
          <w:tcPr>
            <w:tcW w:w="1090" w:type="dxa"/>
            <w:vMerge w:val="restart"/>
            <w:shd w:val="clear" w:color="auto" w:fill="auto"/>
            <w:vAlign w:val="center"/>
          </w:tcPr>
          <w:p w14:paraId="12EC2B47">
            <w:pPr>
              <w:pStyle w:val="951"/>
              <w:adjustRightInd/>
              <w:snapToGrid/>
              <w:spacing w:line="276" w:lineRule="auto"/>
              <w:rPr>
                <w:rFonts w:hint="default" w:ascii="Times New Roman" w:hAnsi="Times New Roman" w:cs="Times New Roman"/>
                <w:b/>
                <w:snapToGrid w:val="0"/>
                <w:color w:val="000000" w:themeColor="text1"/>
                <w:spacing w:val="0"/>
                <w:kern w:val="0"/>
                <w14:textFill>
                  <w14:solidFill>
                    <w14:schemeClr w14:val="tx1"/>
                  </w14:solidFill>
                </w14:textFill>
              </w:rPr>
            </w:pPr>
            <w:r>
              <w:rPr>
                <w:rFonts w:hint="default" w:ascii="Times New Roman" w:hAnsi="Times New Roman" w:cs="Times New Roman"/>
                <w:b/>
                <w:snapToGrid w:val="0"/>
                <w:color w:val="000000" w:themeColor="text1"/>
                <w:spacing w:val="0"/>
                <w:kern w:val="0"/>
                <w14:textFill>
                  <w14:solidFill>
                    <w14:schemeClr w14:val="tx1"/>
                  </w14:solidFill>
                </w14:textFill>
              </w:rPr>
              <w:t>是否为可行技术</w:t>
            </w:r>
          </w:p>
        </w:tc>
        <w:tc>
          <w:tcPr>
            <w:tcW w:w="1273" w:type="dxa"/>
            <w:vMerge w:val="restart"/>
            <w:shd w:val="clear" w:color="auto" w:fill="auto"/>
            <w:vAlign w:val="center"/>
          </w:tcPr>
          <w:p w14:paraId="73CFE8BC">
            <w:pPr>
              <w:pStyle w:val="951"/>
              <w:adjustRightInd/>
              <w:snapToGrid/>
              <w:spacing w:line="276" w:lineRule="auto"/>
              <w:rPr>
                <w:rFonts w:hint="default" w:ascii="Times New Roman" w:hAnsi="Times New Roman" w:cs="Times New Roman"/>
                <w:b/>
                <w:snapToGrid w:val="0"/>
                <w:color w:val="000000" w:themeColor="text1"/>
                <w:spacing w:val="0"/>
                <w:kern w:val="0"/>
                <w14:textFill>
                  <w14:solidFill>
                    <w14:schemeClr w14:val="tx1"/>
                  </w14:solidFill>
                </w14:textFill>
              </w:rPr>
            </w:pPr>
            <w:r>
              <w:rPr>
                <w:rFonts w:hint="default" w:ascii="Times New Roman" w:hAnsi="Times New Roman" w:cs="Times New Roman"/>
                <w:b/>
                <w:snapToGrid w:val="0"/>
                <w:color w:val="000000" w:themeColor="text1"/>
                <w:spacing w:val="0"/>
                <w:kern w:val="0"/>
                <w14:textFill>
                  <w14:solidFill>
                    <w14:schemeClr w14:val="tx1"/>
                  </w14:solidFill>
                </w14:textFill>
              </w:rPr>
              <w:t>排放口类型</w:t>
            </w:r>
          </w:p>
        </w:tc>
      </w:tr>
      <w:tr w14:paraId="5FEC9D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63" w:type="dxa"/>
            <w:vMerge w:val="continue"/>
            <w:shd w:val="clear" w:color="auto" w:fill="auto"/>
            <w:vAlign w:val="center"/>
          </w:tcPr>
          <w:p w14:paraId="689A9A62">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p>
        </w:tc>
        <w:tc>
          <w:tcPr>
            <w:tcW w:w="1708" w:type="dxa"/>
            <w:vMerge w:val="continue"/>
            <w:shd w:val="clear" w:color="auto" w:fill="auto"/>
            <w:vAlign w:val="center"/>
          </w:tcPr>
          <w:p w14:paraId="6468BD5E">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p>
        </w:tc>
        <w:tc>
          <w:tcPr>
            <w:tcW w:w="969" w:type="dxa"/>
            <w:vMerge w:val="continue"/>
            <w:shd w:val="clear" w:color="auto" w:fill="auto"/>
            <w:vAlign w:val="center"/>
          </w:tcPr>
          <w:p w14:paraId="09EDB139">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p>
        </w:tc>
        <w:tc>
          <w:tcPr>
            <w:tcW w:w="1131" w:type="dxa"/>
            <w:vMerge w:val="continue"/>
            <w:shd w:val="clear" w:color="auto" w:fill="auto"/>
            <w:vAlign w:val="center"/>
          </w:tcPr>
          <w:p w14:paraId="510C4D84">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p>
        </w:tc>
        <w:tc>
          <w:tcPr>
            <w:tcW w:w="1458" w:type="dxa"/>
            <w:shd w:val="clear" w:color="auto" w:fill="auto"/>
            <w:vAlign w:val="center"/>
          </w:tcPr>
          <w:p w14:paraId="3DFFBA59">
            <w:pPr>
              <w:pStyle w:val="951"/>
              <w:adjustRightInd/>
              <w:snapToGrid/>
              <w:spacing w:line="276" w:lineRule="auto"/>
              <w:rPr>
                <w:rFonts w:hint="default" w:ascii="Times New Roman" w:hAnsi="Times New Roman" w:cs="Times New Roman"/>
                <w:b/>
                <w:snapToGrid w:val="0"/>
                <w:color w:val="000000" w:themeColor="text1"/>
                <w:spacing w:val="0"/>
                <w:kern w:val="0"/>
                <w14:textFill>
                  <w14:solidFill>
                    <w14:schemeClr w14:val="tx1"/>
                  </w14:solidFill>
                </w14:textFill>
              </w:rPr>
            </w:pPr>
            <w:r>
              <w:rPr>
                <w:rFonts w:hint="default" w:ascii="Times New Roman" w:hAnsi="Times New Roman" w:cs="Times New Roman"/>
                <w:b/>
                <w:snapToGrid w:val="0"/>
                <w:color w:val="000000" w:themeColor="text1"/>
                <w:spacing w:val="0"/>
                <w:kern w:val="0"/>
                <w14:textFill>
                  <w14:solidFill>
                    <w14:schemeClr w14:val="tx1"/>
                  </w14:solidFill>
                </w14:textFill>
              </w:rPr>
              <w:t>收集措施</w:t>
            </w:r>
          </w:p>
        </w:tc>
        <w:tc>
          <w:tcPr>
            <w:tcW w:w="1215" w:type="dxa"/>
            <w:shd w:val="clear" w:color="auto" w:fill="auto"/>
            <w:vAlign w:val="center"/>
          </w:tcPr>
          <w:p w14:paraId="421F5D4B">
            <w:pPr>
              <w:pStyle w:val="951"/>
              <w:adjustRightInd/>
              <w:snapToGrid/>
              <w:spacing w:line="276" w:lineRule="auto"/>
              <w:rPr>
                <w:rFonts w:hint="default" w:ascii="Times New Roman" w:hAnsi="Times New Roman" w:cs="Times New Roman"/>
                <w:b/>
                <w:snapToGrid w:val="0"/>
                <w:color w:val="000000" w:themeColor="text1"/>
                <w:spacing w:val="0"/>
                <w:kern w:val="0"/>
                <w14:textFill>
                  <w14:solidFill>
                    <w14:schemeClr w14:val="tx1"/>
                  </w14:solidFill>
                </w14:textFill>
              </w:rPr>
            </w:pPr>
            <w:r>
              <w:rPr>
                <w:rFonts w:hint="default" w:ascii="Times New Roman" w:hAnsi="Times New Roman" w:cs="Times New Roman"/>
                <w:b/>
                <w:snapToGrid w:val="0"/>
                <w:color w:val="000000" w:themeColor="text1"/>
                <w:spacing w:val="0"/>
                <w:kern w:val="0"/>
                <w14:textFill>
                  <w14:solidFill>
                    <w14:schemeClr w14:val="tx1"/>
                  </w14:solidFill>
                </w14:textFill>
              </w:rPr>
              <w:t>收集效率</w:t>
            </w:r>
          </w:p>
        </w:tc>
        <w:tc>
          <w:tcPr>
            <w:tcW w:w="1761" w:type="dxa"/>
            <w:shd w:val="clear" w:color="auto" w:fill="auto"/>
            <w:vAlign w:val="center"/>
          </w:tcPr>
          <w:p w14:paraId="3F8B9D35">
            <w:pPr>
              <w:pStyle w:val="951"/>
              <w:adjustRightInd/>
              <w:snapToGrid/>
              <w:spacing w:line="276" w:lineRule="auto"/>
              <w:rPr>
                <w:rFonts w:hint="default" w:ascii="Times New Roman" w:hAnsi="Times New Roman" w:cs="Times New Roman"/>
                <w:b/>
                <w:snapToGrid w:val="0"/>
                <w:color w:val="000000" w:themeColor="text1"/>
                <w:spacing w:val="0"/>
                <w:kern w:val="0"/>
                <w14:textFill>
                  <w14:solidFill>
                    <w14:schemeClr w14:val="tx1"/>
                  </w14:solidFill>
                </w14:textFill>
              </w:rPr>
            </w:pPr>
            <w:r>
              <w:rPr>
                <w:rFonts w:hint="default" w:ascii="Times New Roman" w:hAnsi="Times New Roman" w:cs="Times New Roman"/>
                <w:b/>
                <w:snapToGrid w:val="0"/>
                <w:color w:val="000000" w:themeColor="text1"/>
                <w:spacing w:val="0"/>
                <w:kern w:val="0"/>
                <w14:textFill>
                  <w14:solidFill>
                    <w14:schemeClr w14:val="tx1"/>
                  </w14:solidFill>
                </w14:textFill>
              </w:rPr>
              <w:t>污染治理设施工艺</w:t>
            </w:r>
          </w:p>
        </w:tc>
        <w:tc>
          <w:tcPr>
            <w:tcW w:w="2207" w:type="dxa"/>
            <w:shd w:val="clear" w:color="auto" w:fill="auto"/>
            <w:vAlign w:val="center"/>
          </w:tcPr>
          <w:p w14:paraId="12B86B43">
            <w:pPr>
              <w:pStyle w:val="951"/>
              <w:adjustRightInd/>
              <w:snapToGrid/>
              <w:spacing w:line="276" w:lineRule="auto"/>
              <w:rPr>
                <w:rFonts w:hint="default" w:ascii="Times New Roman" w:hAnsi="Times New Roman" w:cs="Times New Roman"/>
                <w:b/>
                <w:snapToGrid w:val="0"/>
                <w:color w:val="000000" w:themeColor="text1"/>
                <w:spacing w:val="0"/>
                <w:kern w:val="0"/>
                <w14:textFill>
                  <w14:solidFill>
                    <w14:schemeClr w14:val="tx1"/>
                  </w14:solidFill>
                </w14:textFill>
              </w:rPr>
            </w:pPr>
            <w:r>
              <w:rPr>
                <w:rFonts w:hint="default" w:ascii="Times New Roman" w:hAnsi="Times New Roman" w:cs="Times New Roman"/>
                <w:b/>
                <w:snapToGrid w:val="0"/>
                <w:color w:val="000000" w:themeColor="text1"/>
                <w:spacing w:val="0"/>
                <w:kern w:val="0"/>
                <w14:textFill>
                  <w14:solidFill>
                    <w14:schemeClr w14:val="tx1"/>
                  </w14:solidFill>
                </w14:textFill>
              </w:rPr>
              <w:t>处理效率</w:t>
            </w:r>
          </w:p>
        </w:tc>
        <w:tc>
          <w:tcPr>
            <w:tcW w:w="1090" w:type="dxa"/>
            <w:vMerge w:val="continue"/>
            <w:shd w:val="clear" w:color="auto" w:fill="auto"/>
            <w:vAlign w:val="center"/>
          </w:tcPr>
          <w:p w14:paraId="68299731">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p>
        </w:tc>
        <w:tc>
          <w:tcPr>
            <w:tcW w:w="1273" w:type="dxa"/>
            <w:vMerge w:val="continue"/>
            <w:shd w:val="clear" w:color="auto" w:fill="auto"/>
            <w:vAlign w:val="center"/>
          </w:tcPr>
          <w:p w14:paraId="0C60C184">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p>
        </w:tc>
      </w:tr>
      <w:tr w14:paraId="788217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63" w:type="dxa"/>
            <w:vMerge w:val="restart"/>
            <w:shd w:val="clear" w:color="auto" w:fill="auto"/>
            <w:noWrap/>
            <w:vAlign w:val="center"/>
          </w:tcPr>
          <w:p w14:paraId="4EC872BB">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14:textFill>
                  <w14:solidFill>
                    <w14:schemeClr w14:val="tx1"/>
                  </w14:solidFill>
                </w14:textFill>
              </w:rPr>
              <w:t>DA001号排气筒</w:t>
            </w:r>
          </w:p>
        </w:tc>
        <w:tc>
          <w:tcPr>
            <w:tcW w:w="1708" w:type="dxa"/>
            <w:shd w:val="clear" w:color="auto" w:fill="auto"/>
            <w:vAlign w:val="center"/>
          </w:tcPr>
          <w:p w14:paraId="6B2DB70F">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lang w:eastAsia="zh-CN"/>
                <w14:textFill>
                  <w14:solidFill>
                    <w14:schemeClr w14:val="tx1"/>
                  </w14:solidFill>
                </w14:textFill>
              </w:rPr>
              <w:t>改性粒子熔融挤出</w:t>
            </w:r>
            <w:r>
              <w:rPr>
                <w:rFonts w:hint="default" w:ascii="Times New Roman" w:hAnsi="Times New Roman" w:cs="Times New Roman"/>
                <w:snapToGrid w:val="0"/>
                <w:color w:val="000000" w:themeColor="text1"/>
                <w:spacing w:val="0"/>
                <w:kern w:val="0"/>
                <w14:textFill>
                  <w14:solidFill>
                    <w14:schemeClr w14:val="tx1"/>
                  </w14:solidFill>
                </w14:textFill>
              </w:rPr>
              <w:t>废气</w:t>
            </w:r>
          </w:p>
        </w:tc>
        <w:tc>
          <w:tcPr>
            <w:tcW w:w="969" w:type="dxa"/>
            <w:vMerge w:val="restart"/>
            <w:shd w:val="clear" w:color="auto" w:fill="auto"/>
            <w:vAlign w:val="center"/>
          </w:tcPr>
          <w:p w14:paraId="596A3721">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14:textFill>
                  <w14:solidFill>
                    <w14:schemeClr w14:val="tx1"/>
                  </w14:solidFill>
                </w14:textFill>
              </w:rPr>
              <w:t>非甲烷总烃</w:t>
            </w:r>
          </w:p>
        </w:tc>
        <w:tc>
          <w:tcPr>
            <w:tcW w:w="1131" w:type="dxa"/>
            <w:vMerge w:val="restart"/>
            <w:shd w:val="clear" w:color="auto" w:fill="auto"/>
            <w:noWrap/>
            <w:vAlign w:val="center"/>
          </w:tcPr>
          <w:p w14:paraId="08E9F69C">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14:textFill>
                  <w14:solidFill>
                    <w14:schemeClr w14:val="tx1"/>
                  </w14:solidFill>
                </w14:textFill>
              </w:rPr>
              <w:t>有组织</w:t>
            </w:r>
          </w:p>
        </w:tc>
        <w:tc>
          <w:tcPr>
            <w:tcW w:w="1458" w:type="dxa"/>
            <w:shd w:val="clear" w:color="auto" w:fill="auto"/>
            <w:noWrap/>
            <w:vAlign w:val="center"/>
          </w:tcPr>
          <w:p w14:paraId="09956FA8">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lang w:eastAsia="zh-CN"/>
                <w14:textFill>
                  <w14:solidFill>
                    <w14:schemeClr w14:val="tx1"/>
                  </w14:solidFill>
                </w14:textFill>
              </w:rPr>
              <w:t>区域封闭</w:t>
            </w:r>
            <w:r>
              <w:rPr>
                <w:rFonts w:hint="default" w:ascii="Times New Roman" w:hAnsi="Times New Roman" w:cs="Times New Roman"/>
                <w:snapToGrid w:val="0"/>
                <w:color w:val="000000" w:themeColor="text1"/>
                <w:spacing w:val="0"/>
                <w:kern w:val="0"/>
                <w:lang w:val="en-US" w:eastAsia="zh-CN"/>
                <w14:textFill>
                  <w14:solidFill>
                    <w14:schemeClr w14:val="tx1"/>
                  </w14:solidFill>
                </w14:textFill>
              </w:rPr>
              <w:t>+</w:t>
            </w:r>
            <w:r>
              <w:rPr>
                <w:rFonts w:hint="default" w:ascii="Times New Roman" w:hAnsi="Times New Roman" w:cs="Times New Roman"/>
                <w:snapToGrid w:val="0"/>
                <w:color w:val="000000" w:themeColor="text1"/>
                <w:spacing w:val="0"/>
                <w:kern w:val="0"/>
                <w14:textFill>
                  <w14:solidFill>
                    <w14:schemeClr w14:val="tx1"/>
                  </w14:solidFill>
                </w14:textFill>
              </w:rPr>
              <w:t>集气罩收集</w:t>
            </w:r>
          </w:p>
        </w:tc>
        <w:tc>
          <w:tcPr>
            <w:tcW w:w="1215" w:type="dxa"/>
            <w:shd w:val="clear" w:color="auto" w:fill="auto"/>
            <w:vAlign w:val="center"/>
          </w:tcPr>
          <w:p w14:paraId="3BBF035B">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14:textFill>
                  <w14:solidFill>
                    <w14:schemeClr w14:val="tx1"/>
                  </w14:solidFill>
                </w14:textFill>
              </w:rPr>
              <w:t>9</w:t>
            </w:r>
            <w:r>
              <w:rPr>
                <w:rFonts w:hint="default" w:ascii="Times New Roman" w:hAnsi="Times New Roman" w:cs="Times New Roman"/>
                <w:snapToGrid w:val="0"/>
                <w:color w:val="000000" w:themeColor="text1"/>
                <w:spacing w:val="0"/>
                <w:kern w:val="0"/>
                <w:lang w:val="en-US" w:eastAsia="zh-CN"/>
                <w14:textFill>
                  <w14:solidFill>
                    <w14:schemeClr w14:val="tx1"/>
                  </w14:solidFill>
                </w14:textFill>
              </w:rPr>
              <w:t>8</w:t>
            </w:r>
            <w:r>
              <w:rPr>
                <w:rFonts w:hint="default" w:ascii="Times New Roman" w:hAnsi="Times New Roman" w:cs="Times New Roman"/>
                <w:snapToGrid w:val="0"/>
                <w:color w:val="000000" w:themeColor="text1"/>
                <w:spacing w:val="0"/>
                <w:kern w:val="0"/>
                <w14:textFill>
                  <w14:solidFill>
                    <w14:schemeClr w14:val="tx1"/>
                  </w14:solidFill>
                </w14:textFill>
              </w:rPr>
              <w:t>%</w:t>
            </w:r>
          </w:p>
        </w:tc>
        <w:tc>
          <w:tcPr>
            <w:tcW w:w="1761" w:type="dxa"/>
            <w:vMerge w:val="restart"/>
            <w:shd w:val="clear" w:color="auto" w:fill="auto"/>
            <w:vAlign w:val="center"/>
          </w:tcPr>
          <w:p w14:paraId="2E375F2D">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lang w:eastAsia="zh-CN"/>
                <w14:textFill>
                  <w14:solidFill>
                    <w14:schemeClr w14:val="tx1"/>
                  </w14:solidFill>
                </w14:textFill>
              </w:rPr>
              <w:t>油烟净化器</w:t>
            </w:r>
            <w:r>
              <w:rPr>
                <w:rFonts w:hint="default" w:ascii="Times New Roman" w:hAnsi="Times New Roman" w:cs="Times New Roman"/>
                <w:snapToGrid w:val="0"/>
                <w:color w:val="000000" w:themeColor="text1"/>
                <w:spacing w:val="0"/>
                <w:kern w:val="0"/>
                <w14:textFill>
                  <w14:solidFill>
                    <w14:schemeClr w14:val="tx1"/>
                  </w14:solidFill>
                </w14:textFill>
              </w:rPr>
              <w:t>＋两级活性炭吸附装置</w:t>
            </w:r>
          </w:p>
        </w:tc>
        <w:tc>
          <w:tcPr>
            <w:tcW w:w="2207" w:type="dxa"/>
            <w:vMerge w:val="restart"/>
            <w:shd w:val="clear" w:color="auto" w:fill="auto"/>
            <w:vAlign w:val="center"/>
          </w:tcPr>
          <w:p w14:paraId="1E4A7950">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14:textFill>
                  <w14:solidFill>
                    <w14:schemeClr w14:val="tx1"/>
                  </w14:solidFill>
                </w14:textFill>
              </w:rPr>
              <w:t>对非甲烷总烃≥90%</w:t>
            </w:r>
          </w:p>
        </w:tc>
        <w:tc>
          <w:tcPr>
            <w:tcW w:w="1090" w:type="dxa"/>
            <w:vMerge w:val="restart"/>
            <w:shd w:val="clear" w:color="auto" w:fill="auto"/>
            <w:vAlign w:val="center"/>
          </w:tcPr>
          <w:p w14:paraId="328325D7">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14:textFill>
                  <w14:solidFill>
                    <w14:schemeClr w14:val="tx1"/>
                  </w14:solidFill>
                </w14:textFill>
              </w:rPr>
              <w:t>是</w:t>
            </w:r>
          </w:p>
        </w:tc>
        <w:tc>
          <w:tcPr>
            <w:tcW w:w="1273" w:type="dxa"/>
            <w:vMerge w:val="restart"/>
            <w:shd w:val="clear" w:color="auto" w:fill="auto"/>
            <w:vAlign w:val="center"/>
          </w:tcPr>
          <w:p w14:paraId="403B6FB4">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14:textFill>
                  <w14:solidFill>
                    <w14:schemeClr w14:val="tx1"/>
                  </w14:solidFill>
                </w14:textFill>
              </w:rPr>
              <w:t>一般排放口</w:t>
            </w:r>
          </w:p>
        </w:tc>
      </w:tr>
      <w:tr w14:paraId="0B81EF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63" w:type="dxa"/>
            <w:vMerge w:val="continue"/>
            <w:shd w:val="clear" w:color="auto" w:fill="auto"/>
            <w:noWrap/>
            <w:vAlign w:val="center"/>
          </w:tcPr>
          <w:p w14:paraId="69F29302">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p>
        </w:tc>
        <w:tc>
          <w:tcPr>
            <w:tcW w:w="1708" w:type="dxa"/>
            <w:shd w:val="clear" w:color="auto" w:fill="auto"/>
            <w:vAlign w:val="center"/>
          </w:tcPr>
          <w:p w14:paraId="064D1BF7">
            <w:pPr>
              <w:pStyle w:val="951"/>
              <w:adjustRightInd/>
              <w:snapToGrid/>
              <w:spacing w:line="276" w:lineRule="auto"/>
              <w:rPr>
                <w:rFonts w:hint="default" w:ascii="Times New Roman" w:hAnsi="Times New Roman" w:cs="Times New Roman"/>
                <w:snapToGrid w:val="0"/>
                <w:color w:val="000000" w:themeColor="text1"/>
                <w:spacing w:val="0"/>
                <w:kern w:val="0"/>
                <w:lang w:eastAsia="zh-CN"/>
                <w14:textFill>
                  <w14:solidFill>
                    <w14:schemeClr w14:val="tx1"/>
                  </w14:solidFill>
                </w14:textFill>
              </w:rPr>
            </w:pPr>
            <w:r>
              <w:rPr>
                <w:rFonts w:hint="default" w:ascii="Times New Roman" w:hAnsi="Times New Roman" w:cs="Times New Roman"/>
                <w:snapToGrid w:val="0"/>
                <w:color w:val="000000" w:themeColor="text1"/>
                <w:spacing w:val="0"/>
                <w:kern w:val="0"/>
                <w:lang w:eastAsia="zh-CN"/>
                <w14:textFill>
                  <w14:solidFill>
                    <w14:schemeClr w14:val="tx1"/>
                  </w14:solidFill>
                </w14:textFill>
              </w:rPr>
              <w:t>标签纸</w:t>
            </w:r>
            <w:r>
              <w:rPr>
                <w:rFonts w:hint="eastAsia" w:ascii="Times New Roman" w:hAnsi="Times New Roman" w:cs="Times New Roman"/>
                <w:snapToGrid w:val="0"/>
                <w:color w:val="000000" w:themeColor="text1"/>
                <w:spacing w:val="0"/>
                <w:kern w:val="0"/>
                <w:lang w:eastAsia="zh-CN"/>
                <w14:textFill>
                  <w14:solidFill>
                    <w14:schemeClr w14:val="tx1"/>
                  </w14:solidFill>
                </w14:textFill>
              </w:rPr>
              <w:t>高温分选</w:t>
            </w:r>
            <w:r>
              <w:rPr>
                <w:rFonts w:hint="default" w:ascii="Times New Roman" w:hAnsi="Times New Roman" w:cs="Times New Roman"/>
                <w:snapToGrid w:val="0"/>
                <w:color w:val="000000" w:themeColor="text1"/>
                <w:spacing w:val="0"/>
                <w:kern w:val="0"/>
                <w:lang w:eastAsia="zh-CN"/>
                <w14:textFill>
                  <w14:solidFill>
                    <w14:schemeClr w14:val="tx1"/>
                  </w14:solidFill>
                </w14:textFill>
              </w:rPr>
              <w:t>废气</w:t>
            </w:r>
          </w:p>
        </w:tc>
        <w:tc>
          <w:tcPr>
            <w:tcW w:w="969" w:type="dxa"/>
            <w:vMerge w:val="continue"/>
            <w:shd w:val="clear" w:color="auto" w:fill="auto"/>
            <w:vAlign w:val="center"/>
          </w:tcPr>
          <w:p w14:paraId="1B2ACBB6">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p>
        </w:tc>
        <w:tc>
          <w:tcPr>
            <w:tcW w:w="1131" w:type="dxa"/>
            <w:vMerge w:val="continue"/>
            <w:shd w:val="clear" w:color="auto" w:fill="auto"/>
            <w:noWrap/>
            <w:vAlign w:val="center"/>
          </w:tcPr>
          <w:p w14:paraId="0F0F50D0">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p>
        </w:tc>
        <w:tc>
          <w:tcPr>
            <w:tcW w:w="1458" w:type="dxa"/>
            <w:shd w:val="clear" w:color="auto" w:fill="auto"/>
            <w:noWrap/>
            <w:vAlign w:val="center"/>
          </w:tcPr>
          <w:p w14:paraId="4F5E910F">
            <w:pPr>
              <w:pStyle w:val="951"/>
              <w:adjustRightInd/>
              <w:snapToGrid/>
              <w:spacing w:line="276" w:lineRule="auto"/>
              <w:rPr>
                <w:rFonts w:hint="default" w:ascii="Times New Roman" w:hAnsi="Times New Roman" w:cs="Times New Roman"/>
                <w:snapToGrid w:val="0"/>
                <w:color w:val="000000" w:themeColor="text1"/>
                <w:spacing w:val="0"/>
                <w:kern w:val="0"/>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0"/>
                <w:lang w:eastAsia="zh-CN"/>
                <w14:textFill>
                  <w14:solidFill>
                    <w14:schemeClr w14:val="tx1"/>
                  </w14:solidFill>
                </w14:textFill>
              </w:rPr>
              <w:t>设备密闭</w:t>
            </w:r>
            <w:r>
              <w:rPr>
                <w:rFonts w:hint="default" w:ascii="Times New Roman" w:hAnsi="Times New Roman" w:cs="Times New Roman"/>
                <w:snapToGrid w:val="0"/>
                <w:color w:val="000000" w:themeColor="text1"/>
                <w:spacing w:val="0"/>
                <w:kern w:val="0"/>
                <w:lang w:val="en-US" w:eastAsia="zh-CN"/>
                <w14:textFill>
                  <w14:solidFill>
                    <w14:schemeClr w14:val="tx1"/>
                  </w14:solidFill>
                </w14:textFill>
              </w:rPr>
              <w:t>+集气罩收集</w:t>
            </w:r>
          </w:p>
        </w:tc>
        <w:tc>
          <w:tcPr>
            <w:tcW w:w="1215" w:type="dxa"/>
            <w:shd w:val="clear" w:color="auto" w:fill="auto"/>
            <w:vAlign w:val="center"/>
          </w:tcPr>
          <w:p w14:paraId="5EF29AA5">
            <w:pPr>
              <w:pStyle w:val="951"/>
              <w:adjustRightInd/>
              <w:snapToGrid/>
              <w:spacing w:line="276" w:lineRule="auto"/>
              <w:rPr>
                <w:rFonts w:hint="default" w:ascii="Times New Roman" w:hAnsi="Times New Roman" w:eastAsia="宋体" w:cs="Times New Roman"/>
                <w:snapToGrid w:val="0"/>
                <w:color w:val="000000" w:themeColor="text1"/>
                <w:spacing w:val="0"/>
                <w:kern w:val="0"/>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0"/>
                <w:lang w:val="en-US" w:eastAsia="zh-CN"/>
                <w14:textFill>
                  <w14:solidFill>
                    <w14:schemeClr w14:val="tx1"/>
                  </w14:solidFill>
                </w14:textFill>
              </w:rPr>
              <w:t>90%</w:t>
            </w:r>
          </w:p>
        </w:tc>
        <w:tc>
          <w:tcPr>
            <w:tcW w:w="1761" w:type="dxa"/>
            <w:vMerge w:val="continue"/>
            <w:shd w:val="clear" w:color="auto" w:fill="auto"/>
            <w:vAlign w:val="center"/>
          </w:tcPr>
          <w:p w14:paraId="03635FD3">
            <w:pPr>
              <w:pStyle w:val="951"/>
              <w:adjustRightInd/>
              <w:snapToGrid/>
              <w:spacing w:line="276" w:lineRule="auto"/>
              <w:rPr>
                <w:rFonts w:hint="default" w:ascii="Times New Roman" w:hAnsi="Times New Roman" w:cs="Times New Roman"/>
                <w:snapToGrid w:val="0"/>
                <w:color w:val="000000" w:themeColor="text1"/>
                <w:spacing w:val="0"/>
                <w:kern w:val="0"/>
                <w:lang w:eastAsia="zh-CN"/>
                <w14:textFill>
                  <w14:solidFill>
                    <w14:schemeClr w14:val="tx1"/>
                  </w14:solidFill>
                </w14:textFill>
              </w:rPr>
            </w:pPr>
          </w:p>
        </w:tc>
        <w:tc>
          <w:tcPr>
            <w:tcW w:w="2207" w:type="dxa"/>
            <w:vMerge w:val="continue"/>
            <w:shd w:val="clear" w:color="auto" w:fill="auto"/>
            <w:vAlign w:val="center"/>
          </w:tcPr>
          <w:p w14:paraId="03123A75">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p>
        </w:tc>
        <w:tc>
          <w:tcPr>
            <w:tcW w:w="1090" w:type="dxa"/>
            <w:vMerge w:val="continue"/>
            <w:shd w:val="clear" w:color="auto" w:fill="auto"/>
            <w:vAlign w:val="center"/>
          </w:tcPr>
          <w:p w14:paraId="15823926">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p>
        </w:tc>
        <w:tc>
          <w:tcPr>
            <w:tcW w:w="1273" w:type="dxa"/>
            <w:vMerge w:val="continue"/>
            <w:shd w:val="clear" w:color="auto" w:fill="auto"/>
            <w:vAlign w:val="center"/>
          </w:tcPr>
          <w:p w14:paraId="2FC292B4">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p>
        </w:tc>
      </w:tr>
      <w:tr w14:paraId="7C6B67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63" w:type="dxa"/>
            <w:vMerge w:val="restart"/>
            <w:shd w:val="clear" w:color="auto" w:fill="auto"/>
            <w:noWrap/>
            <w:vAlign w:val="center"/>
          </w:tcPr>
          <w:p w14:paraId="3F82DE56">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14:textFill>
                  <w14:solidFill>
                    <w14:schemeClr w14:val="tx1"/>
                  </w14:solidFill>
                </w14:textFill>
              </w:rPr>
              <w:t>DA002号排气筒</w:t>
            </w:r>
          </w:p>
        </w:tc>
        <w:tc>
          <w:tcPr>
            <w:tcW w:w="1708" w:type="dxa"/>
            <w:shd w:val="clear" w:color="auto" w:fill="auto"/>
            <w:vAlign w:val="center"/>
          </w:tcPr>
          <w:p w14:paraId="7AA05D2A">
            <w:pPr>
              <w:pStyle w:val="951"/>
              <w:adjustRightInd/>
              <w:snapToGrid/>
              <w:spacing w:line="276" w:lineRule="auto"/>
              <w:rPr>
                <w:rFonts w:hint="default" w:ascii="Times New Roman" w:hAnsi="Times New Roman" w:cs="Times New Roman"/>
                <w:bCs w:val="0"/>
                <w:color w:val="000000" w:themeColor="text1"/>
                <w:spacing w:val="0"/>
                <w:kern w:val="0"/>
                <w14:textFill>
                  <w14:solidFill>
                    <w14:schemeClr w14:val="tx1"/>
                  </w14:solidFill>
                </w14:textFill>
              </w:rPr>
            </w:pPr>
            <w:r>
              <w:rPr>
                <w:rFonts w:hint="default" w:ascii="Times New Roman" w:hAnsi="Times New Roman" w:cs="Times New Roman"/>
                <w:bCs w:val="0"/>
                <w:color w:val="000000" w:themeColor="text1"/>
                <w:spacing w:val="0"/>
                <w:kern w:val="0"/>
                <w:lang w:eastAsia="zh-CN"/>
                <w14:textFill>
                  <w14:solidFill>
                    <w14:schemeClr w14:val="tx1"/>
                  </w14:solidFill>
                </w14:textFill>
              </w:rPr>
              <w:t>拆包</w:t>
            </w:r>
            <w:r>
              <w:rPr>
                <w:rFonts w:hint="default" w:ascii="Times New Roman" w:hAnsi="Times New Roman" w:cs="Times New Roman"/>
                <w:bCs w:val="0"/>
                <w:color w:val="000000" w:themeColor="text1"/>
                <w:spacing w:val="0"/>
                <w:kern w:val="0"/>
                <w14:textFill>
                  <w14:solidFill>
                    <w14:schemeClr w14:val="tx1"/>
                  </w14:solidFill>
                </w14:textFill>
              </w:rPr>
              <w:t>废气</w:t>
            </w:r>
          </w:p>
        </w:tc>
        <w:tc>
          <w:tcPr>
            <w:tcW w:w="969" w:type="dxa"/>
            <w:vMerge w:val="restart"/>
            <w:shd w:val="clear" w:color="auto" w:fill="auto"/>
            <w:vAlign w:val="center"/>
          </w:tcPr>
          <w:p w14:paraId="7F1835C9">
            <w:pPr>
              <w:pStyle w:val="951"/>
              <w:adjustRightInd/>
              <w:snapToGrid/>
              <w:spacing w:line="276" w:lineRule="auto"/>
              <w:rPr>
                <w:rFonts w:hint="default" w:ascii="Times New Roman" w:hAnsi="Times New Roman" w:cs="Times New Roman"/>
                <w:bCs w:val="0"/>
                <w:color w:val="000000" w:themeColor="text1"/>
                <w:spacing w:val="0"/>
                <w:kern w:val="0"/>
                <w14:textFill>
                  <w14:solidFill>
                    <w14:schemeClr w14:val="tx1"/>
                  </w14:solidFill>
                </w14:textFill>
              </w:rPr>
            </w:pPr>
            <w:r>
              <w:rPr>
                <w:rFonts w:hint="default" w:ascii="Times New Roman" w:hAnsi="Times New Roman" w:cs="Times New Roman"/>
                <w:bCs w:val="0"/>
                <w:color w:val="000000" w:themeColor="text1"/>
                <w:spacing w:val="0"/>
                <w:kern w:val="0"/>
                <w14:textFill>
                  <w14:solidFill>
                    <w14:schemeClr w14:val="tx1"/>
                  </w14:solidFill>
                </w14:textFill>
              </w:rPr>
              <w:t>颗粒物</w:t>
            </w:r>
          </w:p>
        </w:tc>
        <w:tc>
          <w:tcPr>
            <w:tcW w:w="1131" w:type="dxa"/>
            <w:vMerge w:val="restart"/>
            <w:shd w:val="clear" w:color="auto" w:fill="auto"/>
            <w:noWrap/>
            <w:vAlign w:val="center"/>
          </w:tcPr>
          <w:p w14:paraId="574B0B0F">
            <w:pPr>
              <w:pStyle w:val="951"/>
              <w:adjustRightInd/>
              <w:snapToGrid/>
              <w:spacing w:line="276" w:lineRule="auto"/>
              <w:rPr>
                <w:rFonts w:hint="default" w:ascii="Times New Roman" w:hAnsi="Times New Roman" w:cs="Times New Roman"/>
                <w:bCs w:val="0"/>
                <w:color w:val="000000" w:themeColor="text1"/>
                <w:spacing w:val="0"/>
                <w:kern w:val="0"/>
                <w14:textFill>
                  <w14:solidFill>
                    <w14:schemeClr w14:val="tx1"/>
                  </w14:solidFill>
                </w14:textFill>
              </w:rPr>
            </w:pPr>
            <w:r>
              <w:rPr>
                <w:rFonts w:hint="default" w:ascii="Times New Roman" w:hAnsi="Times New Roman" w:cs="Times New Roman"/>
                <w:bCs w:val="0"/>
                <w:color w:val="000000" w:themeColor="text1"/>
                <w:spacing w:val="0"/>
                <w:kern w:val="0"/>
                <w14:textFill>
                  <w14:solidFill>
                    <w14:schemeClr w14:val="tx1"/>
                  </w14:solidFill>
                </w14:textFill>
              </w:rPr>
              <w:t>有组织</w:t>
            </w:r>
          </w:p>
        </w:tc>
        <w:tc>
          <w:tcPr>
            <w:tcW w:w="1458" w:type="dxa"/>
            <w:shd w:val="clear" w:color="auto" w:fill="auto"/>
            <w:noWrap/>
            <w:vAlign w:val="center"/>
          </w:tcPr>
          <w:p w14:paraId="01960038">
            <w:pPr>
              <w:pStyle w:val="951"/>
              <w:adjustRightInd/>
              <w:snapToGrid/>
              <w:spacing w:line="276" w:lineRule="auto"/>
              <w:rPr>
                <w:rFonts w:hint="default" w:ascii="Times New Roman" w:hAnsi="Times New Roman" w:cs="Times New Roman"/>
                <w:bCs w:val="0"/>
                <w:color w:val="000000" w:themeColor="text1"/>
                <w:spacing w:val="0"/>
                <w:kern w:val="0"/>
                <w14:textFill>
                  <w14:solidFill>
                    <w14:schemeClr w14:val="tx1"/>
                  </w14:solidFill>
                </w14:textFill>
              </w:rPr>
            </w:pPr>
            <w:r>
              <w:rPr>
                <w:rFonts w:hint="default" w:ascii="Times New Roman" w:hAnsi="Times New Roman" w:cs="Times New Roman"/>
                <w:bCs w:val="0"/>
                <w:color w:val="000000" w:themeColor="text1"/>
                <w:spacing w:val="0"/>
                <w:kern w:val="0"/>
                <w:lang w:eastAsia="zh-CN"/>
                <w14:textFill>
                  <w14:solidFill>
                    <w14:schemeClr w14:val="tx1"/>
                  </w14:solidFill>
                </w14:textFill>
              </w:rPr>
              <w:t>软帘</w:t>
            </w:r>
            <w:r>
              <w:rPr>
                <w:rFonts w:hint="default" w:ascii="Times New Roman" w:hAnsi="Times New Roman" w:cs="Times New Roman"/>
                <w:bCs w:val="0"/>
                <w:color w:val="000000" w:themeColor="text1"/>
                <w:spacing w:val="0"/>
                <w:kern w:val="0"/>
                <w:lang w:val="en-US" w:eastAsia="zh-CN"/>
                <w14:textFill>
                  <w14:solidFill>
                    <w14:schemeClr w14:val="tx1"/>
                  </w14:solidFill>
                </w14:textFill>
              </w:rPr>
              <w:t>+</w:t>
            </w:r>
            <w:r>
              <w:rPr>
                <w:rFonts w:hint="default" w:ascii="Times New Roman" w:hAnsi="Times New Roman" w:cs="Times New Roman"/>
                <w:bCs w:val="0"/>
                <w:color w:val="000000" w:themeColor="text1"/>
                <w:spacing w:val="0"/>
                <w:kern w:val="0"/>
                <w:lang w:eastAsia="zh-CN"/>
                <w14:textFill>
                  <w14:solidFill>
                    <w14:schemeClr w14:val="tx1"/>
                  </w14:solidFill>
                </w14:textFill>
              </w:rPr>
              <w:t>集气罩</w:t>
            </w:r>
            <w:r>
              <w:rPr>
                <w:rFonts w:hint="default" w:ascii="Times New Roman" w:hAnsi="Times New Roman" w:cs="Times New Roman"/>
                <w:bCs w:val="0"/>
                <w:color w:val="000000" w:themeColor="text1"/>
                <w:spacing w:val="0"/>
                <w:kern w:val="0"/>
                <w14:textFill>
                  <w14:solidFill>
                    <w14:schemeClr w14:val="tx1"/>
                  </w14:solidFill>
                </w14:textFill>
              </w:rPr>
              <w:t>收集</w:t>
            </w:r>
          </w:p>
        </w:tc>
        <w:tc>
          <w:tcPr>
            <w:tcW w:w="1215" w:type="dxa"/>
            <w:shd w:val="clear" w:color="auto" w:fill="auto"/>
            <w:vAlign w:val="center"/>
          </w:tcPr>
          <w:p w14:paraId="022FA822">
            <w:pPr>
              <w:pStyle w:val="951"/>
              <w:adjustRightInd/>
              <w:snapToGrid/>
              <w:spacing w:line="276" w:lineRule="auto"/>
              <w:rPr>
                <w:rFonts w:hint="default" w:ascii="Times New Roman" w:hAnsi="Times New Roman" w:cs="Times New Roman"/>
                <w:bCs w:val="0"/>
                <w:color w:val="000000" w:themeColor="text1"/>
                <w:spacing w:val="0"/>
                <w:kern w:val="0"/>
                <w14:textFill>
                  <w14:solidFill>
                    <w14:schemeClr w14:val="tx1"/>
                  </w14:solidFill>
                </w14:textFill>
              </w:rPr>
            </w:pPr>
            <w:r>
              <w:rPr>
                <w:rFonts w:hint="default" w:ascii="Times New Roman" w:hAnsi="Times New Roman" w:cs="Times New Roman"/>
                <w:bCs w:val="0"/>
                <w:color w:val="000000" w:themeColor="text1"/>
                <w:spacing w:val="0"/>
                <w:kern w:val="0"/>
                <w:lang w:val="en-US" w:eastAsia="zh-CN"/>
                <w14:textFill>
                  <w14:solidFill>
                    <w14:schemeClr w14:val="tx1"/>
                  </w14:solidFill>
                </w14:textFill>
              </w:rPr>
              <w:t>95</w:t>
            </w:r>
            <w:r>
              <w:rPr>
                <w:rFonts w:hint="default" w:ascii="Times New Roman" w:hAnsi="Times New Roman" w:cs="Times New Roman"/>
                <w:bCs w:val="0"/>
                <w:color w:val="000000" w:themeColor="text1"/>
                <w:spacing w:val="0"/>
                <w:kern w:val="0"/>
                <w14:textFill>
                  <w14:solidFill>
                    <w14:schemeClr w14:val="tx1"/>
                  </w14:solidFill>
                </w14:textFill>
              </w:rPr>
              <w:t>%</w:t>
            </w:r>
          </w:p>
        </w:tc>
        <w:tc>
          <w:tcPr>
            <w:tcW w:w="1761" w:type="dxa"/>
            <w:vMerge w:val="restart"/>
            <w:shd w:val="clear" w:color="auto" w:fill="auto"/>
            <w:vAlign w:val="center"/>
          </w:tcPr>
          <w:p w14:paraId="21A41C44">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脉冲式</w:t>
            </w:r>
            <w:r>
              <w:rPr>
                <w:rFonts w:hint="default" w:ascii="Times New Roman" w:hAnsi="Times New Roman" w:cs="Times New Roman"/>
                <w:color w:val="000000" w:themeColor="text1"/>
                <w:spacing w:val="0"/>
                <w:sz w:val="21"/>
                <w:szCs w:val="21"/>
                <w14:textFill>
                  <w14:solidFill>
                    <w14:schemeClr w14:val="tx1"/>
                  </w14:solidFill>
                </w14:textFill>
              </w:rPr>
              <w:t>布袋除尘器</w:t>
            </w:r>
          </w:p>
        </w:tc>
        <w:tc>
          <w:tcPr>
            <w:tcW w:w="2207" w:type="dxa"/>
            <w:vMerge w:val="restart"/>
            <w:shd w:val="clear" w:color="auto" w:fill="auto"/>
            <w:vAlign w:val="center"/>
          </w:tcPr>
          <w:p w14:paraId="21E14FBA">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除尘效率99%</w:t>
            </w:r>
          </w:p>
        </w:tc>
        <w:tc>
          <w:tcPr>
            <w:tcW w:w="1090" w:type="dxa"/>
            <w:vMerge w:val="restart"/>
            <w:shd w:val="clear" w:color="auto" w:fill="auto"/>
            <w:vAlign w:val="center"/>
          </w:tcPr>
          <w:p w14:paraId="12BDA649">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14:textFill>
                  <w14:solidFill>
                    <w14:schemeClr w14:val="tx1"/>
                  </w14:solidFill>
                </w14:textFill>
              </w:rPr>
              <w:t>是</w:t>
            </w:r>
          </w:p>
        </w:tc>
        <w:tc>
          <w:tcPr>
            <w:tcW w:w="1273" w:type="dxa"/>
            <w:vMerge w:val="restart"/>
            <w:shd w:val="clear" w:color="auto" w:fill="auto"/>
            <w:vAlign w:val="center"/>
          </w:tcPr>
          <w:p w14:paraId="51EC9C99">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lang w:eastAsia="zh-CN"/>
                <w14:textFill>
                  <w14:solidFill>
                    <w14:schemeClr w14:val="tx1"/>
                  </w14:solidFill>
                </w14:textFill>
              </w:rPr>
              <w:t>一般</w:t>
            </w:r>
            <w:r>
              <w:rPr>
                <w:rFonts w:hint="default" w:ascii="Times New Roman" w:hAnsi="Times New Roman" w:cs="Times New Roman"/>
                <w:snapToGrid w:val="0"/>
                <w:color w:val="000000" w:themeColor="text1"/>
                <w:spacing w:val="0"/>
                <w:kern w:val="0"/>
                <w14:textFill>
                  <w14:solidFill>
                    <w14:schemeClr w14:val="tx1"/>
                  </w14:solidFill>
                </w14:textFill>
              </w:rPr>
              <w:t>排放口</w:t>
            </w:r>
          </w:p>
        </w:tc>
      </w:tr>
      <w:tr w14:paraId="5C99E3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63" w:type="dxa"/>
            <w:vMerge w:val="continue"/>
            <w:shd w:val="clear" w:color="auto" w:fill="auto"/>
            <w:noWrap/>
            <w:vAlign w:val="center"/>
          </w:tcPr>
          <w:p w14:paraId="2823A468">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p>
        </w:tc>
        <w:tc>
          <w:tcPr>
            <w:tcW w:w="1708" w:type="dxa"/>
            <w:shd w:val="clear" w:color="auto" w:fill="auto"/>
            <w:vAlign w:val="center"/>
          </w:tcPr>
          <w:p w14:paraId="78ADE743">
            <w:pPr>
              <w:pStyle w:val="951"/>
              <w:adjustRightInd/>
              <w:snapToGrid/>
              <w:spacing w:line="276" w:lineRule="auto"/>
              <w:rPr>
                <w:rFonts w:hint="default" w:ascii="Times New Roman" w:hAnsi="Times New Roman" w:eastAsia="宋体" w:cs="Times New Roman"/>
                <w:bCs w:val="0"/>
                <w:color w:val="000000" w:themeColor="text1"/>
                <w:spacing w:val="0"/>
                <w:kern w:val="0"/>
                <w:lang w:eastAsia="zh-CN"/>
                <w14:textFill>
                  <w14:solidFill>
                    <w14:schemeClr w14:val="tx1"/>
                  </w14:solidFill>
                </w14:textFill>
              </w:rPr>
            </w:pPr>
            <w:r>
              <w:rPr>
                <w:rFonts w:hint="default" w:ascii="Times New Roman" w:hAnsi="Times New Roman" w:cs="Times New Roman"/>
                <w:bCs w:val="0"/>
                <w:color w:val="000000" w:themeColor="text1"/>
                <w:spacing w:val="0"/>
                <w:kern w:val="0"/>
                <w:lang w:eastAsia="zh-CN"/>
                <w14:textFill>
                  <w14:solidFill>
                    <w14:schemeClr w14:val="tx1"/>
                  </w14:solidFill>
                </w14:textFill>
              </w:rPr>
              <w:t>磨粉废气</w:t>
            </w:r>
          </w:p>
        </w:tc>
        <w:tc>
          <w:tcPr>
            <w:tcW w:w="969" w:type="dxa"/>
            <w:vMerge w:val="continue"/>
            <w:shd w:val="clear" w:color="auto" w:fill="auto"/>
            <w:vAlign w:val="center"/>
          </w:tcPr>
          <w:p w14:paraId="23FF503F">
            <w:pPr>
              <w:pStyle w:val="951"/>
              <w:adjustRightInd/>
              <w:snapToGrid/>
              <w:spacing w:line="276" w:lineRule="auto"/>
              <w:rPr>
                <w:rFonts w:hint="default" w:ascii="Times New Roman" w:hAnsi="Times New Roman" w:cs="Times New Roman"/>
                <w:bCs w:val="0"/>
                <w:color w:val="000000" w:themeColor="text1"/>
                <w:spacing w:val="0"/>
                <w:kern w:val="0"/>
                <w14:textFill>
                  <w14:solidFill>
                    <w14:schemeClr w14:val="tx1"/>
                  </w14:solidFill>
                </w14:textFill>
              </w:rPr>
            </w:pPr>
          </w:p>
        </w:tc>
        <w:tc>
          <w:tcPr>
            <w:tcW w:w="1131" w:type="dxa"/>
            <w:vMerge w:val="continue"/>
            <w:shd w:val="clear" w:color="auto" w:fill="auto"/>
            <w:noWrap/>
            <w:vAlign w:val="center"/>
          </w:tcPr>
          <w:p w14:paraId="1FE6467C">
            <w:pPr>
              <w:pStyle w:val="951"/>
              <w:adjustRightInd/>
              <w:snapToGrid/>
              <w:spacing w:line="276" w:lineRule="auto"/>
              <w:rPr>
                <w:rFonts w:hint="default" w:ascii="Times New Roman" w:hAnsi="Times New Roman" w:cs="Times New Roman"/>
                <w:bCs w:val="0"/>
                <w:color w:val="000000" w:themeColor="text1"/>
                <w:spacing w:val="0"/>
                <w:kern w:val="0"/>
                <w14:textFill>
                  <w14:solidFill>
                    <w14:schemeClr w14:val="tx1"/>
                  </w14:solidFill>
                </w14:textFill>
              </w:rPr>
            </w:pPr>
          </w:p>
        </w:tc>
        <w:tc>
          <w:tcPr>
            <w:tcW w:w="1458" w:type="dxa"/>
            <w:shd w:val="clear" w:color="auto" w:fill="auto"/>
            <w:noWrap/>
            <w:vAlign w:val="center"/>
          </w:tcPr>
          <w:p w14:paraId="53AECB33">
            <w:pPr>
              <w:pStyle w:val="951"/>
              <w:adjustRightInd/>
              <w:snapToGrid/>
              <w:spacing w:line="276" w:lineRule="auto"/>
              <w:rPr>
                <w:rFonts w:hint="default" w:ascii="Times New Roman" w:hAnsi="Times New Roman" w:eastAsia="宋体" w:cs="Times New Roman"/>
                <w:bCs w:val="0"/>
                <w:color w:val="000000" w:themeColor="text1"/>
                <w:spacing w:val="0"/>
                <w:kern w:val="0"/>
                <w:lang w:val="en-US" w:eastAsia="zh-CN"/>
                <w14:textFill>
                  <w14:solidFill>
                    <w14:schemeClr w14:val="tx1"/>
                  </w14:solidFill>
                </w14:textFill>
              </w:rPr>
            </w:pPr>
            <w:r>
              <w:rPr>
                <w:rFonts w:hint="default" w:ascii="Times New Roman" w:hAnsi="Times New Roman" w:cs="Times New Roman"/>
                <w:bCs w:val="0"/>
                <w:color w:val="000000" w:themeColor="text1"/>
                <w:spacing w:val="0"/>
                <w:kern w:val="0"/>
                <w:lang w:eastAsia="zh-CN"/>
                <w14:textFill>
                  <w14:solidFill>
                    <w14:schemeClr w14:val="tx1"/>
                  </w14:solidFill>
                </w14:textFill>
              </w:rPr>
              <w:t>设备密闭</w:t>
            </w:r>
            <w:r>
              <w:rPr>
                <w:rFonts w:hint="default" w:ascii="Times New Roman" w:hAnsi="Times New Roman" w:cs="Times New Roman"/>
                <w:bCs w:val="0"/>
                <w:color w:val="000000" w:themeColor="text1"/>
                <w:spacing w:val="0"/>
                <w:kern w:val="0"/>
                <w:lang w:val="en-US" w:eastAsia="zh-CN"/>
                <w14:textFill>
                  <w14:solidFill>
                    <w14:schemeClr w14:val="tx1"/>
                  </w14:solidFill>
                </w14:textFill>
              </w:rPr>
              <w:t>+集气罩收集</w:t>
            </w:r>
          </w:p>
        </w:tc>
        <w:tc>
          <w:tcPr>
            <w:tcW w:w="1215" w:type="dxa"/>
            <w:shd w:val="clear" w:color="auto" w:fill="auto"/>
            <w:vAlign w:val="center"/>
          </w:tcPr>
          <w:p w14:paraId="5891001C">
            <w:pPr>
              <w:pStyle w:val="951"/>
              <w:adjustRightInd/>
              <w:snapToGrid/>
              <w:spacing w:line="276" w:lineRule="auto"/>
              <w:rPr>
                <w:rFonts w:hint="default" w:ascii="Times New Roman" w:hAnsi="Times New Roman" w:eastAsia="宋体" w:cs="Times New Roman"/>
                <w:bCs w:val="0"/>
                <w:color w:val="000000" w:themeColor="text1"/>
                <w:spacing w:val="0"/>
                <w:kern w:val="0"/>
                <w:lang w:val="en-US" w:eastAsia="zh-CN"/>
                <w14:textFill>
                  <w14:solidFill>
                    <w14:schemeClr w14:val="tx1"/>
                  </w14:solidFill>
                </w14:textFill>
              </w:rPr>
            </w:pPr>
            <w:r>
              <w:rPr>
                <w:rFonts w:hint="default" w:ascii="Times New Roman" w:hAnsi="Times New Roman" w:cs="Times New Roman"/>
                <w:bCs w:val="0"/>
                <w:color w:val="000000" w:themeColor="text1"/>
                <w:spacing w:val="0"/>
                <w:kern w:val="0"/>
                <w:lang w:val="en-US" w:eastAsia="zh-CN"/>
                <w14:textFill>
                  <w14:solidFill>
                    <w14:schemeClr w14:val="tx1"/>
                  </w14:solidFill>
                </w14:textFill>
              </w:rPr>
              <w:t>95%</w:t>
            </w:r>
          </w:p>
        </w:tc>
        <w:tc>
          <w:tcPr>
            <w:tcW w:w="1761" w:type="dxa"/>
            <w:vMerge w:val="continue"/>
            <w:shd w:val="clear" w:color="auto" w:fill="auto"/>
            <w:vAlign w:val="center"/>
          </w:tcPr>
          <w:p w14:paraId="1EF809BA">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2207" w:type="dxa"/>
            <w:vMerge w:val="continue"/>
            <w:shd w:val="clear" w:color="auto" w:fill="auto"/>
            <w:vAlign w:val="center"/>
          </w:tcPr>
          <w:p w14:paraId="3182F75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090" w:type="dxa"/>
            <w:vMerge w:val="continue"/>
            <w:shd w:val="clear" w:color="auto" w:fill="auto"/>
            <w:vAlign w:val="center"/>
          </w:tcPr>
          <w:p w14:paraId="21EF6FA9">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p>
        </w:tc>
        <w:tc>
          <w:tcPr>
            <w:tcW w:w="1273" w:type="dxa"/>
            <w:vMerge w:val="continue"/>
            <w:shd w:val="clear" w:color="auto" w:fill="auto"/>
            <w:vAlign w:val="center"/>
          </w:tcPr>
          <w:p w14:paraId="21C73594">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p>
        </w:tc>
      </w:tr>
      <w:tr w14:paraId="5377AB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63" w:type="dxa"/>
            <w:shd w:val="clear" w:color="auto" w:fill="auto"/>
            <w:noWrap/>
            <w:vAlign w:val="center"/>
          </w:tcPr>
          <w:p w14:paraId="532302A3">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14:textFill>
                  <w14:solidFill>
                    <w14:schemeClr w14:val="tx1"/>
                  </w14:solidFill>
                </w14:textFill>
              </w:rPr>
              <w:t>DA003号排气筒</w:t>
            </w:r>
          </w:p>
        </w:tc>
        <w:tc>
          <w:tcPr>
            <w:tcW w:w="1708" w:type="dxa"/>
            <w:shd w:val="clear" w:color="auto" w:fill="auto"/>
            <w:vAlign w:val="center"/>
          </w:tcPr>
          <w:p w14:paraId="5FC3A334">
            <w:pPr>
              <w:pStyle w:val="951"/>
              <w:adjustRightInd/>
              <w:snapToGrid/>
              <w:spacing w:line="276" w:lineRule="auto"/>
              <w:rPr>
                <w:rFonts w:hint="default" w:ascii="Times New Roman" w:hAnsi="Times New Roman" w:cs="Times New Roman"/>
                <w:bCs w:val="0"/>
                <w:color w:val="000000" w:themeColor="text1"/>
                <w:spacing w:val="0"/>
                <w:kern w:val="0"/>
                <w14:textFill>
                  <w14:solidFill>
                    <w14:schemeClr w14:val="tx1"/>
                  </w14:solidFill>
                </w14:textFill>
              </w:rPr>
            </w:pPr>
            <w:r>
              <w:rPr>
                <w:rFonts w:hint="default" w:ascii="Times New Roman" w:hAnsi="Times New Roman" w:cs="Times New Roman"/>
                <w:bCs w:val="0"/>
                <w:color w:val="000000" w:themeColor="text1"/>
                <w:spacing w:val="0"/>
                <w:kern w:val="0"/>
                <w:lang w:eastAsia="zh-CN"/>
                <w14:textFill>
                  <w14:solidFill>
                    <w14:schemeClr w14:val="tx1"/>
                  </w14:solidFill>
                </w14:textFill>
              </w:rPr>
              <w:t>污水站</w:t>
            </w:r>
            <w:r>
              <w:rPr>
                <w:rFonts w:hint="default" w:ascii="Times New Roman" w:hAnsi="Times New Roman" w:cs="Times New Roman"/>
                <w:bCs w:val="0"/>
                <w:color w:val="000000" w:themeColor="text1"/>
                <w:spacing w:val="0"/>
                <w:kern w:val="0"/>
                <w14:textFill>
                  <w14:solidFill>
                    <w14:schemeClr w14:val="tx1"/>
                  </w14:solidFill>
                </w14:textFill>
              </w:rPr>
              <w:t>废气</w:t>
            </w:r>
          </w:p>
        </w:tc>
        <w:tc>
          <w:tcPr>
            <w:tcW w:w="969" w:type="dxa"/>
            <w:shd w:val="clear" w:color="auto" w:fill="auto"/>
            <w:vAlign w:val="center"/>
          </w:tcPr>
          <w:p w14:paraId="19AB027A">
            <w:pPr>
              <w:pStyle w:val="951"/>
              <w:adjustRightInd/>
              <w:snapToGrid/>
              <w:spacing w:line="276" w:lineRule="auto"/>
              <w:rPr>
                <w:rFonts w:hint="default" w:ascii="Times New Roman" w:hAnsi="Times New Roman" w:eastAsia="宋体" w:cs="Times New Roman"/>
                <w:bCs w:val="0"/>
                <w:color w:val="000000" w:themeColor="text1"/>
                <w:spacing w:val="0"/>
                <w:kern w:val="0"/>
                <w:lang w:eastAsia="zh-CN"/>
                <w14:textFill>
                  <w14:solidFill>
                    <w14:schemeClr w14:val="tx1"/>
                  </w14:solidFill>
                </w14:textFill>
              </w:rPr>
            </w:pPr>
            <w:r>
              <w:rPr>
                <w:rFonts w:hint="default" w:ascii="Times New Roman" w:hAnsi="Times New Roman" w:cs="Times New Roman"/>
                <w:bCs w:val="0"/>
                <w:color w:val="000000" w:themeColor="text1"/>
                <w:spacing w:val="0"/>
                <w:kern w:val="0"/>
                <w:lang w:eastAsia="zh-CN"/>
                <w14:textFill>
                  <w14:solidFill>
                    <w14:schemeClr w14:val="tx1"/>
                  </w14:solidFill>
                </w14:textFill>
              </w:rPr>
              <w:t>硫化氢、氨</w:t>
            </w:r>
          </w:p>
        </w:tc>
        <w:tc>
          <w:tcPr>
            <w:tcW w:w="1131" w:type="dxa"/>
            <w:shd w:val="clear" w:color="auto" w:fill="auto"/>
            <w:noWrap/>
            <w:vAlign w:val="center"/>
          </w:tcPr>
          <w:p w14:paraId="02B530EB">
            <w:pPr>
              <w:pStyle w:val="951"/>
              <w:adjustRightInd/>
              <w:snapToGrid/>
              <w:spacing w:line="276" w:lineRule="auto"/>
              <w:rPr>
                <w:rFonts w:hint="default" w:ascii="Times New Roman" w:hAnsi="Times New Roman" w:cs="Times New Roman"/>
                <w:bCs w:val="0"/>
                <w:color w:val="000000" w:themeColor="text1"/>
                <w:spacing w:val="0"/>
                <w:kern w:val="0"/>
                <w14:textFill>
                  <w14:solidFill>
                    <w14:schemeClr w14:val="tx1"/>
                  </w14:solidFill>
                </w14:textFill>
              </w:rPr>
            </w:pPr>
            <w:r>
              <w:rPr>
                <w:rFonts w:hint="default" w:ascii="Times New Roman" w:hAnsi="Times New Roman" w:cs="Times New Roman"/>
                <w:bCs w:val="0"/>
                <w:color w:val="000000" w:themeColor="text1"/>
                <w:spacing w:val="0"/>
                <w:kern w:val="0"/>
                <w14:textFill>
                  <w14:solidFill>
                    <w14:schemeClr w14:val="tx1"/>
                  </w14:solidFill>
                </w14:textFill>
              </w:rPr>
              <w:t>有组织</w:t>
            </w:r>
          </w:p>
        </w:tc>
        <w:tc>
          <w:tcPr>
            <w:tcW w:w="1458" w:type="dxa"/>
            <w:shd w:val="clear" w:color="auto" w:fill="auto"/>
            <w:noWrap/>
            <w:vAlign w:val="center"/>
          </w:tcPr>
          <w:p w14:paraId="440C7201">
            <w:pPr>
              <w:pStyle w:val="951"/>
              <w:adjustRightInd/>
              <w:snapToGrid/>
              <w:spacing w:line="276" w:lineRule="auto"/>
              <w:rPr>
                <w:rFonts w:hint="default" w:ascii="Times New Roman" w:hAnsi="Times New Roman" w:cs="Times New Roman"/>
                <w:bCs w:val="0"/>
                <w:color w:val="000000" w:themeColor="text1"/>
                <w:spacing w:val="0"/>
                <w:kern w:val="0"/>
                <w14:textFill>
                  <w14:solidFill>
                    <w14:schemeClr w14:val="tx1"/>
                  </w14:solidFill>
                </w14:textFill>
              </w:rPr>
            </w:pPr>
            <w:r>
              <w:rPr>
                <w:rFonts w:hint="default" w:ascii="Times New Roman" w:hAnsi="Times New Roman" w:cs="Times New Roman"/>
                <w:bCs w:val="0"/>
                <w:color w:val="000000" w:themeColor="text1"/>
                <w:spacing w:val="0"/>
                <w:kern w:val="0"/>
                <w:lang w:eastAsia="zh-CN"/>
                <w14:textFill>
                  <w14:solidFill>
                    <w14:schemeClr w14:val="tx1"/>
                  </w14:solidFill>
                </w14:textFill>
              </w:rPr>
              <w:t>封闭负压</w:t>
            </w:r>
            <w:r>
              <w:rPr>
                <w:rFonts w:hint="default" w:ascii="Times New Roman" w:hAnsi="Times New Roman" w:cs="Times New Roman"/>
                <w:bCs w:val="0"/>
                <w:color w:val="000000" w:themeColor="text1"/>
                <w:spacing w:val="0"/>
                <w:kern w:val="0"/>
                <w:lang w:val="en-US" w:eastAsia="zh-CN"/>
                <w14:textFill>
                  <w14:solidFill>
                    <w14:schemeClr w14:val="tx1"/>
                  </w14:solidFill>
                </w14:textFill>
              </w:rPr>
              <w:t>+</w:t>
            </w:r>
            <w:r>
              <w:rPr>
                <w:rFonts w:hint="default" w:ascii="Times New Roman" w:hAnsi="Times New Roman" w:cs="Times New Roman"/>
                <w:bCs w:val="0"/>
                <w:color w:val="000000" w:themeColor="text1"/>
                <w:spacing w:val="0"/>
                <w:kern w:val="0"/>
                <w14:textFill>
                  <w14:solidFill>
                    <w14:schemeClr w14:val="tx1"/>
                  </w14:solidFill>
                </w14:textFill>
              </w:rPr>
              <w:t>管道收集</w:t>
            </w:r>
          </w:p>
        </w:tc>
        <w:tc>
          <w:tcPr>
            <w:tcW w:w="1215" w:type="dxa"/>
            <w:shd w:val="clear" w:color="auto" w:fill="auto"/>
            <w:vAlign w:val="center"/>
          </w:tcPr>
          <w:p w14:paraId="08D9D08A">
            <w:pPr>
              <w:pStyle w:val="951"/>
              <w:adjustRightInd/>
              <w:snapToGrid/>
              <w:spacing w:line="276" w:lineRule="auto"/>
              <w:rPr>
                <w:rFonts w:hint="default" w:ascii="Times New Roman" w:hAnsi="Times New Roman" w:cs="Times New Roman"/>
                <w:bCs w:val="0"/>
                <w:color w:val="000000" w:themeColor="text1"/>
                <w:spacing w:val="0"/>
                <w:kern w:val="0"/>
                <w14:textFill>
                  <w14:solidFill>
                    <w14:schemeClr w14:val="tx1"/>
                  </w14:solidFill>
                </w14:textFill>
              </w:rPr>
            </w:pPr>
            <w:r>
              <w:rPr>
                <w:rFonts w:hint="default" w:ascii="Times New Roman" w:hAnsi="Times New Roman" w:cs="Times New Roman"/>
                <w:bCs w:val="0"/>
                <w:color w:val="000000" w:themeColor="text1"/>
                <w:spacing w:val="0"/>
                <w:kern w:val="0"/>
                <w14:textFill>
                  <w14:solidFill>
                    <w14:schemeClr w14:val="tx1"/>
                  </w14:solidFill>
                </w14:textFill>
              </w:rPr>
              <w:t>100%</w:t>
            </w:r>
          </w:p>
        </w:tc>
        <w:tc>
          <w:tcPr>
            <w:tcW w:w="1761" w:type="dxa"/>
            <w:shd w:val="clear" w:color="auto" w:fill="auto"/>
            <w:vAlign w:val="center"/>
          </w:tcPr>
          <w:p w14:paraId="3C719DC8">
            <w:pPr>
              <w:spacing w:line="276" w:lineRule="auto"/>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eastAsia" w:cs="Times New Roman"/>
                <w:color w:val="000000" w:themeColor="text1"/>
                <w:spacing w:val="0"/>
                <w:sz w:val="21"/>
                <w:szCs w:val="21"/>
                <w:lang w:eastAsia="zh-CN"/>
                <w14:textFill>
                  <w14:solidFill>
                    <w14:schemeClr w14:val="tx1"/>
                  </w14:solidFill>
                </w14:textFill>
              </w:rPr>
              <w:t>两级活性炭吸附</w:t>
            </w:r>
          </w:p>
        </w:tc>
        <w:tc>
          <w:tcPr>
            <w:tcW w:w="2207" w:type="dxa"/>
            <w:shd w:val="clear" w:color="auto" w:fill="auto"/>
            <w:vAlign w:val="center"/>
          </w:tcPr>
          <w:p w14:paraId="691C8B49">
            <w:pPr>
              <w:spacing w:line="276" w:lineRule="auto"/>
              <w:jc w:val="center"/>
              <w:rPr>
                <w:rFonts w:hint="default" w:ascii="Times New Roman" w:hAnsi="Times New Roman" w:cs="Times New Roman"/>
                <w:snapToGrid w:val="0"/>
                <w:color w:val="000000" w:themeColor="text1"/>
                <w:spacing w:val="0"/>
                <w:sz w:val="21"/>
                <w14:textFill>
                  <w14:solidFill>
                    <w14:schemeClr w14:val="tx1"/>
                  </w14:solidFill>
                </w14:textFill>
              </w:rPr>
            </w:pPr>
            <w:r>
              <w:rPr>
                <w:rFonts w:hint="default" w:ascii="Times New Roman" w:hAnsi="Times New Roman" w:cs="Times New Roman"/>
                <w:snapToGrid w:val="0"/>
                <w:color w:val="000000" w:themeColor="text1"/>
                <w:spacing w:val="0"/>
                <w:sz w:val="21"/>
                <w:lang w:eastAsia="zh-CN"/>
                <w14:textFill>
                  <w14:solidFill>
                    <w14:schemeClr w14:val="tx1"/>
                  </w14:solidFill>
                </w14:textFill>
              </w:rPr>
              <w:t>硫化氢</w:t>
            </w:r>
            <w:r>
              <w:rPr>
                <w:rFonts w:hint="default" w:ascii="Times New Roman" w:hAnsi="Times New Roman" w:cs="Times New Roman"/>
                <w:snapToGrid w:val="0"/>
                <w:color w:val="000000" w:themeColor="text1"/>
                <w:spacing w:val="0"/>
                <w:sz w:val="21"/>
                <w14:textFill>
                  <w14:solidFill>
                    <w14:schemeClr w14:val="tx1"/>
                  </w14:solidFill>
                </w14:textFill>
              </w:rPr>
              <w:t>去除率</w:t>
            </w:r>
            <w:r>
              <w:rPr>
                <w:rFonts w:hint="default" w:ascii="Times New Roman" w:hAnsi="Times New Roman" w:cs="Times New Roman"/>
                <w:snapToGrid w:val="0"/>
                <w:color w:val="000000" w:themeColor="text1"/>
                <w:spacing w:val="0"/>
                <w:sz w:val="21"/>
                <w:lang w:val="en-US" w:eastAsia="zh-CN"/>
                <w14:textFill>
                  <w14:solidFill>
                    <w14:schemeClr w14:val="tx1"/>
                  </w14:solidFill>
                </w14:textFill>
              </w:rPr>
              <w:t>9</w:t>
            </w:r>
            <w:r>
              <w:rPr>
                <w:rFonts w:hint="default" w:ascii="Times New Roman" w:hAnsi="Times New Roman" w:cs="Times New Roman"/>
                <w:snapToGrid w:val="0"/>
                <w:color w:val="000000" w:themeColor="text1"/>
                <w:spacing w:val="0"/>
                <w:sz w:val="21"/>
                <w14:textFill>
                  <w14:solidFill>
                    <w14:schemeClr w14:val="tx1"/>
                  </w14:solidFill>
                </w14:textFill>
              </w:rPr>
              <w:t>0%、</w:t>
            </w:r>
            <w:r>
              <w:rPr>
                <w:rFonts w:hint="default" w:ascii="Times New Roman" w:hAnsi="Times New Roman" w:cs="Times New Roman"/>
                <w:snapToGrid w:val="0"/>
                <w:color w:val="000000" w:themeColor="text1"/>
                <w:spacing w:val="0"/>
                <w:sz w:val="21"/>
                <w:lang w:eastAsia="zh-CN"/>
                <w14:textFill>
                  <w14:solidFill>
                    <w14:schemeClr w14:val="tx1"/>
                  </w14:solidFill>
                </w14:textFill>
              </w:rPr>
              <w:t>氨</w:t>
            </w:r>
            <w:r>
              <w:rPr>
                <w:rFonts w:hint="default" w:ascii="Times New Roman" w:hAnsi="Times New Roman" w:cs="Times New Roman"/>
                <w:snapToGrid w:val="0"/>
                <w:color w:val="000000" w:themeColor="text1"/>
                <w:spacing w:val="0"/>
                <w:sz w:val="21"/>
                <w14:textFill>
                  <w14:solidFill>
                    <w14:schemeClr w14:val="tx1"/>
                  </w14:solidFill>
                </w14:textFill>
              </w:rPr>
              <w:t>去除率90%</w:t>
            </w:r>
          </w:p>
        </w:tc>
        <w:tc>
          <w:tcPr>
            <w:tcW w:w="1090" w:type="dxa"/>
            <w:shd w:val="clear" w:color="auto" w:fill="auto"/>
            <w:vAlign w:val="center"/>
          </w:tcPr>
          <w:p w14:paraId="0CACB8D3">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14:textFill>
                  <w14:solidFill>
                    <w14:schemeClr w14:val="tx1"/>
                  </w14:solidFill>
                </w14:textFill>
              </w:rPr>
              <w:t>是</w:t>
            </w:r>
          </w:p>
        </w:tc>
        <w:tc>
          <w:tcPr>
            <w:tcW w:w="1273" w:type="dxa"/>
            <w:shd w:val="clear" w:color="auto" w:fill="auto"/>
            <w:vAlign w:val="center"/>
          </w:tcPr>
          <w:p w14:paraId="7E370F6B">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lang w:eastAsia="zh-CN"/>
                <w14:textFill>
                  <w14:solidFill>
                    <w14:schemeClr w14:val="tx1"/>
                  </w14:solidFill>
                </w14:textFill>
              </w:rPr>
              <w:t>一般</w:t>
            </w:r>
            <w:r>
              <w:rPr>
                <w:rFonts w:hint="default" w:ascii="Times New Roman" w:hAnsi="Times New Roman" w:cs="Times New Roman"/>
                <w:snapToGrid w:val="0"/>
                <w:color w:val="000000" w:themeColor="text1"/>
                <w:spacing w:val="0"/>
                <w:kern w:val="0"/>
                <w14:textFill>
                  <w14:solidFill>
                    <w14:schemeClr w14:val="tx1"/>
                  </w14:solidFill>
                </w14:textFill>
              </w:rPr>
              <w:t>排放口</w:t>
            </w:r>
          </w:p>
        </w:tc>
      </w:tr>
    </w:tbl>
    <w:p w14:paraId="71520265">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default" w:ascii="Times New Roman" w:hAnsi="Times New Roman" w:eastAsia="黑体" w:cs="Times New Roman"/>
          <w:bCs/>
          <w:color w:val="000000" w:themeColor="text1"/>
          <w:sz w:val="24"/>
          <w:lang w:val="en-US" w:eastAsia="zh-CN"/>
          <w14:textFill>
            <w14:solidFill>
              <w14:schemeClr w14:val="tx1"/>
            </w14:solidFill>
          </w14:textFill>
        </w:rPr>
        <w:t>8</w:t>
      </w:r>
      <w:r>
        <w:rPr>
          <w:rFonts w:hint="default" w:ascii="Times New Roman" w:hAnsi="Times New Roman" w:eastAsia="黑体" w:cs="Times New Roman"/>
          <w:bCs/>
          <w:color w:val="000000" w:themeColor="text1"/>
          <w:sz w:val="24"/>
          <w14:textFill>
            <w14:solidFill>
              <w14:schemeClr w14:val="tx1"/>
            </w14:solidFill>
          </w14:textFill>
        </w:rPr>
        <w:t>.2-2</w:t>
      </w:r>
      <w:r>
        <w:rPr>
          <w:rFonts w:hint="eastAsia" w:ascii="Times New Roman" w:hAnsi="Times New Roman" w:eastAsia="黑体" w:cs="Times New Roman"/>
          <w:bCs/>
          <w:color w:val="000000" w:themeColor="text1"/>
          <w:sz w:val="24"/>
          <w:lang w:val="en-US" w:eastAsia="zh-CN"/>
          <w14:textFill>
            <w14:solidFill>
              <w14:schemeClr w14:val="tx1"/>
            </w14:solidFill>
          </w14:textFill>
        </w:rPr>
        <w:t xml:space="preserve">  </w:t>
      </w:r>
      <w:r>
        <w:rPr>
          <w:rFonts w:hint="default" w:ascii="Times New Roman" w:hAnsi="Times New Roman" w:eastAsia="黑体" w:cs="Times New Roman"/>
          <w:bCs/>
          <w:color w:val="000000" w:themeColor="text1"/>
          <w:sz w:val="24"/>
          <w14:textFill>
            <w14:solidFill>
              <w14:schemeClr w14:val="tx1"/>
            </w14:solidFill>
          </w14:textFill>
        </w:rPr>
        <w:t>项目废水产排污节点、污染物及污染治理设施信息表</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959"/>
        <w:gridCol w:w="1273"/>
        <w:gridCol w:w="1018"/>
        <w:gridCol w:w="1225"/>
        <w:gridCol w:w="735"/>
        <w:gridCol w:w="1983"/>
        <w:gridCol w:w="1912"/>
        <w:gridCol w:w="1869"/>
        <w:gridCol w:w="2201"/>
      </w:tblGrid>
      <w:tr w14:paraId="462130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91" w:type="pct"/>
            <w:vMerge w:val="restart"/>
            <w:shd w:val="clear" w:color="auto" w:fill="auto"/>
            <w:vAlign w:val="center"/>
          </w:tcPr>
          <w:p w14:paraId="1677C712">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污染物排放口名称</w:t>
            </w:r>
          </w:p>
        </w:tc>
        <w:tc>
          <w:tcPr>
            <w:tcW w:w="449" w:type="pct"/>
            <w:vMerge w:val="restart"/>
            <w:shd w:val="clear" w:color="auto" w:fill="auto"/>
            <w:vAlign w:val="center"/>
          </w:tcPr>
          <w:p w14:paraId="0D68501C">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污染物种类</w:t>
            </w:r>
          </w:p>
        </w:tc>
        <w:tc>
          <w:tcPr>
            <w:tcW w:w="359" w:type="pct"/>
            <w:vMerge w:val="restart"/>
            <w:shd w:val="clear" w:color="auto" w:fill="auto"/>
            <w:vAlign w:val="center"/>
          </w:tcPr>
          <w:p w14:paraId="14BC43A3">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排放去向</w:t>
            </w:r>
          </w:p>
        </w:tc>
        <w:tc>
          <w:tcPr>
            <w:tcW w:w="432" w:type="pct"/>
            <w:vMerge w:val="restart"/>
            <w:shd w:val="clear" w:color="auto" w:fill="auto"/>
            <w:vAlign w:val="center"/>
          </w:tcPr>
          <w:p w14:paraId="5A9C5103">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排放规律</w:t>
            </w:r>
          </w:p>
        </w:tc>
        <w:tc>
          <w:tcPr>
            <w:tcW w:w="958" w:type="pct"/>
            <w:gridSpan w:val="2"/>
            <w:shd w:val="clear" w:color="auto" w:fill="auto"/>
            <w:vAlign w:val="center"/>
          </w:tcPr>
          <w:p w14:paraId="79617945">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受纳自然水体信息</w:t>
            </w:r>
          </w:p>
        </w:tc>
        <w:tc>
          <w:tcPr>
            <w:tcW w:w="1333" w:type="pct"/>
            <w:gridSpan w:val="2"/>
            <w:shd w:val="clear" w:color="auto" w:fill="auto"/>
            <w:vAlign w:val="center"/>
          </w:tcPr>
          <w:p w14:paraId="4052F2D2">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国家或地方污染物排放标准</w:t>
            </w:r>
          </w:p>
        </w:tc>
        <w:tc>
          <w:tcPr>
            <w:tcW w:w="776" w:type="pct"/>
            <w:vMerge w:val="restart"/>
            <w:shd w:val="clear" w:color="auto" w:fill="auto"/>
            <w:vAlign w:val="center"/>
          </w:tcPr>
          <w:p w14:paraId="7466FD25">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拟建项目排放量t/a</w:t>
            </w:r>
          </w:p>
        </w:tc>
      </w:tr>
      <w:tr w14:paraId="0BB88E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91" w:type="pct"/>
            <w:vMerge w:val="continue"/>
            <w:vAlign w:val="center"/>
          </w:tcPr>
          <w:p w14:paraId="0EDEFD0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9" w:type="pct"/>
            <w:vMerge w:val="continue"/>
            <w:vAlign w:val="center"/>
          </w:tcPr>
          <w:p w14:paraId="7F700E0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359" w:type="pct"/>
            <w:vMerge w:val="continue"/>
            <w:vAlign w:val="center"/>
          </w:tcPr>
          <w:p w14:paraId="0421DAC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32" w:type="pct"/>
            <w:vMerge w:val="continue"/>
            <w:vAlign w:val="center"/>
          </w:tcPr>
          <w:p w14:paraId="211BF06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59" w:type="pct"/>
            <w:shd w:val="clear" w:color="auto" w:fill="auto"/>
            <w:vAlign w:val="center"/>
          </w:tcPr>
          <w:p w14:paraId="1721F6F6">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名称</w:t>
            </w:r>
          </w:p>
        </w:tc>
        <w:tc>
          <w:tcPr>
            <w:tcW w:w="698" w:type="pct"/>
            <w:shd w:val="clear" w:color="auto" w:fill="auto"/>
            <w:vAlign w:val="center"/>
          </w:tcPr>
          <w:p w14:paraId="3DF38B02">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受纳水体功能目标</w:t>
            </w:r>
          </w:p>
        </w:tc>
        <w:tc>
          <w:tcPr>
            <w:tcW w:w="674" w:type="pct"/>
            <w:shd w:val="clear" w:color="auto" w:fill="auto"/>
            <w:vAlign w:val="center"/>
          </w:tcPr>
          <w:p w14:paraId="05D2ED09">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名称</w:t>
            </w:r>
          </w:p>
        </w:tc>
        <w:tc>
          <w:tcPr>
            <w:tcW w:w="659" w:type="pct"/>
            <w:shd w:val="clear" w:color="auto" w:fill="auto"/>
            <w:vAlign w:val="center"/>
          </w:tcPr>
          <w:p w14:paraId="06756C98">
            <w:pPr>
              <w:spacing w:line="276"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数值(mg/L)</w:t>
            </w:r>
          </w:p>
        </w:tc>
        <w:tc>
          <w:tcPr>
            <w:tcW w:w="776" w:type="pct"/>
            <w:vMerge w:val="continue"/>
            <w:vAlign w:val="center"/>
          </w:tcPr>
          <w:p w14:paraId="7A51454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r>
      <w:tr w14:paraId="5C11B7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91" w:type="pct"/>
            <w:vMerge w:val="restart"/>
            <w:shd w:val="clear" w:color="auto" w:fill="auto"/>
            <w:vAlign w:val="center"/>
          </w:tcPr>
          <w:p w14:paraId="2BB3FAD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厂区总排口</w:t>
            </w:r>
          </w:p>
        </w:tc>
        <w:tc>
          <w:tcPr>
            <w:tcW w:w="449" w:type="pct"/>
            <w:shd w:val="clear" w:color="auto" w:fill="auto"/>
            <w:noWrap/>
            <w:vAlign w:val="center"/>
          </w:tcPr>
          <w:p w14:paraId="64D6333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pH</w:t>
            </w:r>
          </w:p>
        </w:tc>
        <w:tc>
          <w:tcPr>
            <w:tcW w:w="359" w:type="pct"/>
            <w:vMerge w:val="restart"/>
            <w:shd w:val="clear" w:color="auto" w:fill="auto"/>
            <w:vAlign w:val="center"/>
          </w:tcPr>
          <w:p w14:paraId="4C047BCC">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进入毛集实验区污水处理厂</w:t>
            </w:r>
          </w:p>
        </w:tc>
        <w:tc>
          <w:tcPr>
            <w:tcW w:w="432" w:type="pct"/>
            <w:vMerge w:val="restart"/>
            <w:shd w:val="clear" w:color="auto" w:fill="auto"/>
            <w:vAlign w:val="center"/>
          </w:tcPr>
          <w:p w14:paraId="58CD393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间断排放，排放期间流量稳定</w:t>
            </w:r>
          </w:p>
        </w:tc>
        <w:tc>
          <w:tcPr>
            <w:tcW w:w="259" w:type="pct"/>
            <w:vMerge w:val="restart"/>
            <w:shd w:val="clear" w:color="auto" w:fill="auto"/>
            <w:vAlign w:val="center"/>
          </w:tcPr>
          <w:p w14:paraId="5A326153">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西淝河</w:t>
            </w:r>
          </w:p>
        </w:tc>
        <w:tc>
          <w:tcPr>
            <w:tcW w:w="698" w:type="pct"/>
            <w:vMerge w:val="restart"/>
            <w:shd w:val="clear" w:color="auto" w:fill="auto"/>
            <w:vAlign w:val="center"/>
          </w:tcPr>
          <w:p w14:paraId="7917FE9A">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fldChar w:fldCharType="begin"/>
            </w:r>
            <w:r>
              <w:rPr>
                <w:rFonts w:hint="default" w:ascii="Times New Roman" w:hAnsi="Times New Roman" w:eastAsia="宋体" w:cs="Times New Roman"/>
                <w:color w:val="000000" w:themeColor="text1"/>
                <w:sz w:val="21"/>
                <w:szCs w:val="21"/>
                <w:lang w:eastAsia="zh-CN"/>
                <w14:textFill>
                  <w14:solidFill>
                    <w14:schemeClr w14:val="tx1"/>
                  </w14:solidFill>
                </w14:textFill>
              </w:rPr>
              <w:instrText xml:space="preserve"> = 3 \* ROMAN \* MERGEFORMAT </w:instrText>
            </w:r>
            <w:r>
              <w:rPr>
                <w:rFonts w:hint="default" w:ascii="Times New Roman" w:hAnsi="Times New Roman" w:eastAsia="宋体" w:cs="Times New Roman"/>
                <w:color w:val="000000" w:themeColor="text1"/>
                <w:sz w:val="21"/>
                <w:szCs w:val="21"/>
                <w:lang w:eastAsia="zh-CN"/>
                <w14:textFill>
                  <w14:solidFill>
                    <w14:schemeClr w14:val="tx1"/>
                  </w14:solidFill>
                </w14:textFill>
              </w:rPr>
              <w:fldChar w:fldCharType="separate"/>
            </w:r>
            <w:r>
              <w:rPr>
                <w:rFonts w:hint="default" w:ascii="Times New Roman" w:hAnsi="Times New Roman" w:cs="Times New Roman"/>
                <w:color w:val="000000" w:themeColor="text1"/>
                <w14:textFill>
                  <w14:solidFill>
                    <w14:schemeClr w14:val="tx1"/>
                  </w14:solidFill>
                </w14:textFill>
              </w:rPr>
              <w:t>III</w:t>
            </w:r>
            <w:r>
              <w:rPr>
                <w:rFonts w:hint="default" w:ascii="Times New Roman" w:hAnsi="Times New Roman" w:eastAsia="宋体" w:cs="Times New Roman"/>
                <w:color w:val="000000" w:themeColor="text1"/>
                <w:sz w:val="21"/>
                <w:szCs w:val="21"/>
                <w:lang w:eastAsia="zh-CN"/>
                <w14:textFill>
                  <w14:solidFill>
                    <w14:schemeClr w14:val="tx1"/>
                  </w14:solidFill>
                </w14:textFill>
              </w:rPr>
              <w:fldChar w:fldCharType="end"/>
            </w:r>
            <w:r>
              <w:rPr>
                <w:rFonts w:hint="default" w:ascii="Times New Roman" w:hAnsi="Times New Roman" w:cs="Times New Roman"/>
                <w:color w:val="000000" w:themeColor="text1"/>
                <w:sz w:val="21"/>
                <w:szCs w:val="21"/>
                <w:lang w:eastAsia="zh-CN"/>
                <w14:textFill>
                  <w14:solidFill>
                    <w14:schemeClr w14:val="tx1"/>
                  </w14:solidFill>
                </w14:textFill>
              </w:rPr>
              <w:t>类</w:t>
            </w:r>
          </w:p>
        </w:tc>
        <w:tc>
          <w:tcPr>
            <w:tcW w:w="674" w:type="pct"/>
            <w:vMerge w:val="restart"/>
            <w:shd w:val="clear" w:color="auto" w:fill="auto"/>
            <w:vAlign w:val="center"/>
          </w:tcPr>
          <w:p w14:paraId="6DD39AA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《合成树脂工业污染物排放标准》（GB31572-2015）</w:t>
            </w:r>
          </w:p>
        </w:tc>
        <w:tc>
          <w:tcPr>
            <w:tcW w:w="659" w:type="pct"/>
            <w:shd w:val="clear" w:color="auto" w:fill="auto"/>
            <w:noWrap/>
            <w:vAlign w:val="center"/>
          </w:tcPr>
          <w:p w14:paraId="11601E5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776" w:type="pct"/>
            <w:shd w:val="clear" w:color="auto" w:fill="auto"/>
            <w:vAlign w:val="center"/>
          </w:tcPr>
          <w:p w14:paraId="3D3C2445">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6~9</w:t>
            </w:r>
          </w:p>
        </w:tc>
      </w:tr>
      <w:tr w14:paraId="4ABAD6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91" w:type="pct"/>
            <w:vMerge w:val="continue"/>
            <w:vAlign w:val="center"/>
          </w:tcPr>
          <w:p w14:paraId="71F0B3A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9" w:type="pct"/>
            <w:shd w:val="clear" w:color="auto" w:fill="auto"/>
            <w:noWrap/>
            <w:vAlign w:val="center"/>
          </w:tcPr>
          <w:p w14:paraId="3FA2ED6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COD</w:t>
            </w:r>
            <w:r>
              <w:rPr>
                <w:rFonts w:hint="default" w:ascii="Times New Roman" w:hAnsi="Times New Roman" w:cs="Times New Roman"/>
                <w:color w:val="000000" w:themeColor="text1"/>
                <w:sz w:val="21"/>
                <w:szCs w:val="21"/>
                <w:vertAlign w:val="subscript"/>
                <w14:textFill>
                  <w14:solidFill>
                    <w14:schemeClr w14:val="tx1"/>
                  </w14:solidFill>
                </w14:textFill>
              </w:rPr>
              <w:t>Cr</w:t>
            </w:r>
          </w:p>
        </w:tc>
        <w:tc>
          <w:tcPr>
            <w:tcW w:w="359" w:type="pct"/>
            <w:vMerge w:val="continue"/>
            <w:vAlign w:val="center"/>
          </w:tcPr>
          <w:p w14:paraId="2BC7DB4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32" w:type="pct"/>
            <w:vMerge w:val="continue"/>
            <w:vAlign w:val="center"/>
          </w:tcPr>
          <w:p w14:paraId="24BFB9D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vAlign w:val="center"/>
          </w:tcPr>
          <w:p w14:paraId="0DC0064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98" w:type="pct"/>
            <w:vMerge w:val="continue"/>
            <w:vAlign w:val="center"/>
          </w:tcPr>
          <w:p w14:paraId="0AFE32D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74" w:type="pct"/>
            <w:vMerge w:val="continue"/>
            <w:vAlign w:val="center"/>
          </w:tcPr>
          <w:p w14:paraId="1F8FEFC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59" w:type="pct"/>
            <w:shd w:val="clear" w:color="auto" w:fill="auto"/>
            <w:noWrap/>
            <w:vAlign w:val="center"/>
          </w:tcPr>
          <w:p w14:paraId="5A6D934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201" w:type="dxa"/>
            <w:shd w:val="clear" w:color="auto" w:fill="auto"/>
            <w:noWrap/>
            <w:vAlign w:val="center"/>
          </w:tcPr>
          <w:p w14:paraId="19A2662F">
            <w:pPr>
              <w:spacing w:line="276" w:lineRule="auto"/>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2.33</w:t>
            </w:r>
          </w:p>
        </w:tc>
      </w:tr>
      <w:tr w14:paraId="6ADE03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91" w:type="pct"/>
            <w:vMerge w:val="continue"/>
            <w:vAlign w:val="center"/>
          </w:tcPr>
          <w:p w14:paraId="23D4610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9" w:type="pct"/>
            <w:shd w:val="clear" w:color="auto" w:fill="auto"/>
            <w:noWrap/>
            <w:vAlign w:val="center"/>
          </w:tcPr>
          <w:p w14:paraId="2D058AE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BOD</w:t>
            </w:r>
            <w:r>
              <w:rPr>
                <w:rFonts w:hint="default" w:ascii="Times New Roman" w:hAnsi="Times New Roman" w:cs="Times New Roman"/>
                <w:color w:val="000000" w:themeColor="text1"/>
                <w:sz w:val="21"/>
                <w:szCs w:val="21"/>
                <w:vertAlign w:val="subscript"/>
                <w14:textFill>
                  <w14:solidFill>
                    <w14:schemeClr w14:val="tx1"/>
                  </w14:solidFill>
                </w14:textFill>
              </w:rPr>
              <w:t>5</w:t>
            </w:r>
          </w:p>
        </w:tc>
        <w:tc>
          <w:tcPr>
            <w:tcW w:w="359" w:type="pct"/>
            <w:vMerge w:val="continue"/>
            <w:vAlign w:val="center"/>
          </w:tcPr>
          <w:p w14:paraId="6D97111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32" w:type="pct"/>
            <w:vMerge w:val="continue"/>
            <w:vAlign w:val="center"/>
          </w:tcPr>
          <w:p w14:paraId="7D3E436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vAlign w:val="center"/>
          </w:tcPr>
          <w:p w14:paraId="3A9BE7D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98" w:type="pct"/>
            <w:vMerge w:val="continue"/>
            <w:vAlign w:val="center"/>
          </w:tcPr>
          <w:p w14:paraId="27AC136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74" w:type="pct"/>
            <w:vMerge w:val="continue"/>
            <w:vAlign w:val="center"/>
          </w:tcPr>
          <w:p w14:paraId="1A74EE5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59" w:type="pct"/>
            <w:shd w:val="clear" w:color="auto" w:fill="auto"/>
            <w:noWrap/>
            <w:vAlign w:val="center"/>
          </w:tcPr>
          <w:p w14:paraId="46E56C9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201" w:type="dxa"/>
            <w:shd w:val="clear" w:color="auto" w:fill="auto"/>
            <w:noWrap/>
            <w:vAlign w:val="center"/>
          </w:tcPr>
          <w:p w14:paraId="423DB939">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0.991</w:t>
            </w:r>
          </w:p>
        </w:tc>
      </w:tr>
      <w:tr w14:paraId="3FB614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91" w:type="pct"/>
            <w:vMerge w:val="continue"/>
            <w:vAlign w:val="center"/>
          </w:tcPr>
          <w:p w14:paraId="329FD7F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9" w:type="pct"/>
            <w:shd w:val="clear" w:color="auto" w:fill="auto"/>
            <w:noWrap/>
            <w:vAlign w:val="center"/>
          </w:tcPr>
          <w:p w14:paraId="5E6A126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SS</w:t>
            </w:r>
          </w:p>
        </w:tc>
        <w:tc>
          <w:tcPr>
            <w:tcW w:w="359" w:type="pct"/>
            <w:vMerge w:val="continue"/>
            <w:vAlign w:val="center"/>
          </w:tcPr>
          <w:p w14:paraId="40FDDC6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32" w:type="pct"/>
            <w:vMerge w:val="continue"/>
            <w:vAlign w:val="center"/>
          </w:tcPr>
          <w:p w14:paraId="76582F9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vAlign w:val="center"/>
          </w:tcPr>
          <w:p w14:paraId="4BB6C49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98" w:type="pct"/>
            <w:vMerge w:val="continue"/>
            <w:vAlign w:val="center"/>
          </w:tcPr>
          <w:p w14:paraId="5953230D">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74" w:type="pct"/>
            <w:vMerge w:val="continue"/>
            <w:vAlign w:val="center"/>
          </w:tcPr>
          <w:p w14:paraId="177701F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59" w:type="pct"/>
            <w:shd w:val="clear" w:color="auto" w:fill="auto"/>
            <w:noWrap/>
            <w:vAlign w:val="center"/>
          </w:tcPr>
          <w:p w14:paraId="65B4F38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201" w:type="dxa"/>
            <w:shd w:val="clear" w:color="auto" w:fill="auto"/>
            <w:noWrap/>
            <w:vAlign w:val="center"/>
          </w:tcPr>
          <w:p w14:paraId="23977023">
            <w:pPr>
              <w:spacing w:line="276" w:lineRule="auto"/>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1.16</w:t>
            </w:r>
          </w:p>
        </w:tc>
      </w:tr>
      <w:tr w14:paraId="044096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91" w:type="pct"/>
            <w:vMerge w:val="continue"/>
            <w:vAlign w:val="center"/>
          </w:tcPr>
          <w:p w14:paraId="25A8CE8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9" w:type="pct"/>
            <w:shd w:val="clear" w:color="auto" w:fill="auto"/>
            <w:vAlign w:val="center"/>
          </w:tcPr>
          <w:p w14:paraId="5AC3FFC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-N</w:t>
            </w:r>
          </w:p>
        </w:tc>
        <w:tc>
          <w:tcPr>
            <w:tcW w:w="359" w:type="pct"/>
            <w:vMerge w:val="continue"/>
            <w:vAlign w:val="center"/>
          </w:tcPr>
          <w:p w14:paraId="0A1EC4B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32" w:type="pct"/>
            <w:vMerge w:val="continue"/>
            <w:vAlign w:val="center"/>
          </w:tcPr>
          <w:p w14:paraId="7DFAA18A">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vAlign w:val="center"/>
          </w:tcPr>
          <w:p w14:paraId="7614DCB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98" w:type="pct"/>
            <w:vMerge w:val="continue"/>
            <w:vAlign w:val="center"/>
          </w:tcPr>
          <w:p w14:paraId="4EDC98E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74" w:type="pct"/>
            <w:vMerge w:val="continue"/>
            <w:vAlign w:val="center"/>
          </w:tcPr>
          <w:p w14:paraId="617A7CA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59" w:type="pct"/>
            <w:shd w:val="clear" w:color="auto" w:fill="auto"/>
            <w:noWrap/>
            <w:vAlign w:val="center"/>
          </w:tcPr>
          <w:p w14:paraId="026D65B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201" w:type="dxa"/>
            <w:shd w:val="clear" w:color="auto" w:fill="auto"/>
            <w:noWrap/>
            <w:vAlign w:val="center"/>
          </w:tcPr>
          <w:p w14:paraId="3FFAA1AE">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0.228</w:t>
            </w:r>
          </w:p>
        </w:tc>
      </w:tr>
      <w:tr w14:paraId="3B6C15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91" w:type="pct"/>
            <w:vMerge w:val="continue"/>
            <w:vAlign w:val="center"/>
          </w:tcPr>
          <w:p w14:paraId="1C5DCF2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9" w:type="pct"/>
            <w:shd w:val="clear" w:color="auto" w:fill="auto"/>
            <w:vAlign w:val="center"/>
          </w:tcPr>
          <w:p w14:paraId="748370C7">
            <w:pPr>
              <w:spacing w:line="276"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TN</w:t>
            </w:r>
          </w:p>
        </w:tc>
        <w:tc>
          <w:tcPr>
            <w:tcW w:w="359" w:type="pct"/>
            <w:vMerge w:val="continue"/>
            <w:vAlign w:val="center"/>
          </w:tcPr>
          <w:p w14:paraId="0C344BC6">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32" w:type="pct"/>
            <w:vMerge w:val="continue"/>
            <w:vAlign w:val="center"/>
          </w:tcPr>
          <w:p w14:paraId="71244E03">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vAlign w:val="center"/>
          </w:tcPr>
          <w:p w14:paraId="7990AC1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98" w:type="pct"/>
            <w:vMerge w:val="continue"/>
            <w:vAlign w:val="center"/>
          </w:tcPr>
          <w:p w14:paraId="54FA001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74" w:type="pct"/>
            <w:vMerge w:val="continue"/>
            <w:vAlign w:val="center"/>
          </w:tcPr>
          <w:p w14:paraId="12C7A78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59" w:type="pct"/>
            <w:shd w:val="clear" w:color="auto" w:fill="auto"/>
            <w:noWrap/>
            <w:vAlign w:val="center"/>
          </w:tcPr>
          <w:p w14:paraId="480A22AD">
            <w:pPr>
              <w:spacing w:line="276"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w:t>
            </w:r>
          </w:p>
        </w:tc>
        <w:tc>
          <w:tcPr>
            <w:tcW w:w="2201" w:type="dxa"/>
            <w:shd w:val="clear" w:color="auto" w:fill="auto"/>
            <w:noWrap/>
            <w:vAlign w:val="center"/>
          </w:tcPr>
          <w:p w14:paraId="550892E9">
            <w:pPr>
              <w:spacing w:line="276" w:lineRule="auto"/>
              <w:jc w:val="center"/>
              <w:rPr>
                <w:rFonts w:hint="default" w:ascii="Times New Roman" w:hAnsi="Times New Roman" w:cs="Times New Roman"/>
                <w:color w:val="000000" w:themeColor="text1"/>
                <w:lang w:val="en-US" w:eastAsia="zh-CN"/>
                <w14:textFill>
                  <w14:solidFill>
                    <w14:schemeClr w14:val="tx1"/>
                  </w14:solidFill>
                </w14:textFill>
              </w:rPr>
            </w:pPr>
            <w:r>
              <w:rPr>
                <w:rFonts w:hint="eastAsia" w:cs="Times New Roman"/>
                <w:snapToGrid w:val="0"/>
                <w:color w:val="000000" w:themeColor="text1"/>
                <w:spacing w:val="0"/>
                <w:kern w:val="2"/>
                <w:sz w:val="21"/>
                <w:szCs w:val="21"/>
                <w:lang w:val="en-US" w:eastAsia="zh-CN"/>
                <w14:textFill>
                  <w14:solidFill>
                    <w14:schemeClr w14:val="tx1"/>
                  </w14:solidFill>
                </w14:textFill>
              </w:rPr>
              <w:t>0.726</w:t>
            </w:r>
          </w:p>
        </w:tc>
      </w:tr>
      <w:tr w14:paraId="09C28C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691" w:type="pct"/>
            <w:vMerge w:val="continue"/>
            <w:vAlign w:val="center"/>
          </w:tcPr>
          <w:p w14:paraId="7E1865DF">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49" w:type="pct"/>
            <w:shd w:val="clear" w:color="auto" w:fill="auto"/>
            <w:vAlign w:val="center"/>
          </w:tcPr>
          <w:p w14:paraId="7B323702">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TP</w:t>
            </w:r>
          </w:p>
        </w:tc>
        <w:tc>
          <w:tcPr>
            <w:tcW w:w="359" w:type="pct"/>
            <w:vMerge w:val="continue"/>
            <w:vAlign w:val="center"/>
          </w:tcPr>
          <w:p w14:paraId="28A225F7">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32" w:type="pct"/>
            <w:vMerge w:val="continue"/>
            <w:vAlign w:val="center"/>
          </w:tcPr>
          <w:p w14:paraId="1FB4D722">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vAlign w:val="center"/>
          </w:tcPr>
          <w:p w14:paraId="0204057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98" w:type="pct"/>
            <w:vMerge w:val="continue"/>
            <w:vAlign w:val="center"/>
          </w:tcPr>
          <w:p w14:paraId="658EBDA1">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74" w:type="pct"/>
            <w:vMerge w:val="continue"/>
            <w:vAlign w:val="center"/>
          </w:tcPr>
          <w:p w14:paraId="32F8ABF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659" w:type="pct"/>
            <w:shd w:val="clear" w:color="auto" w:fill="auto"/>
            <w:noWrap/>
            <w:vAlign w:val="center"/>
          </w:tcPr>
          <w:p w14:paraId="0CC6A6B0">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201" w:type="dxa"/>
            <w:shd w:val="clear" w:color="auto" w:fill="auto"/>
            <w:noWrap/>
            <w:vAlign w:val="center"/>
          </w:tcPr>
          <w:p w14:paraId="03999CBC">
            <w:pPr>
              <w:spacing w:line="276" w:lineRule="auto"/>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snapToGrid w:val="0"/>
                <w:color w:val="000000" w:themeColor="text1"/>
                <w:spacing w:val="0"/>
                <w:kern w:val="2"/>
                <w:sz w:val="21"/>
                <w:szCs w:val="21"/>
                <w14:textFill>
                  <w14:solidFill>
                    <w14:schemeClr w14:val="tx1"/>
                  </w14:solidFill>
                </w14:textFill>
              </w:rPr>
              <w:t>0.</w:t>
            </w:r>
            <w:r>
              <w:rPr>
                <w:rFonts w:hint="eastAsia" w:cs="Times New Roman"/>
                <w:snapToGrid w:val="0"/>
                <w:color w:val="000000" w:themeColor="text1"/>
                <w:spacing w:val="0"/>
                <w:kern w:val="2"/>
                <w:sz w:val="21"/>
                <w:szCs w:val="21"/>
                <w:lang w:val="en-US" w:eastAsia="zh-CN"/>
                <w14:textFill>
                  <w14:solidFill>
                    <w14:schemeClr w14:val="tx1"/>
                  </w14:solidFill>
                </w14:textFill>
              </w:rPr>
              <w:t>7092</w:t>
            </w:r>
          </w:p>
        </w:tc>
      </w:tr>
    </w:tbl>
    <w:p w14:paraId="78D3CEA0">
      <w:pPr>
        <w:spacing w:line="360" w:lineRule="auto"/>
        <w:ind w:firstLine="555"/>
        <w:rPr>
          <w:rFonts w:hint="default" w:ascii="Times New Roman" w:hAnsi="Times New Roman" w:eastAsia="黑体" w:cs="Times New Roman"/>
          <w:b/>
          <w:color w:val="000000" w:themeColor="text1"/>
          <w14:textFill>
            <w14:solidFill>
              <w14:schemeClr w14:val="tx1"/>
            </w14:solidFill>
          </w14:textFill>
        </w:rPr>
        <w:sectPr>
          <w:pgSz w:w="16839" w:h="11907"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bookmarkStart w:id="400" w:name="_Toc133214636"/>
      <w:bookmarkStart w:id="401" w:name="_Toc133333793"/>
    </w:p>
    <w:p w14:paraId="3738BBAB">
      <w:pPr>
        <w:pStyle w:val="3159"/>
        <w:rPr>
          <w:rFonts w:hint="default" w:ascii="Times New Roman" w:hAnsi="Times New Roman" w:eastAsia="黑体" w:cs="Times New Roman"/>
          <w:b w:val="0"/>
          <w:color w:val="000000" w:themeColor="text1"/>
          <w14:textFill>
            <w14:solidFill>
              <w14:schemeClr w14:val="tx1"/>
            </w14:solidFill>
          </w14:textFill>
        </w:rPr>
      </w:pPr>
      <w:bookmarkStart w:id="402" w:name="_Toc141627931"/>
      <w:bookmarkStart w:id="403" w:name="_Toc173837791"/>
      <w:bookmarkStart w:id="404" w:name="_Toc170562305"/>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.2.2污染物排放清单</w:t>
      </w:r>
      <w:bookmarkEnd w:id="400"/>
      <w:bookmarkEnd w:id="401"/>
      <w:bookmarkEnd w:id="402"/>
      <w:bookmarkEnd w:id="403"/>
      <w:bookmarkEnd w:id="404"/>
    </w:p>
    <w:p w14:paraId="0120F82F">
      <w:pPr>
        <w:spacing w:line="360" w:lineRule="auto"/>
        <w:ind w:firstLine="555"/>
        <w:rPr>
          <w:rFonts w:hint="default" w:ascii="Times New Roman" w:hAnsi="Times New Roman" w:cs="Times New Roman"/>
          <w:color w:val="000000" w:themeColor="text1"/>
          <w:kern w:val="24"/>
          <w:sz w:val="24"/>
          <w:szCs w:val="24"/>
          <w14:textFill>
            <w14:solidFill>
              <w14:schemeClr w14:val="tx1"/>
            </w14:solidFill>
          </w14:textFill>
        </w:rPr>
      </w:pPr>
      <w:r>
        <w:rPr>
          <w:rFonts w:hint="default" w:ascii="Times New Roman" w:hAnsi="Times New Roman" w:cs="Times New Roman"/>
          <w:color w:val="000000" w:themeColor="text1"/>
          <w:kern w:val="24"/>
          <w:sz w:val="24"/>
          <w:szCs w:val="24"/>
          <w14:textFill>
            <w14:solidFill>
              <w14:schemeClr w14:val="tx1"/>
            </w14:solidFill>
          </w14:textFill>
        </w:rPr>
        <w:t>拟建项目大气排放口基本信息见下表。</w:t>
      </w:r>
    </w:p>
    <w:p w14:paraId="7FDD2DF3">
      <w:pPr>
        <w:spacing w:line="360" w:lineRule="auto"/>
        <w:jc w:val="center"/>
        <w:rPr>
          <w:rFonts w:hint="default" w:ascii="Times New Roman" w:hAnsi="Times New Roman" w:eastAsia="黑体" w:cs="Times New Roman"/>
          <w:color w:val="000000" w:themeColor="text1"/>
          <w:sz w:val="24"/>
          <w:szCs w:val="24"/>
          <w14:textFill>
            <w14:solidFill>
              <w14:schemeClr w14:val="tx1"/>
            </w14:solidFill>
          </w14:textFill>
        </w:rPr>
      </w:pPr>
      <w:r>
        <w:rPr>
          <w:rFonts w:hint="default" w:ascii="Times New Roman" w:hAnsi="Times New Roman" w:eastAsia="黑体" w:cs="Times New Roman"/>
          <w:color w:val="000000" w:themeColor="text1"/>
          <w:sz w:val="24"/>
          <w:szCs w:val="24"/>
          <w14:textFill>
            <w14:solidFill>
              <w14:schemeClr w14:val="tx1"/>
            </w14:solidFill>
          </w14:textFill>
        </w:rPr>
        <w:t>表</w:t>
      </w:r>
      <w:r>
        <w:rPr>
          <w:rFonts w:hint="default" w:ascii="Times New Roman" w:hAnsi="Times New Roman" w:eastAsia="黑体" w:cs="Times New Roman"/>
          <w:color w:val="000000" w:themeColor="text1"/>
          <w:sz w:val="24"/>
          <w:szCs w:val="24"/>
          <w:lang w:val="en-US" w:eastAsia="zh-CN"/>
          <w14:textFill>
            <w14:solidFill>
              <w14:schemeClr w14:val="tx1"/>
            </w14:solidFill>
          </w14:textFill>
        </w:rPr>
        <w:t>8</w:t>
      </w:r>
      <w:r>
        <w:rPr>
          <w:rFonts w:hint="default" w:ascii="Times New Roman" w:hAnsi="Times New Roman" w:eastAsia="黑体" w:cs="Times New Roman"/>
          <w:color w:val="000000" w:themeColor="text1"/>
          <w:sz w:val="24"/>
          <w:szCs w:val="24"/>
          <w14:textFill>
            <w14:solidFill>
              <w14:schemeClr w14:val="tx1"/>
            </w14:solidFill>
          </w14:textFill>
        </w:rPr>
        <w:t>.2-3</w:t>
      </w:r>
      <w:r>
        <w:rPr>
          <w:rFonts w:hint="eastAsia" w:ascii="Times New Roman" w:hAnsi="Times New Roman" w:eastAsia="黑体"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eastAsia="黑体" w:cs="Times New Roman"/>
          <w:color w:val="000000" w:themeColor="text1"/>
          <w:sz w:val="24"/>
          <w:szCs w:val="24"/>
          <w14:textFill>
            <w14:solidFill>
              <w14:schemeClr w14:val="tx1"/>
            </w14:solidFill>
          </w14:textFill>
        </w:rPr>
        <w:t>项目大气排放口基本情况表</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26"/>
        <w:gridCol w:w="1562"/>
        <w:gridCol w:w="1537"/>
        <w:gridCol w:w="1023"/>
        <w:gridCol w:w="1154"/>
        <w:gridCol w:w="2305"/>
        <w:gridCol w:w="1366"/>
        <w:gridCol w:w="1366"/>
        <w:gridCol w:w="1454"/>
        <w:gridCol w:w="1182"/>
      </w:tblGrid>
      <w:tr w14:paraId="4D2239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432" w:type="pct"/>
            <w:vMerge w:val="restart"/>
            <w:shd w:val="clear" w:color="auto" w:fill="auto"/>
            <w:vAlign w:val="center"/>
          </w:tcPr>
          <w:p w14:paraId="4D63C0E4">
            <w:pPr>
              <w:spacing w:line="276" w:lineRule="auto"/>
              <w:jc w:val="center"/>
              <w:rPr>
                <w:rFonts w:hint="default" w:ascii="Times New Roman" w:hAnsi="Times New Roman" w:cs="Times New Roman"/>
                <w:b/>
                <w:snapToGrid w:val="0"/>
                <w:color w:val="000000" w:themeColor="text1"/>
                <w:spacing w:val="0"/>
                <w:sz w:val="21"/>
                <w:szCs w:val="21"/>
                <w14:textFill>
                  <w14:solidFill>
                    <w14:schemeClr w14:val="tx1"/>
                  </w14:solidFill>
                </w14:textFill>
              </w:rPr>
            </w:pPr>
            <w:r>
              <w:rPr>
                <w:rFonts w:hint="default" w:ascii="Times New Roman" w:hAnsi="Times New Roman" w:cs="Times New Roman"/>
                <w:b/>
                <w:snapToGrid w:val="0"/>
                <w:color w:val="000000" w:themeColor="text1"/>
                <w:spacing w:val="0"/>
                <w:sz w:val="21"/>
                <w:szCs w:val="21"/>
                <w14:textFill>
                  <w14:solidFill>
                    <w14:schemeClr w14:val="tx1"/>
                  </w14:solidFill>
                </w14:textFill>
              </w:rPr>
              <w:t>排气筒编号</w:t>
            </w:r>
          </w:p>
        </w:tc>
        <w:tc>
          <w:tcPr>
            <w:tcW w:w="550" w:type="pct"/>
            <w:vMerge w:val="restart"/>
            <w:shd w:val="clear" w:color="auto" w:fill="auto"/>
            <w:vAlign w:val="center"/>
          </w:tcPr>
          <w:p w14:paraId="1F70426C">
            <w:pPr>
              <w:spacing w:line="276" w:lineRule="auto"/>
              <w:jc w:val="center"/>
              <w:rPr>
                <w:rFonts w:hint="default" w:ascii="Times New Roman" w:hAnsi="Times New Roman" w:cs="Times New Roman"/>
                <w:b/>
                <w:snapToGrid w:val="0"/>
                <w:color w:val="000000" w:themeColor="text1"/>
                <w:spacing w:val="0"/>
                <w:sz w:val="21"/>
                <w:szCs w:val="21"/>
                <w14:textFill>
                  <w14:solidFill>
                    <w14:schemeClr w14:val="tx1"/>
                  </w14:solidFill>
                </w14:textFill>
              </w:rPr>
            </w:pPr>
            <w:r>
              <w:rPr>
                <w:rFonts w:hint="default" w:ascii="Times New Roman" w:hAnsi="Times New Roman" w:cs="Times New Roman"/>
                <w:b/>
                <w:snapToGrid w:val="0"/>
                <w:color w:val="000000" w:themeColor="text1"/>
                <w:spacing w:val="0"/>
                <w:sz w:val="21"/>
                <w:szCs w:val="21"/>
                <w14:textFill>
                  <w14:solidFill>
                    <w14:schemeClr w14:val="tx1"/>
                  </w14:solidFill>
                </w14:textFill>
              </w:rPr>
              <w:t>生产工序</w:t>
            </w:r>
          </w:p>
        </w:tc>
        <w:tc>
          <w:tcPr>
            <w:tcW w:w="542" w:type="pct"/>
            <w:vMerge w:val="restart"/>
            <w:shd w:val="clear" w:color="auto" w:fill="auto"/>
            <w:vAlign w:val="center"/>
          </w:tcPr>
          <w:p w14:paraId="35006826">
            <w:pPr>
              <w:spacing w:line="276" w:lineRule="auto"/>
              <w:jc w:val="center"/>
              <w:rPr>
                <w:rFonts w:hint="default" w:ascii="Times New Roman" w:hAnsi="Times New Roman" w:cs="Times New Roman"/>
                <w:b/>
                <w:snapToGrid w:val="0"/>
                <w:color w:val="000000" w:themeColor="text1"/>
                <w:spacing w:val="0"/>
                <w:sz w:val="21"/>
                <w:szCs w:val="21"/>
                <w14:textFill>
                  <w14:solidFill>
                    <w14:schemeClr w14:val="tx1"/>
                  </w14:solidFill>
                </w14:textFill>
              </w:rPr>
            </w:pPr>
            <w:r>
              <w:rPr>
                <w:rFonts w:hint="default" w:ascii="Times New Roman" w:hAnsi="Times New Roman" w:cs="Times New Roman"/>
                <w:b/>
                <w:snapToGrid w:val="0"/>
                <w:color w:val="000000" w:themeColor="text1"/>
                <w:spacing w:val="0"/>
                <w:sz w:val="21"/>
                <w:szCs w:val="21"/>
                <w14:textFill>
                  <w14:solidFill>
                    <w14:schemeClr w14:val="tx1"/>
                  </w14:solidFill>
                </w14:textFill>
              </w:rPr>
              <w:t>污染物种类</w:t>
            </w:r>
          </w:p>
        </w:tc>
        <w:tc>
          <w:tcPr>
            <w:tcW w:w="360" w:type="pct"/>
            <w:vMerge w:val="restart"/>
            <w:shd w:val="clear" w:color="auto" w:fill="auto"/>
            <w:vAlign w:val="center"/>
          </w:tcPr>
          <w:p w14:paraId="098B5FBB">
            <w:pPr>
              <w:spacing w:line="276" w:lineRule="auto"/>
              <w:jc w:val="center"/>
              <w:rPr>
                <w:rFonts w:hint="default" w:ascii="Times New Roman" w:hAnsi="Times New Roman" w:cs="Times New Roman"/>
                <w:b/>
                <w:snapToGrid w:val="0"/>
                <w:color w:val="000000" w:themeColor="text1"/>
                <w:spacing w:val="0"/>
                <w:sz w:val="21"/>
                <w:szCs w:val="21"/>
                <w14:textFill>
                  <w14:solidFill>
                    <w14:schemeClr w14:val="tx1"/>
                  </w14:solidFill>
                </w14:textFill>
              </w:rPr>
            </w:pPr>
            <w:r>
              <w:rPr>
                <w:rFonts w:hint="default" w:ascii="Times New Roman" w:hAnsi="Times New Roman" w:cs="Times New Roman"/>
                <w:b/>
                <w:snapToGrid w:val="0"/>
                <w:color w:val="000000" w:themeColor="text1"/>
                <w:spacing w:val="0"/>
                <w:sz w:val="21"/>
                <w:szCs w:val="21"/>
                <w14:textFill>
                  <w14:solidFill>
                    <w14:schemeClr w14:val="tx1"/>
                  </w14:solidFill>
                </w14:textFill>
              </w:rPr>
              <w:t>排气筒高度（m）</w:t>
            </w:r>
          </w:p>
        </w:tc>
        <w:tc>
          <w:tcPr>
            <w:tcW w:w="407" w:type="pct"/>
            <w:vMerge w:val="restart"/>
            <w:shd w:val="clear" w:color="auto" w:fill="auto"/>
            <w:vAlign w:val="center"/>
          </w:tcPr>
          <w:p w14:paraId="483A737D">
            <w:pPr>
              <w:spacing w:line="276" w:lineRule="auto"/>
              <w:jc w:val="center"/>
              <w:rPr>
                <w:rFonts w:hint="default" w:ascii="Times New Roman" w:hAnsi="Times New Roman" w:cs="Times New Roman"/>
                <w:b/>
                <w:snapToGrid w:val="0"/>
                <w:color w:val="000000" w:themeColor="text1"/>
                <w:spacing w:val="0"/>
                <w:sz w:val="21"/>
                <w:szCs w:val="21"/>
                <w14:textFill>
                  <w14:solidFill>
                    <w14:schemeClr w14:val="tx1"/>
                  </w14:solidFill>
                </w14:textFill>
              </w:rPr>
            </w:pPr>
            <w:r>
              <w:rPr>
                <w:rFonts w:hint="default" w:ascii="Times New Roman" w:hAnsi="Times New Roman" w:cs="Times New Roman"/>
                <w:b/>
                <w:snapToGrid w:val="0"/>
                <w:color w:val="000000" w:themeColor="text1"/>
                <w:spacing w:val="0"/>
                <w:sz w:val="21"/>
                <w:szCs w:val="21"/>
                <w14:textFill>
                  <w14:solidFill>
                    <w14:schemeClr w14:val="tx1"/>
                  </w14:solidFill>
                </w14:textFill>
              </w:rPr>
              <w:t>排气筒出口内径（m）</w:t>
            </w:r>
          </w:p>
        </w:tc>
        <w:tc>
          <w:tcPr>
            <w:tcW w:w="1776" w:type="pct"/>
            <w:gridSpan w:val="3"/>
          </w:tcPr>
          <w:p w14:paraId="17EE3935">
            <w:pPr>
              <w:spacing w:line="276" w:lineRule="auto"/>
              <w:jc w:val="center"/>
              <w:rPr>
                <w:rFonts w:hint="default" w:ascii="Times New Roman" w:hAnsi="Times New Roman" w:cs="Times New Roman"/>
                <w:b/>
                <w:snapToGrid w:val="0"/>
                <w:color w:val="000000" w:themeColor="text1"/>
                <w:spacing w:val="0"/>
                <w:sz w:val="21"/>
                <w:szCs w:val="21"/>
                <w14:textFill>
                  <w14:solidFill>
                    <w14:schemeClr w14:val="tx1"/>
                  </w14:solidFill>
                </w14:textFill>
              </w:rPr>
            </w:pPr>
            <w:r>
              <w:rPr>
                <w:rFonts w:hint="default" w:ascii="Times New Roman" w:hAnsi="Times New Roman" w:cs="Times New Roman"/>
                <w:b/>
                <w:snapToGrid w:val="0"/>
                <w:color w:val="000000" w:themeColor="text1"/>
                <w:spacing w:val="0"/>
                <w:sz w:val="21"/>
                <w:szCs w:val="21"/>
                <w14:textFill>
                  <w14:solidFill>
                    <w14:schemeClr w14:val="tx1"/>
                  </w14:solidFill>
                </w14:textFill>
              </w:rPr>
              <w:t>执行排放标准</w:t>
            </w:r>
          </w:p>
        </w:tc>
        <w:tc>
          <w:tcPr>
            <w:tcW w:w="512" w:type="pct"/>
            <w:vMerge w:val="restart"/>
            <w:shd w:val="clear" w:color="auto" w:fill="auto"/>
            <w:vAlign w:val="center"/>
          </w:tcPr>
          <w:p w14:paraId="51F63A96">
            <w:pPr>
              <w:spacing w:line="276" w:lineRule="auto"/>
              <w:jc w:val="center"/>
              <w:rPr>
                <w:rFonts w:hint="default" w:ascii="Times New Roman" w:hAnsi="Times New Roman" w:cs="Times New Roman"/>
                <w:b/>
                <w:snapToGrid w:val="0"/>
                <w:color w:val="000000" w:themeColor="text1"/>
                <w:spacing w:val="0"/>
                <w:sz w:val="21"/>
                <w:szCs w:val="21"/>
                <w14:textFill>
                  <w14:solidFill>
                    <w14:schemeClr w14:val="tx1"/>
                  </w14:solidFill>
                </w14:textFill>
              </w:rPr>
            </w:pPr>
            <w:r>
              <w:rPr>
                <w:rFonts w:hint="default" w:ascii="Times New Roman" w:hAnsi="Times New Roman" w:cs="Times New Roman"/>
                <w:b/>
                <w:snapToGrid w:val="0"/>
                <w:color w:val="000000" w:themeColor="text1"/>
                <w:spacing w:val="0"/>
                <w:sz w:val="21"/>
                <w:szCs w:val="21"/>
                <w14:textFill>
                  <w14:solidFill>
                    <w14:schemeClr w14:val="tx1"/>
                  </w14:solidFill>
                </w14:textFill>
              </w:rPr>
              <w:t>排放浓度mg/</w:t>
            </w:r>
            <w:r>
              <w:rPr>
                <w:rFonts w:hint="default" w:ascii="Times New Roman" w:hAnsi="Times New Roman" w:cs="Times New Roman"/>
                <w:b/>
                <w:iCs/>
                <w:snapToGrid w:val="0"/>
                <w:color w:val="000000" w:themeColor="text1"/>
                <w:spacing w:val="0"/>
                <w:sz w:val="21"/>
                <w:szCs w:val="21"/>
                <w14:textFill>
                  <w14:solidFill>
                    <w14:schemeClr w14:val="tx1"/>
                  </w14:solidFill>
                </w14:textFill>
              </w:rPr>
              <w:t>N</w:t>
            </w:r>
            <w:r>
              <w:rPr>
                <w:rFonts w:hint="default" w:ascii="Times New Roman" w:hAnsi="Times New Roman" w:cs="Times New Roman"/>
                <w:b/>
                <w:snapToGrid w:val="0"/>
                <w:color w:val="000000" w:themeColor="text1"/>
                <w:spacing w:val="0"/>
                <w:sz w:val="21"/>
                <w:szCs w:val="21"/>
                <w14:textFill>
                  <w14:solidFill>
                    <w14:schemeClr w14:val="tx1"/>
                  </w14:solidFill>
                </w14:textFill>
              </w:rPr>
              <w:t>m</w:t>
            </w:r>
            <w:r>
              <w:rPr>
                <w:rFonts w:hint="default" w:ascii="Times New Roman" w:hAnsi="Times New Roman" w:cs="Times New Roman"/>
                <w:b/>
                <w:snapToGrid w:val="0"/>
                <w:color w:val="000000" w:themeColor="text1"/>
                <w:spacing w:val="0"/>
                <w:sz w:val="21"/>
                <w:szCs w:val="21"/>
                <w:vertAlign w:val="superscript"/>
                <w14:textFill>
                  <w14:solidFill>
                    <w14:schemeClr w14:val="tx1"/>
                  </w14:solidFill>
                </w14:textFill>
              </w:rPr>
              <w:t>3</w:t>
            </w:r>
          </w:p>
        </w:tc>
        <w:tc>
          <w:tcPr>
            <w:tcW w:w="416" w:type="pct"/>
            <w:vMerge w:val="restart"/>
            <w:shd w:val="clear" w:color="auto" w:fill="auto"/>
            <w:noWrap/>
            <w:vAlign w:val="center"/>
          </w:tcPr>
          <w:p w14:paraId="0CCA9910">
            <w:pPr>
              <w:spacing w:line="276" w:lineRule="auto"/>
              <w:jc w:val="center"/>
              <w:rPr>
                <w:rFonts w:hint="default" w:ascii="Times New Roman" w:hAnsi="Times New Roman" w:cs="Times New Roman"/>
                <w:b/>
                <w:snapToGrid w:val="0"/>
                <w:color w:val="000000" w:themeColor="text1"/>
                <w:spacing w:val="0"/>
                <w:sz w:val="21"/>
                <w:szCs w:val="21"/>
                <w14:textFill>
                  <w14:solidFill>
                    <w14:schemeClr w14:val="tx1"/>
                  </w14:solidFill>
                </w14:textFill>
              </w:rPr>
            </w:pPr>
            <w:r>
              <w:rPr>
                <w:rFonts w:hint="default" w:ascii="Times New Roman" w:hAnsi="Times New Roman" w:cs="Times New Roman"/>
                <w:b/>
                <w:snapToGrid w:val="0"/>
                <w:color w:val="000000" w:themeColor="text1"/>
                <w:spacing w:val="0"/>
                <w:sz w:val="21"/>
                <w:szCs w:val="21"/>
                <w14:textFill>
                  <w14:solidFill>
                    <w14:schemeClr w14:val="tx1"/>
                  </w14:solidFill>
                </w14:textFill>
              </w:rPr>
              <w:t>排放总量t/a</w:t>
            </w:r>
          </w:p>
        </w:tc>
      </w:tr>
      <w:tr w14:paraId="3304CB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32" w:type="pct"/>
            <w:vMerge w:val="continue"/>
            <w:shd w:val="clear" w:color="auto" w:fill="auto"/>
            <w:vAlign w:val="center"/>
          </w:tcPr>
          <w:p w14:paraId="6F86CB97">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p>
        </w:tc>
        <w:tc>
          <w:tcPr>
            <w:tcW w:w="550" w:type="pct"/>
            <w:vMerge w:val="continue"/>
            <w:shd w:val="clear" w:color="auto" w:fill="auto"/>
            <w:vAlign w:val="center"/>
          </w:tcPr>
          <w:p w14:paraId="0111BBC4">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p>
        </w:tc>
        <w:tc>
          <w:tcPr>
            <w:tcW w:w="542" w:type="pct"/>
            <w:vMerge w:val="continue"/>
            <w:shd w:val="clear" w:color="auto" w:fill="auto"/>
            <w:vAlign w:val="center"/>
          </w:tcPr>
          <w:p w14:paraId="6642D470">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p>
        </w:tc>
        <w:tc>
          <w:tcPr>
            <w:tcW w:w="360" w:type="pct"/>
            <w:vMerge w:val="continue"/>
            <w:shd w:val="clear" w:color="auto" w:fill="auto"/>
            <w:vAlign w:val="center"/>
          </w:tcPr>
          <w:p w14:paraId="42605784">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p>
        </w:tc>
        <w:tc>
          <w:tcPr>
            <w:tcW w:w="407" w:type="pct"/>
            <w:vMerge w:val="continue"/>
            <w:shd w:val="clear" w:color="auto" w:fill="auto"/>
            <w:vAlign w:val="center"/>
          </w:tcPr>
          <w:p w14:paraId="25E0C6DA">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p>
        </w:tc>
        <w:tc>
          <w:tcPr>
            <w:tcW w:w="813" w:type="pct"/>
            <w:shd w:val="clear" w:color="auto" w:fill="auto"/>
            <w:vAlign w:val="center"/>
          </w:tcPr>
          <w:p w14:paraId="690329CA">
            <w:pPr>
              <w:spacing w:line="276" w:lineRule="auto"/>
              <w:jc w:val="center"/>
              <w:rPr>
                <w:rFonts w:hint="default" w:ascii="Times New Roman" w:hAnsi="Times New Roman" w:cs="Times New Roman"/>
                <w:b/>
                <w:snapToGrid w:val="0"/>
                <w:color w:val="000000" w:themeColor="text1"/>
                <w:spacing w:val="0"/>
                <w:sz w:val="21"/>
                <w:szCs w:val="21"/>
                <w14:textFill>
                  <w14:solidFill>
                    <w14:schemeClr w14:val="tx1"/>
                  </w14:solidFill>
                </w14:textFill>
              </w:rPr>
            </w:pPr>
            <w:r>
              <w:rPr>
                <w:rFonts w:hint="default" w:ascii="Times New Roman" w:hAnsi="Times New Roman" w:cs="Times New Roman"/>
                <w:b/>
                <w:snapToGrid w:val="0"/>
                <w:color w:val="000000" w:themeColor="text1"/>
                <w:spacing w:val="0"/>
                <w:sz w:val="21"/>
                <w:szCs w:val="21"/>
                <w14:textFill>
                  <w14:solidFill>
                    <w14:schemeClr w14:val="tx1"/>
                  </w14:solidFill>
                </w14:textFill>
              </w:rPr>
              <w:t>名称</w:t>
            </w:r>
          </w:p>
        </w:tc>
        <w:tc>
          <w:tcPr>
            <w:tcW w:w="481" w:type="pct"/>
          </w:tcPr>
          <w:p w14:paraId="5635134C">
            <w:pPr>
              <w:spacing w:line="276" w:lineRule="auto"/>
              <w:jc w:val="center"/>
              <w:rPr>
                <w:rFonts w:hint="default" w:ascii="Times New Roman" w:hAnsi="Times New Roman" w:cs="Times New Roman"/>
                <w:b/>
                <w:snapToGrid w:val="0"/>
                <w:color w:val="000000" w:themeColor="text1"/>
                <w:spacing w:val="0"/>
                <w:sz w:val="21"/>
                <w:szCs w:val="21"/>
                <w14:textFill>
                  <w14:solidFill>
                    <w14:schemeClr w14:val="tx1"/>
                  </w14:solidFill>
                </w14:textFill>
              </w:rPr>
            </w:pPr>
            <w:r>
              <w:rPr>
                <w:rFonts w:hint="default" w:ascii="Times New Roman" w:hAnsi="Times New Roman" w:cs="Times New Roman"/>
                <w:b/>
                <w:snapToGrid w:val="0"/>
                <w:color w:val="000000" w:themeColor="text1"/>
                <w:spacing w:val="0"/>
                <w:sz w:val="21"/>
                <w:szCs w:val="21"/>
                <w14:textFill>
                  <w14:solidFill>
                    <w14:schemeClr w14:val="tx1"/>
                  </w14:solidFill>
                </w14:textFill>
              </w:rPr>
              <w:t>速率限值kg/h</w:t>
            </w:r>
          </w:p>
        </w:tc>
        <w:tc>
          <w:tcPr>
            <w:tcW w:w="481" w:type="pct"/>
            <w:shd w:val="clear" w:color="auto" w:fill="auto"/>
            <w:vAlign w:val="center"/>
          </w:tcPr>
          <w:p w14:paraId="11B80033">
            <w:pPr>
              <w:spacing w:line="276" w:lineRule="auto"/>
              <w:jc w:val="center"/>
              <w:rPr>
                <w:rFonts w:hint="default" w:ascii="Times New Roman" w:hAnsi="Times New Roman" w:cs="Times New Roman"/>
                <w:b/>
                <w:snapToGrid w:val="0"/>
                <w:color w:val="000000" w:themeColor="text1"/>
                <w:spacing w:val="0"/>
                <w:sz w:val="21"/>
                <w:szCs w:val="21"/>
                <w14:textFill>
                  <w14:solidFill>
                    <w14:schemeClr w14:val="tx1"/>
                  </w14:solidFill>
                </w14:textFill>
              </w:rPr>
            </w:pPr>
            <w:r>
              <w:rPr>
                <w:rFonts w:hint="default" w:ascii="Times New Roman" w:hAnsi="Times New Roman" w:cs="Times New Roman"/>
                <w:b/>
                <w:snapToGrid w:val="0"/>
                <w:color w:val="000000" w:themeColor="text1"/>
                <w:spacing w:val="0"/>
                <w:sz w:val="21"/>
                <w:szCs w:val="21"/>
                <w14:textFill>
                  <w14:solidFill>
                    <w14:schemeClr w14:val="tx1"/>
                  </w14:solidFill>
                </w14:textFill>
              </w:rPr>
              <w:t>浓度限值mg/</w:t>
            </w:r>
            <w:r>
              <w:rPr>
                <w:rFonts w:hint="default" w:ascii="Times New Roman" w:hAnsi="Times New Roman" w:cs="Times New Roman"/>
                <w:b/>
                <w:iCs/>
                <w:snapToGrid w:val="0"/>
                <w:color w:val="000000" w:themeColor="text1"/>
                <w:spacing w:val="0"/>
                <w:sz w:val="21"/>
                <w:szCs w:val="21"/>
                <w14:textFill>
                  <w14:solidFill>
                    <w14:schemeClr w14:val="tx1"/>
                  </w14:solidFill>
                </w14:textFill>
              </w:rPr>
              <w:t>N</w:t>
            </w:r>
            <w:r>
              <w:rPr>
                <w:rFonts w:hint="default" w:ascii="Times New Roman" w:hAnsi="Times New Roman" w:cs="Times New Roman"/>
                <w:b/>
                <w:snapToGrid w:val="0"/>
                <w:color w:val="000000" w:themeColor="text1"/>
                <w:spacing w:val="0"/>
                <w:sz w:val="21"/>
                <w:szCs w:val="21"/>
                <w14:textFill>
                  <w14:solidFill>
                    <w14:schemeClr w14:val="tx1"/>
                  </w14:solidFill>
                </w14:textFill>
              </w:rPr>
              <w:t>m</w:t>
            </w:r>
            <w:r>
              <w:rPr>
                <w:rFonts w:hint="default" w:ascii="Times New Roman" w:hAnsi="Times New Roman" w:cs="Times New Roman"/>
                <w:b/>
                <w:snapToGrid w:val="0"/>
                <w:color w:val="000000" w:themeColor="text1"/>
                <w:spacing w:val="0"/>
                <w:sz w:val="21"/>
                <w:szCs w:val="21"/>
                <w:vertAlign w:val="superscript"/>
                <w14:textFill>
                  <w14:solidFill>
                    <w14:schemeClr w14:val="tx1"/>
                  </w14:solidFill>
                </w14:textFill>
              </w:rPr>
              <w:t>3</w:t>
            </w:r>
          </w:p>
        </w:tc>
        <w:tc>
          <w:tcPr>
            <w:tcW w:w="512" w:type="pct"/>
            <w:vMerge w:val="continue"/>
            <w:shd w:val="clear" w:color="auto" w:fill="auto"/>
            <w:vAlign w:val="center"/>
          </w:tcPr>
          <w:p w14:paraId="6E2F3DDB">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p>
        </w:tc>
        <w:tc>
          <w:tcPr>
            <w:tcW w:w="416" w:type="pct"/>
            <w:vMerge w:val="continue"/>
            <w:shd w:val="clear" w:color="auto" w:fill="auto"/>
            <w:vAlign w:val="center"/>
          </w:tcPr>
          <w:p w14:paraId="6DF70DC2">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p>
        </w:tc>
      </w:tr>
      <w:tr w14:paraId="650A09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32" w:type="pct"/>
            <w:vMerge w:val="restart"/>
            <w:shd w:val="clear" w:color="auto" w:fill="auto"/>
            <w:vAlign w:val="center"/>
          </w:tcPr>
          <w:p w14:paraId="349F3998">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r>
              <w:rPr>
                <w:rFonts w:hint="default" w:ascii="Times New Roman" w:hAnsi="Times New Roman" w:cs="Times New Roman"/>
                <w:snapToGrid w:val="0"/>
                <w:color w:val="000000" w:themeColor="text1"/>
                <w:spacing w:val="0"/>
                <w:sz w:val="21"/>
                <w:szCs w:val="21"/>
                <w14:textFill>
                  <w14:solidFill>
                    <w14:schemeClr w14:val="tx1"/>
                  </w14:solidFill>
                </w14:textFill>
              </w:rPr>
              <w:t>DA001号排气筒</w:t>
            </w:r>
          </w:p>
        </w:tc>
        <w:tc>
          <w:tcPr>
            <w:tcW w:w="550" w:type="pct"/>
            <w:shd w:val="clear" w:color="auto" w:fill="auto"/>
            <w:vAlign w:val="center"/>
          </w:tcPr>
          <w:p w14:paraId="0E632EF1">
            <w:pPr>
              <w:spacing w:line="276"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cs="Times New Roman"/>
                <w:bCs/>
                <w:color w:val="000000" w:themeColor="text1"/>
                <w:sz w:val="21"/>
                <w:szCs w:val="21"/>
                <w:lang w:eastAsia="zh-CN"/>
                <w14:textFill>
                  <w14:solidFill>
                    <w14:schemeClr w14:val="tx1"/>
                  </w14:solidFill>
                </w14:textFill>
              </w:rPr>
              <w:t>改性粒子熔融挤出</w:t>
            </w:r>
          </w:p>
        </w:tc>
        <w:tc>
          <w:tcPr>
            <w:tcW w:w="542" w:type="pct"/>
            <w:vMerge w:val="restart"/>
            <w:shd w:val="clear" w:color="auto" w:fill="auto"/>
            <w:vAlign w:val="center"/>
          </w:tcPr>
          <w:p w14:paraId="6CA6432A">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r>
              <w:rPr>
                <w:rFonts w:hint="default" w:ascii="Times New Roman" w:hAnsi="Times New Roman" w:cs="Times New Roman"/>
                <w:snapToGrid w:val="0"/>
                <w:color w:val="000000" w:themeColor="text1"/>
                <w:spacing w:val="0"/>
                <w:kern w:val="0"/>
                <w14:textFill>
                  <w14:solidFill>
                    <w14:schemeClr w14:val="tx1"/>
                  </w14:solidFill>
                </w14:textFill>
              </w:rPr>
              <w:t>非甲烷总烃</w:t>
            </w:r>
          </w:p>
        </w:tc>
        <w:tc>
          <w:tcPr>
            <w:tcW w:w="360" w:type="pct"/>
            <w:vMerge w:val="restart"/>
            <w:shd w:val="clear" w:color="auto" w:fill="auto"/>
            <w:vAlign w:val="center"/>
          </w:tcPr>
          <w:p w14:paraId="4E1A68EB">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r>
              <w:rPr>
                <w:rFonts w:hint="default" w:ascii="Times New Roman" w:hAnsi="Times New Roman" w:cs="Times New Roman"/>
                <w:snapToGrid w:val="0"/>
                <w:color w:val="000000" w:themeColor="text1"/>
                <w:spacing w:val="0"/>
                <w:sz w:val="21"/>
                <w:szCs w:val="21"/>
                <w14:textFill>
                  <w14:solidFill>
                    <w14:schemeClr w14:val="tx1"/>
                  </w14:solidFill>
                </w14:textFill>
              </w:rPr>
              <w:t>1</w:t>
            </w:r>
            <w:r>
              <w:rPr>
                <w:rFonts w:hint="eastAsia" w:cs="Times New Roman"/>
                <w:snapToGrid w:val="0"/>
                <w:color w:val="000000" w:themeColor="text1"/>
                <w:spacing w:val="0"/>
                <w:sz w:val="21"/>
                <w:szCs w:val="21"/>
                <w:lang w:val="en-US" w:eastAsia="zh-CN"/>
                <w14:textFill>
                  <w14:solidFill>
                    <w14:schemeClr w14:val="tx1"/>
                  </w14:solidFill>
                </w14:textFill>
              </w:rPr>
              <w:t>5</w:t>
            </w:r>
          </w:p>
        </w:tc>
        <w:tc>
          <w:tcPr>
            <w:tcW w:w="407" w:type="pct"/>
            <w:vMerge w:val="restart"/>
            <w:shd w:val="clear" w:color="auto" w:fill="auto"/>
            <w:vAlign w:val="center"/>
          </w:tcPr>
          <w:p w14:paraId="31782BC9">
            <w:pPr>
              <w:spacing w:line="276" w:lineRule="auto"/>
              <w:jc w:val="center"/>
              <w:rPr>
                <w:rFonts w:hint="eastAsia" w:ascii="Times New Roman" w:hAnsi="Times New Roman" w:eastAsia="宋体" w:cs="Times New Roman"/>
                <w:snapToGrid w:val="0"/>
                <w:color w:val="000000" w:themeColor="text1"/>
                <w:spacing w:val="0"/>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sz w:val="21"/>
                <w:szCs w:val="21"/>
                <w14:textFill>
                  <w14:solidFill>
                    <w14:schemeClr w14:val="tx1"/>
                  </w14:solidFill>
                </w14:textFill>
              </w:rPr>
              <w:t>0.</w:t>
            </w:r>
            <w:r>
              <w:rPr>
                <w:rFonts w:hint="eastAsia" w:cs="Times New Roman"/>
                <w:snapToGrid w:val="0"/>
                <w:color w:val="000000" w:themeColor="text1"/>
                <w:spacing w:val="0"/>
                <w:sz w:val="21"/>
                <w:szCs w:val="21"/>
                <w:lang w:val="en-US" w:eastAsia="zh-CN"/>
                <w14:textFill>
                  <w14:solidFill>
                    <w14:schemeClr w14:val="tx1"/>
                  </w14:solidFill>
                </w14:textFill>
              </w:rPr>
              <w:t>4</w:t>
            </w:r>
          </w:p>
        </w:tc>
        <w:tc>
          <w:tcPr>
            <w:tcW w:w="813" w:type="pct"/>
            <w:vMerge w:val="restart"/>
            <w:shd w:val="clear" w:color="auto" w:fill="auto"/>
            <w:vAlign w:val="center"/>
          </w:tcPr>
          <w:p w14:paraId="733730B3">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r>
              <w:rPr>
                <w:rFonts w:hint="default" w:ascii="Times New Roman" w:hAnsi="Times New Roman" w:cs="Times New Roman"/>
                <w:bCs/>
                <w:snapToGrid w:val="0"/>
                <w:color w:val="000000" w:themeColor="text1"/>
                <w:spacing w:val="0"/>
                <w:sz w:val="21"/>
                <w:szCs w:val="21"/>
                <w14:textFill>
                  <w14:solidFill>
                    <w14:schemeClr w14:val="tx1"/>
                  </w14:solidFill>
                </w14:textFill>
              </w:rPr>
              <w:t>《固定源挥发性有机物综合排放标准 第6部分其他行业》（DB34 4812.6-2024）</w:t>
            </w:r>
          </w:p>
        </w:tc>
        <w:tc>
          <w:tcPr>
            <w:tcW w:w="481" w:type="pct"/>
            <w:vMerge w:val="restart"/>
            <w:vAlign w:val="center"/>
          </w:tcPr>
          <w:p w14:paraId="5E5FD631">
            <w:pPr>
              <w:spacing w:line="276"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1.6</w:t>
            </w:r>
          </w:p>
        </w:tc>
        <w:tc>
          <w:tcPr>
            <w:tcW w:w="481" w:type="pct"/>
            <w:vMerge w:val="restart"/>
            <w:shd w:val="clear" w:color="auto" w:fill="auto"/>
            <w:vAlign w:val="center"/>
          </w:tcPr>
          <w:p w14:paraId="7B28C0D5">
            <w:pPr>
              <w:spacing w:line="276"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40</w:t>
            </w:r>
          </w:p>
        </w:tc>
        <w:tc>
          <w:tcPr>
            <w:tcW w:w="512" w:type="pct"/>
            <w:vMerge w:val="restart"/>
            <w:shd w:val="clear" w:color="auto" w:fill="auto"/>
            <w:vAlign w:val="center"/>
          </w:tcPr>
          <w:p w14:paraId="551CEBD5">
            <w:pPr>
              <w:widowControl/>
              <w:spacing w:line="240" w:lineRule="auto"/>
              <w:jc w:val="center"/>
              <w:textAlignment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6.216</w:t>
            </w:r>
          </w:p>
        </w:tc>
        <w:tc>
          <w:tcPr>
            <w:tcW w:w="416" w:type="pct"/>
            <w:vMerge w:val="restart"/>
            <w:shd w:val="clear" w:color="auto" w:fill="auto"/>
            <w:vAlign w:val="center"/>
          </w:tcPr>
          <w:p w14:paraId="5ABBE7A0">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0.149</w:t>
            </w:r>
          </w:p>
        </w:tc>
      </w:tr>
      <w:tr w14:paraId="2F3E1C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2" w:hRule="atLeast"/>
        </w:trPr>
        <w:tc>
          <w:tcPr>
            <w:tcW w:w="432" w:type="pct"/>
            <w:vMerge w:val="continue"/>
            <w:shd w:val="clear" w:color="auto" w:fill="auto"/>
            <w:vAlign w:val="center"/>
          </w:tcPr>
          <w:p w14:paraId="408C7436">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p>
        </w:tc>
        <w:tc>
          <w:tcPr>
            <w:tcW w:w="550" w:type="pct"/>
            <w:shd w:val="clear" w:color="auto" w:fill="auto"/>
            <w:vAlign w:val="center"/>
          </w:tcPr>
          <w:p w14:paraId="69A2680B">
            <w:pPr>
              <w:spacing w:line="276"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eastAsia" w:cs="Times New Roman"/>
                <w:bCs/>
                <w:color w:val="000000" w:themeColor="text1"/>
                <w:sz w:val="21"/>
                <w:szCs w:val="21"/>
                <w:lang w:eastAsia="zh-CN"/>
                <w14:textFill>
                  <w14:solidFill>
                    <w14:schemeClr w14:val="tx1"/>
                  </w14:solidFill>
                </w14:textFill>
              </w:rPr>
              <w:t>废</w:t>
            </w:r>
            <w:r>
              <w:rPr>
                <w:rFonts w:hint="default" w:ascii="Times New Roman" w:hAnsi="Times New Roman" w:cs="Times New Roman"/>
                <w:bCs/>
                <w:color w:val="000000" w:themeColor="text1"/>
                <w:sz w:val="21"/>
                <w:szCs w:val="21"/>
                <w:lang w:eastAsia="zh-CN"/>
                <w14:textFill>
                  <w14:solidFill>
                    <w14:schemeClr w14:val="tx1"/>
                  </w14:solidFill>
                </w14:textFill>
              </w:rPr>
              <w:t>标签纸</w:t>
            </w:r>
            <w:r>
              <w:rPr>
                <w:rFonts w:hint="eastAsia" w:cs="Times New Roman"/>
                <w:bCs/>
                <w:color w:val="000000" w:themeColor="text1"/>
                <w:sz w:val="21"/>
                <w:szCs w:val="21"/>
                <w:lang w:eastAsia="zh-CN"/>
                <w14:textFill>
                  <w14:solidFill>
                    <w14:schemeClr w14:val="tx1"/>
                  </w14:solidFill>
                </w14:textFill>
              </w:rPr>
              <w:t>高温分选</w:t>
            </w:r>
          </w:p>
        </w:tc>
        <w:tc>
          <w:tcPr>
            <w:tcW w:w="542" w:type="pct"/>
            <w:vMerge w:val="continue"/>
            <w:shd w:val="clear" w:color="auto" w:fill="auto"/>
            <w:vAlign w:val="center"/>
          </w:tcPr>
          <w:p w14:paraId="09D277DE">
            <w:pPr>
              <w:pStyle w:val="951"/>
              <w:adjustRightInd/>
              <w:snapToGrid/>
              <w:spacing w:line="276" w:lineRule="auto"/>
              <w:rPr>
                <w:rFonts w:hint="default" w:ascii="Times New Roman" w:hAnsi="Times New Roman" w:cs="Times New Roman"/>
                <w:snapToGrid w:val="0"/>
                <w:color w:val="000000" w:themeColor="text1"/>
                <w:spacing w:val="0"/>
                <w:kern w:val="0"/>
                <w14:textFill>
                  <w14:solidFill>
                    <w14:schemeClr w14:val="tx1"/>
                  </w14:solidFill>
                </w14:textFill>
              </w:rPr>
            </w:pPr>
          </w:p>
        </w:tc>
        <w:tc>
          <w:tcPr>
            <w:tcW w:w="360" w:type="pct"/>
            <w:vMerge w:val="continue"/>
            <w:shd w:val="clear" w:color="auto" w:fill="auto"/>
            <w:vAlign w:val="center"/>
          </w:tcPr>
          <w:p w14:paraId="78BF62DB">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p>
        </w:tc>
        <w:tc>
          <w:tcPr>
            <w:tcW w:w="407" w:type="pct"/>
            <w:vMerge w:val="continue"/>
            <w:shd w:val="clear" w:color="auto" w:fill="auto"/>
            <w:vAlign w:val="center"/>
          </w:tcPr>
          <w:p w14:paraId="50AF9907">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p>
        </w:tc>
        <w:tc>
          <w:tcPr>
            <w:tcW w:w="813" w:type="pct"/>
            <w:vMerge w:val="continue"/>
            <w:shd w:val="clear" w:color="auto" w:fill="auto"/>
            <w:vAlign w:val="center"/>
          </w:tcPr>
          <w:p w14:paraId="2E33B917">
            <w:pPr>
              <w:spacing w:line="276" w:lineRule="auto"/>
              <w:jc w:val="center"/>
              <w:rPr>
                <w:rFonts w:hint="default" w:ascii="Times New Roman" w:hAnsi="Times New Roman" w:cs="Times New Roman"/>
                <w:bCs/>
                <w:snapToGrid w:val="0"/>
                <w:color w:val="000000" w:themeColor="text1"/>
                <w:spacing w:val="0"/>
                <w:sz w:val="21"/>
                <w:szCs w:val="21"/>
                <w14:textFill>
                  <w14:solidFill>
                    <w14:schemeClr w14:val="tx1"/>
                  </w14:solidFill>
                </w14:textFill>
              </w:rPr>
            </w:pPr>
          </w:p>
        </w:tc>
        <w:tc>
          <w:tcPr>
            <w:tcW w:w="481" w:type="pct"/>
            <w:vMerge w:val="continue"/>
            <w:vAlign w:val="center"/>
          </w:tcPr>
          <w:p w14:paraId="317B5E93">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481" w:type="pct"/>
            <w:vMerge w:val="continue"/>
            <w:shd w:val="clear" w:color="auto" w:fill="auto"/>
            <w:vAlign w:val="center"/>
          </w:tcPr>
          <w:p w14:paraId="4326E438">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512" w:type="pct"/>
            <w:vMerge w:val="continue"/>
            <w:shd w:val="clear" w:color="auto" w:fill="auto"/>
            <w:vAlign w:val="center"/>
          </w:tcPr>
          <w:p w14:paraId="15EE6D4D">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416" w:type="pct"/>
            <w:vMerge w:val="continue"/>
            <w:shd w:val="clear" w:color="auto" w:fill="auto"/>
            <w:vAlign w:val="center"/>
          </w:tcPr>
          <w:p w14:paraId="3DFDA505">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r>
      <w:tr w14:paraId="7375E1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 w:hRule="atLeast"/>
        </w:trPr>
        <w:tc>
          <w:tcPr>
            <w:tcW w:w="432" w:type="pct"/>
            <w:vMerge w:val="restart"/>
            <w:shd w:val="clear" w:color="auto" w:fill="auto"/>
            <w:vAlign w:val="center"/>
          </w:tcPr>
          <w:p w14:paraId="74D55F84">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r>
              <w:rPr>
                <w:rFonts w:hint="default" w:ascii="Times New Roman" w:hAnsi="Times New Roman" w:cs="Times New Roman"/>
                <w:snapToGrid w:val="0"/>
                <w:color w:val="000000" w:themeColor="text1"/>
                <w:spacing w:val="0"/>
                <w:sz w:val="21"/>
                <w:szCs w:val="21"/>
                <w14:textFill>
                  <w14:solidFill>
                    <w14:schemeClr w14:val="tx1"/>
                  </w14:solidFill>
                </w14:textFill>
              </w:rPr>
              <w:t>DA002号排气筒</w:t>
            </w:r>
          </w:p>
        </w:tc>
        <w:tc>
          <w:tcPr>
            <w:tcW w:w="550" w:type="pct"/>
            <w:shd w:val="clear" w:color="auto" w:fill="auto"/>
            <w:vAlign w:val="center"/>
          </w:tcPr>
          <w:p w14:paraId="3703C781">
            <w:pPr>
              <w:spacing w:line="276" w:lineRule="auto"/>
              <w:ind w:left="13" w:leftChars="7"/>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拆包</w:t>
            </w:r>
          </w:p>
        </w:tc>
        <w:tc>
          <w:tcPr>
            <w:tcW w:w="542" w:type="pct"/>
            <w:vMerge w:val="restart"/>
            <w:shd w:val="clear" w:color="auto" w:fill="auto"/>
            <w:vAlign w:val="center"/>
          </w:tcPr>
          <w:p w14:paraId="5E9348F7">
            <w:pPr>
              <w:pStyle w:val="1114"/>
              <w:adjustRightInd/>
              <w:spacing w:before="0" w:after="0" w:line="274"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颗粒物</w:t>
            </w:r>
          </w:p>
        </w:tc>
        <w:tc>
          <w:tcPr>
            <w:tcW w:w="360" w:type="pct"/>
            <w:vMerge w:val="restart"/>
            <w:shd w:val="clear" w:color="auto" w:fill="auto"/>
            <w:vAlign w:val="center"/>
          </w:tcPr>
          <w:p w14:paraId="06E26F9C">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r>
              <w:rPr>
                <w:rFonts w:hint="default" w:ascii="Times New Roman" w:hAnsi="Times New Roman" w:cs="Times New Roman"/>
                <w:snapToGrid w:val="0"/>
                <w:color w:val="000000" w:themeColor="text1"/>
                <w:spacing w:val="0"/>
                <w:sz w:val="21"/>
                <w:szCs w:val="21"/>
                <w:lang w:val="en-US" w:eastAsia="zh-CN"/>
                <w14:textFill>
                  <w14:solidFill>
                    <w14:schemeClr w14:val="tx1"/>
                  </w14:solidFill>
                </w14:textFill>
              </w:rPr>
              <w:t>1</w:t>
            </w:r>
            <w:r>
              <w:rPr>
                <w:rFonts w:hint="default" w:ascii="Times New Roman" w:hAnsi="Times New Roman" w:cs="Times New Roman"/>
                <w:snapToGrid w:val="0"/>
                <w:color w:val="000000" w:themeColor="text1"/>
                <w:spacing w:val="0"/>
                <w:sz w:val="21"/>
                <w:szCs w:val="21"/>
                <w14:textFill>
                  <w14:solidFill>
                    <w14:schemeClr w14:val="tx1"/>
                  </w14:solidFill>
                </w14:textFill>
              </w:rPr>
              <w:t>5</w:t>
            </w:r>
          </w:p>
        </w:tc>
        <w:tc>
          <w:tcPr>
            <w:tcW w:w="407" w:type="pct"/>
            <w:vMerge w:val="restart"/>
            <w:shd w:val="clear" w:color="auto" w:fill="auto"/>
            <w:vAlign w:val="center"/>
          </w:tcPr>
          <w:p w14:paraId="6880279C">
            <w:pPr>
              <w:spacing w:line="276" w:lineRule="auto"/>
              <w:jc w:val="center"/>
              <w:rPr>
                <w:rFonts w:hint="default" w:ascii="Times New Roman" w:hAnsi="Times New Roman" w:eastAsia="宋体" w:cs="Times New Roman"/>
                <w:snapToGrid w:val="0"/>
                <w:color w:val="000000" w:themeColor="text1"/>
                <w:spacing w:val="0"/>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sz w:val="21"/>
                <w:szCs w:val="21"/>
                <w:lang w:val="en-US" w:eastAsia="zh-CN"/>
                <w14:textFill>
                  <w14:solidFill>
                    <w14:schemeClr w14:val="tx1"/>
                  </w14:solidFill>
                </w14:textFill>
              </w:rPr>
              <w:t>0.</w:t>
            </w:r>
            <w:r>
              <w:rPr>
                <w:rFonts w:hint="eastAsia" w:cs="Times New Roman"/>
                <w:snapToGrid w:val="0"/>
                <w:color w:val="000000" w:themeColor="text1"/>
                <w:spacing w:val="0"/>
                <w:sz w:val="21"/>
                <w:szCs w:val="21"/>
                <w:lang w:val="en-US" w:eastAsia="zh-CN"/>
                <w14:textFill>
                  <w14:solidFill>
                    <w14:schemeClr w14:val="tx1"/>
                  </w14:solidFill>
                </w14:textFill>
              </w:rPr>
              <w:t>4</w:t>
            </w:r>
          </w:p>
        </w:tc>
        <w:tc>
          <w:tcPr>
            <w:tcW w:w="813" w:type="pct"/>
            <w:vMerge w:val="restart"/>
            <w:shd w:val="clear" w:color="auto" w:fill="auto"/>
            <w:vAlign w:val="center"/>
          </w:tcPr>
          <w:p w14:paraId="50DC7F65">
            <w:pPr>
              <w:spacing w:line="276" w:lineRule="auto"/>
              <w:jc w:val="center"/>
              <w:rPr>
                <w:rFonts w:hint="eastAsia" w:ascii="Times New Roman" w:hAnsi="Times New Roman" w:eastAsia="宋体" w:cs="Times New Roman"/>
                <w:snapToGrid w:val="0"/>
                <w:color w:val="000000" w:themeColor="text1"/>
                <w:spacing w:val="0"/>
                <w:sz w:val="21"/>
                <w:szCs w:val="21"/>
                <w:lang w:eastAsia="zh-CN"/>
                <w14:textFill>
                  <w14:solidFill>
                    <w14:schemeClr w14:val="tx1"/>
                  </w14:solidFill>
                </w14:textFill>
              </w:rPr>
            </w:pPr>
            <w:r>
              <w:rPr>
                <w:rFonts w:hint="eastAsia" w:cs="Times New Roman"/>
                <w:bCs/>
                <w:snapToGrid w:val="0"/>
                <w:color w:val="000000" w:themeColor="text1"/>
                <w:spacing w:val="0"/>
                <w:sz w:val="21"/>
                <w:szCs w:val="21"/>
                <w:lang w:eastAsia="zh-CN"/>
                <w14:textFill>
                  <w14:solidFill>
                    <w14:schemeClr w14:val="tx1"/>
                  </w14:solidFill>
                </w14:textFill>
              </w:rPr>
              <w:t>《合成树脂工业污染物排放标准》（GB31572-2015）</w:t>
            </w:r>
          </w:p>
        </w:tc>
        <w:tc>
          <w:tcPr>
            <w:tcW w:w="481" w:type="pct"/>
            <w:vMerge w:val="restart"/>
            <w:vAlign w:val="center"/>
          </w:tcPr>
          <w:p w14:paraId="13A2F104">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z w:val="21"/>
                <w:szCs w:val="21"/>
                <w:lang w:val="en-US" w:eastAsia="zh-CN"/>
                <w14:textFill>
                  <w14:solidFill>
                    <w14:schemeClr w14:val="tx1"/>
                  </w14:solidFill>
                </w14:textFill>
              </w:rPr>
              <w:t>3.5</w:t>
            </w:r>
          </w:p>
        </w:tc>
        <w:tc>
          <w:tcPr>
            <w:tcW w:w="481" w:type="pct"/>
            <w:vMerge w:val="restart"/>
            <w:shd w:val="clear" w:color="auto" w:fill="auto"/>
            <w:vAlign w:val="center"/>
          </w:tcPr>
          <w:p w14:paraId="573C5DDA">
            <w:pPr>
              <w:spacing w:line="276"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120</w:t>
            </w:r>
          </w:p>
        </w:tc>
        <w:tc>
          <w:tcPr>
            <w:tcW w:w="512" w:type="pct"/>
            <w:vMerge w:val="restart"/>
            <w:shd w:val="clear" w:color="auto" w:fill="auto"/>
            <w:vAlign w:val="center"/>
          </w:tcPr>
          <w:p w14:paraId="121DF0B4">
            <w:pPr>
              <w:widowControl/>
              <w:spacing w:line="240" w:lineRule="auto"/>
              <w:jc w:val="center"/>
              <w:textAlignment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4.652</w:t>
            </w:r>
          </w:p>
        </w:tc>
        <w:tc>
          <w:tcPr>
            <w:tcW w:w="416" w:type="pct"/>
            <w:vMerge w:val="restart"/>
            <w:shd w:val="clear" w:color="auto" w:fill="auto"/>
            <w:vAlign w:val="center"/>
          </w:tcPr>
          <w:p w14:paraId="209F10AD">
            <w:pPr>
              <w:widowControl/>
              <w:spacing w:line="240" w:lineRule="auto"/>
              <w:jc w:val="center"/>
              <w:textAlignment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0.123</w:t>
            </w:r>
          </w:p>
        </w:tc>
      </w:tr>
      <w:tr w14:paraId="7F8BF6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5" w:hRule="atLeast"/>
        </w:trPr>
        <w:tc>
          <w:tcPr>
            <w:tcW w:w="432" w:type="pct"/>
            <w:vMerge w:val="continue"/>
            <w:shd w:val="clear" w:color="auto" w:fill="auto"/>
            <w:vAlign w:val="center"/>
          </w:tcPr>
          <w:p w14:paraId="16A68522">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p>
        </w:tc>
        <w:tc>
          <w:tcPr>
            <w:tcW w:w="550" w:type="pct"/>
            <w:shd w:val="clear" w:color="auto" w:fill="auto"/>
            <w:vAlign w:val="center"/>
          </w:tcPr>
          <w:p w14:paraId="3B496576">
            <w:pPr>
              <w:spacing w:line="276" w:lineRule="auto"/>
              <w:ind w:left="13"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磨粉</w:t>
            </w:r>
          </w:p>
        </w:tc>
        <w:tc>
          <w:tcPr>
            <w:tcW w:w="542" w:type="pct"/>
            <w:vMerge w:val="continue"/>
            <w:tcBorders>
              <w:bottom w:val="single" w:color="auto" w:sz="4" w:space="0"/>
            </w:tcBorders>
            <w:shd w:val="clear" w:color="auto" w:fill="auto"/>
            <w:vAlign w:val="center"/>
          </w:tcPr>
          <w:p w14:paraId="2F7FD454">
            <w:pPr>
              <w:pStyle w:val="251"/>
              <w:spacing w:line="276"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360" w:type="pct"/>
            <w:vMerge w:val="continue"/>
            <w:shd w:val="clear" w:color="auto" w:fill="auto"/>
            <w:vAlign w:val="center"/>
          </w:tcPr>
          <w:p w14:paraId="519432BC">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p>
        </w:tc>
        <w:tc>
          <w:tcPr>
            <w:tcW w:w="407" w:type="pct"/>
            <w:vMerge w:val="continue"/>
            <w:shd w:val="clear" w:color="auto" w:fill="auto"/>
            <w:vAlign w:val="center"/>
          </w:tcPr>
          <w:p w14:paraId="0E110137">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p>
        </w:tc>
        <w:tc>
          <w:tcPr>
            <w:tcW w:w="813" w:type="pct"/>
            <w:vMerge w:val="continue"/>
            <w:shd w:val="clear" w:color="auto" w:fill="auto"/>
            <w:vAlign w:val="center"/>
          </w:tcPr>
          <w:p w14:paraId="2CA2C49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81" w:type="pct"/>
            <w:vMerge w:val="continue"/>
            <w:tcBorders>
              <w:bottom w:val="single" w:color="auto" w:sz="4" w:space="0"/>
            </w:tcBorders>
            <w:vAlign w:val="center"/>
          </w:tcPr>
          <w:p w14:paraId="799F53C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481" w:type="pct"/>
            <w:vMerge w:val="continue"/>
            <w:tcBorders>
              <w:bottom w:val="single" w:color="auto" w:sz="4" w:space="0"/>
            </w:tcBorders>
            <w:shd w:val="clear" w:color="auto" w:fill="auto"/>
            <w:vAlign w:val="center"/>
          </w:tcPr>
          <w:p w14:paraId="05FC987D">
            <w:pPr>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512" w:type="pct"/>
            <w:vMerge w:val="continue"/>
            <w:tcBorders>
              <w:bottom w:val="single" w:color="auto" w:sz="4" w:space="0"/>
            </w:tcBorders>
            <w:shd w:val="clear" w:color="auto" w:fill="auto"/>
            <w:vAlign w:val="center"/>
          </w:tcPr>
          <w:p w14:paraId="4E0E517A">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c>
          <w:tcPr>
            <w:tcW w:w="416" w:type="pct"/>
            <w:vMerge w:val="continue"/>
            <w:tcBorders>
              <w:bottom w:val="single" w:color="auto" w:sz="4" w:space="0"/>
            </w:tcBorders>
            <w:shd w:val="clear" w:color="auto" w:fill="auto"/>
            <w:vAlign w:val="center"/>
          </w:tcPr>
          <w:p w14:paraId="1BAC9D54">
            <w:pPr>
              <w:spacing w:line="274"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p>
        </w:tc>
      </w:tr>
      <w:tr w14:paraId="10B3D7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32" w:type="pct"/>
            <w:vMerge w:val="restart"/>
            <w:shd w:val="clear" w:color="auto" w:fill="auto"/>
            <w:vAlign w:val="center"/>
          </w:tcPr>
          <w:p w14:paraId="532EFE16">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r>
              <w:rPr>
                <w:rFonts w:hint="default" w:ascii="Times New Roman" w:hAnsi="Times New Roman" w:cs="Times New Roman"/>
                <w:snapToGrid w:val="0"/>
                <w:color w:val="000000" w:themeColor="text1"/>
                <w:spacing w:val="0"/>
                <w:sz w:val="21"/>
                <w:szCs w:val="21"/>
                <w14:textFill>
                  <w14:solidFill>
                    <w14:schemeClr w14:val="tx1"/>
                  </w14:solidFill>
                </w14:textFill>
              </w:rPr>
              <w:t>DA003号排气筒</w:t>
            </w:r>
          </w:p>
        </w:tc>
        <w:tc>
          <w:tcPr>
            <w:tcW w:w="550" w:type="pct"/>
            <w:vMerge w:val="restart"/>
            <w:shd w:val="clear" w:color="auto" w:fill="auto"/>
            <w:vAlign w:val="center"/>
          </w:tcPr>
          <w:p w14:paraId="00712287">
            <w:pPr>
              <w:spacing w:line="276" w:lineRule="auto"/>
              <w:ind w:left="13" w:leftChars="7"/>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污水处理</w:t>
            </w:r>
          </w:p>
        </w:tc>
        <w:tc>
          <w:tcPr>
            <w:tcW w:w="542" w:type="pct"/>
            <w:shd w:val="clear" w:color="auto" w:fill="auto"/>
            <w:vAlign w:val="center"/>
          </w:tcPr>
          <w:p w14:paraId="46787A7F">
            <w:pPr>
              <w:pStyle w:val="1114"/>
              <w:adjustRightInd/>
              <w:spacing w:before="0" w:after="0"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硫化氢</w:t>
            </w:r>
          </w:p>
        </w:tc>
        <w:tc>
          <w:tcPr>
            <w:tcW w:w="360" w:type="pct"/>
            <w:vMerge w:val="restart"/>
            <w:shd w:val="clear" w:color="auto" w:fill="auto"/>
            <w:vAlign w:val="center"/>
          </w:tcPr>
          <w:p w14:paraId="1945B5EC">
            <w:pPr>
              <w:spacing w:line="276" w:lineRule="auto"/>
              <w:jc w:val="center"/>
              <w:rPr>
                <w:rFonts w:hint="default" w:ascii="Times New Roman" w:hAnsi="Times New Roman" w:eastAsia="宋体" w:cs="Times New Roman"/>
                <w:snapToGrid w:val="0"/>
                <w:color w:val="000000" w:themeColor="text1"/>
                <w:spacing w:val="0"/>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sz w:val="21"/>
                <w:szCs w:val="21"/>
                <w:lang w:val="en-US" w:eastAsia="zh-CN"/>
                <w14:textFill>
                  <w14:solidFill>
                    <w14:schemeClr w14:val="tx1"/>
                  </w14:solidFill>
                </w14:textFill>
              </w:rPr>
              <w:t>15</w:t>
            </w:r>
          </w:p>
        </w:tc>
        <w:tc>
          <w:tcPr>
            <w:tcW w:w="407" w:type="pct"/>
            <w:vMerge w:val="restart"/>
            <w:shd w:val="clear" w:color="auto" w:fill="auto"/>
            <w:vAlign w:val="center"/>
          </w:tcPr>
          <w:p w14:paraId="1C57478B">
            <w:pPr>
              <w:spacing w:line="276" w:lineRule="auto"/>
              <w:jc w:val="center"/>
              <w:rPr>
                <w:rFonts w:hint="default" w:ascii="Times New Roman" w:hAnsi="Times New Roman" w:eastAsia="宋体" w:cs="Times New Roman"/>
                <w:snapToGrid w:val="0"/>
                <w:color w:val="000000" w:themeColor="text1"/>
                <w:spacing w:val="0"/>
                <w:sz w:val="21"/>
                <w:szCs w:val="21"/>
                <w:lang w:val="en-US" w:eastAsia="zh-CN"/>
                <w14:textFill>
                  <w14:solidFill>
                    <w14:schemeClr w14:val="tx1"/>
                  </w14:solidFill>
                </w14:textFill>
              </w:rPr>
            </w:pPr>
            <w:r>
              <w:rPr>
                <w:rFonts w:hint="default" w:ascii="Times New Roman" w:hAnsi="Times New Roman" w:cs="Times New Roman"/>
                <w:snapToGrid w:val="0"/>
                <w:color w:val="000000" w:themeColor="text1"/>
                <w:spacing w:val="0"/>
                <w:sz w:val="21"/>
                <w:szCs w:val="21"/>
                <w:lang w:val="en-US" w:eastAsia="zh-CN"/>
                <w14:textFill>
                  <w14:solidFill>
                    <w14:schemeClr w14:val="tx1"/>
                  </w14:solidFill>
                </w14:textFill>
              </w:rPr>
              <w:t>0.3</w:t>
            </w:r>
          </w:p>
        </w:tc>
        <w:tc>
          <w:tcPr>
            <w:tcW w:w="813" w:type="pct"/>
            <w:vMerge w:val="restart"/>
            <w:shd w:val="clear" w:color="auto" w:fill="auto"/>
            <w:vAlign w:val="center"/>
          </w:tcPr>
          <w:p w14:paraId="603EEC20">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《恶臭污染物排放标准》（GB14554-93）表2中标准限值</w:t>
            </w:r>
          </w:p>
        </w:tc>
        <w:tc>
          <w:tcPr>
            <w:tcW w:w="481" w:type="pct"/>
            <w:vAlign w:val="center"/>
          </w:tcPr>
          <w:p w14:paraId="0BEBB75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0.33</w:t>
            </w:r>
          </w:p>
        </w:tc>
        <w:tc>
          <w:tcPr>
            <w:tcW w:w="481" w:type="pct"/>
            <w:shd w:val="clear" w:color="auto" w:fill="auto"/>
            <w:vAlign w:val="center"/>
          </w:tcPr>
          <w:p w14:paraId="43CCD0F8">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w:t>
            </w:r>
          </w:p>
        </w:tc>
        <w:tc>
          <w:tcPr>
            <w:tcW w:w="512" w:type="pct"/>
            <w:shd w:val="clear" w:color="auto" w:fill="auto"/>
            <w:vAlign w:val="center"/>
          </w:tcPr>
          <w:p w14:paraId="3B83E0D5">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1.882</w:t>
            </w:r>
          </w:p>
        </w:tc>
        <w:tc>
          <w:tcPr>
            <w:tcW w:w="416" w:type="pct"/>
            <w:shd w:val="clear" w:color="auto" w:fill="auto"/>
            <w:vAlign w:val="center"/>
          </w:tcPr>
          <w:p w14:paraId="4118569E">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271</w:t>
            </w:r>
          </w:p>
        </w:tc>
      </w:tr>
      <w:tr w14:paraId="5D4308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432" w:type="pct"/>
            <w:vMerge w:val="continue"/>
            <w:shd w:val="clear" w:color="auto" w:fill="auto"/>
            <w:vAlign w:val="center"/>
          </w:tcPr>
          <w:p w14:paraId="7DC093B8">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p>
        </w:tc>
        <w:tc>
          <w:tcPr>
            <w:tcW w:w="550" w:type="pct"/>
            <w:vMerge w:val="continue"/>
            <w:shd w:val="clear" w:color="auto" w:fill="auto"/>
            <w:vAlign w:val="center"/>
          </w:tcPr>
          <w:p w14:paraId="5CA37A9A">
            <w:pPr>
              <w:spacing w:line="276" w:lineRule="auto"/>
              <w:ind w:left="13" w:leftChars="7"/>
              <w:jc w:val="center"/>
              <w:rPr>
                <w:rFonts w:hint="default" w:ascii="Times New Roman" w:hAnsi="Times New Roman" w:cs="Times New Roman"/>
                <w:color w:val="000000" w:themeColor="text1"/>
                <w:sz w:val="21"/>
                <w:szCs w:val="21"/>
                <w14:textFill>
                  <w14:solidFill>
                    <w14:schemeClr w14:val="tx1"/>
                  </w14:solidFill>
                </w14:textFill>
              </w:rPr>
            </w:pPr>
          </w:p>
        </w:tc>
        <w:tc>
          <w:tcPr>
            <w:tcW w:w="542" w:type="pct"/>
            <w:shd w:val="clear" w:color="auto" w:fill="auto"/>
            <w:vAlign w:val="center"/>
          </w:tcPr>
          <w:p w14:paraId="47A4D0CD">
            <w:pPr>
              <w:pStyle w:val="251"/>
              <w:spacing w:line="276" w:lineRule="auto"/>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氨</w:t>
            </w:r>
          </w:p>
        </w:tc>
        <w:tc>
          <w:tcPr>
            <w:tcW w:w="360" w:type="pct"/>
            <w:vMerge w:val="continue"/>
            <w:shd w:val="clear" w:color="auto" w:fill="auto"/>
            <w:vAlign w:val="center"/>
          </w:tcPr>
          <w:p w14:paraId="1722AB28">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p>
        </w:tc>
        <w:tc>
          <w:tcPr>
            <w:tcW w:w="407" w:type="pct"/>
            <w:vMerge w:val="continue"/>
            <w:shd w:val="clear" w:color="auto" w:fill="auto"/>
            <w:vAlign w:val="center"/>
          </w:tcPr>
          <w:p w14:paraId="1ED1A245">
            <w:pPr>
              <w:spacing w:line="276" w:lineRule="auto"/>
              <w:jc w:val="center"/>
              <w:rPr>
                <w:rFonts w:hint="default" w:ascii="Times New Roman" w:hAnsi="Times New Roman" w:cs="Times New Roman"/>
                <w:snapToGrid w:val="0"/>
                <w:color w:val="000000" w:themeColor="text1"/>
                <w:spacing w:val="0"/>
                <w:sz w:val="21"/>
                <w:szCs w:val="21"/>
                <w14:textFill>
                  <w14:solidFill>
                    <w14:schemeClr w14:val="tx1"/>
                  </w14:solidFill>
                </w14:textFill>
              </w:rPr>
            </w:pPr>
          </w:p>
        </w:tc>
        <w:tc>
          <w:tcPr>
            <w:tcW w:w="813" w:type="pct"/>
            <w:vMerge w:val="continue"/>
            <w:shd w:val="clear" w:color="auto" w:fill="auto"/>
            <w:vAlign w:val="center"/>
          </w:tcPr>
          <w:p w14:paraId="483B3DF3">
            <w:pPr>
              <w:spacing w:line="276" w:lineRule="auto"/>
              <w:jc w:val="center"/>
              <w:rPr>
                <w:rFonts w:hint="default" w:ascii="Times New Roman" w:hAnsi="Times New Roman" w:cs="Times New Roman"/>
                <w:bCs/>
                <w:snapToGrid w:val="0"/>
                <w:color w:val="000000" w:themeColor="text1"/>
                <w:spacing w:val="0"/>
                <w:sz w:val="21"/>
                <w:szCs w:val="21"/>
                <w14:textFill>
                  <w14:solidFill>
                    <w14:schemeClr w14:val="tx1"/>
                  </w14:solidFill>
                </w14:textFill>
              </w:rPr>
            </w:pPr>
          </w:p>
        </w:tc>
        <w:tc>
          <w:tcPr>
            <w:tcW w:w="481" w:type="pct"/>
            <w:vAlign w:val="center"/>
          </w:tcPr>
          <w:p w14:paraId="297AA2FB">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4.9</w:t>
            </w:r>
          </w:p>
        </w:tc>
        <w:tc>
          <w:tcPr>
            <w:tcW w:w="481" w:type="pct"/>
            <w:shd w:val="clear" w:color="auto" w:fill="auto"/>
            <w:vAlign w:val="center"/>
          </w:tcPr>
          <w:p w14:paraId="1B9B1EFE">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w:t>
            </w:r>
          </w:p>
        </w:tc>
        <w:tc>
          <w:tcPr>
            <w:tcW w:w="512" w:type="pct"/>
            <w:shd w:val="clear" w:color="auto" w:fill="auto"/>
            <w:vAlign w:val="center"/>
          </w:tcPr>
          <w:p w14:paraId="64147B08">
            <w:pPr>
              <w:widowControl/>
              <w:spacing w:line="240"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729</w:t>
            </w:r>
          </w:p>
        </w:tc>
        <w:tc>
          <w:tcPr>
            <w:tcW w:w="416" w:type="pct"/>
            <w:shd w:val="clear" w:color="auto" w:fill="auto"/>
            <w:vAlign w:val="center"/>
          </w:tcPr>
          <w:p w14:paraId="77F8A314">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11</w:t>
            </w:r>
          </w:p>
        </w:tc>
      </w:tr>
    </w:tbl>
    <w:p w14:paraId="584BFFB4">
      <w:pPr>
        <w:spacing w:line="360" w:lineRule="auto"/>
        <w:rPr>
          <w:rFonts w:hint="default" w:ascii="Times New Roman" w:hAnsi="Times New Roman" w:cs="Times New Roman"/>
          <w:color w:val="000000" w:themeColor="text1"/>
          <w:kern w:val="24"/>
          <w:sz w:val="24"/>
          <w:szCs w:val="24"/>
          <w14:textFill>
            <w14:solidFill>
              <w14:schemeClr w14:val="tx1"/>
            </w14:solidFill>
          </w14:textFill>
        </w:rPr>
        <w:sectPr>
          <w:pgSz w:w="16839" w:h="11907"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AndChars" w:linePitch="312" w:charSpace="0"/>
        </w:sectPr>
      </w:pPr>
    </w:p>
    <w:p w14:paraId="70432CEE">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405" w:name="_Toc90469135"/>
      <w:bookmarkStart w:id="406" w:name="_Toc133333794"/>
      <w:bookmarkStart w:id="407" w:name="_Toc133214637"/>
      <w:bookmarkStart w:id="408" w:name="_Toc173837792"/>
      <w:bookmarkStart w:id="409" w:name="_Toc109136008"/>
      <w:bookmarkStart w:id="410" w:name="_Toc484642063"/>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.3环境监测</w:t>
      </w:r>
      <w:bookmarkEnd w:id="356"/>
      <w:bookmarkEnd w:id="357"/>
      <w:bookmarkEnd w:id="358"/>
      <w:bookmarkEnd w:id="359"/>
      <w:bookmarkEnd w:id="360"/>
      <w:bookmarkEnd w:id="361"/>
      <w:bookmarkEnd w:id="362"/>
      <w:bookmarkEnd w:id="363"/>
      <w:bookmarkEnd w:id="364"/>
      <w:bookmarkEnd w:id="405"/>
      <w:bookmarkEnd w:id="406"/>
      <w:bookmarkEnd w:id="407"/>
      <w:bookmarkEnd w:id="408"/>
      <w:bookmarkEnd w:id="409"/>
      <w:bookmarkEnd w:id="410"/>
    </w:p>
    <w:p w14:paraId="6C4CC12E">
      <w:pPr>
        <w:pStyle w:val="3159"/>
        <w:rPr>
          <w:rFonts w:hint="default" w:ascii="Times New Roman" w:hAnsi="Times New Roman" w:eastAsia="黑体" w:cs="Times New Roman"/>
          <w:b w:val="0"/>
          <w:color w:val="000000" w:themeColor="text1"/>
          <w14:textFill>
            <w14:solidFill>
              <w14:schemeClr w14:val="tx1"/>
            </w14:solidFill>
          </w14:textFill>
        </w:rPr>
      </w:pPr>
      <w:bookmarkStart w:id="411" w:name="_Toc173837793"/>
      <w:bookmarkStart w:id="412" w:name="_Toc141627933"/>
      <w:bookmarkStart w:id="413" w:name="_Toc170562307"/>
      <w:bookmarkStart w:id="414" w:name="_Toc133333795"/>
      <w:bookmarkStart w:id="415" w:name="_Toc133214638"/>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.3.1环境监测的意义</w:t>
      </w:r>
      <w:bookmarkEnd w:id="411"/>
      <w:bookmarkEnd w:id="412"/>
      <w:bookmarkEnd w:id="413"/>
      <w:bookmarkEnd w:id="414"/>
      <w:bookmarkEnd w:id="415"/>
    </w:p>
    <w:p w14:paraId="52C80FCE">
      <w:pPr>
        <w:adjustRightInd w:val="0"/>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环境监测（包括污染源监测）是企业环境保护的组成部分，也是企业的各项规范化制度。通过环境监测对数据整理分析建立监测档案，为污染源治理、掌握污染物排放变化规律提供了依据，也为上级环保部门进行区域环境规划，管理执法提供依据。</w:t>
      </w:r>
    </w:p>
    <w:p w14:paraId="02AEC04E">
      <w:pPr>
        <w:pStyle w:val="3159"/>
        <w:rPr>
          <w:rFonts w:hint="default" w:ascii="Times New Roman" w:hAnsi="Times New Roman" w:eastAsia="黑体" w:cs="Times New Roman"/>
          <w:b w:val="0"/>
          <w:color w:val="000000" w:themeColor="text1"/>
          <w14:textFill>
            <w14:solidFill>
              <w14:schemeClr w14:val="tx1"/>
            </w14:solidFill>
          </w14:textFill>
        </w:rPr>
      </w:pPr>
      <w:bookmarkStart w:id="416" w:name="_Toc173837794"/>
      <w:bookmarkStart w:id="417" w:name="_Toc141627934"/>
      <w:bookmarkStart w:id="418" w:name="_Toc133333796"/>
      <w:bookmarkStart w:id="419" w:name="_Toc133214639"/>
      <w:bookmarkStart w:id="420" w:name="_Toc170562308"/>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.3.2环境监测的主要任务</w:t>
      </w:r>
      <w:bookmarkEnd w:id="416"/>
      <w:bookmarkEnd w:id="417"/>
      <w:bookmarkEnd w:id="418"/>
      <w:bookmarkEnd w:id="419"/>
      <w:bookmarkEnd w:id="420"/>
    </w:p>
    <w:p w14:paraId="0904CFBE">
      <w:pPr>
        <w:adjustRightInd w:val="0"/>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1、制定项目环境监测计划。</w:t>
      </w:r>
    </w:p>
    <w:p w14:paraId="3366D912">
      <w:pPr>
        <w:adjustRightInd w:val="0"/>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2、定期监测项目排放污染物是否符合规定的排放标准，并对主要污染物建立监测档案。</w:t>
      </w:r>
    </w:p>
    <w:p w14:paraId="4F10FF91">
      <w:pPr>
        <w:adjustRightInd w:val="0"/>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3、分析所排污染物质变化规律，为制定污染控制措施提供依据。</w:t>
      </w:r>
    </w:p>
    <w:p w14:paraId="69EAA367">
      <w:pPr>
        <w:adjustRightInd w:val="0"/>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4、配合生产厂房，参加“三废”的治理工作。</w:t>
      </w:r>
    </w:p>
    <w:p w14:paraId="18FF6B58">
      <w:pPr>
        <w:adjustRightInd w:val="0"/>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5、负责企业污染事故调查监测及报告。</w:t>
      </w:r>
    </w:p>
    <w:p w14:paraId="04FEEC8F">
      <w:pPr>
        <w:pStyle w:val="3159"/>
        <w:rPr>
          <w:rFonts w:hint="default" w:ascii="Times New Roman" w:hAnsi="Times New Roman" w:eastAsia="黑体" w:cs="Times New Roman"/>
          <w:b w:val="0"/>
          <w:color w:val="000000" w:themeColor="text1"/>
          <w14:textFill>
            <w14:solidFill>
              <w14:schemeClr w14:val="tx1"/>
            </w14:solidFill>
          </w14:textFill>
        </w:rPr>
      </w:pPr>
      <w:bookmarkStart w:id="421" w:name="_Toc133214640"/>
      <w:bookmarkStart w:id="422" w:name="_Toc170562309"/>
      <w:bookmarkStart w:id="423" w:name="_Toc133333797"/>
      <w:bookmarkStart w:id="424" w:name="_Toc141627935"/>
      <w:bookmarkStart w:id="425" w:name="_Toc173837795"/>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.3.3</w:t>
      </w:r>
      <w:bookmarkStart w:id="426" w:name="_Toc461121034"/>
      <w:bookmarkStart w:id="427" w:name="_Toc231787569"/>
      <w:r>
        <w:rPr>
          <w:rFonts w:hint="default" w:ascii="Times New Roman" w:hAnsi="Times New Roman" w:eastAsia="黑体" w:cs="Times New Roman"/>
          <w:b w:val="0"/>
          <w:color w:val="000000" w:themeColor="text1"/>
          <w14:textFill>
            <w14:solidFill>
              <w14:schemeClr w14:val="tx1"/>
            </w14:solidFill>
          </w14:textFill>
        </w:rPr>
        <w:t>污染源监测计划</w:t>
      </w:r>
      <w:bookmarkEnd w:id="421"/>
      <w:bookmarkEnd w:id="422"/>
      <w:bookmarkEnd w:id="423"/>
      <w:bookmarkEnd w:id="424"/>
      <w:bookmarkEnd w:id="425"/>
    </w:p>
    <w:p w14:paraId="6A106321">
      <w:pPr>
        <w:spacing w:line="360" w:lineRule="auto"/>
        <w:ind w:firstLine="472" w:firstLineChars="200"/>
        <w:rPr>
          <w:rFonts w:hint="default" w:ascii="Times New Roman" w:hAnsi="Times New Roman" w:eastAsia="黑体" w:cs="Times New Roman"/>
          <w:bCs/>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根据《排污单位自行监测技术指南总则》（HJ819-2017）、《排污许可证申请与核发技术规范废弃资源加工工业》（HJ1034-2019）</w:t>
      </w:r>
      <w:r>
        <w:rPr>
          <w:rFonts w:hint="eastAsia" w:cs="Times New Roman"/>
          <w:color w:val="000000" w:themeColor="text1"/>
          <w:sz w:val="24"/>
          <w:lang w:eastAsia="zh-CN"/>
          <w14:textFill>
            <w14:solidFill>
              <w14:schemeClr w14:val="tx1"/>
            </w14:solidFill>
          </w14:textFill>
        </w:rPr>
        <w:t>、《排污许可证申请与核发技术规范橡胶和塑料制品工业》（HJ1122—2020）</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建设单位应查清所有污染源，确定主要污染源及主要监测指标，编制监测方案。监测方案内容主要包括：单位基本情况、监测点位及示意图、监测指标、执行标准及其限值、监测频次、采样和样品保存方法、监测分析方法和仪器、质量保证与质量控制等。</w:t>
      </w:r>
    </w:p>
    <w:p w14:paraId="20D35485">
      <w:pPr>
        <w:spacing w:line="360" w:lineRule="auto"/>
        <w:ind w:firstLine="482" w:firstLineChars="200"/>
        <w:rPr>
          <w:rFonts w:hint="default" w:ascii="Times New Roman" w:hAnsi="Times New Roman" w:cs="Times New Roman"/>
          <w:b/>
          <w:color w:val="000000" w:themeColor="text1"/>
          <w:spacing w:val="0"/>
          <w:sz w:val="24"/>
          <w14:textFill>
            <w14:solidFill>
              <w14:schemeClr w14:val="tx1"/>
            </w14:solidFill>
          </w14:textFill>
        </w:rPr>
      </w:pPr>
      <w:bookmarkStart w:id="428" w:name="_Toc133333798"/>
      <w:bookmarkStart w:id="429" w:name="_Toc133214641"/>
      <w:r>
        <w:rPr>
          <w:rFonts w:hint="default" w:ascii="Times New Roman" w:hAnsi="Times New Roman" w:cs="Times New Roman"/>
          <w:b/>
          <w:color w:val="000000" w:themeColor="text1"/>
          <w:spacing w:val="0"/>
          <w:sz w:val="24"/>
          <w14:textFill>
            <w14:solidFill>
              <w14:schemeClr w14:val="tx1"/>
            </w14:solidFill>
          </w14:textFill>
        </w:rPr>
        <w:t>1、废气污染源监测</w:t>
      </w:r>
      <w:bookmarkEnd w:id="428"/>
      <w:bookmarkEnd w:id="429"/>
    </w:p>
    <w:p w14:paraId="1C43D951">
      <w:pPr>
        <w:spacing w:line="360" w:lineRule="auto"/>
        <w:ind w:firstLine="472" w:firstLineChars="200"/>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本项目建成运行后，废气污染源监测计划汇总见下表：</w:t>
      </w:r>
      <w:bookmarkEnd w:id="426"/>
      <w:bookmarkEnd w:id="427"/>
    </w:p>
    <w:p w14:paraId="40F4E62A">
      <w:pPr>
        <w:spacing w:line="360" w:lineRule="auto"/>
        <w:jc w:val="center"/>
        <w:rPr>
          <w:rFonts w:hint="default" w:ascii="Times New Roman" w:hAnsi="Times New Roman" w:cs="Times New Roman"/>
          <w:b/>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default" w:ascii="Times New Roman" w:hAnsi="Times New Roman" w:eastAsia="黑体" w:cs="Times New Roman"/>
          <w:bCs/>
          <w:color w:val="000000" w:themeColor="text1"/>
          <w:sz w:val="24"/>
          <w:lang w:val="en-US" w:eastAsia="zh-CN"/>
          <w14:textFill>
            <w14:solidFill>
              <w14:schemeClr w14:val="tx1"/>
            </w14:solidFill>
          </w14:textFill>
        </w:rPr>
        <w:t>8</w:t>
      </w:r>
      <w:r>
        <w:rPr>
          <w:rFonts w:hint="default" w:ascii="Times New Roman" w:hAnsi="Times New Roman" w:eastAsia="黑体" w:cs="Times New Roman"/>
          <w:bCs/>
          <w:color w:val="000000" w:themeColor="text1"/>
          <w:sz w:val="24"/>
          <w14:textFill>
            <w14:solidFill>
              <w14:schemeClr w14:val="tx1"/>
            </w14:solidFill>
          </w14:textFill>
        </w:rPr>
        <w:t>.3-1</w:t>
      </w:r>
      <w:r>
        <w:rPr>
          <w:rFonts w:hint="default" w:ascii="Times New Roman" w:hAnsi="Times New Roman" w:eastAsia="黑体" w:cs="Times New Roman"/>
          <w:bCs/>
          <w:color w:val="000000" w:themeColor="text1"/>
          <w:sz w:val="24"/>
          <w:lang w:val="en-US" w:eastAsia="zh-CN"/>
          <w14:textFill>
            <w14:solidFill>
              <w14:schemeClr w14:val="tx1"/>
            </w14:solidFill>
          </w14:textFill>
        </w:rPr>
        <w:t xml:space="preserve">  </w:t>
      </w:r>
      <w:r>
        <w:rPr>
          <w:rFonts w:hint="default" w:ascii="Times New Roman" w:hAnsi="Times New Roman" w:eastAsia="黑体" w:cs="Times New Roman"/>
          <w:bCs/>
          <w:color w:val="000000" w:themeColor="text1"/>
          <w:sz w:val="24"/>
          <w14:textFill>
            <w14:solidFill>
              <w14:schemeClr w14:val="tx1"/>
            </w14:solidFill>
          </w14:textFill>
        </w:rPr>
        <w:t>废气污染源监测计划一览表</w:t>
      </w:r>
    </w:p>
    <w:tbl>
      <w:tblPr>
        <w:tblStyle w:val="88"/>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201"/>
        <w:gridCol w:w="2022"/>
        <w:gridCol w:w="3689"/>
        <w:gridCol w:w="1617"/>
      </w:tblGrid>
      <w:tr w14:paraId="2623240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04" w:type="pct"/>
            <w:vAlign w:val="center"/>
          </w:tcPr>
          <w:p w14:paraId="702807DD">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废气种类</w:t>
            </w:r>
          </w:p>
        </w:tc>
        <w:tc>
          <w:tcPr>
            <w:tcW w:w="1185" w:type="pct"/>
            <w:vAlign w:val="center"/>
          </w:tcPr>
          <w:p w14:paraId="72D4308E">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监测点位</w:t>
            </w:r>
          </w:p>
        </w:tc>
        <w:tc>
          <w:tcPr>
            <w:tcW w:w="2162" w:type="pct"/>
            <w:vAlign w:val="center"/>
          </w:tcPr>
          <w:p w14:paraId="1F32F74A">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监测指标</w:t>
            </w:r>
          </w:p>
        </w:tc>
        <w:tc>
          <w:tcPr>
            <w:tcW w:w="947" w:type="pct"/>
            <w:vAlign w:val="center"/>
          </w:tcPr>
          <w:p w14:paraId="6B4DBA54">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监测频次</w:t>
            </w:r>
          </w:p>
        </w:tc>
      </w:tr>
      <w:tr w14:paraId="43B3E25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04" w:type="pct"/>
            <w:vMerge w:val="restart"/>
            <w:vAlign w:val="center"/>
          </w:tcPr>
          <w:p w14:paraId="0AB907BB">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有组织</w:t>
            </w:r>
          </w:p>
        </w:tc>
        <w:tc>
          <w:tcPr>
            <w:tcW w:w="1185" w:type="pct"/>
            <w:vAlign w:val="center"/>
          </w:tcPr>
          <w:p w14:paraId="42E28B8C">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DA001</w:t>
            </w:r>
          </w:p>
        </w:tc>
        <w:tc>
          <w:tcPr>
            <w:tcW w:w="2162" w:type="pct"/>
            <w:shd w:val="clear" w:color="auto" w:fill="auto"/>
            <w:vAlign w:val="center"/>
          </w:tcPr>
          <w:p w14:paraId="73983164">
            <w:pPr>
              <w:widowControl/>
              <w:spacing w:line="264" w:lineRule="auto"/>
              <w:jc w:val="center"/>
              <w:textAlignment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947" w:type="pct"/>
            <w:shd w:val="clear" w:color="auto" w:fill="auto"/>
            <w:vAlign w:val="center"/>
          </w:tcPr>
          <w:p w14:paraId="39E3E47D">
            <w:pPr>
              <w:spacing w:line="264"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1次/</w:t>
            </w:r>
            <w:r>
              <w:rPr>
                <w:rFonts w:hint="default" w:ascii="Times New Roman" w:hAnsi="Times New Roman" w:cs="Times New Roman"/>
                <w:snapToGrid w:val="0"/>
                <w:color w:val="000000" w:themeColor="text1"/>
                <w:sz w:val="21"/>
                <w:szCs w:val="21"/>
                <w:lang w:eastAsia="zh-CN"/>
                <w14:textFill>
                  <w14:solidFill>
                    <w14:schemeClr w14:val="tx1"/>
                  </w14:solidFill>
                </w14:textFill>
              </w:rPr>
              <w:t>半</w:t>
            </w:r>
            <w:r>
              <w:rPr>
                <w:rFonts w:hint="default" w:ascii="Times New Roman" w:hAnsi="Times New Roman" w:cs="Times New Roman"/>
                <w:snapToGrid w:val="0"/>
                <w:color w:val="000000" w:themeColor="text1"/>
                <w:sz w:val="21"/>
                <w:szCs w:val="21"/>
                <w14:textFill>
                  <w14:solidFill>
                    <w14:schemeClr w14:val="tx1"/>
                  </w14:solidFill>
                </w14:textFill>
              </w:rPr>
              <w:t>年</w:t>
            </w:r>
          </w:p>
        </w:tc>
      </w:tr>
      <w:tr w14:paraId="5C2C401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04" w:type="pct"/>
            <w:vMerge w:val="continue"/>
            <w:vAlign w:val="center"/>
          </w:tcPr>
          <w:p w14:paraId="4B9C2E64">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185" w:type="pct"/>
            <w:tcBorders>
              <w:top w:val="single" w:color="auto" w:sz="4" w:space="0"/>
            </w:tcBorders>
            <w:vAlign w:val="center"/>
          </w:tcPr>
          <w:p w14:paraId="2D8CD4BF">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DA002</w:t>
            </w:r>
          </w:p>
        </w:tc>
        <w:tc>
          <w:tcPr>
            <w:tcW w:w="2162" w:type="pct"/>
            <w:tcBorders>
              <w:top w:val="single" w:color="auto" w:sz="4" w:space="0"/>
              <w:bottom w:val="single" w:color="auto" w:sz="4" w:space="0"/>
            </w:tcBorders>
            <w:vAlign w:val="center"/>
          </w:tcPr>
          <w:p w14:paraId="45592232">
            <w:pPr>
              <w:pStyle w:val="1114"/>
              <w:adjustRightInd/>
              <w:spacing w:before="0" w:after="0" w:line="274"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颗粒物</w:t>
            </w:r>
          </w:p>
        </w:tc>
        <w:tc>
          <w:tcPr>
            <w:tcW w:w="947" w:type="pct"/>
            <w:vAlign w:val="center"/>
          </w:tcPr>
          <w:p w14:paraId="40EBFDDB">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1次/年</w:t>
            </w:r>
          </w:p>
        </w:tc>
      </w:tr>
      <w:tr w14:paraId="1DD74D0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04" w:type="pct"/>
            <w:vMerge w:val="continue"/>
            <w:vAlign w:val="center"/>
          </w:tcPr>
          <w:p w14:paraId="0684FCED">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185" w:type="pct"/>
            <w:vMerge w:val="restart"/>
            <w:tcBorders>
              <w:top w:val="single" w:color="auto" w:sz="4" w:space="0"/>
            </w:tcBorders>
            <w:vAlign w:val="center"/>
          </w:tcPr>
          <w:p w14:paraId="0CE83A0F">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DA003</w:t>
            </w:r>
          </w:p>
        </w:tc>
        <w:tc>
          <w:tcPr>
            <w:tcW w:w="2162" w:type="pct"/>
            <w:tcBorders>
              <w:top w:val="single" w:color="auto" w:sz="4" w:space="0"/>
            </w:tcBorders>
            <w:vAlign w:val="center"/>
          </w:tcPr>
          <w:p w14:paraId="464855E7">
            <w:pPr>
              <w:pStyle w:val="1114"/>
              <w:adjustRightInd/>
              <w:spacing w:before="0" w:after="0" w:line="264"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硫化氢</w:t>
            </w:r>
          </w:p>
        </w:tc>
        <w:tc>
          <w:tcPr>
            <w:tcW w:w="947" w:type="pct"/>
            <w:vAlign w:val="center"/>
          </w:tcPr>
          <w:p w14:paraId="7AAF4518">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1次/年</w:t>
            </w:r>
          </w:p>
        </w:tc>
      </w:tr>
      <w:tr w14:paraId="6D68AFB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04" w:type="pct"/>
            <w:vMerge w:val="continue"/>
            <w:vAlign w:val="center"/>
          </w:tcPr>
          <w:p w14:paraId="7F36C394">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185" w:type="pct"/>
            <w:vMerge w:val="continue"/>
            <w:vAlign w:val="center"/>
          </w:tcPr>
          <w:p w14:paraId="1CE4BD5F">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62" w:type="pct"/>
            <w:vAlign w:val="center"/>
          </w:tcPr>
          <w:p w14:paraId="6A0BEC94">
            <w:pPr>
              <w:pStyle w:val="251"/>
              <w:spacing w:line="264" w:lineRule="auto"/>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氨</w:t>
            </w:r>
          </w:p>
        </w:tc>
        <w:tc>
          <w:tcPr>
            <w:tcW w:w="947" w:type="pct"/>
            <w:vAlign w:val="center"/>
          </w:tcPr>
          <w:p w14:paraId="53FEC1FF">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1次/年</w:t>
            </w:r>
          </w:p>
        </w:tc>
      </w:tr>
      <w:tr w14:paraId="4B6ADB8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04" w:type="pct"/>
            <w:vMerge w:val="restart"/>
            <w:vAlign w:val="center"/>
          </w:tcPr>
          <w:p w14:paraId="296C3CDD">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无组织</w:t>
            </w:r>
          </w:p>
        </w:tc>
        <w:tc>
          <w:tcPr>
            <w:tcW w:w="1185" w:type="pct"/>
            <w:vMerge w:val="restart"/>
            <w:vAlign w:val="center"/>
          </w:tcPr>
          <w:p w14:paraId="718A2F0F">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厂界</w:t>
            </w:r>
          </w:p>
        </w:tc>
        <w:tc>
          <w:tcPr>
            <w:tcW w:w="2162" w:type="pct"/>
            <w:vAlign w:val="center"/>
          </w:tcPr>
          <w:p w14:paraId="3D38140E">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颗粒物</w:t>
            </w:r>
          </w:p>
        </w:tc>
        <w:tc>
          <w:tcPr>
            <w:tcW w:w="947" w:type="pct"/>
            <w:vAlign w:val="center"/>
          </w:tcPr>
          <w:p w14:paraId="0F2C0D18">
            <w:pPr>
              <w:spacing w:line="264"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1次/</w:t>
            </w:r>
            <w:r>
              <w:rPr>
                <w:rFonts w:hint="default" w:ascii="Times New Roman" w:hAnsi="Times New Roman" w:cs="Times New Roman"/>
                <w:color w:val="000000" w:themeColor="text1"/>
                <w:sz w:val="21"/>
                <w:szCs w:val="21"/>
                <w:lang w:eastAsia="zh-CN"/>
                <w14:textFill>
                  <w14:solidFill>
                    <w14:schemeClr w14:val="tx1"/>
                  </w14:solidFill>
                </w14:textFill>
              </w:rPr>
              <w:t>年</w:t>
            </w:r>
          </w:p>
        </w:tc>
      </w:tr>
      <w:tr w14:paraId="0D18C15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04" w:type="pct"/>
            <w:vMerge w:val="continue"/>
            <w:vAlign w:val="center"/>
          </w:tcPr>
          <w:p w14:paraId="651EFFCF">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185" w:type="pct"/>
            <w:vMerge w:val="continue"/>
            <w:vAlign w:val="center"/>
          </w:tcPr>
          <w:p w14:paraId="134C549C">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62" w:type="pct"/>
            <w:vAlign w:val="center"/>
          </w:tcPr>
          <w:p w14:paraId="2B96E93D">
            <w:pPr>
              <w:spacing w:line="264"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sz w:val="21"/>
                <w:szCs w:val="21"/>
                <w:lang w:val="zh-CN"/>
                <w14:textFill>
                  <w14:solidFill>
                    <w14:schemeClr w14:val="tx1"/>
                  </w14:solidFill>
                </w14:textFill>
              </w:rPr>
              <w:t>非甲烷总烃</w:t>
            </w:r>
          </w:p>
        </w:tc>
        <w:tc>
          <w:tcPr>
            <w:tcW w:w="947" w:type="pct"/>
            <w:vAlign w:val="center"/>
          </w:tcPr>
          <w:p w14:paraId="6BA89B8D">
            <w:pPr>
              <w:spacing w:line="264"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1次/</w:t>
            </w:r>
            <w:r>
              <w:rPr>
                <w:rFonts w:hint="default" w:ascii="Times New Roman" w:hAnsi="Times New Roman" w:cs="Times New Roman"/>
                <w:color w:val="000000" w:themeColor="text1"/>
                <w:sz w:val="21"/>
                <w:szCs w:val="21"/>
                <w:lang w:eastAsia="zh-CN"/>
                <w14:textFill>
                  <w14:solidFill>
                    <w14:schemeClr w14:val="tx1"/>
                  </w14:solidFill>
                </w14:textFill>
              </w:rPr>
              <w:t>年</w:t>
            </w:r>
          </w:p>
        </w:tc>
      </w:tr>
      <w:tr w14:paraId="38F1BC2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04" w:type="pct"/>
            <w:vMerge w:val="continue"/>
            <w:vAlign w:val="center"/>
          </w:tcPr>
          <w:p w14:paraId="3676DC30">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185" w:type="pct"/>
            <w:vAlign w:val="center"/>
          </w:tcPr>
          <w:p w14:paraId="2782C792">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厂区内</w:t>
            </w:r>
          </w:p>
        </w:tc>
        <w:tc>
          <w:tcPr>
            <w:tcW w:w="2162" w:type="pct"/>
            <w:vAlign w:val="center"/>
          </w:tcPr>
          <w:p w14:paraId="754BF909">
            <w:pPr>
              <w:spacing w:line="264" w:lineRule="auto"/>
              <w:jc w:val="center"/>
              <w:rPr>
                <w:rFonts w:hint="default" w:ascii="Times New Roman" w:hAnsi="Times New Roman" w:cs="Times New Roman"/>
                <w:color w:val="000000" w:themeColor="text1"/>
                <w:sz w:val="21"/>
                <w:szCs w:val="21"/>
                <w:lang w:val="zh-CN"/>
                <w14:textFill>
                  <w14:solidFill>
                    <w14:schemeClr w14:val="tx1"/>
                  </w14:solidFill>
                </w14:textFill>
              </w:rPr>
            </w:pPr>
            <w:r>
              <w:rPr>
                <w:rFonts w:hint="default" w:ascii="Times New Roman" w:hAnsi="Times New Roman" w:cs="Times New Roman"/>
                <w:color w:val="000000" w:themeColor="text1"/>
                <w:sz w:val="21"/>
                <w:szCs w:val="21"/>
                <w:lang w:val="zh-CN"/>
                <w14:textFill>
                  <w14:solidFill>
                    <w14:schemeClr w14:val="tx1"/>
                  </w14:solidFill>
                </w14:textFill>
              </w:rPr>
              <w:t>非甲烷总烃</w:t>
            </w:r>
          </w:p>
        </w:tc>
        <w:tc>
          <w:tcPr>
            <w:tcW w:w="947" w:type="pct"/>
            <w:vAlign w:val="center"/>
          </w:tcPr>
          <w:p w14:paraId="03BDF47D">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1次/年</w:t>
            </w:r>
          </w:p>
        </w:tc>
      </w:tr>
    </w:tbl>
    <w:p w14:paraId="1A13E1E6">
      <w:pPr>
        <w:spacing w:line="36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注：废气监测须按照相应监测分析方法、技术规范同步监测烟气参数。</w:t>
      </w:r>
    </w:p>
    <w:p w14:paraId="0BFE76DB">
      <w:pPr>
        <w:spacing w:line="360" w:lineRule="auto"/>
        <w:ind w:firstLine="482" w:firstLineChars="200"/>
        <w:rPr>
          <w:rFonts w:hint="default" w:ascii="Times New Roman" w:hAnsi="Times New Roman" w:cs="Times New Roman"/>
          <w:b/>
          <w:color w:val="000000" w:themeColor="text1"/>
          <w:spacing w:val="0"/>
          <w:sz w:val="24"/>
          <w14:textFill>
            <w14:solidFill>
              <w14:schemeClr w14:val="tx1"/>
            </w14:solidFill>
          </w14:textFill>
        </w:rPr>
      </w:pPr>
      <w:bookmarkStart w:id="430" w:name="_Toc133333800"/>
      <w:bookmarkStart w:id="431" w:name="_Toc133214643"/>
      <w:r>
        <w:rPr>
          <w:rFonts w:hint="default" w:ascii="Times New Roman" w:hAnsi="Times New Roman" w:cs="Times New Roman"/>
          <w:b/>
          <w:color w:val="000000" w:themeColor="text1"/>
          <w:spacing w:val="0"/>
          <w:sz w:val="24"/>
          <w:lang w:val="en-US" w:eastAsia="zh-CN"/>
          <w14:textFill>
            <w14:solidFill>
              <w14:schemeClr w14:val="tx1"/>
            </w14:solidFill>
          </w14:textFill>
        </w:rPr>
        <w:t>2</w:t>
      </w:r>
      <w:r>
        <w:rPr>
          <w:rFonts w:hint="default" w:ascii="Times New Roman" w:hAnsi="Times New Roman" w:cs="Times New Roman"/>
          <w:b/>
          <w:color w:val="000000" w:themeColor="text1"/>
          <w:spacing w:val="0"/>
          <w:sz w:val="24"/>
          <w14:textFill>
            <w14:solidFill>
              <w14:schemeClr w14:val="tx1"/>
            </w14:solidFill>
          </w14:textFill>
        </w:rPr>
        <w:t>、废</w:t>
      </w:r>
      <w:r>
        <w:rPr>
          <w:rFonts w:hint="default" w:ascii="Times New Roman" w:hAnsi="Times New Roman" w:cs="Times New Roman"/>
          <w:b/>
          <w:color w:val="000000" w:themeColor="text1"/>
          <w:spacing w:val="0"/>
          <w:sz w:val="24"/>
          <w:lang w:eastAsia="zh-CN"/>
          <w14:textFill>
            <w14:solidFill>
              <w14:schemeClr w14:val="tx1"/>
            </w14:solidFill>
          </w14:textFill>
        </w:rPr>
        <w:t>水</w:t>
      </w:r>
      <w:r>
        <w:rPr>
          <w:rFonts w:hint="default" w:ascii="Times New Roman" w:hAnsi="Times New Roman" w:cs="Times New Roman"/>
          <w:b/>
          <w:color w:val="000000" w:themeColor="text1"/>
          <w:spacing w:val="0"/>
          <w:sz w:val="24"/>
          <w14:textFill>
            <w14:solidFill>
              <w14:schemeClr w14:val="tx1"/>
            </w14:solidFill>
          </w14:textFill>
        </w:rPr>
        <w:t>污染源监测</w:t>
      </w:r>
    </w:p>
    <w:p w14:paraId="0EB43F47">
      <w:pPr>
        <w:spacing w:line="360" w:lineRule="auto"/>
        <w:ind w:firstLine="472" w:firstLineChars="200"/>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本项目建成运行后，废</w:t>
      </w:r>
      <w:r>
        <w:rPr>
          <w:rFonts w:hint="default" w:ascii="Times New Roman" w:hAnsi="Times New Roman" w:cs="Times New Roman"/>
          <w:color w:val="000000" w:themeColor="text1"/>
          <w:sz w:val="24"/>
          <w:szCs w:val="24"/>
          <w:lang w:eastAsia="zh-CN"/>
          <w14:textFill>
            <w14:solidFill>
              <w14:schemeClr w14:val="tx1"/>
            </w14:solidFill>
          </w14:textFill>
        </w:rPr>
        <w:t>水</w:t>
      </w:r>
      <w:r>
        <w:rPr>
          <w:rFonts w:hint="default" w:ascii="Times New Roman" w:hAnsi="Times New Roman" w:cs="Times New Roman"/>
          <w:color w:val="000000" w:themeColor="text1"/>
          <w:sz w:val="24"/>
          <w:szCs w:val="24"/>
          <w14:textFill>
            <w14:solidFill>
              <w14:schemeClr w14:val="tx1"/>
            </w14:solidFill>
          </w14:textFill>
        </w:rPr>
        <w:t>污染源监测计划汇总见下表：</w:t>
      </w:r>
    </w:p>
    <w:p w14:paraId="1DD437BE">
      <w:pPr>
        <w:spacing w:line="360" w:lineRule="auto"/>
        <w:jc w:val="center"/>
        <w:rPr>
          <w:rFonts w:hint="default" w:ascii="Times New Roman" w:hAnsi="Times New Roman" w:cs="Times New Roman"/>
          <w:b/>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default" w:ascii="Times New Roman" w:hAnsi="Times New Roman" w:eastAsia="黑体" w:cs="Times New Roman"/>
          <w:bCs/>
          <w:color w:val="000000" w:themeColor="text1"/>
          <w:sz w:val="24"/>
          <w:lang w:val="en-US" w:eastAsia="zh-CN"/>
          <w14:textFill>
            <w14:solidFill>
              <w14:schemeClr w14:val="tx1"/>
            </w14:solidFill>
          </w14:textFill>
        </w:rPr>
        <w:t>8</w:t>
      </w:r>
      <w:r>
        <w:rPr>
          <w:rFonts w:hint="default" w:ascii="Times New Roman" w:hAnsi="Times New Roman" w:eastAsia="黑体" w:cs="Times New Roman"/>
          <w:bCs/>
          <w:color w:val="000000" w:themeColor="text1"/>
          <w:sz w:val="24"/>
          <w14:textFill>
            <w14:solidFill>
              <w14:schemeClr w14:val="tx1"/>
            </w14:solidFill>
          </w14:textFill>
        </w:rPr>
        <w:t>.3-</w:t>
      </w:r>
      <w:r>
        <w:rPr>
          <w:rFonts w:hint="default" w:ascii="Times New Roman" w:hAnsi="Times New Roman" w:eastAsia="黑体" w:cs="Times New Roman"/>
          <w:bCs/>
          <w:color w:val="000000" w:themeColor="text1"/>
          <w:sz w:val="24"/>
          <w:lang w:val="en-US" w:eastAsia="zh-CN"/>
          <w14:textFill>
            <w14:solidFill>
              <w14:schemeClr w14:val="tx1"/>
            </w14:solidFill>
          </w14:textFill>
        </w:rPr>
        <w:t xml:space="preserve">2  </w:t>
      </w:r>
      <w:r>
        <w:rPr>
          <w:rFonts w:hint="default" w:ascii="Times New Roman" w:hAnsi="Times New Roman" w:eastAsia="黑体" w:cs="Times New Roman"/>
          <w:bCs/>
          <w:color w:val="000000" w:themeColor="text1"/>
          <w:sz w:val="24"/>
          <w14:textFill>
            <w14:solidFill>
              <w14:schemeClr w14:val="tx1"/>
            </w14:solidFill>
          </w14:textFill>
        </w:rPr>
        <w:t>废气污染源监测计划一览表</w:t>
      </w:r>
    </w:p>
    <w:tbl>
      <w:tblPr>
        <w:tblStyle w:val="88"/>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201"/>
        <w:gridCol w:w="2022"/>
        <w:gridCol w:w="3689"/>
        <w:gridCol w:w="1617"/>
      </w:tblGrid>
      <w:tr w14:paraId="1ACAC15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04" w:type="pct"/>
            <w:vAlign w:val="center"/>
          </w:tcPr>
          <w:p w14:paraId="5FC36C7D">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废</w:t>
            </w:r>
            <w:r>
              <w:rPr>
                <w:rFonts w:hint="default" w:ascii="Times New Roman" w:hAnsi="Times New Roman" w:cs="Times New Roman"/>
                <w:b/>
                <w:color w:val="000000" w:themeColor="text1"/>
                <w:sz w:val="21"/>
                <w:szCs w:val="21"/>
                <w:lang w:eastAsia="zh-CN"/>
                <w14:textFill>
                  <w14:solidFill>
                    <w14:schemeClr w14:val="tx1"/>
                  </w14:solidFill>
                </w14:textFill>
              </w:rPr>
              <w:t>水</w:t>
            </w:r>
            <w:r>
              <w:rPr>
                <w:rFonts w:hint="default" w:ascii="Times New Roman" w:hAnsi="Times New Roman" w:cs="Times New Roman"/>
                <w:b/>
                <w:color w:val="000000" w:themeColor="text1"/>
                <w:sz w:val="21"/>
                <w:szCs w:val="21"/>
                <w14:textFill>
                  <w14:solidFill>
                    <w14:schemeClr w14:val="tx1"/>
                  </w14:solidFill>
                </w14:textFill>
              </w:rPr>
              <w:t>种类</w:t>
            </w:r>
          </w:p>
        </w:tc>
        <w:tc>
          <w:tcPr>
            <w:tcW w:w="1185" w:type="pct"/>
            <w:vAlign w:val="center"/>
          </w:tcPr>
          <w:p w14:paraId="26055713">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监测点位</w:t>
            </w:r>
          </w:p>
        </w:tc>
        <w:tc>
          <w:tcPr>
            <w:tcW w:w="2162" w:type="pct"/>
            <w:vAlign w:val="center"/>
          </w:tcPr>
          <w:p w14:paraId="612DD20F">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监测指标</w:t>
            </w:r>
          </w:p>
        </w:tc>
        <w:tc>
          <w:tcPr>
            <w:tcW w:w="947" w:type="pct"/>
            <w:vAlign w:val="center"/>
          </w:tcPr>
          <w:p w14:paraId="2DC3B2FE">
            <w:pPr>
              <w:spacing w:line="264" w:lineRule="auto"/>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监测频次</w:t>
            </w:r>
          </w:p>
        </w:tc>
      </w:tr>
      <w:tr w14:paraId="16386EB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04" w:type="pct"/>
            <w:vMerge w:val="restart"/>
            <w:vAlign w:val="center"/>
          </w:tcPr>
          <w:p w14:paraId="79536D91">
            <w:pPr>
              <w:spacing w:line="264"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生活污水、生产废水</w:t>
            </w:r>
          </w:p>
        </w:tc>
        <w:tc>
          <w:tcPr>
            <w:tcW w:w="1185" w:type="pct"/>
            <w:vMerge w:val="restart"/>
            <w:vAlign w:val="center"/>
          </w:tcPr>
          <w:p w14:paraId="29023B30">
            <w:pPr>
              <w:spacing w:line="264"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厂区污水总排口</w:t>
            </w:r>
          </w:p>
        </w:tc>
        <w:tc>
          <w:tcPr>
            <w:tcW w:w="2162" w:type="pct"/>
            <w:shd w:val="clear" w:color="auto" w:fill="auto"/>
            <w:vAlign w:val="center"/>
          </w:tcPr>
          <w:p w14:paraId="7D6C3B51">
            <w:pPr>
              <w:widowControl/>
              <w:spacing w:line="264"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pH</w:t>
            </w:r>
          </w:p>
        </w:tc>
        <w:tc>
          <w:tcPr>
            <w:tcW w:w="947" w:type="pct"/>
            <w:shd w:val="clear" w:color="auto" w:fill="auto"/>
            <w:vAlign w:val="center"/>
          </w:tcPr>
          <w:p w14:paraId="048236EA">
            <w:pPr>
              <w:spacing w:line="264" w:lineRule="auto"/>
              <w:jc w:val="center"/>
              <w:rPr>
                <w:rFonts w:hint="default" w:ascii="Times New Roman" w:hAnsi="Times New Roman" w:eastAsia="宋体" w:cs="Times New Roman"/>
                <w:color w:val="000000" w:themeColor="text1"/>
                <w:spacing w:val="-2"/>
                <w:sz w:val="21"/>
                <w:szCs w:val="21"/>
                <w:lang w:val="en-US" w:eastAsia="zh-CN" w:bidi="ar-SA"/>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1次/</w:t>
            </w:r>
            <w:r>
              <w:rPr>
                <w:rFonts w:hint="default" w:ascii="Times New Roman" w:hAnsi="Times New Roman" w:cs="Times New Roman"/>
                <w:snapToGrid w:val="0"/>
                <w:color w:val="000000" w:themeColor="text1"/>
                <w:sz w:val="21"/>
                <w:szCs w:val="21"/>
                <w:lang w:eastAsia="zh-CN"/>
                <w14:textFill>
                  <w14:solidFill>
                    <w14:schemeClr w14:val="tx1"/>
                  </w14:solidFill>
                </w14:textFill>
              </w:rPr>
              <w:t>半</w:t>
            </w:r>
            <w:r>
              <w:rPr>
                <w:rFonts w:hint="default" w:ascii="Times New Roman" w:hAnsi="Times New Roman" w:cs="Times New Roman"/>
                <w:snapToGrid w:val="0"/>
                <w:color w:val="000000" w:themeColor="text1"/>
                <w:sz w:val="21"/>
                <w:szCs w:val="21"/>
                <w14:textFill>
                  <w14:solidFill>
                    <w14:schemeClr w14:val="tx1"/>
                  </w14:solidFill>
                </w14:textFill>
              </w:rPr>
              <w:t>年</w:t>
            </w:r>
          </w:p>
        </w:tc>
      </w:tr>
      <w:tr w14:paraId="4D007CB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04" w:type="pct"/>
            <w:vMerge w:val="continue"/>
            <w:vAlign w:val="center"/>
          </w:tcPr>
          <w:p w14:paraId="7A2DF100">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185" w:type="pct"/>
            <w:vMerge w:val="continue"/>
            <w:vAlign w:val="center"/>
          </w:tcPr>
          <w:p w14:paraId="182294FD">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62" w:type="pct"/>
            <w:tcBorders>
              <w:top w:val="single" w:color="auto" w:sz="4" w:space="0"/>
              <w:bottom w:val="single" w:color="auto" w:sz="4" w:space="0"/>
            </w:tcBorders>
            <w:vAlign w:val="center"/>
          </w:tcPr>
          <w:p w14:paraId="35DB71AE">
            <w:pPr>
              <w:pStyle w:val="1114"/>
              <w:adjustRightInd/>
              <w:spacing w:before="0" w:after="0" w:line="274"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COD</w:t>
            </w:r>
          </w:p>
        </w:tc>
        <w:tc>
          <w:tcPr>
            <w:tcW w:w="947" w:type="pct"/>
            <w:vAlign w:val="center"/>
          </w:tcPr>
          <w:p w14:paraId="2F2E0F18">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1次/</w:t>
            </w:r>
            <w:r>
              <w:rPr>
                <w:rFonts w:hint="default" w:ascii="Times New Roman" w:hAnsi="Times New Roman" w:cs="Times New Roman"/>
                <w:snapToGrid w:val="0"/>
                <w:color w:val="000000" w:themeColor="text1"/>
                <w:sz w:val="21"/>
                <w:szCs w:val="21"/>
                <w:lang w:eastAsia="zh-CN"/>
                <w14:textFill>
                  <w14:solidFill>
                    <w14:schemeClr w14:val="tx1"/>
                  </w14:solidFill>
                </w14:textFill>
              </w:rPr>
              <w:t>半</w:t>
            </w:r>
            <w:r>
              <w:rPr>
                <w:rFonts w:hint="default" w:ascii="Times New Roman" w:hAnsi="Times New Roman" w:cs="Times New Roman"/>
                <w:snapToGrid w:val="0"/>
                <w:color w:val="000000" w:themeColor="text1"/>
                <w:sz w:val="21"/>
                <w:szCs w:val="21"/>
                <w14:textFill>
                  <w14:solidFill>
                    <w14:schemeClr w14:val="tx1"/>
                  </w14:solidFill>
                </w14:textFill>
              </w:rPr>
              <w:t>年</w:t>
            </w:r>
          </w:p>
        </w:tc>
      </w:tr>
      <w:tr w14:paraId="74C4913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04" w:type="pct"/>
            <w:vMerge w:val="continue"/>
            <w:vAlign w:val="center"/>
          </w:tcPr>
          <w:p w14:paraId="2FD30310">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185" w:type="pct"/>
            <w:vMerge w:val="continue"/>
            <w:vAlign w:val="center"/>
          </w:tcPr>
          <w:p w14:paraId="50521A96">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62" w:type="pct"/>
            <w:tcBorders>
              <w:top w:val="single" w:color="auto" w:sz="4" w:space="0"/>
            </w:tcBorders>
            <w:vAlign w:val="center"/>
          </w:tcPr>
          <w:p w14:paraId="3CCF04D0">
            <w:pPr>
              <w:pStyle w:val="1114"/>
              <w:adjustRightInd/>
              <w:spacing w:before="0" w:after="0" w:line="264"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BOD</w:t>
            </w:r>
            <w:r>
              <w:rPr>
                <w:rFonts w:hint="default" w:ascii="Times New Roman" w:hAnsi="Times New Roman" w:eastAsia="宋体" w:cs="Times New Roman"/>
                <w:color w:val="000000" w:themeColor="text1"/>
                <w:sz w:val="21"/>
                <w:szCs w:val="21"/>
                <w:vertAlign w:val="subscript"/>
                <w:lang w:val="en-US" w:eastAsia="zh-CN"/>
                <w14:textFill>
                  <w14:solidFill>
                    <w14:schemeClr w14:val="tx1"/>
                  </w14:solidFill>
                </w14:textFill>
              </w:rPr>
              <w:t>5</w:t>
            </w:r>
          </w:p>
        </w:tc>
        <w:tc>
          <w:tcPr>
            <w:tcW w:w="947" w:type="pct"/>
            <w:vAlign w:val="center"/>
          </w:tcPr>
          <w:p w14:paraId="4090A535">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1次/</w:t>
            </w:r>
            <w:r>
              <w:rPr>
                <w:rFonts w:hint="default" w:ascii="Times New Roman" w:hAnsi="Times New Roman" w:cs="Times New Roman"/>
                <w:snapToGrid w:val="0"/>
                <w:color w:val="000000" w:themeColor="text1"/>
                <w:sz w:val="21"/>
                <w:szCs w:val="21"/>
                <w:lang w:eastAsia="zh-CN"/>
                <w14:textFill>
                  <w14:solidFill>
                    <w14:schemeClr w14:val="tx1"/>
                  </w14:solidFill>
                </w14:textFill>
              </w:rPr>
              <w:t>半</w:t>
            </w:r>
            <w:r>
              <w:rPr>
                <w:rFonts w:hint="default" w:ascii="Times New Roman" w:hAnsi="Times New Roman" w:cs="Times New Roman"/>
                <w:snapToGrid w:val="0"/>
                <w:color w:val="000000" w:themeColor="text1"/>
                <w:sz w:val="21"/>
                <w:szCs w:val="21"/>
                <w14:textFill>
                  <w14:solidFill>
                    <w14:schemeClr w14:val="tx1"/>
                  </w14:solidFill>
                </w14:textFill>
              </w:rPr>
              <w:t>年</w:t>
            </w:r>
          </w:p>
        </w:tc>
      </w:tr>
      <w:tr w14:paraId="1571AFD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04" w:type="pct"/>
            <w:vMerge w:val="continue"/>
            <w:vAlign w:val="center"/>
          </w:tcPr>
          <w:p w14:paraId="26FB43C6">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185" w:type="pct"/>
            <w:vMerge w:val="continue"/>
            <w:vAlign w:val="center"/>
          </w:tcPr>
          <w:p w14:paraId="2E11AB1E">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62" w:type="pct"/>
            <w:vAlign w:val="center"/>
          </w:tcPr>
          <w:p w14:paraId="491064BF">
            <w:pPr>
              <w:pStyle w:val="251"/>
              <w:spacing w:line="264" w:lineRule="auto"/>
              <w:ind w:firstLine="0" w:firstLineChars="0"/>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SS</w:t>
            </w:r>
          </w:p>
        </w:tc>
        <w:tc>
          <w:tcPr>
            <w:tcW w:w="947" w:type="pct"/>
            <w:vAlign w:val="center"/>
          </w:tcPr>
          <w:p w14:paraId="7805E135">
            <w:pPr>
              <w:spacing w:line="264"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1次/</w:t>
            </w:r>
            <w:r>
              <w:rPr>
                <w:rFonts w:hint="default" w:ascii="Times New Roman" w:hAnsi="Times New Roman" w:cs="Times New Roman"/>
                <w:snapToGrid w:val="0"/>
                <w:color w:val="000000" w:themeColor="text1"/>
                <w:sz w:val="21"/>
                <w:szCs w:val="21"/>
                <w:lang w:eastAsia="zh-CN"/>
                <w14:textFill>
                  <w14:solidFill>
                    <w14:schemeClr w14:val="tx1"/>
                  </w14:solidFill>
                </w14:textFill>
              </w:rPr>
              <w:t>半</w:t>
            </w:r>
            <w:r>
              <w:rPr>
                <w:rFonts w:hint="default" w:ascii="Times New Roman" w:hAnsi="Times New Roman" w:cs="Times New Roman"/>
                <w:snapToGrid w:val="0"/>
                <w:color w:val="000000" w:themeColor="text1"/>
                <w:sz w:val="21"/>
                <w:szCs w:val="21"/>
                <w14:textFill>
                  <w14:solidFill>
                    <w14:schemeClr w14:val="tx1"/>
                  </w14:solidFill>
                </w14:textFill>
              </w:rPr>
              <w:t>年</w:t>
            </w:r>
          </w:p>
        </w:tc>
      </w:tr>
      <w:tr w14:paraId="1069791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04" w:type="pct"/>
            <w:vMerge w:val="continue"/>
            <w:vAlign w:val="center"/>
          </w:tcPr>
          <w:p w14:paraId="25256710">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185" w:type="pct"/>
            <w:vMerge w:val="continue"/>
            <w:vAlign w:val="center"/>
          </w:tcPr>
          <w:p w14:paraId="35C935B3">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62" w:type="pct"/>
            <w:vAlign w:val="center"/>
          </w:tcPr>
          <w:p w14:paraId="181420B8">
            <w:pPr>
              <w:pStyle w:val="251"/>
              <w:spacing w:line="264" w:lineRule="auto"/>
              <w:ind w:firstLine="0" w:firstLineChars="0"/>
              <w:jc w:val="center"/>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氨氮</w:t>
            </w:r>
          </w:p>
        </w:tc>
        <w:tc>
          <w:tcPr>
            <w:tcW w:w="947" w:type="pct"/>
            <w:vAlign w:val="center"/>
          </w:tcPr>
          <w:p w14:paraId="76BCB5A7">
            <w:pPr>
              <w:spacing w:line="264" w:lineRule="auto"/>
              <w:jc w:val="center"/>
              <w:rPr>
                <w:rFonts w:hint="default" w:ascii="Times New Roman" w:hAnsi="Times New Roman" w:cs="Times New Roman"/>
                <w:snapToGrid w:val="0"/>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1次/</w:t>
            </w:r>
            <w:r>
              <w:rPr>
                <w:rFonts w:hint="default" w:ascii="Times New Roman" w:hAnsi="Times New Roman" w:cs="Times New Roman"/>
                <w:snapToGrid w:val="0"/>
                <w:color w:val="000000" w:themeColor="text1"/>
                <w:sz w:val="21"/>
                <w:szCs w:val="21"/>
                <w:lang w:eastAsia="zh-CN"/>
                <w14:textFill>
                  <w14:solidFill>
                    <w14:schemeClr w14:val="tx1"/>
                  </w14:solidFill>
                </w14:textFill>
              </w:rPr>
              <w:t>半</w:t>
            </w:r>
            <w:r>
              <w:rPr>
                <w:rFonts w:hint="default" w:ascii="Times New Roman" w:hAnsi="Times New Roman" w:cs="Times New Roman"/>
                <w:snapToGrid w:val="0"/>
                <w:color w:val="000000" w:themeColor="text1"/>
                <w:sz w:val="21"/>
                <w:szCs w:val="21"/>
                <w14:textFill>
                  <w14:solidFill>
                    <w14:schemeClr w14:val="tx1"/>
                  </w14:solidFill>
                </w14:textFill>
              </w:rPr>
              <w:t>年</w:t>
            </w:r>
          </w:p>
        </w:tc>
      </w:tr>
      <w:tr w14:paraId="6A8619A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704" w:type="pct"/>
            <w:vMerge w:val="continue"/>
            <w:vAlign w:val="center"/>
          </w:tcPr>
          <w:p w14:paraId="7C2B0D06">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1185" w:type="pct"/>
            <w:vMerge w:val="continue"/>
            <w:vAlign w:val="center"/>
          </w:tcPr>
          <w:p w14:paraId="65CE0497">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162" w:type="pct"/>
            <w:vAlign w:val="center"/>
          </w:tcPr>
          <w:p w14:paraId="2A641892">
            <w:pPr>
              <w:pStyle w:val="251"/>
              <w:spacing w:line="264" w:lineRule="auto"/>
              <w:ind w:firstLine="0" w:firstLineChars="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总磷</w:t>
            </w:r>
          </w:p>
        </w:tc>
        <w:tc>
          <w:tcPr>
            <w:tcW w:w="947" w:type="pct"/>
            <w:vAlign w:val="center"/>
          </w:tcPr>
          <w:p w14:paraId="727634EA">
            <w:pPr>
              <w:spacing w:line="264"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sz w:val="21"/>
                <w:szCs w:val="21"/>
                <w14:textFill>
                  <w14:solidFill>
                    <w14:schemeClr w14:val="tx1"/>
                  </w14:solidFill>
                </w14:textFill>
              </w:rPr>
              <w:t>1次/</w:t>
            </w:r>
            <w:r>
              <w:rPr>
                <w:rFonts w:hint="default" w:ascii="Times New Roman" w:hAnsi="Times New Roman" w:cs="Times New Roman"/>
                <w:snapToGrid w:val="0"/>
                <w:color w:val="000000" w:themeColor="text1"/>
                <w:sz w:val="21"/>
                <w:szCs w:val="21"/>
                <w:lang w:eastAsia="zh-CN"/>
                <w14:textFill>
                  <w14:solidFill>
                    <w14:schemeClr w14:val="tx1"/>
                  </w14:solidFill>
                </w14:textFill>
              </w:rPr>
              <w:t>半</w:t>
            </w:r>
            <w:r>
              <w:rPr>
                <w:rFonts w:hint="default" w:ascii="Times New Roman" w:hAnsi="Times New Roman" w:cs="Times New Roman"/>
                <w:snapToGrid w:val="0"/>
                <w:color w:val="000000" w:themeColor="text1"/>
                <w:sz w:val="21"/>
                <w:szCs w:val="21"/>
                <w14:textFill>
                  <w14:solidFill>
                    <w14:schemeClr w14:val="tx1"/>
                  </w14:solidFill>
                </w14:textFill>
              </w:rPr>
              <w:t>年</w:t>
            </w:r>
          </w:p>
        </w:tc>
      </w:tr>
    </w:tbl>
    <w:p w14:paraId="317AE00A">
      <w:pPr>
        <w:spacing w:line="360" w:lineRule="auto"/>
        <w:ind w:firstLine="482" w:firstLineChars="200"/>
        <w:rPr>
          <w:rFonts w:hint="default" w:ascii="Times New Roman" w:hAnsi="Times New Roman" w:cs="Times New Roman"/>
          <w:b/>
          <w:color w:val="000000" w:themeColor="text1"/>
          <w:spacing w:val="0"/>
          <w:sz w:val="24"/>
          <w14:textFill>
            <w14:solidFill>
              <w14:schemeClr w14:val="tx1"/>
            </w14:solidFill>
          </w14:textFill>
        </w:rPr>
      </w:pPr>
      <w:r>
        <w:rPr>
          <w:rFonts w:hint="eastAsia" w:cs="Times New Roman"/>
          <w:b/>
          <w:color w:val="000000" w:themeColor="text1"/>
          <w:spacing w:val="0"/>
          <w:sz w:val="24"/>
          <w:lang w:val="en-US" w:eastAsia="zh-CN"/>
          <w14:textFill>
            <w14:solidFill>
              <w14:schemeClr w14:val="tx1"/>
            </w14:solidFill>
          </w14:textFill>
        </w:rPr>
        <w:t>3</w:t>
      </w:r>
      <w:r>
        <w:rPr>
          <w:rFonts w:hint="default" w:ascii="Times New Roman" w:hAnsi="Times New Roman" w:cs="Times New Roman"/>
          <w:b/>
          <w:color w:val="000000" w:themeColor="text1"/>
          <w:spacing w:val="0"/>
          <w:sz w:val="24"/>
          <w14:textFill>
            <w14:solidFill>
              <w14:schemeClr w14:val="tx1"/>
            </w14:solidFill>
          </w14:textFill>
        </w:rPr>
        <w:t>、厂界噪声监测</w:t>
      </w:r>
      <w:bookmarkEnd w:id="430"/>
      <w:bookmarkEnd w:id="431"/>
    </w:p>
    <w:p w14:paraId="42DCF232">
      <w:pPr>
        <w:adjustRightInd w:val="0"/>
        <w:spacing w:line="360" w:lineRule="auto"/>
        <w:ind w:firstLine="480" w:firstLineChars="200"/>
        <w:rPr>
          <w:rFonts w:hint="default" w:ascii="Times New Roman" w:hAnsi="Times New Roman" w:cs="Times New Roman"/>
          <w:color w:val="000000" w:themeColor="text1"/>
          <w:spacing w:val="0"/>
          <w:sz w:val="24"/>
          <w:szCs w:val="24"/>
          <w14:textFill>
            <w14:solidFill>
              <w14:schemeClr w14:val="tx1"/>
            </w14:solidFill>
          </w14:textFill>
        </w:rPr>
      </w:pPr>
      <w:r>
        <w:rPr>
          <w:rFonts w:hint="default" w:ascii="Times New Roman" w:hAnsi="Times New Roman" w:cs="Times New Roman"/>
          <w:color w:val="000000" w:themeColor="text1"/>
          <w:spacing w:val="0"/>
          <w:sz w:val="24"/>
          <w14:textFill>
            <w14:solidFill>
              <w14:schemeClr w14:val="tx1"/>
            </w14:solidFill>
          </w14:textFill>
        </w:rPr>
        <w:t>根据《排污单位自行监测技术指南总则》（HJ819-2017），</w:t>
      </w:r>
      <w:r>
        <w:rPr>
          <w:rFonts w:hint="default" w:ascii="Times New Roman" w:hAnsi="Times New Roman" w:cs="Times New Roman"/>
          <w:color w:val="000000" w:themeColor="text1"/>
          <w:spacing w:val="0"/>
          <w:sz w:val="24"/>
          <w:szCs w:val="24"/>
          <w14:textFill>
            <w14:solidFill>
              <w14:schemeClr w14:val="tx1"/>
            </w14:solidFill>
          </w14:textFill>
        </w:rPr>
        <w:t>项目厂界噪声每季度监测一次，布置四个厂界噪声监测点位，每次分昼间、夜间分别监测，按《工业企业厂界环境噪声排放标准》（GB12348-2008）的规定进行监测。</w:t>
      </w:r>
    </w:p>
    <w:p w14:paraId="56E57BED">
      <w:pPr>
        <w:wordWrap w:val="0"/>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default" w:ascii="Times New Roman" w:hAnsi="Times New Roman" w:eastAsia="黑体" w:cs="Times New Roman"/>
          <w:bCs/>
          <w:color w:val="000000" w:themeColor="text1"/>
          <w:sz w:val="24"/>
          <w:lang w:val="en-US" w:eastAsia="zh-CN"/>
          <w14:textFill>
            <w14:solidFill>
              <w14:schemeClr w14:val="tx1"/>
            </w14:solidFill>
          </w14:textFill>
        </w:rPr>
        <w:t>8</w:t>
      </w:r>
      <w:r>
        <w:rPr>
          <w:rFonts w:hint="default" w:ascii="Times New Roman" w:hAnsi="Times New Roman" w:eastAsia="黑体" w:cs="Times New Roman"/>
          <w:bCs/>
          <w:color w:val="000000" w:themeColor="text1"/>
          <w:sz w:val="24"/>
          <w14:textFill>
            <w14:solidFill>
              <w14:schemeClr w14:val="tx1"/>
            </w14:solidFill>
          </w14:textFill>
        </w:rPr>
        <w:t>.3-</w:t>
      </w:r>
      <w:r>
        <w:rPr>
          <w:rFonts w:hint="default" w:ascii="Times New Roman" w:hAnsi="Times New Roman" w:eastAsia="黑体" w:cs="Times New Roman"/>
          <w:bCs/>
          <w:color w:val="000000" w:themeColor="text1"/>
          <w:sz w:val="24"/>
          <w:lang w:val="en-US" w:eastAsia="zh-CN"/>
          <w14:textFill>
            <w14:solidFill>
              <w14:schemeClr w14:val="tx1"/>
            </w14:solidFill>
          </w14:textFill>
        </w:rPr>
        <w:t xml:space="preserve">3  </w:t>
      </w:r>
      <w:r>
        <w:rPr>
          <w:rFonts w:hint="default" w:ascii="Times New Roman" w:hAnsi="Times New Roman" w:eastAsia="黑体" w:cs="Times New Roman"/>
          <w:bCs/>
          <w:color w:val="000000" w:themeColor="text1"/>
          <w:sz w:val="24"/>
          <w14:textFill>
            <w14:solidFill>
              <w14:schemeClr w14:val="tx1"/>
            </w14:solidFill>
          </w14:textFill>
        </w:rPr>
        <w:t>项目废气污染源监测计划汇总一览表</w:t>
      </w:r>
    </w:p>
    <w:tbl>
      <w:tblPr>
        <w:tblStyle w:val="88"/>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35"/>
        <w:gridCol w:w="1411"/>
        <w:gridCol w:w="1716"/>
        <w:gridCol w:w="1293"/>
        <w:gridCol w:w="1201"/>
        <w:gridCol w:w="2473"/>
      </w:tblGrid>
      <w:tr w14:paraId="594D70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5" w:type="pct"/>
            <w:shd w:val="clear" w:color="auto" w:fill="auto"/>
            <w:vAlign w:val="center"/>
          </w:tcPr>
          <w:p w14:paraId="38283375">
            <w:pPr>
              <w:widowControl/>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序号</w:t>
            </w:r>
          </w:p>
        </w:tc>
        <w:tc>
          <w:tcPr>
            <w:tcW w:w="827" w:type="pct"/>
            <w:shd w:val="clear" w:color="auto" w:fill="auto"/>
            <w:vAlign w:val="center"/>
          </w:tcPr>
          <w:p w14:paraId="153BE8E1">
            <w:pPr>
              <w:widowControl/>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监测位置</w:t>
            </w:r>
          </w:p>
        </w:tc>
        <w:tc>
          <w:tcPr>
            <w:tcW w:w="1005" w:type="pct"/>
            <w:shd w:val="clear" w:color="auto" w:fill="auto"/>
            <w:vAlign w:val="center"/>
          </w:tcPr>
          <w:p w14:paraId="43BA5C42">
            <w:pPr>
              <w:widowControl/>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监测项目</w:t>
            </w:r>
          </w:p>
        </w:tc>
        <w:tc>
          <w:tcPr>
            <w:tcW w:w="758" w:type="pct"/>
            <w:shd w:val="clear" w:color="auto" w:fill="auto"/>
            <w:vAlign w:val="center"/>
          </w:tcPr>
          <w:p w14:paraId="4EF3DA84">
            <w:pPr>
              <w:widowControl/>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监测点位</w:t>
            </w:r>
          </w:p>
        </w:tc>
        <w:tc>
          <w:tcPr>
            <w:tcW w:w="704" w:type="pct"/>
            <w:shd w:val="clear" w:color="auto" w:fill="auto"/>
            <w:vAlign w:val="center"/>
          </w:tcPr>
          <w:p w14:paraId="5B4D7052">
            <w:pPr>
              <w:widowControl/>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监测时间及频率</w:t>
            </w:r>
          </w:p>
        </w:tc>
        <w:tc>
          <w:tcPr>
            <w:tcW w:w="1449" w:type="pct"/>
            <w:shd w:val="clear" w:color="auto" w:fill="auto"/>
            <w:vAlign w:val="center"/>
          </w:tcPr>
          <w:p w14:paraId="1D0B454C">
            <w:pPr>
              <w:widowControl/>
              <w:jc w:val="center"/>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执行标准</w:t>
            </w:r>
          </w:p>
        </w:tc>
      </w:tr>
      <w:tr w14:paraId="565E7B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5" w:type="pct"/>
            <w:vMerge w:val="restart"/>
            <w:shd w:val="clear" w:color="auto" w:fill="auto"/>
            <w:vAlign w:val="center"/>
          </w:tcPr>
          <w:p w14:paraId="0DEB188F">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废气</w:t>
            </w:r>
          </w:p>
        </w:tc>
        <w:tc>
          <w:tcPr>
            <w:tcW w:w="827" w:type="pct"/>
            <w:shd w:val="clear" w:color="auto" w:fill="auto"/>
            <w:vAlign w:val="center"/>
          </w:tcPr>
          <w:p w14:paraId="1CF8CDBC">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DA001号排气筒</w:t>
            </w:r>
          </w:p>
        </w:tc>
        <w:tc>
          <w:tcPr>
            <w:tcW w:w="1005" w:type="pct"/>
            <w:shd w:val="clear" w:color="auto" w:fill="auto"/>
            <w:vAlign w:val="center"/>
          </w:tcPr>
          <w:p w14:paraId="192F9BEB">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758" w:type="pct"/>
            <w:shd w:val="clear" w:color="auto" w:fill="auto"/>
            <w:vAlign w:val="center"/>
          </w:tcPr>
          <w:p w14:paraId="29F48021">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排气筒出口</w:t>
            </w:r>
          </w:p>
        </w:tc>
        <w:tc>
          <w:tcPr>
            <w:tcW w:w="704" w:type="pct"/>
            <w:shd w:val="clear" w:color="auto" w:fill="auto"/>
            <w:vAlign w:val="center"/>
          </w:tcPr>
          <w:p w14:paraId="3E4EE33D">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1次/</w:t>
            </w:r>
            <w:r>
              <w:rPr>
                <w:rFonts w:hint="default" w:ascii="Times New Roman" w:hAnsi="Times New Roman" w:cs="Times New Roman"/>
                <w:color w:val="000000" w:themeColor="text1"/>
                <w:sz w:val="21"/>
                <w:szCs w:val="21"/>
                <w:lang w:eastAsia="zh-CN"/>
                <w14:textFill>
                  <w14:solidFill>
                    <w14:schemeClr w14:val="tx1"/>
                  </w14:solidFill>
                </w14:textFill>
              </w:rPr>
              <w:t>半</w:t>
            </w:r>
            <w:r>
              <w:rPr>
                <w:rFonts w:hint="default" w:ascii="Times New Roman" w:hAnsi="Times New Roman" w:cs="Times New Roman"/>
                <w:color w:val="000000" w:themeColor="text1"/>
                <w:sz w:val="21"/>
                <w:szCs w:val="21"/>
                <w14:textFill>
                  <w14:solidFill>
                    <w14:schemeClr w14:val="tx1"/>
                  </w14:solidFill>
                </w14:textFill>
              </w:rPr>
              <w:t>年</w:t>
            </w:r>
          </w:p>
        </w:tc>
        <w:tc>
          <w:tcPr>
            <w:tcW w:w="1449" w:type="pct"/>
            <w:shd w:val="clear" w:color="auto" w:fill="auto"/>
            <w:vAlign w:val="center"/>
          </w:tcPr>
          <w:p w14:paraId="2F8F0595">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Cs/>
                <w:snapToGrid w:val="0"/>
                <w:color w:val="000000" w:themeColor="text1"/>
                <w:spacing w:val="0"/>
                <w:sz w:val="21"/>
                <w:szCs w:val="21"/>
                <w14:textFill>
                  <w14:solidFill>
                    <w14:schemeClr w14:val="tx1"/>
                  </w14:solidFill>
                </w14:textFill>
              </w:rPr>
              <w:t>《固定源挥发性有机物综合排放标准 第6部分其他行业》（DB34 4812.6-2024）</w:t>
            </w:r>
            <w:r>
              <w:rPr>
                <w:rFonts w:hint="default" w:ascii="Times New Roman" w:hAnsi="Times New Roman" w:cs="Times New Roman"/>
                <w:color w:val="000000" w:themeColor="text1"/>
                <w:sz w:val="21"/>
                <w:szCs w:val="21"/>
                <w14:textFill>
                  <w14:solidFill>
                    <w14:schemeClr w14:val="tx1"/>
                  </w14:solidFill>
                </w14:textFill>
              </w:rPr>
              <w:t>中限值要求</w:t>
            </w:r>
          </w:p>
        </w:tc>
      </w:tr>
      <w:tr w14:paraId="54F83D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5" w:type="pct"/>
            <w:vMerge w:val="continue"/>
            <w:shd w:val="clear" w:color="auto" w:fill="auto"/>
            <w:vAlign w:val="center"/>
          </w:tcPr>
          <w:p w14:paraId="59755361">
            <w:pPr>
              <w:widowControl/>
              <w:ind w:firstLine="181"/>
              <w:jc w:val="center"/>
              <w:rPr>
                <w:rFonts w:hint="default" w:ascii="Times New Roman" w:hAnsi="Times New Roman" w:cs="Times New Roman"/>
                <w:color w:val="000000" w:themeColor="text1"/>
                <w:sz w:val="21"/>
                <w:szCs w:val="21"/>
                <w14:textFill>
                  <w14:solidFill>
                    <w14:schemeClr w14:val="tx1"/>
                  </w14:solidFill>
                </w14:textFill>
              </w:rPr>
            </w:pPr>
          </w:p>
        </w:tc>
        <w:tc>
          <w:tcPr>
            <w:tcW w:w="827" w:type="pct"/>
            <w:shd w:val="clear" w:color="auto" w:fill="auto"/>
            <w:vAlign w:val="center"/>
          </w:tcPr>
          <w:p w14:paraId="6EDEF412">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DA002号排气筒</w:t>
            </w:r>
          </w:p>
        </w:tc>
        <w:tc>
          <w:tcPr>
            <w:tcW w:w="1005" w:type="pct"/>
            <w:shd w:val="clear" w:color="auto" w:fill="auto"/>
            <w:vAlign w:val="center"/>
          </w:tcPr>
          <w:p w14:paraId="5D3BEA3C">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颗粒物</w:t>
            </w:r>
          </w:p>
        </w:tc>
        <w:tc>
          <w:tcPr>
            <w:tcW w:w="758" w:type="pct"/>
            <w:shd w:val="clear" w:color="auto" w:fill="auto"/>
            <w:vAlign w:val="center"/>
          </w:tcPr>
          <w:p w14:paraId="1EF36B74">
            <w:pPr>
              <w:widowControl/>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排气筒出口</w:t>
            </w:r>
          </w:p>
        </w:tc>
        <w:tc>
          <w:tcPr>
            <w:tcW w:w="704" w:type="pct"/>
            <w:shd w:val="clear" w:color="auto" w:fill="auto"/>
            <w:vAlign w:val="center"/>
          </w:tcPr>
          <w:p w14:paraId="4EF67A1D">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1次/年</w:t>
            </w:r>
          </w:p>
        </w:tc>
        <w:tc>
          <w:tcPr>
            <w:tcW w:w="1449" w:type="pct"/>
            <w:shd w:val="clear" w:color="auto" w:fill="auto"/>
            <w:vAlign w:val="center"/>
          </w:tcPr>
          <w:p w14:paraId="41FBF96A">
            <w:pPr>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《合成树脂工业污染物排放标准》（GB31572-2015）</w:t>
            </w:r>
            <w:r>
              <w:rPr>
                <w:rFonts w:hint="default" w:ascii="Times New Roman" w:hAnsi="Times New Roman" w:cs="Times New Roman"/>
                <w:color w:val="000000" w:themeColor="text1"/>
                <w:sz w:val="21"/>
                <w:szCs w:val="21"/>
                <w14:textFill>
                  <w14:solidFill>
                    <w14:schemeClr w14:val="tx1"/>
                  </w14:solidFill>
                </w14:textFill>
              </w:rPr>
              <w:t>中限值要求</w:t>
            </w:r>
          </w:p>
        </w:tc>
      </w:tr>
      <w:tr w14:paraId="0D135D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7" w:hRule="atLeast"/>
        </w:trPr>
        <w:tc>
          <w:tcPr>
            <w:tcW w:w="255" w:type="pct"/>
            <w:vMerge w:val="continue"/>
            <w:vAlign w:val="center"/>
          </w:tcPr>
          <w:p w14:paraId="6948DFA2">
            <w:pPr>
              <w:widowControl/>
              <w:ind w:firstLine="181"/>
              <w:jc w:val="left"/>
              <w:rPr>
                <w:rFonts w:hint="default" w:ascii="Times New Roman" w:hAnsi="Times New Roman" w:cs="Times New Roman"/>
                <w:color w:val="000000" w:themeColor="text1"/>
                <w:sz w:val="21"/>
                <w:szCs w:val="21"/>
                <w14:textFill>
                  <w14:solidFill>
                    <w14:schemeClr w14:val="tx1"/>
                  </w14:solidFill>
                </w14:textFill>
              </w:rPr>
            </w:pPr>
          </w:p>
        </w:tc>
        <w:tc>
          <w:tcPr>
            <w:tcW w:w="827" w:type="pct"/>
            <w:vMerge w:val="restart"/>
            <w:shd w:val="clear" w:color="auto" w:fill="auto"/>
            <w:vAlign w:val="center"/>
          </w:tcPr>
          <w:p w14:paraId="0439B221">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DA003号排气筒</w:t>
            </w:r>
          </w:p>
        </w:tc>
        <w:tc>
          <w:tcPr>
            <w:tcW w:w="1005" w:type="pct"/>
            <w:shd w:val="clear" w:color="auto" w:fill="auto"/>
            <w:vAlign w:val="center"/>
          </w:tcPr>
          <w:p w14:paraId="13226B4A">
            <w:pPr>
              <w:widowControl/>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硫化氢</w:t>
            </w:r>
          </w:p>
        </w:tc>
        <w:tc>
          <w:tcPr>
            <w:tcW w:w="758" w:type="pct"/>
            <w:vMerge w:val="restart"/>
            <w:vAlign w:val="center"/>
          </w:tcPr>
          <w:p w14:paraId="1582ABB9">
            <w:pPr>
              <w:widowControl/>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排气筒出口</w:t>
            </w:r>
          </w:p>
        </w:tc>
        <w:tc>
          <w:tcPr>
            <w:tcW w:w="704" w:type="pct"/>
            <w:vMerge w:val="restart"/>
            <w:shd w:val="clear" w:color="auto" w:fill="auto"/>
            <w:noWrap/>
            <w:vAlign w:val="center"/>
          </w:tcPr>
          <w:p w14:paraId="1196490B">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1次/年</w:t>
            </w:r>
          </w:p>
        </w:tc>
        <w:tc>
          <w:tcPr>
            <w:tcW w:w="1449" w:type="pct"/>
            <w:vMerge w:val="restart"/>
            <w:shd w:val="clear" w:color="auto" w:fill="auto"/>
            <w:vAlign w:val="center"/>
          </w:tcPr>
          <w:p w14:paraId="59812281">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《恶臭污染物排放标准》（GB14554-93）表2中标准限值</w:t>
            </w:r>
          </w:p>
        </w:tc>
      </w:tr>
      <w:tr w14:paraId="166FEA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5" w:type="pct"/>
            <w:vMerge w:val="continue"/>
            <w:vAlign w:val="center"/>
          </w:tcPr>
          <w:p w14:paraId="42E200F1">
            <w:pPr>
              <w:widowControl/>
              <w:ind w:firstLine="181"/>
              <w:jc w:val="left"/>
              <w:rPr>
                <w:rFonts w:hint="default" w:ascii="Times New Roman" w:hAnsi="Times New Roman" w:cs="Times New Roman"/>
                <w:color w:val="000000" w:themeColor="text1"/>
                <w:sz w:val="21"/>
                <w:szCs w:val="21"/>
                <w14:textFill>
                  <w14:solidFill>
                    <w14:schemeClr w14:val="tx1"/>
                  </w14:solidFill>
                </w14:textFill>
              </w:rPr>
            </w:pPr>
          </w:p>
        </w:tc>
        <w:tc>
          <w:tcPr>
            <w:tcW w:w="827" w:type="pct"/>
            <w:vMerge w:val="continue"/>
            <w:shd w:val="clear" w:color="auto" w:fill="auto"/>
            <w:vAlign w:val="center"/>
          </w:tcPr>
          <w:p w14:paraId="22FECFD7">
            <w:pPr>
              <w:widowControl/>
              <w:jc w:val="center"/>
              <w:rPr>
                <w:rFonts w:hint="default" w:ascii="Times New Roman" w:hAnsi="Times New Roman" w:cs="Times New Roman"/>
                <w:color w:val="000000" w:themeColor="text1"/>
                <w:sz w:val="21"/>
                <w:szCs w:val="21"/>
                <w14:textFill>
                  <w14:solidFill>
                    <w14:schemeClr w14:val="tx1"/>
                  </w14:solidFill>
                </w14:textFill>
              </w:rPr>
            </w:pPr>
          </w:p>
        </w:tc>
        <w:tc>
          <w:tcPr>
            <w:tcW w:w="1005" w:type="pct"/>
            <w:shd w:val="clear" w:color="auto" w:fill="auto"/>
            <w:vAlign w:val="center"/>
          </w:tcPr>
          <w:p w14:paraId="6986B41E">
            <w:pPr>
              <w:widowControl/>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氨</w:t>
            </w:r>
          </w:p>
        </w:tc>
        <w:tc>
          <w:tcPr>
            <w:tcW w:w="758" w:type="pct"/>
            <w:vMerge w:val="continue"/>
            <w:vAlign w:val="center"/>
          </w:tcPr>
          <w:p w14:paraId="17609D58">
            <w:pPr>
              <w:widowControl/>
              <w:jc w:val="left"/>
              <w:rPr>
                <w:rFonts w:hint="default" w:ascii="Times New Roman" w:hAnsi="Times New Roman" w:cs="Times New Roman"/>
                <w:color w:val="000000" w:themeColor="text1"/>
                <w:sz w:val="21"/>
                <w:szCs w:val="21"/>
                <w14:textFill>
                  <w14:solidFill>
                    <w14:schemeClr w14:val="tx1"/>
                  </w14:solidFill>
                </w14:textFill>
              </w:rPr>
            </w:pPr>
          </w:p>
        </w:tc>
        <w:tc>
          <w:tcPr>
            <w:tcW w:w="704" w:type="pct"/>
            <w:vMerge w:val="continue"/>
            <w:shd w:val="clear" w:color="auto" w:fill="auto"/>
            <w:noWrap/>
            <w:vAlign w:val="center"/>
          </w:tcPr>
          <w:p w14:paraId="0C72ED14">
            <w:pPr>
              <w:widowControl/>
              <w:jc w:val="center"/>
              <w:rPr>
                <w:rFonts w:hint="default" w:ascii="Times New Roman" w:hAnsi="Times New Roman" w:cs="Times New Roman"/>
                <w:color w:val="000000" w:themeColor="text1"/>
                <w:sz w:val="21"/>
                <w:szCs w:val="21"/>
                <w14:textFill>
                  <w14:solidFill>
                    <w14:schemeClr w14:val="tx1"/>
                  </w14:solidFill>
                </w14:textFill>
              </w:rPr>
            </w:pPr>
          </w:p>
        </w:tc>
        <w:tc>
          <w:tcPr>
            <w:tcW w:w="1449" w:type="pct"/>
            <w:vMerge w:val="continue"/>
            <w:shd w:val="clear" w:color="auto" w:fill="auto"/>
            <w:vAlign w:val="center"/>
          </w:tcPr>
          <w:p w14:paraId="6EFF9853">
            <w:pPr>
              <w:widowControl/>
              <w:jc w:val="center"/>
              <w:rPr>
                <w:rFonts w:hint="default" w:ascii="Times New Roman" w:hAnsi="Times New Roman" w:cs="Times New Roman"/>
                <w:color w:val="000000" w:themeColor="text1"/>
                <w:sz w:val="21"/>
                <w:szCs w:val="21"/>
                <w14:textFill>
                  <w14:solidFill>
                    <w14:schemeClr w14:val="tx1"/>
                  </w14:solidFill>
                </w14:textFill>
              </w:rPr>
            </w:pPr>
          </w:p>
        </w:tc>
      </w:tr>
      <w:tr w14:paraId="6F3658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5" w:type="pct"/>
            <w:vMerge w:val="continue"/>
            <w:vAlign w:val="center"/>
          </w:tcPr>
          <w:p w14:paraId="045EE927">
            <w:pPr>
              <w:widowControl/>
              <w:jc w:val="left"/>
              <w:rPr>
                <w:rFonts w:hint="default" w:ascii="Times New Roman" w:hAnsi="Times New Roman" w:cs="Times New Roman"/>
                <w:color w:val="000000" w:themeColor="text1"/>
                <w:sz w:val="21"/>
                <w:szCs w:val="21"/>
                <w14:textFill>
                  <w14:solidFill>
                    <w14:schemeClr w14:val="tx1"/>
                  </w14:solidFill>
                </w14:textFill>
              </w:rPr>
            </w:pPr>
          </w:p>
        </w:tc>
        <w:tc>
          <w:tcPr>
            <w:tcW w:w="827" w:type="pct"/>
            <w:shd w:val="clear" w:color="auto" w:fill="auto"/>
            <w:vAlign w:val="center"/>
          </w:tcPr>
          <w:p w14:paraId="5D07F48B">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厂界无组织</w:t>
            </w:r>
          </w:p>
        </w:tc>
        <w:tc>
          <w:tcPr>
            <w:tcW w:w="1005" w:type="pct"/>
            <w:shd w:val="clear" w:color="auto" w:fill="auto"/>
            <w:vAlign w:val="center"/>
          </w:tcPr>
          <w:p w14:paraId="7F3A3CF0">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颗粒物、非甲烷总烃</w:t>
            </w:r>
          </w:p>
        </w:tc>
        <w:tc>
          <w:tcPr>
            <w:tcW w:w="758" w:type="pct"/>
            <w:shd w:val="clear" w:color="auto" w:fill="auto"/>
            <w:vAlign w:val="center"/>
          </w:tcPr>
          <w:p w14:paraId="44D974B7">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上风向10m处参照点1个，下风向10m处监控点3个</w:t>
            </w:r>
          </w:p>
        </w:tc>
        <w:tc>
          <w:tcPr>
            <w:tcW w:w="704" w:type="pct"/>
            <w:shd w:val="clear" w:color="auto" w:fill="auto"/>
            <w:vAlign w:val="center"/>
          </w:tcPr>
          <w:p w14:paraId="5A614C00">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1次/年</w:t>
            </w:r>
          </w:p>
        </w:tc>
        <w:tc>
          <w:tcPr>
            <w:tcW w:w="1449" w:type="pct"/>
            <w:shd w:val="clear" w:color="auto" w:fill="auto"/>
            <w:vAlign w:val="center"/>
          </w:tcPr>
          <w:p w14:paraId="6B419354">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《合成树脂工业污染物排放标准》（GB31572-2015）</w:t>
            </w:r>
            <w:r>
              <w:rPr>
                <w:rFonts w:hint="default" w:ascii="Times New Roman" w:hAnsi="Times New Roman" w:cs="Times New Roman"/>
                <w:color w:val="000000" w:themeColor="text1"/>
                <w:sz w:val="21"/>
                <w:szCs w:val="21"/>
                <w14:textFill>
                  <w14:solidFill>
                    <w14:schemeClr w14:val="tx1"/>
                  </w14:solidFill>
                </w14:textFill>
              </w:rPr>
              <w:t>中限值要求</w:t>
            </w:r>
          </w:p>
        </w:tc>
      </w:tr>
      <w:tr w14:paraId="23B8B4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5" w:type="pct"/>
            <w:vMerge w:val="continue"/>
            <w:vAlign w:val="center"/>
          </w:tcPr>
          <w:p w14:paraId="5566F06A">
            <w:pPr>
              <w:widowControl/>
              <w:jc w:val="left"/>
              <w:rPr>
                <w:rFonts w:hint="default" w:ascii="Times New Roman" w:hAnsi="Times New Roman" w:cs="Times New Roman"/>
                <w:color w:val="000000" w:themeColor="text1"/>
                <w:sz w:val="21"/>
                <w:szCs w:val="21"/>
                <w14:textFill>
                  <w14:solidFill>
                    <w14:schemeClr w14:val="tx1"/>
                  </w14:solidFill>
                </w14:textFill>
              </w:rPr>
            </w:pPr>
          </w:p>
        </w:tc>
        <w:tc>
          <w:tcPr>
            <w:tcW w:w="827" w:type="pct"/>
            <w:shd w:val="clear" w:color="auto" w:fill="auto"/>
            <w:vAlign w:val="center"/>
          </w:tcPr>
          <w:p w14:paraId="427B9EC4">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厂区内无组织</w:t>
            </w:r>
          </w:p>
        </w:tc>
        <w:tc>
          <w:tcPr>
            <w:tcW w:w="1005" w:type="pct"/>
            <w:shd w:val="clear" w:color="auto" w:fill="auto"/>
            <w:vAlign w:val="center"/>
          </w:tcPr>
          <w:p w14:paraId="23CAAB11">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758" w:type="pct"/>
            <w:shd w:val="clear" w:color="auto" w:fill="auto"/>
            <w:vAlign w:val="center"/>
          </w:tcPr>
          <w:p w14:paraId="67E683AF">
            <w:pPr>
              <w:pStyle w:val="641"/>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kern w:val="0"/>
                <w:sz w:val="21"/>
                <w:szCs w:val="21"/>
                <w14:textFill>
                  <w14:solidFill>
                    <w14:schemeClr w14:val="tx1"/>
                  </w14:solidFill>
                </w14:textFill>
              </w:rPr>
              <w:t>在厂房外设置监控点</w:t>
            </w:r>
          </w:p>
        </w:tc>
        <w:tc>
          <w:tcPr>
            <w:tcW w:w="704" w:type="pct"/>
            <w:shd w:val="clear" w:color="auto" w:fill="auto"/>
            <w:vAlign w:val="center"/>
          </w:tcPr>
          <w:p w14:paraId="30384E38">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1次/年</w:t>
            </w:r>
          </w:p>
        </w:tc>
        <w:tc>
          <w:tcPr>
            <w:tcW w:w="1449" w:type="pct"/>
            <w:shd w:val="clear" w:color="auto" w:fill="auto"/>
            <w:vAlign w:val="center"/>
          </w:tcPr>
          <w:p w14:paraId="5D1CD0C4">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Cs/>
                <w:snapToGrid w:val="0"/>
                <w:color w:val="000000" w:themeColor="text1"/>
                <w:spacing w:val="0"/>
                <w:sz w:val="21"/>
                <w:szCs w:val="21"/>
                <w14:textFill>
                  <w14:solidFill>
                    <w14:schemeClr w14:val="tx1"/>
                  </w14:solidFill>
                </w14:textFill>
              </w:rPr>
              <w:t>《固定源挥发性有机物综合排放标准 第6部分其他行业》（DB34 4812.6-2024）</w:t>
            </w:r>
            <w:r>
              <w:rPr>
                <w:rFonts w:hint="default" w:ascii="Times New Roman" w:hAnsi="Times New Roman" w:cs="Times New Roman"/>
                <w:color w:val="000000" w:themeColor="text1"/>
                <w:sz w:val="21"/>
                <w:szCs w:val="21"/>
                <w14:textFill>
                  <w14:solidFill>
                    <w14:schemeClr w14:val="tx1"/>
                  </w14:solidFill>
                </w14:textFill>
              </w:rPr>
              <w:t>中限值要求</w:t>
            </w:r>
          </w:p>
        </w:tc>
      </w:tr>
      <w:tr w14:paraId="7EE5F3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5" w:type="pct"/>
            <w:shd w:val="clear" w:color="auto" w:fill="auto"/>
            <w:vAlign w:val="center"/>
          </w:tcPr>
          <w:p w14:paraId="6FA3B14D">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废水</w:t>
            </w:r>
          </w:p>
        </w:tc>
        <w:tc>
          <w:tcPr>
            <w:tcW w:w="827" w:type="pct"/>
            <w:shd w:val="clear" w:color="auto" w:fill="auto"/>
            <w:vAlign w:val="center"/>
          </w:tcPr>
          <w:p w14:paraId="08CE12EB">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厂区污</w:t>
            </w:r>
            <w:r>
              <w:rPr>
                <w:rFonts w:hint="default" w:ascii="Times New Roman" w:hAnsi="Times New Roman" w:cs="Times New Roman"/>
                <w:color w:val="000000" w:themeColor="text1"/>
                <w:sz w:val="21"/>
                <w:szCs w:val="21"/>
                <w14:textFill>
                  <w14:solidFill>
                    <w14:schemeClr w14:val="tx1"/>
                  </w14:solidFill>
                </w14:textFill>
              </w:rPr>
              <w:t>水排放口</w:t>
            </w:r>
          </w:p>
        </w:tc>
        <w:tc>
          <w:tcPr>
            <w:tcW w:w="1005" w:type="pct"/>
            <w:shd w:val="clear" w:color="auto" w:fill="auto"/>
            <w:vAlign w:val="center"/>
          </w:tcPr>
          <w:p w14:paraId="47CFFD26">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pH</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COD</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BOD</w:t>
            </w:r>
            <w:r>
              <w:rPr>
                <w:rFonts w:hint="default" w:ascii="Times New Roman" w:hAnsi="Times New Roman" w:cs="Times New Roman"/>
                <w:color w:val="000000" w:themeColor="text1"/>
                <w:sz w:val="21"/>
                <w:szCs w:val="21"/>
                <w:vertAlign w:val="subscript"/>
                <w14:textFill>
                  <w14:solidFill>
                    <w14:schemeClr w14:val="tx1"/>
                  </w14:solidFill>
                </w14:textFill>
              </w:rPr>
              <w:t>5</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SS</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氨氮</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总磷</w:t>
            </w:r>
          </w:p>
        </w:tc>
        <w:tc>
          <w:tcPr>
            <w:tcW w:w="758" w:type="pct"/>
            <w:shd w:val="clear" w:color="auto" w:fill="auto"/>
            <w:vAlign w:val="center"/>
          </w:tcPr>
          <w:p w14:paraId="18B20E64">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污</w:t>
            </w:r>
            <w:r>
              <w:rPr>
                <w:rFonts w:hint="default" w:ascii="Times New Roman" w:hAnsi="Times New Roman" w:cs="Times New Roman"/>
                <w:color w:val="000000" w:themeColor="text1"/>
                <w:sz w:val="21"/>
                <w:szCs w:val="21"/>
                <w14:textFill>
                  <w14:solidFill>
                    <w14:schemeClr w14:val="tx1"/>
                  </w14:solidFill>
                </w14:textFill>
              </w:rPr>
              <w:t>水排放口</w:t>
            </w:r>
          </w:p>
        </w:tc>
        <w:tc>
          <w:tcPr>
            <w:tcW w:w="704" w:type="pct"/>
            <w:shd w:val="clear" w:color="auto" w:fill="auto"/>
            <w:vAlign w:val="center"/>
          </w:tcPr>
          <w:p w14:paraId="3A53FFAD">
            <w:pPr>
              <w:spacing w:line="276"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1次/</w:t>
            </w:r>
            <w:r>
              <w:rPr>
                <w:rFonts w:hint="default" w:ascii="Times New Roman" w:hAnsi="Times New Roman" w:cs="Times New Roman"/>
                <w:color w:val="000000" w:themeColor="text1"/>
                <w:sz w:val="21"/>
                <w:szCs w:val="21"/>
                <w:lang w:eastAsia="zh-CN"/>
                <w14:textFill>
                  <w14:solidFill>
                    <w14:schemeClr w14:val="tx1"/>
                  </w14:solidFill>
                </w14:textFill>
              </w:rPr>
              <w:t>半年</w:t>
            </w:r>
          </w:p>
        </w:tc>
        <w:tc>
          <w:tcPr>
            <w:tcW w:w="1449" w:type="pct"/>
            <w:shd w:val="clear" w:color="auto" w:fill="auto"/>
            <w:vAlign w:val="center"/>
          </w:tcPr>
          <w:p w14:paraId="3DCBBD73">
            <w:pPr>
              <w:widowControl/>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毛集实验区污水处理厂接管标准</w:t>
            </w:r>
          </w:p>
        </w:tc>
      </w:tr>
      <w:tr w14:paraId="3E92FD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5" w:type="pct"/>
            <w:shd w:val="clear" w:color="auto" w:fill="auto"/>
            <w:vAlign w:val="center"/>
          </w:tcPr>
          <w:p w14:paraId="44611D12">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噪声</w:t>
            </w:r>
          </w:p>
        </w:tc>
        <w:tc>
          <w:tcPr>
            <w:tcW w:w="1833" w:type="pct"/>
            <w:gridSpan w:val="2"/>
            <w:shd w:val="clear" w:color="auto" w:fill="auto"/>
            <w:vAlign w:val="center"/>
          </w:tcPr>
          <w:p w14:paraId="5ED9A93A">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连续等效A声级</w:t>
            </w:r>
          </w:p>
        </w:tc>
        <w:tc>
          <w:tcPr>
            <w:tcW w:w="758" w:type="pct"/>
            <w:shd w:val="clear" w:color="auto" w:fill="auto"/>
            <w:vAlign w:val="center"/>
          </w:tcPr>
          <w:p w14:paraId="7546F7F2">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四周厂界</w:t>
            </w:r>
          </w:p>
        </w:tc>
        <w:tc>
          <w:tcPr>
            <w:tcW w:w="704" w:type="pct"/>
            <w:shd w:val="clear" w:color="auto" w:fill="auto"/>
            <w:vAlign w:val="center"/>
          </w:tcPr>
          <w:p w14:paraId="4CF688C0">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每季度1次，昼夜各一次</w:t>
            </w:r>
          </w:p>
        </w:tc>
        <w:tc>
          <w:tcPr>
            <w:tcW w:w="1449" w:type="pct"/>
            <w:shd w:val="clear" w:color="auto" w:fill="auto"/>
            <w:vAlign w:val="center"/>
          </w:tcPr>
          <w:p w14:paraId="3D9F0170">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《工业企业厂界环境噪声排放标准》（GB12348-2008）3类</w:t>
            </w:r>
          </w:p>
        </w:tc>
      </w:tr>
    </w:tbl>
    <w:p w14:paraId="1F06D710">
      <w:pPr>
        <w:pStyle w:val="3159"/>
        <w:rPr>
          <w:rFonts w:hint="default" w:ascii="Times New Roman" w:hAnsi="Times New Roman" w:eastAsia="黑体" w:cs="Times New Roman"/>
          <w:b w:val="0"/>
          <w:color w:val="000000" w:themeColor="text1"/>
          <w14:textFill>
            <w14:solidFill>
              <w14:schemeClr w14:val="tx1"/>
            </w14:solidFill>
          </w14:textFill>
        </w:rPr>
      </w:pPr>
      <w:bookmarkStart w:id="432" w:name="_Toc173837797"/>
      <w:bookmarkStart w:id="433" w:name="_Toc133333804"/>
      <w:bookmarkStart w:id="434" w:name="_Toc141627937"/>
      <w:bookmarkStart w:id="435" w:name="_Toc133214647"/>
      <w:bookmarkStart w:id="436" w:name="_Toc170562311"/>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.3.</w:t>
      </w:r>
      <w:r>
        <w:rPr>
          <w:rFonts w:hint="default" w:ascii="Times New Roman" w:hAnsi="Times New Roman" w:eastAsia="黑体" w:cs="Times New Roman"/>
          <w:b w:val="0"/>
          <w:color w:val="000000" w:themeColor="text1"/>
          <w:lang w:val="en-US" w:eastAsia="zh-CN"/>
          <w14:textFill>
            <w14:solidFill>
              <w14:schemeClr w14:val="tx1"/>
            </w14:solidFill>
          </w14:textFill>
        </w:rPr>
        <w:t>4</w:t>
      </w:r>
      <w:r>
        <w:rPr>
          <w:rFonts w:hint="default" w:ascii="Times New Roman" w:hAnsi="Times New Roman" w:eastAsia="黑体" w:cs="Times New Roman"/>
          <w:b w:val="0"/>
          <w:color w:val="000000" w:themeColor="text1"/>
          <w14:textFill>
            <w14:solidFill>
              <w14:schemeClr w14:val="tx1"/>
            </w14:solidFill>
          </w14:textFill>
        </w:rPr>
        <w:t>监测数据管理</w:t>
      </w:r>
      <w:bookmarkEnd w:id="432"/>
      <w:bookmarkEnd w:id="433"/>
      <w:bookmarkEnd w:id="434"/>
      <w:bookmarkEnd w:id="435"/>
      <w:bookmarkEnd w:id="436"/>
    </w:p>
    <w:p w14:paraId="20C67AAD">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企业应按照有关法律和《环境监测管理办法》《排污单位自行监测技术指南总则》（HJ819-2017）等规定，建立企业监测制度，制定监测方案，设置和维护监测设施、做好监测质量保证与质量控制、记录和保存监测数据，并向当地环境保护行政主管部门和行业主管部门备案。</w:t>
      </w:r>
    </w:p>
    <w:p w14:paraId="168139A5">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对污染物排放状况及其对周边环境质量的影响开展自行监测，保存原始监测记录，定期公布监测结果。</w:t>
      </w:r>
    </w:p>
    <w:p w14:paraId="4041BE72">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437" w:name="_Toc90469136"/>
      <w:bookmarkStart w:id="438" w:name="_Toc173837798"/>
      <w:bookmarkStart w:id="439" w:name="_Toc109136009"/>
      <w:bookmarkStart w:id="440" w:name="_Toc133214648"/>
      <w:bookmarkStart w:id="441" w:name="_Toc23923865"/>
      <w:bookmarkStart w:id="442" w:name="_Toc133333805"/>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.4总量控制</w:t>
      </w:r>
      <w:bookmarkEnd w:id="437"/>
      <w:bookmarkEnd w:id="438"/>
      <w:bookmarkEnd w:id="439"/>
      <w:bookmarkEnd w:id="440"/>
      <w:bookmarkEnd w:id="441"/>
      <w:bookmarkEnd w:id="442"/>
    </w:p>
    <w:p w14:paraId="5B3B7426">
      <w:pPr>
        <w:pStyle w:val="3159"/>
        <w:rPr>
          <w:rFonts w:hint="default" w:ascii="Times New Roman" w:hAnsi="Times New Roman" w:eastAsia="黑体" w:cs="Times New Roman"/>
          <w:b w:val="0"/>
          <w:color w:val="000000" w:themeColor="text1"/>
          <w14:textFill>
            <w14:solidFill>
              <w14:schemeClr w14:val="tx1"/>
            </w14:solidFill>
          </w14:textFill>
        </w:rPr>
      </w:pPr>
      <w:bookmarkStart w:id="443" w:name="_Toc170562313"/>
      <w:bookmarkStart w:id="444" w:name="_Toc173837799"/>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.4.1废水污染物总量指标</w:t>
      </w:r>
      <w:bookmarkEnd w:id="443"/>
      <w:bookmarkEnd w:id="444"/>
    </w:p>
    <w:p w14:paraId="680299FC">
      <w:pPr>
        <w:spacing w:line="360" w:lineRule="auto"/>
        <w:ind w:firstLine="472" w:firstLineChars="200"/>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项目运营期冷却水为</w:t>
      </w:r>
      <w:r>
        <w:rPr>
          <w:rFonts w:hint="eastAsia" w:cs="Times New Roman"/>
          <w:color w:val="000000" w:themeColor="text1"/>
          <w:sz w:val="24"/>
          <w:szCs w:val="24"/>
          <w:lang w:eastAsia="zh-CN"/>
          <w14:textFill>
            <w14:solidFill>
              <w14:schemeClr w14:val="tx1"/>
            </w14:solidFill>
          </w14:textFill>
        </w:rPr>
        <w:t>直接</w:t>
      </w:r>
      <w:r>
        <w:rPr>
          <w:rFonts w:hint="default" w:ascii="Times New Roman" w:hAnsi="Times New Roman" w:cs="Times New Roman"/>
          <w:color w:val="000000" w:themeColor="text1"/>
          <w:sz w:val="24"/>
          <w:szCs w:val="24"/>
          <w14:textFill>
            <w14:solidFill>
              <w14:schemeClr w14:val="tx1"/>
            </w14:solidFill>
          </w14:textFill>
        </w:rPr>
        <w:t>冷却，循环利用，</w:t>
      </w:r>
      <w:r>
        <w:rPr>
          <w:rFonts w:hint="eastAsia" w:cs="Times New Roman"/>
          <w:color w:val="000000" w:themeColor="text1"/>
          <w:spacing w:val="-4"/>
          <w:sz w:val="24"/>
          <w:szCs w:val="24"/>
          <w:lang w:eastAsia="zh-CN"/>
          <w14:textFill>
            <w14:solidFill>
              <w14:schemeClr w14:val="tx1"/>
            </w14:solidFill>
          </w14:textFill>
        </w:rPr>
        <w:t>定期外排水</w:t>
      </w:r>
      <w:r>
        <w:rPr>
          <w:rFonts w:hint="eastAsia" w:cs="Times New Roman"/>
          <w:color w:val="000000" w:themeColor="text1"/>
          <w:spacing w:val="0"/>
          <w:sz w:val="24"/>
          <w:szCs w:val="24"/>
          <w:lang w:val="en-US" w:eastAsia="zh-CN"/>
          <w14:textFill>
            <w14:solidFill>
              <w14:schemeClr w14:val="tx1"/>
            </w14:solidFill>
          </w14:textFill>
        </w:rPr>
        <w:t>用于物料清洗</w:t>
      </w:r>
      <w:r>
        <w:rPr>
          <w:rFonts w:hint="default" w:ascii="Times New Roman" w:hAnsi="Times New Roman" w:cs="Times New Roman"/>
          <w:color w:val="000000" w:themeColor="text1"/>
          <w:sz w:val="24"/>
          <w:szCs w:val="24"/>
          <w14:textFill>
            <w14:solidFill>
              <w14:schemeClr w14:val="tx1"/>
            </w14:solidFill>
          </w14:textFill>
        </w:rPr>
        <w:t>；瓶片清洗废水经厂内污水处理站处理后90%回用，10%经市政污水管网排入毛集实验区污水处理厂深度处理；生活污水经化粪池预处理后经市政污水管网排入毛集实验区污水处理厂集中处理，最终排至西淝河</w:t>
      </w:r>
      <w:r>
        <w:rPr>
          <w:rFonts w:hint="default" w:ascii="Times New Roman" w:hAnsi="Times New Roman" w:cs="Times New Roman"/>
          <w:color w:val="000000" w:themeColor="text1"/>
          <w:sz w:val="24"/>
          <w:szCs w:val="24"/>
          <w:lang w:eastAsia="zh-CN"/>
          <w14:textFill>
            <w14:solidFill>
              <w14:schemeClr w14:val="tx1"/>
            </w14:solidFill>
          </w14:textFill>
        </w:rPr>
        <w:t>。废水污染物总量纳入</w:t>
      </w:r>
      <w:r>
        <w:rPr>
          <w:rFonts w:hint="default" w:ascii="Times New Roman" w:hAnsi="Times New Roman" w:cs="Times New Roman"/>
          <w:color w:val="000000" w:themeColor="text1"/>
          <w:sz w:val="24"/>
          <w:szCs w:val="24"/>
          <w14:textFill>
            <w14:solidFill>
              <w14:schemeClr w14:val="tx1"/>
            </w14:solidFill>
          </w14:textFill>
        </w:rPr>
        <w:t>毛集实验区污水处理厂</w:t>
      </w:r>
      <w:r>
        <w:rPr>
          <w:rFonts w:hint="default" w:ascii="Times New Roman" w:hAnsi="Times New Roman" w:cs="Times New Roman"/>
          <w:color w:val="000000" w:themeColor="text1"/>
          <w:sz w:val="24"/>
          <w:szCs w:val="24"/>
          <w:lang w:eastAsia="zh-CN"/>
          <w14:textFill>
            <w14:solidFill>
              <w14:schemeClr w14:val="tx1"/>
            </w14:solidFill>
          </w14:textFill>
        </w:rPr>
        <w:t>总量中，无需另行申请。</w:t>
      </w:r>
    </w:p>
    <w:p w14:paraId="72A53300">
      <w:pPr>
        <w:pStyle w:val="3159"/>
        <w:rPr>
          <w:rFonts w:hint="default" w:ascii="Times New Roman" w:hAnsi="Times New Roman" w:eastAsia="黑体" w:cs="Times New Roman"/>
          <w:b w:val="0"/>
          <w:color w:val="000000" w:themeColor="text1"/>
          <w14:textFill>
            <w14:solidFill>
              <w14:schemeClr w14:val="tx1"/>
            </w14:solidFill>
          </w14:textFill>
        </w:rPr>
      </w:pPr>
      <w:bookmarkStart w:id="445" w:name="_Toc173837800"/>
      <w:bookmarkStart w:id="446" w:name="_Toc170562314"/>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.4.2废气污染物总量指标</w:t>
      </w:r>
      <w:bookmarkEnd w:id="445"/>
      <w:bookmarkEnd w:id="446"/>
    </w:p>
    <w:p w14:paraId="6375FA33">
      <w:pPr>
        <w:spacing w:line="360" w:lineRule="auto"/>
        <w:ind w:firstLine="472" w:firstLineChars="200"/>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本项目实施后废气污染物排放情况如下表。</w:t>
      </w:r>
    </w:p>
    <w:p w14:paraId="1FE369A3">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default" w:ascii="Times New Roman" w:hAnsi="Times New Roman" w:eastAsia="黑体" w:cs="Times New Roman"/>
          <w:bCs/>
          <w:color w:val="000000" w:themeColor="text1"/>
          <w:sz w:val="24"/>
          <w:lang w:val="en-US" w:eastAsia="zh-CN"/>
          <w14:textFill>
            <w14:solidFill>
              <w14:schemeClr w14:val="tx1"/>
            </w14:solidFill>
          </w14:textFill>
        </w:rPr>
        <w:t>8</w:t>
      </w:r>
      <w:r>
        <w:rPr>
          <w:rFonts w:hint="default" w:ascii="Times New Roman" w:hAnsi="Times New Roman" w:eastAsia="黑体" w:cs="Times New Roman"/>
          <w:bCs/>
          <w:color w:val="000000" w:themeColor="text1"/>
          <w:sz w:val="24"/>
          <w14:textFill>
            <w14:solidFill>
              <w14:schemeClr w14:val="tx1"/>
            </w14:solidFill>
          </w14:textFill>
        </w:rPr>
        <w:t>.4-1</w:t>
      </w:r>
      <w:r>
        <w:rPr>
          <w:rFonts w:hint="eastAsia" w:ascii="Times New Roman" w:hAnsi="Times New Roman" w:eastAsia="黑体" w:cs="Times New Roman"/>
          <w:bCs/>
          <w:color w:val="000000" w:themeColor="text1"/>
          <w:sz w:val="24"/>
          <w:lang w:val="en-US" w:eastAsia="zh-CN"/>
          <w14:textFill>
            <w14:solidFill>
              <w14:schemeClr w14:val="tx1"/>
            </w14:solidFill>
          </w14:textFill>
        </w:rPr>
        <w:t xml:space="preserve">  </w:t>
      </w:r>
      <w:r>
        <w:rPr>
          <w:rFonts w:hint="default" w:ascii="Times New Roman" w:hAnsi="Times New Roman" w:eastAsia="黑体" w:cs="Times New Roman"/>
          <w:bCs/>
          <w:color w:val="000000" w:themeColor="text1"/>
          <w:sz w:val="24"/>
          <w14:textFill>
            <w14:solidFill>
              <w14:schemeClr w14:val="tx1"/>
            </w14:solidFill>
          </w14:textFill>
        </w:rPr>
        <w:t>项目废气污染物汇总</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60"/>
        <w:gridCol w:w="2454"/>
        <w:gridCol w:w="1705"/>
        <w:gridCol w:w="1705"/>
        <w:gridCol w:w="1705"/>
      </w:tblGrid>
      <w:tr w14:paraId="059F11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960" w:type="dxa"/>
            <w:vAlign w:val="center"/>
          </w:tcPr>
          <w:p w14:paraId="5E8B14F6">
            <w:pPr>
              <w:spacing w:line="276" w:lineRule="auto"/>
              <w:jc w:val="center"/>
              <w:rPr>
                <w:rFonts w:hint="default" w:ascii="Times New Roman" w:hAnsi="Times New Roman" w:cs="Times New Roman"/>
                <w:b/>
                <w:color w:val="000000" w:themeColor="text1"/>
                <w:spacing w:val="8"/>
                <w:sz w:val="21"/>
                <w:szCs w:val="21"/>
                <w14:textFill>
                  <w14:solidFill>
                    <w14:schemeClr w14:val="tx1"/>
                  </w14:solidFill>
                </w14:textFill>
              </w:rPr>
            </w:pPr>
            <w:r>
              <w:rPr>
                <w:rFonts w:hint="default" w:ascii="Times New Roman" w:hAnsi="Times New Roman" w:cs="Times New Roman"/>
                <w:b/>
                <w:color w:val="000000" w:themeColor="text1"/>
                <w:spacing w:val="8"/>
                <w:sz w:val="21"/>
                <w:szCs w:val="21"/>
                <w14:textFill>
                  <w14:solidFill>
                    <w14:schemeClr w14:val="tx1"/>
                  </w14:solidFill>
                </w14:textFill>
              </w:rPr>
              <w:t>类型</w:t>
            </w:r>
          </w:p>
        </w:tc>
        <w:tc>
          <w:tcPr>
            <w:tcW w:w="2454" w:type="dxa"/>
            <w:vAlign w:val="center"/>
          </w:tcPr>
          <w:p w14:paraId="4CDB91F6">
            <w:pPr>
              <w:spacing w:line="276" w:lineRule="auto"/>
              <w:jc w:val="center"/>
              <w:rPr>
                <w:rFonts w:hint="default" w:ascii="Times New Roman" w:hAnsi="Times New Roman" w:cs="Times New Roman"/>
                <w:b/>
                <w:color w:val="000000" w:themeColor="text1"/>
                <w:spacing w:val="8"/>
                <w:sz w:val="21"/>
                <w:szCs w:val="21"/>
                <w14:textFill>
                  <w14:solidFill>
                    <w14:schemeClr w14:val="tx1"/>
                  </w14:solidFill>
                </w14:textFill>
              </w:rPr>
            </w:pPr>
            <w:r>
              <w:rPr>
                <w:rFonts w:hint="default" w:ascii="Times New Roman" w:hAnsi="Times New Roman" w:cs="Times New Roman"/>
                <w:b/>
                <w:color w:val="000000" w:themeColor="text1"/>
                <w:spacing w:val="8"/>
                <w:sz w:val="21"/>
                <w:szCs w:val="21"/>
                <w14:textFill>
                  <w14:solidFill>
                    <w14:schemeClr w14:val="tx1"/>
                  </w14:solidFill>
                </w14:textFill>
              </w:rPr>
              <w:t>污染物名称</w:t>
            </w:r>
          </w:p>
        </w:tc>
        <w:tc>
          <w:tcPr>
            <w:tcW w:w="1705" w:type="dxa"/>
            <w:vAlign w:val="center"/>
          </w:tcPr>
          <w:p w14:paraId="17EE80BE">
            <w:pPr>
              <w:spacing w:line="276" w:lineRule="auto"/>
              <w:jc w:val="center"/>
              <w:rPr>
                <w:rFonts w:hint="default" w:ascii="Times New Roman" w:hAnsi="Times New Roman" w:cs="Times New Roman"/>
                <w:b/>
                <w:color w:val="000000" w:themeColor="text1"/>
                <w:spacing w:val="8"/>
                <w:sz w:val="21"/>
                <w:szCs w:val="21"/>
                <w14:textFill>
                  <w14:solidFill>
                    <w14:schemeClr w14:val="tx1"/>
                  </w14:solidFill>
                </w14:textFill>
              </w:rPr>
            </w:pPr>
            <w:r>
              <w:rPr>
                <w:rFonts w:hint="default" w:ascii="Times New Roman" w:hAnsi="Times New Roman" w:cs="Times New Roman"/>
                <w:b/>
                <w:color w:val="000000" w:themeColor="text1"/>
                <w:spacing w:val="8"/>
                <w:sz w:val="21"/>
                <w:szCs w:val="21"/>
                <w14:textFill>
                  <w14:solidFill>
                    <w14:schemeClr w14:val="tx1"/>
                  </w14:solidFill>
                </w14:textFill>
              </w:rPr>
              <w:t>产生量（t/a）</w:t>
            </w:r>
          </w:p>
        </w:tc>
        <w:tc>
          <w:tcPr>
            <w:tcW w:w="1705" w:type="dxa"/>
            <w:vAlign w:val="center"/>
          </w:tcPr>
          <w:p w14:paraId="5DE6FA85">
            <w:pPr>
              <w:spacing w:line="276" w:lineRule="auto"/>
              <w:jc w:val="center"/>
              <w:rPr>
                <w:rFonts w:hint="default" w:ascii="Times New Roman" w:hAnsi="Times New Roman" w:cs="Times New Roman"/>
                <w:b/>
                <w:color w:val="000000" w:themeColor="text1"/>
                <w:spacing w:val="8"/>
                <w:sz w:val="21"/>
                <w:szCs w:val="21"/>
                <w14:textFill>
                  <w14:solidFill>
                    <w14:schemeClr w14:val="tx1"/>
                  </w14:solidFill>
                </w14:textFill>
              </w:rPr>
            </w:pPr>
            <w:r>
              <w:rPr>
                <w:rFonts w:hint="default" w:ascii="Times New Roman" w:hAnsi="Times New Roman" w:cs="Times New Roman"/>
                <w:b/>
                <w:color w:val="000000" w:themeColor="text1"/>
                <w:spacing w:val="8"/>
                <w:sz w:val="21"/>
                <w:szCs w:val="21"/>
                <w14:textFill>
                  <w14:solidFill>
                    <w14:schemeClr w14:val="tx1"/>
                  </w14:solidFill>
                </w14:textFill>
              </w:rPr>
              <w:t>削减量（t/a）</w:t>
            </w:r>
          </w:p>
        </w:tc>
        <w:tc>
          <w:tcPr>
            <w:tcW w:w="1705" w:type="dxa"/>
            <w:vAlign w:val="center"/>
          </w:tcPr>
          <w:p w14:paraId="3913E5D2">
            <w:pPr>
              <w:spacing w:line="276" w:lineRule="auto"/>
              <w:jc w:val="center"/>
              <w:rPr>
                <w:rFonts w:hint="default" w:ascii="Times New Roman" w:hAnsi="Times New Roman" w:cs="Times New Roman"/>
                <w:b/>
                <w:color w:val="000000" w:themeColor="text1"/>
                <w:spacing w:val="8"/>
                <w:sz w:val="21"/>
                <w:szCs w:val="21"/>
                <w14:textFill>
                  <w14:solidFill>
                    <w14:schemeClr w14:val="tx1"/>
                  </w14:solidFill>
                </w14:textFill>
              </w:rPr>
            </w:pPr>
            <w:r>
              <w:rPr>
                <w:rFonts w:hint="default" w:ascii="Times New Roman" w:hAnsi="Times New Roman" w:cs="Times New Roman"/>
                <w:b/>
                <w:color w:val="000000" w:themeColor="text1"/>
                <w:spacing w:val="8"/>
                <w:sz w:val="21"/>
                <w:szCs w:val="21"/>
                <w14:textFill>
                  <w14:solidFill>
                    <w14:schemeClr w14:val="tx1"/>
                  </w14:solidFill>
                </w14:textFill>
              </w:rPr>
              <w:t>排放量（t/a）</w:t>
            </w:r>
          </w:p>
        </w:tc>
      </w:tr>
      <w:tr w14:paraId="07A9C5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960" w:type="dxa"/>
            <w:vMerge w:val="restart"/>
            <w:vAlign w:val="center"/>
          </w:tcPr>
          <w:p w14:paraId="519D0049">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有组织</w:t>
            </w:r>
          </w:p>
        </w:tc>
        <w:tc>
          <w:tcPr>
            <w:tcW w:w="2454" w:type="dxa"/>
            <w:vAlign w:val="center"/>
          </w:tcPr>
          <w:p w14:paraId="1CFCA18F">
            <w:pPr>
              <w:widowControl/>
              <w:adjustRightInd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1705" w:type="dxa"/>
            <w:vAlign w:val="center"/>
          </w:tcPr>
          <w:p w14:paraId="50317353">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1.492</w:t>
            </w:r>
          </w:p>
        </w:tc>
        <w:tc>
          <w:tcPr>
            <w:tcW w:w="1705" w:type="dxa"/>
            <w:vAlign w:val="center"/>
          </w:tcPr>
          <w:p w14:paraId="7A43C5DB">
            <w:pPr>
              <w:spacing w:line="278"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1.343</w:t>
            </w:r>
          </w:p>
        </w:tc>
        <w:tc>
          <w:tcPr>
            <w:tcW w:w="1705" w:type="dxa"/>
            <w:vAlign w:val="center"/>
          </w:tcPr>
          <w:p w14:paraId="043A9086">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0.149</w:t>
            </w:r>
          </w:p>
        </w:tc>
      </w:tr>
      <w:tr w14:paraId="74B9BB9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960" w:type="dxa"/>
            <w:vMerge w:val="continue"/>
            <w:vAlign w:val="center"/>
          </w:tcPr>
          <w:p w14:paraId="2AE4A5A4">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454" w:type="dxa"/>
            <w:vAlign w:val="center"/>
          </w:tcPr>
          <w:p w14:paraId="47099E1B">
            <w:pPr>
              <w:widowControl/>
              <w:adjustRightInd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颗粒物</w:t>
            </w:r>
          </w:p>
        </w:tc>
        <w:tc>
          <w:tcPr>
            <w:tcW w:w="1705" w:type="dxa"/>
            <w:vAlign w:val="center"/>
          </w:tcPr>
          <w:p w14:paraId="32D5B954">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12.38</w:t>
            </w:r>
          </w:p>
        </w:tc>
        <w:tc>
          <w:tcPr>
            <w:tcW w:w="1705" w:type="dxa"/>
            <w:vAlign w:val="center"/>
          </w:tcPr>
          <w:p w14:paraId="7647C31E">
            <w:pPr>
              <w:spacing w:line="278"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12.257</w:t>
            </w:r>
          </w:p>
        </w:tc>
        <w:tc>
          <w:tcPr>
            <w:tcW w:w="1705" w:type="dxa"/>
            <w:vAlign w:val="center"/>
          </w:tcPr>
          <w:p w14:paraId="73CC106F">
            <w:pPr>
              <w:widowControl/>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0.123</w:t>
            </w:r>
          </w:p>
        </w:tc>
      </w:tr>
      <w:tr w14:paraId="6CC145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960" w:type="dxa"/>
            <w:vMerge w:val="continue"/>
            <w:vAlign w:val="center"/>
          </w:tcPr>
          <w:p w14:paraId="31C1F155">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454" w:type="dxa"/>
            <w:vAlign w:val="center"/>
          </w:tcPr>
          <w:p w14:paraId="61914CAD">
            <w:pPr>
              <w:widowControl/>
              <w:adjustRightInd w:val="0"/>
              <w:spacing w:line="276" w:lineRule="auto"/>
              <w:jc w:val="center"/>
              <w:textAlignment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氨</w:t>
            </w:r>
          </w:p>
        </w:tc>
        <w:tc>
          <w:tcPr>
            <w:tcW w:w="1705" w:type="dxa"/>
            <w:vAlign w:val="center"/>
          </w:tcPr>
          <w:p w14:paraId="032F91D9">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271</w:t>
            </w:r>
          </w:p>
        </w:tc>
        <w:tc>
          <w:tcPr>
            <w:tcW w:w="1705" w:type="dxa"/>
            <w:vAlign w:val="center"/>
          </w:tcPr>
          <w:p w14:paraId="0936BA48">
            <w:pPr>
              <w:spacing w:line="276"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2439</w:t>
            </w:r>
          </w:p>
        </w:tc>
        <w:tc>
          <w:tcPr>
            <w:tcW w:w="1705" w:type="dxa"/>
            <w:vAlign w:val="center"/>
          </w:tcPr>
          <w:p w14:paraId="2E8657DB">
            <w:pPr>
              <w:widowControl/>
              <w:spacing w:line="240" w:lineRule="auto"/>
              <w:jc w:val="center"/>
              <w:textAlignment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271</w:t>
            </w:r>
          </w:p>
        </w:tc>
      </w:tr>
      <w:tr w14:paraId="22ACDD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960" w:type="dxa"/>
            <w:vMerge w:val="continue"/>
            <w:vAlign w:val="center"/>
          </w:tcPr>
          <w:p w14:paraId="080022CC">
            <w:pPr>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454" w:type="dxa"/>
            <w:vAlign w:val="center"/>
          </w:tcPr>
          <w:p w14:paraId="2ECC803C">
            <w:pPr>
              <w:widowControl/>
              <w:adjustRightInd w:val="0"/>
              <w:spacing w:line="276"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硫化氢</w:t>
            </w:r>
          </w:p>
        </w:tc>
        <w:tc>
          <w:tcPr>
            <w:tcW w:w="1705" w:type="dxa"/>
            <w:vAlign w:val="center"/>
          </w:tcPr>
          <w:p w14:paraId="50EA1AD0">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w:t>
            </w:r>
            <w:r>
              <w:rPr>
                <w:rFonts w:hint="eastAsia" w:cs="Times New Roman"/>
                <w:color w:val="000000" w:themeColor="text1"/>
                <w:sz w:val="21"/>
                <w:szCs w:val="21"/>
                <w:lang w:val="en-US" w:eastAsia="zh-CN"/>
                <w14:textFill>
                  <w14:solidFill>
                    <w14:schemeClr w14:val="tx1"/>
                  </w14:solidFill>
                </w14:textFill>
              </w:rPr>
              <w:t>105</w:t>
            </w:r>
          </w:p>
        </w:tc>
        <w:tc>
          <w:tcPr>
            <w:tcW w:w="1705" w:type="dxa"/>
            <w:vAlign w:val="center"/>
          </w:tcPr>
          <w:p w14:paraId="4775FAC0">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2"/>
                <w:szCs w:val="22"/>
                <w14:textFill>
                  <w14:solidFill>
                    <w14:schemeClr w14:val="tx1"/>
                  </w14:solidFill>
                </w14:textFill>
              </w:rPr>
              <w:t>0.</w:t>
            </w:r>
            <w:r>
              <w:rPr>
                <w:rFonts w:hint="eastAsia" w:cs="Times New Roman"/>
                <w:color w:val="000000" w:themeColor="text1"/>
                <w:sz w:val="22"/>
                <w:szCs w:val="22"/>
                <w:lang w:val="en-US" w:eastAsia="zh-CN"/>
                <w14:textFill>
                  <w14:solidFill>
                    <w14:schemeClr w14:val="tx1"/>
                  </w14:solidFill>
                </w14:textFill>
              </w:rPr>
              <w:t>0094</w:t>
            </w:r>
          </w:p>
        </w:tc>
        <w:tc>
          <w:tcPr>
            <w:tcW w:w="1705" w:type="dxa"/>
            <w:vAlign w:val="center"/>
          </w:tcPr>
          <w:p w14:paraId="0BDB6EA1">
            <w:pPr>
              <w:widowControl/>
              <w:spacing w:line="240" w:lineRule="auto"/>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0.00</w:t>
            </w:r>
            <w:r>
              <w:rPr>
                <w:rFonts w:hint="eastAsia" w:cs="Times New Roman"/>
                <w:color w:val="000000" w:themeColor="text1"/>
                <w:sz w:val="21"/>
                <w:szCs w:val="21"/>
                <w:lang w:val="en-US" w:eastAsia="zh-CN"/>
                <w14:textFill>
                  <w14:solidFill>
                    <w14:schemeClr w14:val="tx1"/>
                  </w14:solidFill>
                </w14:textFill>
              </w:rPr>
              <w:t>11</w:t>
            </w:r>
          </w:p>
        </w:tc>
      </w:tr>
      <w:tr w14:paraId="31E7DA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960" w:type="dxa"/>
            <w:vMerge w:val="restart"/>
            <w:vAlign w:val="center"/>
          </w:tcPr>
          <w:p w14:paraId="214BEE15">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无组织</w:t>
            </w:r>
          </w:p>
        </w:tc>
        <w:tc>
          <w:tcPr>
            <w:tcW w:w="2454" w:type="dxa"/>
            <w:vAlign w:val="center"/>
          </w:tcPr>
          <w:p w14:paraId="39BB87BB">
            <w:pPr>
              <w:spacing w:line="276" w:lineRule="auto"/>
              <w:jc w:val="center"/>
              <w:rPr>
                <w:rFonts w:hint="default" w:ascii="Times New Roman" w:hAnsi="Times New Roman" w:cs="Times New Roman"/>
                <w:color w:val="000000" w:themeColor="text1"/>
                <w:sz w:val="21"/>
                <w:szCs w:val="21"/>
                <w:lang w:val="zh-CN"/>
                <w14:textFill>
                  <w14:solidFill>
                    <w14:schemeClr w14:val="tx1"/>
                  </w14:solidFill>
                </w14:textFill>
              </w:rPr>
            </w:pPr>
            <w:r>
              <w:rPr>
                <w:rFonts w:hint="default" w:ascii="Times New Roman" w:hAnsi="Times New Roman" w:cs="Times New Roman"/>
                <w:color w:val="000000" w:themeColor="text1"/>
                <w:sz w:val="21"/>
                <w:szCs w:val="21"/>
                <w:lang w:val="zh-CN"/>
                <w14:textFill>
                  <w14:solidFill>
                    <w14:schemeClr w14:val="tx1"/>
                  </w14:solidFill>
                </w14:textFill>
              </w:rPr>
              <w:t>颗粒物</w:t>
            </w:r>
          </w:p>
        </w:tc>
        <w:tc>
          <w:tcPr>
            <w:tcW w:w="1705" w:type="dxa"/>
            <w:vAlign w:val="center"/>
          </w:tcPr>
          <w:p w14:paraId="1A497C9F">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0.646</w:t>
            </w:r>
          </w:p>
        </w:tc>
        <w:tc>
          <w:tcPr>
            <w:tcW w:w="1705" w:type="dxa"/>
            <w:vAlign w:val="center"/>
          </w:tcPr>
          <w:p w14:paraId="4BAB7A34">
            <w:pPr>
              <w:spacing w:line="276" w:lineRule="auto"/>
              <w:jc w:val="center"/>
              <w:rPr>
                <w:rFonts w:hint="default" w:ascii="Times New Roman" w:hAnsi="Times New Roman" w:eastAsia="宋体" w:cs="Times New Roman"/>
                <w:color w:val="000000" w:themeColor="text1"/>
                <w:sz w:val="21"/>
                <w:szCs w:val="21"/>
                <w:lang w:val="zh-CN"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p>
        </w:tc>
        <w:tc>
          <w:tcPr>
            <w:tcW w:w="1705" w:type="dxa"/>
            <w:vAlign w:val="center"/>
          </w:tcPr>
          <w:p w14:paraId="757BC414">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0.646</w:t>
            </w:r>
          </w:p>
        </w:tc>
      </w:tr>
      <w:tr w14:paraId="594C69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960" w:type="dxa"/>
            <w:vMerge w:val="continue"/>
            <w:vAlign w:val="center"/>
          </w:tcPr>
          <w:p w14:paraId="23FB64CD">
            <w:pPr>
              <w:widowControl/>
              <w:spacing w:line="276" w:lineRule="auto"/>
              <w:jc w:val="center"/>
              <w:rPr>
                <w:rFonts w:hint="default" w:ascii="Times New Roman" w:hAnsi="Times New Roman" w:cs="Times New Roman"/>
                <w:color w:val="000000" w:themeColor="text1"/>
                <w:sz w:val="21"/>
                <w:szCs w:val="21"/>
                <w14:textFill>
                  <w14:solidFill>
                    <w14:schemeClr w14:val="tx1"/>
                  </w14:solidFill>
                </w14:textFill>
              </w:rPr>
            </w:pPr>
          </w:p>
        </w:tc>
        <w:tc>
          <w:tcPr>
            <w:tcW w:w="2454" w:type="dxa"/>
            <w:vAlign w:val="center"/>
          </w:tcPr>
          <w:p w14:paraId="3A9FBCA6">
            <w:pPr>
              <w:spacing w:line="276" w:lineRule="auto"/>
              <w:jc w:val="center"/>
              <w:rPr>
                <w:rFonts w:hint="default" w:ascii="Times New Roman" w:hAnsi="Times New Roman" w:cs="Times New Roman"/>
                <w:color w:val="000000" w:themeColor="text1"/>
                <w:sz w:val="21"/>
                <w:szCs w:val="21"/>
                <w:lang w:val="zh-CN"/>
                <w14:textFill>
                  <w14:solidFill>
                    <w14:schemeClr w14:val="tx1"/>
                  </w14:solidFill>
                </w14:textFill>
              </w:rPr>
            </w:pPr>
            <w:r>
              <w:rPr>
                <w:rFonts w:hint="default" w:ascii="Times New Roman" w:hAnsi="Times New Roman" w:cs="Times New Roman"/>
                <w:color w:val="000000" w:themeColor="text1"/>
                <w:sz w:val="21"/>
                <w:szCs w:val="21"/>
                <w:lang w:val="zh-CN"/>
                <w14:textFill>
                  <w14:solidFill>
                    <w14:schemeClr w14:val="tx1"/>
                  </w14:solidFill>
                </w14:textFill>
              </w:rPr>
              <w:t>非甲烷总烃</w:t>
            </w:r>
          </w:p>
        </w:tc>
        <w:tc>
          <w:tcPr>
            <w:tcW w:w="1705" w:type="dxa"/>
            <w:vAlign w:val="center"/>
          </w:tcPr>
          <w:p w14:paraId="0D9D315C">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093</w:t>
            </w:r>
          </w:p>
        </w:tc>
        <w:tc>
          <w:tcPr>
            <w:tcW w:w="1705" w:type="dxa"/>
            <w:vAlign w:val="center"/>
          </w:tcPr>
          <w:p w14:paraId="056021CE">
            <w:pPr>
              <w:spacing w:line="276" w:lineRule="auto"/>
              <w:jc w:val="center"/>
              <w:rPr>
                <w:rFonts w:hint="default" w:ascii="Times New Roman" w:hAnsi="Times New Roman" w:cs="Times New Roman"/>
                <w:color w:val="000000" w:themeColor="text1"/>
                <w:sz w:val="21"/>
                <w:szCs w:val="21"/>
                <w:lang w:val="zh-CN"/>
                <w14:textFill>
                  <w14:solidFill>
                    <w14:schemeClr w14:val="tx1"/>
                  </w14:solidFill>
                </w14:textFill>
              </w:rPr>
            </w:pPr>
            <w:r>
              <w:rPr>
                <w:rFonts w:hint="default" w:ascii="Times New Roman" w:hAnsi="Times New Roman" w:cs="Times New Roman"/>
                <w:color w:val="000000" w:themeColor="text1"/>
                <w:sz w:val="21"/>
                <w:szCs w:val="21"/>
                <w:lang w:val="zh-CN"/>
                <w14:textFill>
                  <w14:solidFill>
                    <w14:schemeClr w14:val="tx1"/>
                  </w14:solidFill>
                </w14:textFill>
              </w:rPr>
              <w:t>0</w:t>
            </w:r>
          </w:p>
        </w:tc>
        <w:tc>
          <w:tcPr>
            <w:tcW w:w="1705" w:type="dxa"/>
            <w:vAlign w:val="center"/>
          </w:tcPr>
          <w:p w14:paraId="50335251">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093</w:t>
            </w:r>
          </w:p>
        </w:tc>
      </w:tr>
    </w:tbl>
    <w:p w14:paraId="436F06D5">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因此，本项目新增总量控制指标为：VOCs：</w:t>
      </w:r>
      <w:r>
        <w:rPr>
          <w:rFonts w:hint="default" w:ascii="Times New Roman" w:hAnsi="Times New Roman" w:cs="Times New Roman"/>
          <w:color w:val="000000" w:themeColor="text1"/>
          <w:sz w:val="24"/>
          <w:lang w:val="en-US" w:eastAsia="zh-CN"/>
          <w14:textFill>
            <w14:solidFill>
              <w14:schemeClr w14:val="tx1"/>
            </w14:solidFill>
          </w14:textFill>
        </w:rPr>
        <w:t>0.</w:t>
      </w:r>
      <w:r>
        <w:rPr>
          <w:rFonts w:hint="eastAsia" w:cs="Times New Roman"/>
          <w:color w:val="000000" w:themeColor="text1"/>
          <w:sz w:val="24"/>
          <w:lang w:val="en-US" w:eastAsia="zh-CN"/>
          <w14:textFill>
            <w14:solidFill>
              <w14:schemeClr w14:val="tx1"/>
            </w14:solidFill>
          </w14:textFill>
        </w:rPr>
        <w:t>149</w:t>
      </w:r>
      <w:r>
        <w:rPr>
          <w:rFonts w:hint="default" w:ascii="Times New Roman" w:hAnsi="Times New Roman" w:cs="Times New Roman"/>
          <w:color w:val="000000" w:themeColor="text1"/>
          <w:sz w:val="24"/>
          <w14:textFill>
            <w14:solidFill>
              <w14:schemeClr w14:val="tx1"/>
            </w14:solidFill>
          </w14:textFill>
        </w:rPr>
        <w:t>t/a；颗粒物：</w:t>
      </w:r>
      <w:r>
        <w:rPr>
          <w:rFonts w:hint="default" w:ascii="Times New Roman" w:hAnsi="Times New Roman" w:cs="Times New Roman"/>
          <w:color w:val="000000" w:themeColor="text1"/>
          <w:sz w:val="24"/>
          <w:lang w:val="en-US" w:eastAsia="zh-CN"/>
          <w14:textFill>
            <w14:solidFill>
              <w14:schemeClr w14:val="tx1"/>
            </w14:solidFill>
          </w14:textFill>
        </w:rPr>
        <w:t>0.123</w:t>
      </w:r>
      <w:r>
        <w:rPr>
          <w:rFonts w:hint="default" w:ascii="Times New Roman" w:hAnsi="Times New Roman" w:cs="Times New Roman"/>
          <w:color w:val="000000" w:themeColor="text1"/>
          <w:sz w:val="24"/>
          <w14:textFill>
            <w14:solidFill>
              <w14:schemeClr w14:val="tx1"/>
            </w14:solidFill>
          </w14:textFill>
        </w:rPr>
        <w:t>t/a</w:t>
      </w:r>
      <w:r>
        <w:rPr>
          <w:rFonts w:hint="default" w:ascii="Times New Roman" w:hAnsi="Times New Roman" w:cs="Times New Roman"/>
          <w:color w:val="000000" w:themeColor="text1"/>
          <w:sz w:val="24"/>
          <w:szCs w:val="24"/>
          <w14:textFill>
            <w14:solidFill>
              <w14:schemeClr w14:val="tx1"/>
            </w14:solidFill>
          </w14:textFill>
        </w:rPr>
        <w:t>。</w:t>
      </w:r>
    </w:p>
    <w:p w14:paraId="5C752EA4">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447" w:name="_Toc90469137"/>
      <w:bookmarkStart w:id="448" w:name="_Toc133333806"/>
      <w:bookmarkStart w:id="449" w:name="_Toc133214649"/>
      <w:bookmarkStart w:id="450" w:name="_Toc109136010"/>
      <w:bookmarkStart w:id="451" w:name="_Toc173837801"/>
      <w:bookmarkStart w:id="452" w:name="_Toc484642064"/>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.5排污口规范化</w:t>
      </w:r>
      <w:bookmarkEnd w:id="447"/>
      <w:bookmarkEnd w:id="448"/>
      <w:bookmarkEnd w:id="449"/>
      <w:bookmarkEnd w:id="450"/>
      <w:bookmarkEnd w:id="451"/>
      <w:bookmarkEnd w:id="452"/>
    </w:p>
    <w:p w14:paraId="0AFB4086">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国家标准《环境保护图形标志——排放口（源）》和原国家环保总局《排污口规范化整治要求（试行）》的技术要求，企业所有排放口必须按照“便于采样、便于计量监测、便于日常现场监督检查”的原则和规范化要求，设置排污口标志牌，绘制企业排污口公布图，同时对污水排放口安装流量计，对治理设施安装运行监控装置。</w:t>
      </w:r>
    </w:p>
    <w:p w14:paraId="30832136">
      <w:pPr>
        <w:pStyle w:val="3159"/>
        <w:rPr>
          <w:rFonts w:hint="default" w:ascii="Times New Roman" w:hAnsi="Times New Roman" w:eastAsia="黑体" w:cs="Times New Roman"/>
          <w:b w:val="0"/>
          <w:color w:val="000000" w:themeColor="text1"/>
          <w14:textFill>
            <w14:solidFill>
              <w14:schemeClr w14:val="tx1"/>
            </w14:solidFill>
          </w14:textFill>
        </w:rPr>
      </w:pPr>
      <w:bookmarkStart w:id="453" w:name="_Toc173837802"/>
      <w:bookmarkStart w:id="454" w:name="_Toc141627940"/>
      <w:bookmarkStart w:id="455" w:name="_Toc170562316"/>
      <w:bookmarkStart w:id="456" w:name="_Toc133333807"/>
      <w:bookmarkStart w:id="457" w:name="_Toc133214650"/>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.5.1废气排放口</w:t>
      </w:r>
      <w:bookmarkEnd w:id="453"/>
      <w:bookmarkEnd w:id="454"/>
      <w:bookmarkEnd w:id="455"/>
      <w:bookmarkEnd w:id="456"/>
      <w:bookmarkEnd w:id="457"/>
    </w:p>
    <w:p w14:paraId="480B90F9">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废气排放口必须符合规定的高度、满足环境监测管理规定和《污染源监测技术规范》中便于采样、监测的要求，设计、建设、维护永久性采样口、采样测试平台和排污口标志，如无法满足要求的，由当地生态环境局确定。</w:t>
      </w:r>
    </w:p>
    <w:p w14:paraId="64F54B1E">
      <w:pPr>
        <w:pStyle w:val="3159"/>
        <w:rPr>
          <w:rFonts w:hint="default" w:ascii="Times New Roman" w:hAnsi="Times New Roman" w:eastAsia="黑体" w:cs="Times New Roman"/>
          <w:b w:val="0"/>
          <w:color w:val="000000" w:themeColor="text1"/>
          <w14:textFill>
            <w14:solidFill>
              <w14:schemeClr w14:val="tx1"/>
            </w14:solidFill>
          </w14:textFill>
        </w:rPr>
      </w:pPr>
      <w:bookmarkStart w:id="458" w:name="_Toc173837803"/>
      <w:bookmarkStart w:id="459" w:name="_Toc170562317"/>
      <w:bookmarkStart w:id="460" w:name="_Toc133333808"/>
      <w:bookmarkStart w:id="461" w:name="_Toc133214651"/>
      <w:bookmarkStart w:id="462" w:name="_Toc141627941"/>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.5.2固定噪声排放源</w:t>
      </w:r>
      <w:bookmarkEnd w:id="458"/>
      <w:bookmarkEnd w:id="459"/>
      <w:bookmarkEnd w:id="460"/>
      <w:bookmarkEnd w:id="461"/>
      <w:bookmarkEnd w:id="462"/>
    </w:p>
    <w:p w14:paraId="4F37D7E1">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按规定对固定噪声源进行治理，并在企业边界噪声敏感点且对外影响最大处设置标志牌。</w:t>
      </w:r>
    </w:p>
    <w:p w14:paraId="5065640A">
      <w:pPr>
        <w:pStyle w:val="3159"/>
        <w:rPr>
          <w:rFonts w:hint="default" w:ascii="Times New Roman" w:hAnsi="Times New Roman" w:eastAsia="黑体" w:cs="Times New Roman"/>
          <w:b w:val="0"/>
          <w:color w:val="000000" w:themeColor="text1"/>
          <w14:textFill>
            <w14:solidFill>
              <w14:schemeClr w14:val="tx1"/>
            </w14:solidFill>
          </w14:textFill>
        </w:rPr>
      </w:pPr>
      <w:bookmarkStart w:id="463" w:name="_Toc170562318"/>
      <w:bookmarkStart w:id="464" w:name="_Toc133333809"/>
      <w:bookmarkStart w:id="465" w:name="_Toc133214652"/>
      <w:bookmarkStart w:id="466" w:name="_Toc141627942"/>
      <w:bookmarkStart w:id="467" w:name="_Toc173837804"/>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.5.3固体废物暂存场</w:t>
      </w:r>
      <w:bookmarkEnd w:id="463"/>
      <w:bookmarkEnd w:id="464"/>
      <w:bookmarkEnd w:id="465"/>
      <w:bookmarkEnd w:id="466"/>
      <w:bookmarkEnd w:id="467"/>
    </w:p>
    <w:p w14:paraId="5A0773C5">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应设置专用堆放场地，并采取二次扬尘措施，有毒有害固体废物必须设置专用堆放场地，有防扬散、防流失、防渗漏等措施。有毒有害固体废物等危险废物，应设置专用堆放场地，并必须有防扬散、防流失、防渗漏等防治措施。</w:t>
      </w:r>
    </w:p>
    <w:p w14:paraId="17837A4D">
      <w:pPr>
        <w:pStyle w:val="3159"/>
        <w:rPr>
          <w:rFonts w:hint="default" w:ascii="Times New Roman" w:hAnsi="Times New Roman" w:eastAsia="黑体" w:cs="Times New Roman"/>
          <w:b w:val="0"/>
          <w:color w:val="000000" w:themeColor="text1"/>
          <w14:textFill>
            <w14:solidFill>
              <w14:schemeClr w14:val="tx1"/>
            </w14:solidFill>
          </w14:textFill>
        </w:rPr>
      </w:pPr>
      <w:bookmarkStart w:id="468" w:name="_Toc133214653"/>
      <w:bookmarkStart w:id="469" w:name="_Toc133333810"/>
      <w:bookmarkStart w:id="470" w:name="_Toc170562319"/>
      <w:bookmarkStart w:id="471" w:name="_Toc173837805"/>
      <w:bookmarkStart w:id="472" w:name="_Toc141627943"/>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.5.4设置标志牌要求</w:t>
      </w:r>
      <w:bookmarkEnd w:id="468"/>
      <w:bookmarkEnd w:id="469"/>
      <w:bookmarkEnd w:id="470"/>
      <w:bookmarkEnd w:id="471"/>
      <w:bookmarkEnd w:id="472"/>
    </w:p>
    <w:p w14:paraId="6536823F">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标志牌应设置在排污口(采样点)附近且醒目处，高度为标志牌上缘离地面2米，排污口附近1米范围内有建筑物的，设平面式标志牌，无建筑物的设立式标志牌。排污口的有关设置（如力形标志牌、计量装置、监控装置等）属环保设施，排污单位必须负责日常的维护保养，任何单位和个人不得擅自拆除，如需要变更的须报当地生态环境部门同意并办理变更手续。</w:t>
      </w:r>
    </w:p>
    <w:p w14:paraId="460D5CB2">
      <w:pPr>
        <w:spacing w:line="360" w:lineRule="auto"/>
        <w:ind w:firstLine="472" w:firstLineChars="200"/>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各类环境保护图形标识汇总见下表：</w:t>
      </w:r>
    </w:p>
    <w:p w14:paraId="5B766A52">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default" w:ascii="Times New Roman" w:hAnsi="Times New Roman" w:eastAsia="黑体" w:cs="Times New Roman"/>
          <w:bCs/>
          <w:color w:val="000000" w:themeColor="text1"/>
          <w:sz w:val="24"/>
          <w:lang w:val="en-US" w:eastAsia="zh-CN"/>
          <w14:textFill>
            <w14:solidFill>
              <w14:schemeClr w14:val="tx1"/>
            </w14:solidFill>
          </w14:textFill>
        </w:rPr>
        <w:t>8</w:t>
      </w:r>
      <w:r>
        <w:rPr>
          <w:rFonts w:hint="default" w:ascii="Times New Roman" w:hAnsi="Times New Roman" w:eastAsia="黑体" w:cs="Times New Roman"/>
          <w:bCs/>
          <w:color w:val="000000" w:themeColor="text1"/>
          <w:sz w:val="24"/>
          <w14:textFill>
            <w14:solidFill>
              <w14:schemeClr w14:val="tx1"/>
            </w14:solidFill>
          </w14:textFill>
        </w:rPr>
        <w:t>.5-1</w:t>
      </w:r>
      <w:r>
        <w:rPr>
          <w:rFonts w:hint="eastAsia" w:ascii="Times New Roman" w:hAnsi="Times New Roman" w:eastAsia="黑体" w:cs="Times New Roman"/>
          <w:bCs/>
          <w:color w:val="000000" w:themeColor="text1"/>
          <w:sz w:val="24"/>
          <w:lang w:val="en-US" w:eastAsia="zh-CN"/>
          <w14:textFill>
            <w14:solidFill>
              <w14:schemeClr w14:val="tx1"/>
            </w14:solidFill>
          </w14:textFill>
        </w:rPr>
        <w:t xml:space="preserve">  </w:t>
      </w:r>
      <w:r>
        <w:rPr>
          <w:rFonts w:hint="default" w:ascii="Times New Roman" w:hAnsi="Times New Roman" w:eastAsia="黑体" w:cs="Times New Roman"/>
          <w:bCs/>
          <w:color w:val="000000" w:themeColor="text1"/>
          <w:sz w:val="24"/>
          <w14:textFill>
            <w14:solidFill>
              <w14:schemeClr w14:val="tx1"/>
            </w14:solidFill>
          </w14:textFill>
        </w:rPr>
        <w:t>本项目环境保护图形符号表</w:t>
      </w:r>
    </w:p>
    <w:tbl>
      <w:tblPr>
        <w:tblStyle w:val="88"/>
        <w:tblW w:w="850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5"/>
        <w:gridCol w:w="1943"/>
        <w:gridCol w:w="1943"/>
        <w:gridCol w:w="1943"/>
        <w:gridCol w:w="1991"/>
      </w:tblGrid>
      <w:tr w14:paraId="67D2E1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685" w:type="dxa"/>
            <w:vAlign w:val="center"/>
          </w:tcPr>
          <w:p w14:paraId="794BF445">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序号</w:t>
            </w:r>
          </w:p>
        </w:tc>
        <w:tc>
          <w:tcPr>
            <w:tcW w:w="1943" w:type="dxa"/>
            <w:vAlign w:val="center"/>
          </w:tcPr>
          <w:p w14:paraId="365454D7">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提示图形符号</w:t>
            </w:r>
          </w:p>
        </w:tc>
        <w:tc>
          <w:tcPr>
            <w:tcW w:w="1943" w:type="dxa"/>
            <w:vAlign w:val="center"/>
          </w:tcPr>
          <w:p w14:paraId="314DB6A9">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警告图形符号</w:t>
            </w:r>
          </w:p>
        </w:tc>
        <w:tc>
          <w:tcPr>
            <w:tcW w:w="1943" w:type="dxa"/>
            <w:vAlign w:val="center"/>
          </w:tcPr>
          <w:p w14:paraId="2D3AFE89">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名称</w:t>
            </w:r>
          </w:p>
        </w:tc>
        <w:tc>
          <w:tcPr>
            <w:tcW w:w="1991" w:type="dxa"/>
            <w:vAlign w:val="center"/>
          </w:tcPr>
          <w:p w14:paraId="6189806D">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功能</w:t>
            </w:r>
          </w:p>
        </w:tc>
      </w:tr>
      <w:tr w14:paraId="7C9E19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685" w:type="dxa"/>
            <w:vAlign w:val="center"/>
          </w:tcPr>
          <w:p w14:paraId="70A2457C">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1</w:t>
            </w:r>
          </w:p>
        </w:tc>
        <w:tc>
          <w:tcPr>
            <w:tcW w:w="1943" w:type="dxa"/>
            <w:vAlign w:val="center"/>
          </w:tcPr>
          <w:p w14:paraId="6542BF11">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smallCaps/>
                <w:color w:val="000000" w:themeColor="text1"/>
                <w:kern w:val="2"/>
                <w:sz w:val="21"/>
                <w:szCs w:val="21"/>
                <w14:textFill>
                  <w14:solidFill>
                    <w14:schemeClr w14:val="tx1"/>
                  </w14:solidFill>
                </w14:textFill>
              </w:rPr>
              <w:drawing>
                <wp:inline distT="0" distB="0" distL="0" distR="0">
                  <wp:extent cx="858520" cy="858520"/>
                  <wp:effectExtent l="19050" t="0" r="0" b="0"/>
                  <wp:docPr id="95599643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436" name="图片 38"/>
                          <pic:cNvPicPr>
                            <a:picLocks noChangeAspect="1" noChangeArrowheads="1"/>
                          </pic:cNvPicPr>
                        </pic:nvPicPr>
                        <pic:blipFill>
                          <a:blip r:embed="rId97" cstate="print"/>
                          <a:srcRect/>
                          <a:stretch>
                            <a:fillRect/>
                          </a:stretch>
                        </pic:blipFill>
                        <pic:spPr>
                          <a:xfrm>
                            <a:off x="0" y="0"/>
                            <a:ext cx="858520" cy="858520"/>
                          </a:xfrm>
                          <a:prstGeom prst="rect">
                            <a:avLst/>
                          </a:prstGeom>
                          <a:noFill/>
                          <a:ln w="9525">
                            <a:noFill/>
                            <a:miter lim="800000"/>
                            <a:headEnd/>
                            <a:tailEnd/>
                          </a:ln>
                        </pic:spPr>
                      </pic:pic>
                    </a:graphicData>
                  </a:graphic>
                </wp:inline>
              </w:drawing>
            </w:r>
          </w:p>
        </w:tc>
        <w:tc>
          <w:tcPr>
            <w:tcW w:w="1943" w:type="dxa"/>
            <w:vAlign w:val="center"/>
          </w:tcPr>
          <w:p w14:paraId="181AC80E">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smallCaps/>
                <w:color w:val="000000" w:themeColor="text1"/>
                <w:kern w:val="2"/>
                <w:sz w:val="21"/>
                <w:szCs w:val="21"/>
                <w14:textFill>
                  <w14:solidFill>
                    <w14:schemeClr w14:val="tx1"/>
                  </w14:solidFill>
                </w14:textFill>
              </w:rPr>
              <w:drawing>
                <wp:inline distT="0" distB="0" distL="0" distR="0">
                  <wp:extent cx="962025" cy="858520"/>
                  <wp:effectExtent l="19050" t="0" r="9525" b="0"/>
                  <wp:docPr id="95599643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437" name="图片 39"/>
                          <pic:cNvPicPr>
                            <a:picLocks noChangeAspect="1" noChangeArrowheads="1"/>
                          </pic:cNvPicPr>
                        </pic:nvPicPr>
                        <pic:blipFill>
                          <a:blip r:embed="rId98" cstate="print"/>
                          <a:srcRect/>
                          <a:stretch>
                            <a:fillRect/>
                          </a:stretch>
                        </pic:blipFill>
                        <pic:spPr>
                          <a:xfrm>
                            <a:off x="0" y="0"/>
                            <a:ext cx="962025" cy="858520"/>
                          </a:xfrm>
                          <a:prstGeom prst="rect">
                            <a:avLst/>
                          </a:prstGeom>
                          <a:noFill/>
                          <a:ln w="9525">
                            <a:noFill/>
                            <a:miter lim="800000"/>
                            <a:headEnd/>
                            <a:tailEnd/>
                          </a:ln>
                        </pic:spPr>
                      </pic:pic>
                    </a:graphicData>
                  </a:graphic>
                </wp:inline>
              </w:drawing>
            </w:r>
          </w:p>
        </w:tc>
        <w:tc>
          <w:tcPr>
            <w:tcW w:w="1943" w:type="dxa"/>
            <w:vAlign w:val="center"/>
          </w:tcPr>
          <w:p w14:paraId="119E0D0D">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废气排放口</w:t>
            </w:r>
          </w:p>
        </w:tc>
        <w:tc>
          <w:tcPr>
            <w:tcW w:w="1991" w:type="dxa"/>
            <w:vAlign w:val="center"/>
          </w:tcPr>
          <w:p w14:paraId="6C722452">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表示废气向大气环境排放</w:t>
            </w:r>
          </w:p>
        </w:tc>
      </w:tr>
      <w:tr w14:paraId="0DD00A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685" w:type="dxa"/>
            <w:vAlign w:val="center"/>
          </w:tcPr>
          <w:p w14:paraId="31CC7C26">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2</w:t>
            </w:r>
          </w:p>
        </w:tc>
        <w:tc>
          <w:tcPr>
            <w:tcW w:w="1943" w:type="dxa"/>
            <w:vAlign w:val="center"/>
          </w:tcPr>
          <w:p w14:paraId="0089E10B">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smallCaps/>
                <w:color w:val="000000" w:themeColor="text1"/>
                <w:kern w:val="2"/>
                <w:sz w:val="21"/>
                <w:szCs w:val="21"/>
                <w14:textFill>
                  <w14:solidFill>
                    <w14:schemeClr w14:val="tx1"/>
                  </w14:solidFill>
                </w14:textFill>
              </w:rPr>
              <w:drawing>
                <wp:inline distT="0" distB="0" distL="0" distR="0">
                  <wp:extent cx="858520" cy="858520"/>
                  <wp:effectExtent l="19050" t="0" r="0" b="0"/>
                  <wp:docPr id="95599643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438" name="图片 40"/>
                          <pic:cNvPicPr>
                            <a:picLocks noChangeAspect="1" noChangeArrowheads="1"/>
                          </pic:cNvPicPr>
                        </pic:nvPicPr>
                        <pic:blipFill>
                          <a:blip r:embed="rId99" cstate="print"/>
                          <a:srcRect/>
                          <a:stretch>
                            <a:fillRect/>
                          </a:stretch>
                        </pic:blipFill>
                        <pic:spPr>
                          <a:xfrm>
                            <a:off x="0" y="0"/>
                            <a:ext cx="858520" cy="858520"/>
                          </a:xfrm>
                          <a:prstGeom prst="rect">
                            <a:avLst/>
                          </a:prstGeom>
                          <a:noFill/>
                          <a:ln w="9525">
                            <a:noFill/>
                            <a:miter lim="800000"/>
                            <a:headEnd/>
                            <a:tailEnd/>
                          </a:ln>
                        </pic:spPr>
                      </pic:pic>
                    </a:graphicData>
                  </a:graphic>
                </wp:inline>
              </w:drawing>
            </w:r>
          </w:p>
        </w:tc>
        <w:tc>
          <w:tcPr>
            <w:tcW w:w="1943" w:type="dxa"/>
            <w:vAlign w:val="center"/>
          </w:tcPr>
          <w:p w14:paraId="568C7949">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smallCaps/>
                <w:color w:val="000000" w:themeColor="text1"/>
                <w:kern w:val="2"/>
                <w:sz w:val="21"/>
                <w:szCs w:val="21"/>
                <w14:textFill>
                  <w14:solidFill>
                    <w14:schemeClr w14:val="tx1"/>
                  </w14:solidFill>
                </w14:textFill>
              </w:rPr>
              <w:drawing>
                <wp:inline distT="0" distB="0" distL="0" distR="0">
                  <wp:extent cx="962025" cy="858520"/>
                  <wp:effectExtent l="19050" t="0" r="9525" b="0"/>
                  <wp:docPr id="95599643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439" name="图片 41"/>
                          <pic:cNvPicPr>
                            <a:picLocks noChangeAspect="1" noChangeArrowheads="1"/>
                          </pic:cNvPicPr>
                        </pic:nvPicPr>
                        <pic:blipFill>
                          <a:blip r:embed="rId100" cstate="print"/>
                          <a:srcRect/>
                          <a:stretch>
                            <a:fillRect/>
                          </a:stretch>
                        </pic:blipFill>
                        <pic:spPr>
                          <a:xfrm>
                            <a:off x="0" y="0"/>
                            <a:ext cx="962025" cy="858520"/>
                          </a:xfrm>
                          <a:prstGeom prst="rect">
                            <a:avLst/>
                          </a:prstGeom>
                          <a:noFill/>
                          <a:ln w="9525">
                            <a:noFill/>
                            <a:miter lim="800000"/>
                            <a:headEnd/>
                            <a:tailEnd/>
                          </a:ln>
                        </pic:spPr>
                      </pic:pic>
                    </a:graphicData>
                  </a:graphic>
                </wp:inline>
              </w:drawing>
            </w:r>
          </w:p>
        </w:tc>
        <w:tc>
          <w:tcPr>
            <w:tcW w:w="1943" w:type="dxa"/>
            <w:vAlign w:val="center"/>
          </w:tcPr>
          <w:p w14:paraId="413D1896">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一般工业固体废物</w:t>
            </w:r>
          </w:p>
        </w:tc>
        <w:tc>
          <w:tcPr>
            <w:tcW w:w="1991" w:type="dxa"/>
            <w:vAlign w:val="center"/>
          </w:tcPr>
          <w:p w14:paraId="3ADB48D3">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表示一般工业固体废物贮存、处置场</w:t>
            </w:r>
          </w:p>
        </w:tc>
      </w:tr>
      <w:tr w14:paraId="16A7E8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685" w:type="dxa"/>
            <w:vAlign w:val="center"/>
          </w:tcPr>
          <w:p w14:paraId="195BE665">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3</w:t>
            </w:r>
          </w:p>
        </w:tc>
        <w:tc>
          <w:tcPr>
            <w:tcW w:w="1943" w:type="dxa"/>
            <w:vAlign w:val="center"/>
          </w:tcPr>
          <w:p w14:paraId="43A38294">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p>
        </w:tc>
        <w:tc>
          <w:tcPr>
            <w:tcW w:w="1943" w:type="dxa"/>
            <w:vAlign w:val="center"/>
          </w:tcPr>
          <w:p w14:paraId="1328944E">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drawing>
                <wp:inline distT="0" distB="0" distL="0" distR="0">
                  <wp:extent cx="1009650" cy="866775"/>
                  <wp:effectExtent l="19050" t="0" r="0" b="0"/>
                  <wp:docPr id="95599644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440" name="图片 59"/>
                          <pic:cNvPicPr>
                            <a:picLocks noChangeAspect="1" noChangeArrowheads="1"/>
                          </pic:cNvPicPr>
                        </pic:nvPicPr>
                        <pic:blipFill>
                          <a:blip r:embed="rId101" cstate="print"/>
                          <a:srcRect/>
                          <a:stretch>
                            <a:fillRect/>
                          </a:stretch>
                        </pic:blipFill>
                        <pic:spPr>
                          <a:xfrm>
                            <a:off x="0" y="0"/>
                            <a:ext cx="1009650" cy="866775"/>
                          </a:xfrm>
                          <a:prstGeom prst="rect">
                            <a:avLst/>
                          </a:prstGeom>
                          <a:noFill/>
                          <a:ln w="9525">
                            <a:noFill/>
                            <a:miter lim="800000"/>
                            <a:headEnd/>
                            <a:tailEnd/>
                          </a:ln>
                        </pic:spPr>
                      </pic:pic>
                    </a:graphicData>
                  </a:graphic>
                </wp:inline>
              </w:drawing>
            </w:r>
          </w:p>
        </w:tc>
        <w:tc>
          <w:tcPr>
            <w:tcW w:w="1943" w:type="dxa"/>
            <w:vAlign w:val="center"/>
          </w:tcPr>
          <w:p w14:paraId="08921283">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危险废物</w:t>
            </w:r>
          </w:p>
        </w:tc>
        <w:tc>
          <w:tcPr>
            <w:tcW w:w="1991" w:type="dxa"/>
            <w:vAlign w:val="center"/>
          </w:tcPr>
          <w:p w14:paraId="1BED191D">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表示危险废物贮存、处置场</w:t>
            </w:r>
          </w:p>
        </w:tc>
      </w:tr>
      <w:tr w14:paraId="7057F3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685" w:type="dxa"/>
            <w:vAlign w:val="center"/>
          </w:tcPr>
          <w:p w14:paraId="0304667D">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4</w:t>
            </w:r>
          </w:p>
        </w:tc>
        <w:tc>
          <w:tcPr>
            <w:tcW w:w="1943" w:type="dxa"/>
            <w:vAlign w:val="center"/>
          </w:tcPr>
          <w:p w14:paraId="277AA85F">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drawing>
                <wp:inline distT="0" distB="0" distL="0" distR="0">
                  <wp:extent cx="858520" cy="858520"/>
                  <wp:effectExtent l="19050" t="0" r="0" b="0"/>
                  <wp:docPr id="955996441" name="图片 46" descr="mark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441" name="图片 46" descr="mark_3"/>
                          <pic:cNvPicPr>
                            <a:picLocks noChangeAspect="1" noChangeArrowheads="1"/>
                          </pic:cNvPicPr>
                        </pic:nvPicPr>
                        <pic:blipFill>
                          <a:blip r:embed="rId102" cstate="print"/>
                          <a:srcRect/>
                          <a:stretch>
                            <a:fillRect/>
                          </a:stretch>
                        </pic:blipFill>
                        <pic:spPr>
                          <a:xfrm>
                            <a:off x="0" y="0"/>
                            <a:ext cx="858520" cy="858520"/>
                          </a:xfrm>
                          <a:prstGeom prst="rect">
                            <a:avLst/>
                          </a:prstGeom>
                          <a:noFill/>
                          <a:ln w="9525">
                            <a:noFill/>
                            <a:miter lim="800000"/>
                            <a:headEnd/>
                            <a:tailEnd/>
                          </a:ln>
                        </pic:spPr>
                      </pic:pic>
                    </a:graphicData>
                  </a:graphic>
                </wp:inline>
              </w:drawing>
            </w:r>
          </w:p>
        </w:tc>
        <w:tc>
          <w:tcPr>
            <w:tcW w:w="1943" w:type="dxa"/>
            <w:vAlign w:val="center"/>
          </w:tcPr>
          <w:p w14:paraId="105889DF">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drawing>
                <wp:inline distT="0" distB="0" distL="0" distR="0">
                  <wp:extent cx="962025" cy="858520"/>
                  <wp:effectExtent l="19050" t="0" r="9525" b="0"/>
                  <wp:docPr id="955996442" name="图片 47" descr="mark_j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96442" name="图片 47" descr="mark_j3"/>
                          <pic:cNvPicPr>
                            <a:picLocks noChangeAspect="1" noChangeArrowheads="1"/>
                          </pic:cNvPicPr>
                        </pic:nvPicPr>
                        <pic:blipFill>
                          <a:blip r:embed="rId103" cstate="print"/>
                          <a:srcRect/>
                          <a:stretch>
                            <a:fillRect/>
                          </a:stretch>
                        </pic:blipFill>
                        <pic:spPr>
                          <a:xfrm>
                            <a:off x="0" y="0"/>
                            <a:ext cx="962025" cy="858520"/>
                          </a:xfrm>
                          <a:prstGeom prst="rect">
                            <a:avLst/>
                          </a:prstGeom>
                          <a:noFill/>
                          <a:ln w="9525">
                            <a:noFill/>
                            <a:miter lim="800000"/>
                            <a:headEnd/>
                            <a:tailEnd/>
                          </a:ln>
                        </pic:spPr>
                      </pic:pic>
                    </a:graphicData>
                  </a:graphic>
                </wp:inline>
              </w:drawing>
            </w:r>
          </w:p>
        </w:tc>
        <w:tc>
          <w:tcPr>
            <w:tcW w:w="1943" w:type="dxa"/>
            <w:vAlign w:val="center"/>
          </w:tcPr>
          <w:p w14:paraId="7237459D">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噪声排放源</w:t>
            </w:r>
          </w:p>
        </w:tc>
        <w:tc>
          <w:tcPr>
            <w:tcW w:w="1991" w:type="dxa"/>
            <w:vAlign w:val="center"/>
          </w:tcPr>
          <w:p w14:paraId="3A9EFD4D">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表示噪声向</w:t>
            </w:r>
          </w:p>
          <w:p w14:paraId="01FF99A9">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外环境排放</w:t>
            </w:r>
          </w:p>
        </w:tc>
      </w:tr>
    </w:tbl>
    <w:p w14:paraId="7E41A903">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default" w:ascii="Times New Roman" w:hAnsi="Times New Roman" w:eastAsia="黑体" w:cs="Times New Roman"/>
          <w:bCs/>
          <w:color w:val="000000" w:themeColor="text1"/>
          <w:sz w:val="24"/>
          <w:lang w:val="en-US" w:eastAsia="zh-CN"/>
          <w14:textFill>
            <w14:solidFill>
              <w14:schemeClr w14:val="tx1"/>
            </w14:solidFill>
          </w14:textFill>
        </w:rPr>
        <w:t>8</w:t>
      </w:r>
      <w:r>
        <w:rPr>
          <w:rFonts w:hint="default" w:ascii="Times New Roman" w:hAnsi="Times New Roman" w:eastAsia="黑体" w:cs="Times New Roman"/>
          <w:bCs/>
          <w:color w:val="000000" w:themeColor="text1"/>
          <w:sz w:val="24"/>
          <w14:textFill>
            <w14:solidFill>
              <w14:schemeClr w14:val="tx1"/>
            </w14:solidFill>
          </w14:textFill>
        </w:rPr>
        <w:t>.5-2</w:t>
      </w:r>
      <w:r>
        <w:rPr>
          <w:rFonts w:hint="eastAsia" w:ascii="Times New Roman" w:hAnsi="Times New Roman" w:eastAsia="黑体" w:cs="Times New Roman"/>
          <w:bCs/>
          <w:color w:val="000000" w:themeColor="text1"/>
          <w:sz w:val="24"/>
          <w:lang w:val="en-US" w:eastAsia="zh-CN"/>
          <w14:textFill>
            <w14:solidFill>
              <w14:schemeClr w14:val="tx1"/>
            </w14:solidFill>
          </w14:textFill>
        </w:rPr>
        <w:t xml:space="preserve">  </w:t>
      </w:r>
      <w:r>
        <w:rPr>
          <w:rFonts w:hint="default" w:ascii="Times New Roman" w:hAnsi="Times New Roman" w:eastAsia="黑体" w:cs="Times New Roman"/>
          <w:bCs/>
          <w:color w:val="000000" w:themeColor="text1"/>
          <w:sz w:val="24"/>
          <w14:textFill>
            <w14:solidFill>
              <w14:schemeClr w14:val="tx1"/>
            </w14:solidFill>
          </w14:textFill>
        </w:rPr>
        <w:t>环境保护图形标志的形状及颜色表</w:t>
      </w:r>
    </w:p>
    <w:tbl>
      <w:tblPr>
        <w:tblStyle w:val="88"/>
        <w:tblW w:w="8505"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127"/>
        <w:gridCol w:w="2126"/>
        <w:gridCol w:w="2126"/>
        <w:gridCol w:w="2126"/>
      </w:tblGrid>
      <w:tr w14:paraId="2EE1B4A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127" w:type="dxa"/>
            <w:vAlign w:val="center"/>
          </w:tcPr>
          <w:p w14:paraId="022C59E7">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标志名称</w:t>
            </w:r>
          </w:p>
        </w:tc>
        <w:tc>
          <w:tcPr>
            <w:tcW w:w="2126" w:type="dxa"/>
            <w:vAlign w:val="center"/>
          </w:tcPr>
          <w:p w14:paraId="00C69782">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形状</w:t>
            </w:r>
          </w:p>
        </w:tc>
        <w:tc>
          <w:tcPr>
            <w:tcW w:w="2126" w:type="dxa"/>
            <w:vAlign w:val="center"/>
          </w:tcPr>
          <w:p w14:paraId="14E055E2">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背景颜色</w:t>
            </w:r>
          </w:p>
        </w:tc>
        <w:tc>
          <w:tcPr>
            <w:tcW w:w="2126" w:type="dxa"/>
            <w:vAlign w:val="center"/>
          </w:tcPr>
          <w:p w14:paraId="66B77EC8">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图形颜色</w:t>
            </w:r>
          </w:p>
        </w:tc>
      </w:tr>
      <w:tr w14:paraId="2139910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127" w:type="dxa"/>
            <w:vAlign w:val="center"/>
          </w:tcPr>
          <w:p w14:paraId="6CB5E67B">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警告标志</w:t>
            </w:r>
          </w:p>
        </w:tc>
        <w:tc>
          <w:tcPr>
            <w:tcW w:w="2126" w:type="dxa"/>
            <w:vAlign w:val="center"/>
          </w:tcPr>
          <w:p w14:paraId="5FFBC045">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三角形边框</w:t>
            </w:r>
          </w:p>
        </w:tc>
        <w:tc>
          <w:tcPr>
            <w:tcW w:w="2126" w:type="dxa"/>
            <w:vAlign w:val="center"/>
          </w:tcPr>
          <w:p w14:paraId="2A765327">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黄色</w:t>
            </w:r>
          </w:p>
        </w:tc>
        <w:tc>
          <w:tcPr>
            <w:tcW w:w="2126" w:type="dxa"/>
            <w:vAlign w:val="center"/>
          </w:tcPr>
          <w:p w14:paraId="62B1BA3A">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黑色</w:t>
            </w:r>
          </w:p>
        </w:tc>
      </w:tr>
      <w:tr w14:paraId="3097614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127" w:type="dxa"/>
            <w:vAlign w:val="center"/>
          </w:tcPr>
          <w:p w14:paraId="08590DD5">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提示标志</w:t>
            </w:r>
          </w:p>
        </w:tc>
        <w:tc>
          <w:tcPr>
            <w:tcW w:w="2126" w:type="dxa"/>
            <w:vAlign w:val="center"/>
          </w:tcPr>
          <w:p w14:paraId="1638AA5F">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正方形边框</w:t>
            </w:r>
          </w:p>
        </w:tc>
        <w:tc>
          <w:tcPr>
            <w:tcW w:w="2126" w:type="dxa"/>
            <w:vAlign w:val="center"/>
          </w:tcPr>
          <w:p w14:paraId="33C54643">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绿色</w:t>
            </w:r>
          </w:p>
        </w:tc>
        <w:tc>
          <w:tcPr>
            <w:tcW w:w="2126" w:type="dxa"/>
            <w:vAlign w:val="center"/>
          </w:tcPr>
          <w:p w14:paraId="04105FBD">
            <w:pPr>
              <w:spacing w:line="276" w:lineRule="auto"/>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白色</w:t>
            </w:r>
          </w:p>
        </w:tc>
      </w:tr>
    </w:tbl>
    <w:p w14:paraId="61BF2961">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473" w:name="_Toc173837806"/>
      <w:r>
        <w:rPr>
          <w:rFonts w:hint="default" w:ascii="Times New Roman" w:hAnsi="Times New Roman" w:eastAsia="黑体" w:cs="Times New Roman"/>
          <w:b w:val="0"/>
          <w:color w:val="000000" w:themeColor="text1"/>
          <w:lang w:val="en-US" w:eastAsia="zh-CN"/>
          <w14:textFill>
            <w14:solidFill>
              <w14:schemeClr w14:val="tx1"/>
            </w14:solidFill>
          </w14:textFill>
        </w:rPr>
        <w:t>8</w:t>
      </w:r>
      <w:r>
        <w:rPr>
          <w:rFonts w:hint="default" w:ascii="Times New Roman" w:hAnsi="Times New Roman" w:eastAsia="黑体" w:cs="Times New Roman"/>
          <w:b w:val="0"/>
          <w:color w:val="000000" w:themeColor="text1"/>
          <w14:textFill>
            <w14:solidFill>
              <w14:schemeClr w14:val="tx1"/>
            </w14:solidFill>
          </w14:textFill>
        </w:rPr>
        <w:t>.6项目排污许可衔接与判定</w:t>
      </w:r>
      <w:bookmarkEnd w:id="473"/>
    </w:p>
    <w:p w14:paraId="5697874B">
      <w:pPr>
        <w:spacing w:line="360" w:lineRule="auto"/>
        <w:ind w:firstLine="472" w:firstLineChars="200"/>
        <w:rPr>
          <w:rFonts w:hint="default" w:ascii="Times New Roman" w:hAnsi="Times New Roman" w:cs="Times New Roman"/>
          <w:color w:val="000000" w:themeColor="text1"/>
          <w:kern w:val="2"/>
          <w:sz w:val="24"/>
          <w:szCs w:val="24"/>
          <w14:textFill>
            <w14:solidFill>
              <w14:schemeClr w14:val="tx1"/>
            </w14:solidFill>
          </w14:textFill>
        </w:rPr>
      </w:pPr>
      <w:r>
        <w:rPr>
          <w:rFonts w:hint="default" w:ascii="Times New Roman" w:hAnsi="Times New Roman" w:cs="Times New Roman"/>
          <w:color w:val="000000" w:themeColor="text1"/>
          <w:kern w:val="2"/>
          <w:sz w:val="24"/>
          <w:szCs w:val="24"/>
          <w14:textFill>
            <w14:solidFill>
              <w14:schemeClr w14:val="tx1"/>
            </w14:solidFill>
          </w14:textFill>
        </w:rPr>
        <w:t>根据《国务院办公厅关于印发控制污染物排放许可制实施方案的通知》（国办发〔2016〕81号）和《环境保护部关于印发〈“十三五”环境影响评价改革实施方案〉的通知》（环环评〔2016〕95号），环境影响评价制度是建设项目的环境准入门槛，是申请排污许可证的前提和重要依据。排污许可制是企事业单位生产运营期排污的法律依据，必须做好充分衔接工作，实现从污染预防到污染治理和排放控制的全程监管。</w:t>
      </w:r>
    </w:p>
    <w:p w14:paraId="785ADAF0">
      <w:pPr>
        <w:spacing w:line="360" w:lineRule="auto"/>
        <w:ind w:firstLine="472" w:firstLineChars="200"/>
        <w:rPr>
          <w:rFonts w:hint="default" w:ascii="Times New Roman" w:hAnsi="Times New Roman" w:cs="Times New Roman"/>
          <w:color w:val="000000" w:themeColor="text1"/>
          <w:kern w:val="2"/>
          <w:sz w:val="24"/>
          <w:szCs w:val="24"/>
          <w14:textFill>
            <w14:solidFill>
              <w14:schemeClr w14:val="tx1"/>
            </w14:solidFill>
          </w14:textFill>
        </w:rPr>
      </w:pPr>
      <w:r>
        <w:rPr>
          <w:rFonts w:hint="default" w:ascii="Times New Roman" w:hAnsi="Times New Roman" w:cs="Times New Roman"/>
          <w:color w:val="000000" w:themeColor="text1"/>
          <w:kern w:val="2"/>
          <w:sz w:val="24"/>
          <w:szCs w:val="24"/>
          <w14:textFill>
            <w14:solidFill>
              <w14:schemeClr w14:val="tx1"/>
            </w14:solidFill>
          </w14:textFill>
        </w:rPr>
        <w:t>本项目属于</w:t>
      </w:r>
      <w:r>
        <w:rPr>
          <w:rFonts w:hint="default" w:ascii="Times New Roman" w:hAnsi="Times New Roman" w:cs="Times New Roman"/>
          <w:color w:val="000000" w:themeColor="text1"/>
          <w:kern w:val="2"/>
          <w:sz w:val="24"/>
          <w:szCs w:val="24"/>
          <w:lang w:eastAsia="zh-CN"/>
          <w14:textFill>
            <w14:solidFill>
              <w14:schemeClr w14:val="tx1"/>
            </w14:solidFill>
          </w14:textFill>
        </w:rPr>
        <w:t>C4220非金属废料和碎屑加工处理</w:t>
      </w:r>
      <w:r>
        <w:rPr>
          <w:rFonts w:hint="eastAsia" w:cs="Times New Roman"/>
          <w:color w:val="000000" w:themeColor="text1"/>
          <w:kern w:val="2"/>
          <w:sz w:val="24"/>
          <w:szCs w:val="24"/>
          <w:lang w:eastAsia="zh-CN"/>
          <w14:textFill>
            <w14:solidFill>
              <w14:schemeClr w14:val="tx1"/>
            </w14:solidFill>
          </w14:textFill>
        </w:rPr>
        <w:t>和</w:t>
      </w:r>
      <w:r>
        <w:rPr>
          <w:rFonts w:hint="eastAsia" w:cs="Times New Roman"/>
          <w:color w:val="000000" w:themeColor="text1"/>
          <w:kern w:val="2"/>
          <w:sz w:val="24"/>
          <w:szCs w:val="24"/>
          <w:lang w:val="en-US" w:eastAsia="zh-CN"/>
          <w14:textFill>
            <w14:solidFill>
              <w14:schemeClr w14:val="tx1"/>
            </w14:solidFill>
          </w14:textFill>
        </w:rPr>
        <w:t>C2929塑料零件及其他塑料制品制造</w:t>
      </w:r>
      <w:r>
        <w:rPr>
          <w:rFonts w:hint="default" w:ascii="Times New Roman" w:hAnsi="Times New Roman" w:cs="Times New Roman"/>
          <w:color w:val="000000" w:themeColor="text1"/>
          <w:kern w:val="2"/>
          <w:sz w:val="24"/>
          <w:szCs w:val="24"/>
          <w14:textFill>
            <w14:solidFill>
              <w14:schemeClr w14:val="tx1"/>
            </w14:solidFill>
          </w14:textFill>
        </w:rPr>
        <w:t>，根据《固定污染源排污许可分类管理名录》（2019年版）（环境保护部令第45号，2019年7月11日），</w:t>
      </w:r>
      <w:r>
        <w:rPr>
          <w:rFonts w:hint="default" w:ascii="Times New Roman" w:hAnsi="Times New Roman" w:cs="Times New Roman"/>
          <w:b/>
          <w:color w:val="000000" w:themeColor="text1"/>
          <w:kern w:val="2"/>
          <w:sz w:val="24"/>
          <w:szCs w:val="24"/>
          <w14:textFill>
            <w14:solidFill>
              <w14:schemeClr w14:val="tx1"/>
            </w14:solidFill>
          </w14:textFill>
        </w:rPr>
        <w:t>本项目属于</w:t>
      </w:r>
      <w:r>
        <w:rPr>
          <w:rFonts w:hint="default" w:ascii="Times New Roman" w:hAnsi="Times New Roman" w:cs="Times New Roman"/>
          <w:b/>
          <w:color w:val="000000" w:themeColor="text1"/>
          <w:kern w:val="2"/>
          <w:sz w:val="24"/>
          <w:szCs w:val="24"/>
          <w:lang w:eastAsia="zh-CN"/>
          <w14:textFill>
            <w14:solidFill>
              <w14:schemeClr w14:val="tx1"/>
            </w14:solidFill>
          </w14:textFill>
        </w:rPr>
        <w:t>简化</w:t>
      </w:r>
      <w:r>
        <w:rPr>
          <w:rFonts w:hint="default" w:ascii="Times New Roman" w:hAnsi="Times New Roman" w:cs="Times New Roman"/>
          <w:b/>
          <w:color w:val="000000" w:themeColor="text1"/>
          <w:kern w:val="2"/>
          <w:sz w:val="24"/>
          <w:szCs w:val="24"/>
          <w14:textFill>
            <w14:solidFill>
              <w14:schemeClr w14:val="tx1"/>
            </w14:solidFill>
          </w14:textFill>
        </w:rPr>
        <w:t>管理行业</w:t>
      </w:r>
      <w:r>
        <w:rPr>
          <w:rFonts w:hint="default" w:ascii="Times New Roman" w:hAnsi="Times New Roman" w:cs="Times New Roman"/>
          <w:color w:val="000000" w:themeColor="text1"/>
          <w:kern w:val="2"/>
          <w:sz w:val="24"/>
          <w:szCs w:val="24"/>
          <w14:textFill>
            <w14:solidFill>
              <w14:schemeClr w14:val="tx1"/>
            </w14:solidFill>
          </w14:textFill>
        </w:rPr>
        <w:t>。根据《安徽省生态环境厅关于统筹做好固定污染源排污许可日常监管工作的通知》（皖环发【2021】7号）中要求“（七）属于现行《固定污染源排污许可分类管理名录》内重点管理和简化管理的行业，建设单位在组织编制建设项目环境影响报告书（表）时，可结合相应行业排污许可证申请与核发技术规范，在环评文件中一并明确“建设项目环境影响评价与排污许可联动内容”和“建设项目排污许可申请与填报信息表”。建设单位在实际排污行为发生前申领排污许可证时，应按照项目实际建设情况，填报排污许可申请材料，在编制自主验收报告时，应专章分析排污许可管理要求的落实情况”，本项目相关的排污许可申报内容，详见附件。</w:t>
      </w:r>
    </w:p>
    <w:p w14:paraId="34C51E77">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default" w:ascii="Times New Roman" w:hAnsi="Times New Roman" w:eastAsia="黑体" w:cs="Times New Roman"/>
          <w:bCs/>
          <w:color w:val="000000" w:themeColor="text1"/>
          <w:sz w:val="24"/>
          <w:lang w:val="en-US" w:eastAsia="zh-CN"/>
          <w14:textFill>
            <w14:solidFill>
              <w14:schemeClr w14:val="tx1"/>
            </w14:solidFill>
          </w14:textFill>
        </w:rPr>
        <w:t>8</w:t>
      </w:r>
      <w:r>
        <w:rPr>
          <w:rFonts w:hint="default" w:ascii="Times New Roman" w:hAnsi="Times New Roman" w:eastAsia="黑体" w:cs="Times New Roman"/>
          <w:bCs/>
          <w:color w:val="000000" w:themeColor="text1"/>
          <w:sz w:val="24"/>
          <w14:textFill>
            <w14:solidFill>
              <w14:schemeClr w14:val="tx1"/>
            </w14:solidFill>
          </w14:textFill>
        </w:rPr>
        <w:t>.6-1</w:t>
      </w:r>
      <w:r>
        <w:rPr>
          <w:rFonts w:hint="eastAsia" w:ascii="Times New Roman" w:hAnsi="Times New Roman" w:eastAsia="黑体" w:cs="Times New Roman"/>
          <w:bCs/>
          <w:color w:val="000000" w:themeColor="text1"/>
          <w:sz w:val="24"/>
          <w:lang w:val="en-US" w:eastAsia="zh-CN"/>
          <w14:textFill>
            <w14:solidFill>
              <w14:schemeClr w14:val="tx1"/>
            </w14:solidFill>
          </w14:textFill>
        </w:rPr>
        <w:t xml:space="preserve">  </w:t>
      </w:r>
      <w:r>
        <w:rPr>
          <w:rFonts w:hint="default" w:ascii="Times New Roman" w:hAnsi="Times New Roman" w:eastAsia="黑体" w:cs="Times New Roman"/>
          <w:bCs/>
          <w:color w:val="000000" w:themeColor="text1"/>
          <w:sz w:val="24"/>
          <w14:textFill>
            <w14:solidFill>
              <w14:schemeClr w14:val="tx1"/>
            </w14:solidFill>
          </w14:textFill>
        </w:rPr>
        <w:t>排污许可分类管理一览表</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5"/>
        <w:gridCol w:w="1476"/>
        <w:gridCol w:w="3115"/>
        <w:gridCol w:w="2124"/>
        <w:gridCol w:w="1199"/>
      </w:tblGrid>
      <w:tr w14:paraId="203C8F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1" w:type="pct"/>
            <w:vAlign w:val="center"/>
          </w:tcPr>
          <w:p w14:paraId="1573F84B">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序号</w:t>
            </w:r>
          </w:p>
        </w:tc>
        <w:tc>
          <w:tcPr>
            <w:tcW w:w="865" w:type="pct"/>
            <w:vAlign w:val="center"/>
          </w:tcPr>
          <w:p w14:paraId="56B2490E">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行业类别</w:t>
            </w:r>
          </w:p>
        </w:tc>
        <w:tc>
          <w:tcPr>
            <w:tcW w:w="1826" w:type="pct"/>
            <w:vAlign w:val="center"/>
          </w:tcPr>
          <w:p w14:paraId="3DC0A471">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重点管理</w:t>
            </w:r>
          </w:p>
        </w:tc>
        <w:tc>
          <w:tcPr>
            <w:tcW w:w="1245" w:type="pct"/>
            <w:vAlign w:val="center"/>
          </w:tcPr>
          <w:p w14:paraId="4B18142F">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简化管理</w:t>
            </w:r>
          </w:p>
        </w:tc>
        <w:tc>
          <w:tcPr>
            <w:tcW w:w="701" w:type="pct"/>
            <w:vAlign w:val="center"/>
          </w:tcPr>
          <w:p w14:paraId="6EA5ED4E">
            <w:pPr>
              <w:spacing w:line="276" w:lineRule="auto"/>
              <w:jc w:val="center"/>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
                <w:color w:val="000000" w:themeColor="text1"/>
                <w:kern w:val="2"/>
                <w:sz w:val="21"/>
                <w:szCs w:val="21"/>
                <w14:textFill>
                  <w14:solidFill>
                    <w14:schemeClr w14:val="tx1"/>
                  </w14:solidFill>
                </w14:textFill>
              </w:rPr>
              <w:t>登记管理</w:t>
            </w:r>
          </w:p>
        </w:tc>
      </w:tr>
      <w:tr w14:paraId="216336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5"/>
            <w:vAlign w:val="center"/>
          </w:tcPr>
          <w:p w14:paraId="6D76AFDC">
            <w:pPr>
              <w:spacing w:line="276" w:lineRule="auto"/>
              <w:jc w:val="left"/>
              <w:rPr>
                <w:rFonts w:hint="default" w:ascii="Times New Roman" w:hAnsi="Times New Roman" w:cs="Times New Roman"/>
                <w:b/>
                <w:color w:val="000000" w:themeColor="text1"/>
                <w:kern w:val="2"/>
                <w:sz w:val="21"/>
                <w:szCs w:val="21"/>
                <w14:textFill>
                  <w14:solidFill>
                    <w14:schemeClr w14:val="tx1"/>
                  </w14:solidFill>
                </w14:textFill>
              </w:rPr>
            </w:pPr>
            <w:r>
              <w:rPr>
                <w:rFonts w:hint="default" w:ascii="Times New Roman" w:hAnsi="Times New Roman" w:cs="Times New Roman"/>
                <w:bCs/>
                <w:color w:val="000000" w:themeColor="text1"/>
                <w:kern w:val="2"/>
                <w:sz w:val="21"/>
                <w:szCs w:val="21"/>
                <w14:textFill>
                  <w14:solidFill>
                    <w14:schemeClr w14:val="tx1"/>
                  </w14:solidFill>
                </w14:textFill>
              </w:rPr>
              <w:t>三十七、废弃资源综合利用业42</w:t>
            </w:r>
          </w:p>
        </w:tc>
      </w:tr>
      <w:tr w14:paraId="4B189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1" w:type="pct"/>
            <w:shd w:val="clear" w:color="auto" w:fill="auto"/>
            <w:vAlign w:val="center"/>
          </w:tcPr>
          <w:p w14:paraId="5CB25B39">
            <w:pPr>
              <w:spacing w:line="276" w:lineRule="auto"/>
              <w:jc w:val="center"/>
              <w:rPr>
                <w:rFonts w:hint="default" w:ascii="Times New Roman" w:hAnsi="Times New Roman" w:cs="Times New Roman"/>
                <w:bCs/>
                <w:color w:val="000000" w:themeColor="text1"/>
                <w:kern w:val="2"/>
                <w:sz w:val="21"/>
                <w:szCs w:val="21"/>
                <w14:textFill>
                  <w14:solidFill>
                    <w14:schemeClr w14:val="tx1"/>
                  </w14:solidFill>
                </w14:textFill>
              </w:rPr>
            </w:pPr>
            <w:r>
              <w:rPr>
                <w:rFonts w:hint="default" w:ascii="Times New Roman" w:hAnsi="Times New Roman" w:cs="Times New Roman"/>
                <w:bCs/>
                <w:color w:val="000000" w:themeColor="text1"/>
                <w:kern w:val="2"/>
                <w:sz w:val="21"/>
                <w:szCs w:val="21"/>
                <w14:textFill>
                  <w14:solidFill>
                    <w14:schemeClr w14:val="tx1"/>
                  </w14:solidFill>
                </w14:textFill>
              </w:rPr>
              <w:t>93</w:t>
            </w:r>
          </w:p>
        </w:tc>
        <w:tc>
          <w:tcPr>
            <w:tcW w:w="865" w:type="pct"/>
            <w:shd w:val="clear" w:color="auto" w:fill="auto"/>
            <w:vAlign w:val="center"/>
          </w:tcPr>
          <w:p w14:paraId="48342A37">
            <w:pPr>
              <w:spacing w:line="276" w:lineRule="auto"/>
              <w:jc w:val="center"/>
              <w:rPr>
                <w:rFonts w:hint="default" w:ascii="Times New Roman" w:hAnsi="Times New Roman" w:cs="Times New Roman"/>
                <w:bCs/>
                <w:color w:val="000000" w:themeColor="text1"/>
                <w:kern w:val="2"/>
                <w:sz w:val="21"/>
                <w:szCs w:val="21"/>
                <w14:textFill>
                  <w14:solidFill>
                    <w14:schemeClr w14:val="tx1"/>
                  </w14:solidFill>
                </w14:textFill>
              </w:rPr>
            </w:pPr>
            <w:r>
              <w:rPr>
                <w:rFonts w:hint="default" w:ascii="Times New Roman" w:hAnsi="Times New Roman" w:cs="Times New Roman"/>
                <w:bCs/>
                <w:color w:val="000000" w:themeColor="text1"/>
                <w:kern w:val="2"/>
                <w:sz w:val="21"/>
                <w:szCs w:val="21"/>
                <w14:textFill>
                  <w14:solidFill>
                    <w14:schemeClr w14:val="tx1"/>
                  </w14:solidFill>
                </w14:textFill>
              </w:rPr>
              <w:t>金属废料和碎屑加工处理421，非金属废料和碎屑加工处理422</w:t>
            </w:r>
          </w:p>
        </w:tc>
        <w:tc>
          <w:tcPr>
            <w:tcW w:w="1826" w:type="pct"/>
            <w:shd w:val="clear" w:color="auto" w:fill="auto"/>
            <w:vAlign w:val="center"/>
          </w:tcPr>
          <w:p w14:paraId="5774140B">
            <w:pPr>
              <w:spacing w:line="276" w:lineRule="auto"/>
              <w:jc w:val="center"/>
              <w:rPr>
                <w:rFonts w:hint="default" w:ascii="Times New Roman" w:hAnsi="Times New Roman" w:cs="Times New Roman"/>
                <w:bCs/>
                <w:color w:val="000000" w:themeColor="text1"/>
                <w:kern w:val="2"/>
                <w:sz w:val="21"/>
                <w:szCs w:val="21"/>
                <w14:textFill>
                  <w14:solidFill>
                    <w14:schemeClr w14:val="tx1"/>
                  </w14:solidFill>
                </w14:textFill>
              </w:rPr>
            </w:pPr>
            <w:r>
              <w:rPr>
                <w:rFonts w:hint="default" w:ascii="Times New Roman" w:hAnsi="Times New Roman" w:cs="Times New Roman"/>
                <w:bCs/>
                <w:color w:val="000000" w:themeColor="text1"/>
                <w:kern w:val="2"/>
                <w:sz w:val="21"/>
                <w:szCs w:val="21"/>
                <w14:textFill>
                  <w14:solidFill>
                    <w14:schemeClr w14:val="tx1"/>
                  </w14:solidFill>
                </w14:textFill>
              </w:rPr>
              <w:t>废电池、废油、废轮胎加工处理</w:t>
            </w:r>
          </w:p>
        </w:tc>
        <w:tc>
          <w:tcPr>
            <w:tcW w:w="1245" w:type="pct"/>
            <w:shd w:val="clear" w:color="auto" w:fill="D8D8D8" w:themeFill="background1" w:themeFillShade="D9"/>
            <w:vAlign w:val="center"/>
          </w:tcPr>
          <w:p w14:paraId="229CB9C6">
            <w:pPr>
              <w:spacing w:line="276" w:lineRule="auto"/>
              <w:jc w:val="center"/>
              <w:rPr>
                <w:rFonts w:hint="default" w:ascii="Times New Roman" w:hAnsi="Times New Roman" w:cs="Times New Roman"/>
                <w:bCs/>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废弃电器电子产品、废机动车、废电机、废电线电缆、废塑料、废船、含水洗工艺的其他废料和碎屑加工处理</w:t>
            </w:r>
          </w:p>
        </w:tc>
        <w:tc>
          <w:tcPr>
            <w:tcW w:w="701" w:type="pct"/>
            <w:shd w:val="clear" w:color="auto" w:fill="FFFFFF"/>
            <w:vAlign w:val="center"/>
          </w:tcPr>
          <w:p w14:paraId="7774F891">
            <w:pPr>
              <w:spacing w:line="276" w:lineRule="auto"/>
              <w:jc w:val="center"/>
              <w:rPr>
                <w:rFonts w:hint="default" w:ascii="Times New Roman" w:hAnsi="Times New Roman" w:cs="Times New Roman"/>
                <w:bCs/>
                <w:color w:val="000000" w:themeColor="text1"/>
                <w:kern w:val="2"/>
                <w:sz w:val="21"/>
                <w:szCs w:val="21"/>
                <w14:textFill>
                  <w14:solidFill>
                    <w14:schemeClr w14:val="tx1"/>
                  </w14:solidFill>
                </w14:textFill>
              </w:rPr>
            </w:pPr>
            <w:r>
              <w:rPr>
                <w:rFonts w:hint="default" w:ascii="Times New Roman" w:hAnsi="Times New Roman" w:cs="Times New Roman"/>
                <w:bCs/>
                <w:color w:val="000000" w:themeColor="text1"/>
                <w:kern w:val="2"/>
                <w:sz w:val="21"/>
                <w:szCs w:val="21"/>
                <w14:textFill>
                  <w14:solidFill>
                    <w14:schemeClr w14:val="tx1"/>
                  </w14:solidFill>
                </w14:textFill>
              </w:rPr>
              <w:t>其他</w:t>
            </w:r>
          </w:p>
        </w:tc>
      </w:tr>
      <w:tr w14:paraId="4F8403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5"/>
            <w:shd w:val="clear" w:color="auto" w:fill="auto"/>
            <w:vAlign w:val="center"/>
          </w:tcPr>
          <w:p w14:paraId="08D621DD">
            <w:pPr>
              <w:spacing w:line="276" w:lineRule="auto"/>
              <w:jc w:val="both"/>
              <w:rPr>
                <w:rFonts w:hint="default" w:ascii="Times New Roman" w:hAnsi="Times New Roman" w:cs="Times New Roman"/>
                <w:bCs/>
                <w:color w:val="000000" w:themeColor="text1"/>
                <w:kern w:val="2"/>
                <w:sz w:val="21"/>
                <w:szCs w:val="21"/>
                <w14:textFill>
                  <w14:solidFill>
                    <w14:schemeClr w14:val="tx1"/>
                  </w14:solidFill>
                </w14:textFill>
              </w:rPr>
            </w:pPr>
            <w:r>
              <w:rPr>
                <w:rFonts w:hint="default" w:ascii="Times New Roman" w:hAnsi="Times New Roman" w:cs="Times New Roman"/>
                <w:bCs/>
                <w:color w:val="000000" w:themeColor="text1"/>
                <w:kern w:val="2"/>
                <w:sz w:val="21"/>
                <w:szCs w:val="21"/>
                <w14:textFill>
                  <w14:solidFill>
                    <w14:schemeClr w14:val="tx1"/>
                  </w14:solidFill>
                </w14:textFill>
              </w:rPr>
              <w:t>二十四、橡胶和塑料制品业 29</w:t>
            </w:r>
          </w:p>
        </w:tc>
      </w:tr>
      <w:tr w14:paraId="4F8BA9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1" w:type="pct"/>
            <w:shd w:val="clear" w:color="auto" w:fill="auto"/>
            <w:vAlign w:val="center"/>
          </w:tcPr>
          <w:p w14:paraId="2A7E9789">
            <w:pPr>
              <w:spacing w:line="276" w:lineRule="auto"/>
              <w:jc w:val="center"/>
              <w:rPr>
                <w:rFonts w:hint="default" w:ascii="Times New Roman" w:hAnsi="Times New Roman" w:eastAsia="宋体" w:cs="Times New Roman"/>
                <w:bCs/>
                <w:color w:val="000000" w:themeColor="text1"/>
                <w:kern w:val="2"/>
                <w:sz w:val="21"/>
                <w:szCs w:val="21"/>
                <w:lang w:val="en-US" w:eastAsia="zh-CN"/>
                <w14:textFill>
                  <w14:solidFill>
                    <w14:schemeClr w14:val="tx1"/>
                  </w14:solidFill>
                </w14:textFill>
              </w:rPr>
            </w:pPr>
            <w:r>
              <w:rPr>
                <w:rFonts w:hint="eastAsia" w:cs="Times New Roman"/>
                <w:bCs/>
                <w:color w:val="000000" w:themeColor="text1"/>
                <w:kern w:val="2"/>
                <w:sz w:val="21"/>
                <w:szCs w:val="21"/>
                <w:lang w:val="en-US" w:eastAsia="zh-CN"/>
                <w14:textFill>
                  <w14:solidFill>
                    <w14:schemeClr w14:val="tx1"/>
                  </w14:solidFill>
                </w14:textFill>
              </w:rPr>
              <w:t>62</w:t>
            </w:r>
          </w:p>
        </w:tc>
        <w:tc>
          <w:tcPr>
            <w:tcW w:w="865" w:type="pct"/>
            <w:shd w:val="clear" w:color="auto" w:fill="auto"/>
            <w:vAlign w:val="center"/>
          </w:tcPr>
          <w:p w14:paraId="6DD05E7A">
            <w:pPr>
              <w:spacing w:line="276" w:lineRule="auto"/>
              <w:jc w:val="center"/>
              <w:rPr>
                <w:rFonts w:hint="default" w:ascii="Times New Roman" w:hAnsi="Times New Roman" w:cs="Times New Roman"/>
                <w:bCs/>
                <w:color w:val="000000" w:themeColor="text1"/>
                <w:kern w:val="2"/>
                <w:sz w:val="21"/>
                <w:szCs w:val="21"/>
                <w14:textFill>
                  <w14:solidFill>
                    <w14:schemeClr w14:val="tx1"/>
                  </w14:solidFill>
                </w14:textFill>
              </w:rPr>
            </w:pPr>
            <w:r>
              <w:rPr>
                <w:rFonts w:hint="default" w:ascii="Times New Roman" w:hAnsi="Times New Roman" w:cs="Times New Roman"/>
                <w:bCs/>
                <w:color w:val="000000" w:themeColor="text1"/>
                <w:kern w:val="2"/>
                <w:sz w:val="21"/>
                <w:szCs w:val="21"/>
                <w14:textFill>
                  <w14:solidFill>
                    <w14:schemeClr w14:val="tx1"/>
                  </w14:solidFill>
                </w14:textFill>
              </w:rPr>
              <w:t>塑料制品业 292</w:t>
            </w:r>
          </w:p>
        </w:tc>
        <w:tc>
          <w:tcPr>
            <w:tcW w:w="1826" w:type="pct"/>
            <w:shd w:val="clear" w:color="auto" w:fill="auto"/>
            <w:vAlign w:val="center"/>
          </w:tcPr>
          <w:p w14:paraId="6DA85EB8">
            <w:pPr>
              <w:spacing w:line="276" w:lineRule="auto"/>
              <w:jc w:val="center"/>
              <w:rPr>
                <w:rFonts w:hint="default" w:ascii="Times New Roman" w:hAnsi="Times New Roman" w:cs="Times New Roman"/>
                <w:bCs/>
                <w:color w:val="000000" w:themeColor="text1"/>
                <w:kern w:val="2"/>
                <w:sz w:val="21"/>
                <w:szCs w:val="21"/>
                <w14:textFill>
                  <w14:solidFill>
                    <w14:schemeClr w14:val="tx1"/>
                  </w14:solidFill>
                </w14:textFill>
              </w:rPr>
            </w:pPr>
            <w:r>
              <w:rPr>
                <w:rFonts w:hint="default" w:ascii="Times New Roman" w:hAnsi="Times New Roman" w:cs="Times New Roman"/>
                <w:bCs/>
                <w:color w:val="000000" w:themeColor="text1"/>
                <w:kern w:val="2"/>
                <w:sz w:val="21"/>
                <w:szCs w:val="21"/>
                <w14:textFill>
                  <w14:solidFill>
                    <w14:schemeClr w14:val="tx1"/>
                  </w14:solidFill>
                </w14:textFill>
              </w:rPr>
              <w:t>塑料人造革、合成革制造 2925</w:t>
            </w:r>
          </w:p>
        </w:tc>
        <w:tc>
          <w:tcPr>
            <w:tcW w:w="1245" w:type="pct"/>
            <w:shd w:val="clear" w:color="auto" w:fill="D8D8D8" w:themeFill="background1" w:themeFillShade="D9"/>
            <w:vAlign w:val="center"/>
          </w:tcPr>
          <w:p w14:paraId="0EC3A1E0">
            <w:pPr>
              <w:spacing w:line="276" w:lineRule="auto"/>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年产1万吨及以上的泡沫塑料制造</w:t>
            </w:r>
            <w:r>
              <w:rPr>
                <w:rFonts w:hint="eastAsia" w:cs="Times New Roman"/>
                <w:color w:val="000000" w:themeColor="text1"/>
                <w:lang w:val="en-US" w:eastAsia="zh-CN"/>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2924，年产1万吨及以上涉及改性的塑料薄膜制造</w:t>
            </w:r>
            <w:r>
              <w:rPr>
                <w:rFonts w:hint="eastAsia" w:cs="Times New Roman"/>
                <w:color w:val="000000" w:themeColor="text1"/>
                <w:lang w:val="en-US" w:eastAsia="zh-CN"/>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2921、塑料板、管、型材制造</w:t>
            </w:r>
            <w:r>
              <w:rPr>
                <w:rFonts w:hint="eastAsia" w:cs="Times New Roman"/>
                <w:color w:val="000000" w:themeColor="text1"/>
                <w:lang w:val="en-US" w:eastAsia="zh-CN"/>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2922、塑料丝、绳和编织品制造 2923、塑料包装箱及容器制造 2926、日用塑料品制造 2927、人造草坪制造 2928、塑料零件及其他塑料制品制造 2929</w:t>
            </w:r>
          </w:p>
        </w:tc>
        <w:tc>
          <w:tcPr>
            <w:tcW w:w="701" w:type="pct"/>
            <w:shd w:val="clear" w:color="auto" w:fill="FFFFFF"/>
            <w:vAlign w:val="center"/>
          </w:tcPr>
          <w:p w14:paraId="72C78F5D">
            <w:pPr>
              <w:spacing w:line="276" w:lineRule="auto"/>
              <w:jc w:val="center"/>
              <w:rPr>
                <w:rFonts w:hint="eastAsia" w:ascii="Times New Roman" w:hAnsi="Times New Roman" w:eastAsia="宋体" w:cs="Times New Roman"/>
                <w:bCs/>
                <w:color w:val="000000" w:themeColor="text1"/>
                <w:kern w:val="2"/>
                <w:sz w:val="21"/>
                <w:szCs w:val="21"/>
                <w:lang w:eastAsia="zh-CN"/>
                <w14:textFill>
                  <w14:solidFill>
                    <w14:schemeClr w14:val="tx1"/>
                  </w14:solidFill>
                </w14:textFill>
              </w:rPr>
            </w:pPr>
            <w:r>
              <w:rPr>
                <w:rFonts w:hint="eastAsia" w:cs="Times New Roman"/>
                <w:bCs/>
                <w:color w:val="000000" w:themeColor="text1"/>
                <w:kern w:val="2"/>
                <w:sz w:val="21"/>
                <w:szCs w:val="21"/>
                <w:lang w:eastAsia="zh-CN"/>
                <w14:textFill>
                  <w14:solidFill>
                    <w14:schemeClr w14:val="tx1"/>
                  </w14:solidFill>
                </w14:textFill>
              </w:rPr>
              <w:t>其他</w:t>
            </w:r>
          </w:p>
        </w:tc>
      </w:tr>
    </w:tbl>
    <w:p w14:paraId="71E587C6">
      <w:pPr>
        <w:pStyle w:val="2855"/>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br w:type="page"/>
      </w:r>
      <w:bookmarkStart w:id="474" w:name="_Toc133333811"/>
      <w:bookmarkStart w:id="475" w:name="_Toc346616460"/>
      <w:bookmarkStart w:id="476" w:name="_Toc173837807"/>
      <w:bookmarkStart w:id="477" w:name="_Toc109136011"/>
      <w:bookmarkStart w:id="478" w:name="_Toc133214654"/>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环境影响评价结论</w:t>
      </w:r>
      <w:bookmarkEnd w:id="474"/>
      <w:bookmarkEnd w:id="475"/>
      <w:bookmarkEnd w:id="476"/>
      <w:bookmarkEnd w:id="477"/>
      <w:bookmarkEnd w:id="478"/>
    </w:p>
    <w:p w14:paraId="48F3E0D6">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479" w:name="_Toc479085415"/>
      <w:bookmarkStart w:id="480" w:name="_Toc133214655"/>
      <w:bookmarkStart w:id="481" w:name="_Toc133333812"/>
      <w:bookmarkStart w:id="482" w:name="_Toc109136012"/>
      <w:bookmarkStart w:id="483" w:name="_Toc173837808"/>
      <w:bookmarkStart w:id="484" w:name="_Toc346616461"/>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.1项目</w:t>
      </w:r>
      <w:bookmarkEnd w:id="479"/>
      <w:r>
        <w:rPr>
          <w:rFonts w:hint="default" w:ascii="Times New Roman" w:hAnsi="Times New Roman" w:eastAsia="黑体" w:cs="Times New Roman"/>
          <w:b w:val="0"/>
          <w:color w:val="000000" w:themeColor="text1"/>
          <w14:textFill>
            <w14:solidFill>
              <w14:schemeClr w14:val="tx1"/>
            </w14:solidFill>
          </w14:textFill>
        </w:rPr>
        <w:t>概况</w:t>
      </w:r>
      <w:bookmarkEnd w:id="480"/>
      <w:bookmarkEnd w:id="481"/>
      <w:bookmarkEnd w:id="482"/>
      <w:bookmarkEnd w:id="483"/>
    </w:p>
    <w:p w14:paraId="697E693D">
      <w:pPr>
        <w:pStyle w:val="251"/>
        <w:ind w:firstLine="480"/>
        <w:rPr>
          <w:rFonts w:hint="default" w:ascii="Times New Roman" w:hAnsi="Times New Roman" w:cs="Times New Roman"/>
          <w:bCs/>
          <w:color w:val="000000" w:themeColor="text1"/>
          <w14:textFill>
            <w14:solidFill>
              <w14:schemeClr w14:val="tx1"/>
            </w14:solidFill>
          </w14:textFill>
        </w:rPr>
      </w:pPr>
      <w:bookmarkStart w:id="485" w:name="_Toc109136013"/>
      <w:bookmarkStart w:id="486" w:name="_Toc133214656"/>
      <w:bookmarkStart w:id="487" w:name="_Toc133333813"/>
      <w:r>
        <w:rPr>
          <w:rFonts w:hint="default" w:ascii="Times New Roman" w:hAnsi="Times New Roman" w:cs="Times New Roman"/>
          <w:color w:val="000000" w:themeColor="text1"/>
          <w:lang w:eastAsia="zh-CN"/>
          <w14:textFill>
            <w14:solidFill>
              <w14:schemeClr w14:val="tx1"/>
            </w14:solidFill>
          </w14:textFill>
        </w:rPr>
        <w:t>安徽楹聚环保科技有限公司</w:t>
      </w:r>
      <w:r>
        <w:rPr>
          <w:rFonts w:hint="default" w:ascii="Times New Roman" w:hAnsi="Times New Roman" w:cs="Times New Roman"/>
          <w:color w:val="000000" w:themeColor="text1"/>
          <w14:textFill>
            <w14:solidFill>
              <w14:schemeClr w14:val="tx1"/>
            </w14:solidFill>
          </w14:textFill>
        </w:rPr>
        <w:t>拟投资</w:t>
      </w:r>
      <w:r>
        <w:rPr>
          <w:rFonts w:hint="default" w:ascii="Times New Roman" w:hAnsi="Times New Roman" w:cs="Times New Roman"/>
          <w:color w:val="000000" w:themeColor="text1"/>
          <w:lang w:val="en-US" w:eastAsia="zh-CN"/>
          <w14:textFill>
            <w14:solidFill>
              <w14:schemeClr w14:val="tx1"/>
            </w14:solidFill>
          </w14:textFill>
        </w:rPr>
        <w:t>4197</w:t>
      </w:r>
      <w:r>
        <w:rPr>
          <w:rFonts w:hint="default" w:ascii="Times New Roman" w:hAnsi="Times New Roman" w:cs="Times New Roman"/>
          <w:color w:val="000000" w:themeColor="text1"/>
          <w14:textFill>
            <w14:solidFill>
              <w14:schemeClr w14:val="tx1"/>
            </w14:solidFill>
          </w14:textFill>
        </w:rPr>
        <w:t>万元在</w:t>
      </w:r>
      <w:r>
        <w:rPr>
          <w:rFonts w:hint="default" w:ascii="Times New Roman" w:hAnsi="Times New Roman" w:cs="Times New Roman"/>
          <w:color w:val="000000" w:themeColor="text1"/>
          <w:lang w:eastAsia="zh-CN"/>
          <w14:textFill>
            <w14:solidFill>
              <w14:schemeClr w14:val="tx1"/>
            </w14:solidFill>
          </w14:textFill>
        </w:rPr>
        <w:t>安徽省淮南市毛集社会发展综合实验区</w:t>
      </w:r>
      <w:r>
        <w:rPr>
          <w:rFonts w:hint="default" w:ascii="Times New Roman" w:hAnsi="Times New Roman" w:cs="Times New Roman"/>
          <w:color w:val="000000" w:themeColor="text1"/>
          <w14:textFill>
            <w14:solidFill>
              <w14:schemeClr w14:val="tx1"/>
            </w14:solidFill>
          </w14:textFill>
        </w:rPr>
        <w:t>建设</w:t>
      </w:r>
      <w:r>
        <w:rPr>
          <w:rFonts w:hint="default" w:ascii="Times New Roman" w:hAnsi="Times New Roman" w:cs="Times New Roman"/>
          <w:color w:val="000000" w:themeColor="text1"/>
          <w:lang w:eastAsia="zh-CN"/>
          <w14:textFill>
            <w14:solidFill>
              <w14:schemeClr w14:val="tx1"/>
            </w14:solidFill>
          </w14:textFill>
        </w:rPr>
        <w:t>PET再生资源综合利用项目</w:t>
      </w:r>
      <w:r>
        <w:rPr>
          <w:rFonts w:hint="default" w:ascii="Times New Roman" w:hAnsi="Times New Roman" w:cs="Times New Roman"/>
          <w:color w:val="000000" w:themeColor="text1"/>
          <w14:textFill>
            <w14:solidFill>
              <w14:schemeClr w14:val="tx1"/>
            </w14:solidFill>
          </w14:textFill>
        </w:rPr>
        <w:t>，本项目占地面积约21亩，租赁并改造钢构厂房及办公楼约9600平方米，购置整瓶处理设备、瓶片清洗设备、色选、粉碎及造粒等设备，新建PET再生切片生产线6条</w:t>
      </w:r>
      <w:r>
        <w:rPr>
          <w:rFonts w:hint="default" w:ascii="Times New Roman" w:hAnsi="Times New Roman" w:cs="Times New Roman"/>
          <w:color w:val="000000" w:themeColor="text1"/>
          <w:lang w:eastAsia="zh-CN"/>
          <w14:textFill>
            <w14:solidFill>
              <w14:schemeClr w14:val="tx1"/>
            </w14:solidFill>
          </w14:textFill>
        </w:rPr>
        <w:t>（3条</w:t>
      </w:r>
      <w:r>
        <w:rPr>
          <w:rFonts w:hint="default" w:ascii="Times New Roman" w:hAnsi="Times New Roman" w:cs="Times New Roman"/>
          <w:color w:val="000000" w:themeColor="text1"/>
          <w:lang w:val="en-US" w:eastAsia="zh-CN"/>
          <w14:textFill>
            <w14:solidFill>
              <w14:schemeClr w14:val="tx1"/>
            </w14:solidFill>
          </w14:textFill>
        </w:rPr>
        <w:t>PET瓶片破碎</w:t>
      </w:r>
      <w:r>
        <w:rPr>
          <w:rFonts w:hint="default" w:ascii="Times New Roman" w:hAnsi="Times New Roman" w:cs="Times New Roman"/>
          <w:color w:val="000000" w:themeColor="text1"/>
          <w:lang w:eastAsia="zh-CN"/>
          <w14:textFill>
            <w14:solidFill>
              <w14:schemeClr w14:val="tx1"/>
            </w14:solidFill>
          </w14:textFill>
        </w:rPr>
        <w:t>清洗分选生产线，1条标签纸生产线，1条瓶盖生产线，1条瓶盖清洗线）</w:t>
      </w:r>
      <w:r>
        <w:rPr>
          <w:rFonts w:hint="default" w:ascii="Times New Roman" w:hAnsi="Times New Roman" w:cs="Times New Roman"/>
          <w:color w:val="000000" w:themeColor="text1"/>
          <w14:textFill>
            <w14:solidFill>
              <w14:schemeClr w14:val="tx1"/>
            </w14:solidFill>
          </w14:textFill>
        </w:rPr>
        <w:t>，改性颗粒生产线2条，并配套建设消防、给排水、供配电、节能环保等附属设施。项目建成后可实现年产瓶片6.3万吨、标签纸0.7万吨、瓶盖0.7万吨、瓶沫0.3万吨、改性塑料粒子2万吨。本项目于</w:t>
      </w:r>
      <w:r>
        <w:rPr>
          <w:rFonts w:hint="default" w:ascii="Times New Roman" w:hAnsi="Times New Roman" w:cs="Times New Roman"/>
          <w:color w:val="000000" w:themeColor="text1"/>
          <w:lang w:eastAsia="zh-CN"/>
          <w14:textFill>
            <w14:solidFill>
              <w14:schemeClr w14:val="tx1"/>
            </w14:solidFill>
          </w14:textFill>
        </w:rPr>
        <w:t>2025年10月28日</w:t>
      </w:r>
      <w:r>
        <w:rPr>
          <w:rFonts w:hint="default" w:ascii="Times New Roman" w:hAnsi="Times New Roman" w:cs="Times New Roman"/>
          <w:color w:val="000000" w:themeColor="text1"/>
          <w14:textFill>
            <w14:solidFill>
              <w14:schemeClr w14:val="tx1"/>
            </w14:solidFill>
          </w14:textFill>
        </w:rPr>
        <w:t>取得淮南市毛集社会发展综合实验区发展改革局备案（项目代码：</w:t>
      </w:r>
      <w:r>
        <w:rPr>
          <w:rFonts w:hint="default" w:ascii="Times New Roman" w:hAnsi="Times New Roman" w:cs="Times New Roman"/>
          <w:color w:val="000000" w:themeColor="text1"/>
          <w:lang w:eastAsia="zh-CN"/>
          <w14:textFill>
            <w14:solidFill>
              <w14:schemeClr w14:val="tx1"/>
            </w14:solidFill>
          </w14:textFill>
        </w:rPr>
        <w:t>2507-340407-04-01-650055</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bCs/>
          <w:color w:val="000000" w:themeColor="text1"/>
          <w14:textFill>
            <w14:solidFill>
              <w14:schemeClr w14:val="tx1"/>
            </w14:solidFill>
          </w14:textFill>
        </w:rPr>
        <w:t>。</w:t>
      </w:r>
    </w:p>
    <w:p w14:paraId="60AF306A">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488" w:name="_Toc173837809"/>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.2</w:t>
      </w:r>
      <w:bookmarkEnd w:id="484"/>
      <w:r>
        <w:rPr>
          <w:rFonts w:hint="default" w:ascii="Times New Roman" w:hAnsi="Times New Roman" w:eastAsia="黑体" w:cs="Times New Roman"/>
          <w:b w:val="0"/>
          <w:color w:val="000000" w:themeColor="text1"/>
          <w14:textFill>
            <w14:solidFill>
              <w14:schemeClr w14:val="tx1"/>
            </w14:solidFill>
          </w14:textFill>
        </w:rPr>
        <w:t>产业政策相符性</w:t>
      </w:r>
      <w:bookmarkEnd w:id="485"/>
      <w:bookmarkEnd w:id="486"/>
      <w:bookmarkEnd w:id="487"/>
      <w:bookmarkEnd w:id="488"/>
    </w:p>
    <w:p w14:paraId="5EFED118">
      <w:pPr>
        <w:spacing w:line="360" w:lineRule="auto"/>
        <w:ind w:firstLine="480" w:firstLineChars="200"/>
        <w:rPr>
          <w:rFonts w:hint="default" w:ascii="Times New Roman" w:hAnsi="Times New Roman" w:cs="Times New Roman"/>
          <w:color w:val="000000" w:themeColor="text1"/>
          <w:spacing w:val="0"/>
          <w:sz w:val="24"/>
          <w14:textFill>
            <w14:solidFill>
              <w14:schemeClr w14:val="tx1"/>
            </w14:solidFill>
          </w14:textFill>
        </w:rPr>
      </w:pPr>
      <w:bookmarkStart w:id="489" w:name="_Toc133214657"/>
      <w:bookmarkStart w:id="490" w:name="_Toc109136014"/>
      <w:bookmarkStart w:id="491" w:name="_Toc23923870"/>
      <w:bookmarkStart w:id="492" w:name="_Toc511286912"/>
      <w:bookmarkStart w:id="493" w:name="_Toc133333814"/>
      <w:bookmarkStart w:id="494" w:name="_Toc517696066"/>
      <w:bookmarkStart w:id="495" w:name="_Toc346616464"/>
      <w:r>
        <w:rPr>
          <w:rFonts w:hint="default" w:ascii="Times New Roman" w:hAnsi="Times New Roman" w:cs="Times New Roman"/>
          <w:color w:val="000000" w:themeColor="text1"/>
          <w:spacing w:val="0"/>
          <w:sz w:val="24"/>
          <w14:textFill>
            <w14:solidFill>
              <w14:schemeClr w14:val="tx1"/>
            </w14:solidFill>
          </w14:textFill>
        </w:rPr>
        <w:t>本项目为</w:t>
      </w:r>
      <w:r>
        <w:rPr>
          <w:rFonts w:hint="default" w:ascii="Times New Roman" w:hAnsi="Times New Roman" w:cs="Times New Roman"/>
          <w:color w:val="000000" w:themeColor="text1"/>
          <w:spacing w:val="0"/>
          <w:sz w:val="24"/>
          <w:lang w:eastAsia="zh-CN"/>
          <w14:textFill>
            <w14:solidFill>
              <w14:schemeClr w14:val="tx1"/>
            </w14:solidFill>
          </w14:textFill>
        </w:rPr>
        <w:t>C4220 非金属废料和碎屑加工处理</w:t>
      </w:r>
      <w:r>
        <w:rPr>
          <w:rFonts w:hint="eastAsia" w:cs="Times New Roman"/>
          <w:color w:val="000000" w:themeColor="text1"/>
          <w:spacing w:val="0"/>
          <w:sz w:val="24"/>
          <w:lang w:eastAsia="zh-CN"/>
          <w14:textFill>
            <w14:solidFill>
              <w14:schemeClr w14:val="tx1"/>
            </w14:solidFill>
          </w14:textFill>
        </w:rPr>
        <w:t>和</w:t>
      </w:r>
      <w:r>
        <w:rPr>
          <w:rFonts w:hint="eastAsia" w:cs="Times New Roman"/>
          <w:color w:val="000000" w:themeColor="text1"/>
          <w:kern w:val="2"/>
          <w:sz w:val="24"/>
          <w:szCs w:val="24"/>
          <w:lang w:val="en-US" w:eastAsia="zh-CN"/>
          <w14:textFill>
            <w14:solidFill>
              <w14:schemeClr w14:val="tx1"/>
            </w14:solidFill>
          </w14:textFill>
        </w:rPr>
        <w:t>C2929塑料零件及其他塑料制品制造</w:t>
      </w:r>
      <w:r>
        <w:rPr>
          <w:rFonts w:hint="default" w:ascii="Times New Roman" w:hAnsi="Times New Roman" w:cs="Times New Roman"/>
          <w:color w:val="000000" w:themeColor="text1"/>
          <w:sz w:val="24"/>
          <w14:textFill>
            <w14:solidFill>
              <w14:schemeClr w14:val="tx1"/>
            </w14:solidFill>
          </w14:textFill>
        </w:rPr>
        <w:t>，对照国家《产业结构调整指导目录（2024年本）》，</w:t>
      </w:r>
      <w:r>
        <w:rPr>
          <w:rFonts w:hint="default" w:ascii="Times New Roman" w:hAnsi="Times New Roman" w:cs="Times New Roman"/>
          <w:color w:val="000000" w:themeColor="text1"/>
          <w:spacing w:val="0"/>
          <w:sz w:val="24"/>
          <w14:textFill>
            <w14:solidFill>
              <w14:schemeClr w14:val="tx1"/>
            </w14:solidFill>
          </w14:textFill>
        </w:rPr>
        <w:t>项目属于“废弃物循环利用：废钢铁、废有色金属、废纸、废橡胶、废玻璃、</w:t>
      </w:r>
      <w:r>
        <w:rPr>
          <w:rFonts w:hint="default" w:ascii="Times New Roman" w:hAnsi="Times New Roman" w:cs="Times New Roman"/>
          <w:b/>
          <w:bCs/>
          <w:color w:val="000000" w:themeColor="text1"/>
          <w:spacing w:val="0"/>
          <w:sz w:val="24"/>
          <w14:textFill>
            <w14:solidFill>
              <w14:schemeClr w14:val="tx1"/>
            </w14:solidFill>
          </w14:textFill>
        </w:rPr>
        <w:t>废塑料</w:t>
      </w:r>
      <w:r>
        <w:rPr>
          <w:rFonts w:hint="default" w:ascii="Times New Roman" w:hAnsi="Times New Roman" w:cs="Times New Roman"/>
          <w:color w:val="000000" w:themeColor="text1"/>
          <w:spacing w:val="0"/>
          <w:sz w:val="24"/>
          <w14:textFill>
            <w14:solidFill>
              <w14:schemeClr w14:val="tx1"/>
            </w14:solidFill>
          </w14:textFill>
        </w:rPr>
        <w:t>、废旧木材以及报废汽车、</w:t>
      </w:r>
      <w:r>
        <w:rPr>
          <w:rFonts w:hint="default" w:ascii="Times New Roman" w:hAnsi="Times New Roman" w:cs="Times New Roman"/>
          <w:b w:val="0"/>
          <w:bCs/>
          <w:color w:val="000000" w:themeColor="text1"/>
          <w:spacing w:val="0"/>
          <w:sz w:val="24"/>
          <w14:textFill>
            <w14:solidFill>
              <w14:schemeClr w14:val="tx1"/>
            </w14:solidFill>
          </w14:textFill>
        </w:rPr>
        <w:t>废弃电器电子产品</w:t>
      </w:r>
      <w:r>
        <w:rPr>
          <w:rFonts w:hint="default" w:ascii="Times New Roman" w:hAnsi="Times New Roman" w:cs="Times New Roman"/>
          <w:color w:val="000000" w:themeColor="text1"/>
          <w:spacing w:val="0"/>
          <w:sz w:val="24"/>
          <w14:textFill>
            <w14:solidFill>
              <w14:schemeClr w14:val="tx1"/>
            </w14:solidFill>
          </w14:textFill>
        </w:rPr>
        <w:t>、废旧船舶、废旧电池、废轮胎、废弃木质材料、废旧农具、废旧纺织品及纺织废料和边角料、废旧光伏组件、废旧风机叶片、废弃油脂等城市典型废弃物循环利用、技术设备开发及应用，废旧动力电池自动化拆解、自动化快速分选成组、电池剩余寿命及一致性评估、有价组分综合回收、梯次利用、再生利用技术装备开发及应用，低值可回收物回收利用，“城市矿产”基地和资源循环利用基地建设，煤矸石、粉煤灰、尾矿（共伴生矿）、冶炼渣、工业副产石膏、赤泥、建筑垃圾等工业废弃物循环利用，农作物秸秆、畜禽粪污、农药包装等农林废弃物循环利用，生物质能技术装备（发电、供热、制油、沼气）”，为鼓励类项目。</w:t>
      </w:r>
    </w:p>
    <w:p w14:paraId="3A71D5BA">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对照</w:t>
      </w:r>
      <w:r>
        <w:rPr>
          <w:rFonts w:hint="default" w:ascii="Times New Roman" w:hAnsi="Times New Roman" w:cs="Times New Roman"/>
          <w:color w:val="000000" w:themeColor="text1"/>
          <w:sz w:val="24"/>
          <w14:textFill>
            <w14:solidFill>
              <w14:schemeClr w14:val="tx1"/>
            </w14:solidFill>
          </w14:textFill>
        </w:rPr>
        <w:t>《环境保护综合名录2021年版》，本项目产品不在“高污染、高环境风险”产品名录内。</w:t>
      </w:r>
    </w:p>
    <w:p w14:paraId="522AC8CF">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因此，根据国家《产业结构调整指导目录（2024年本）》、</w:t>
      </w:r>
      <w:r>
        <w:rPr>
          <w:rFonts w:hint="default" w:ascii="Times New Roman" w:hAnsi="Times New Roman" w:cs="Times New Roman"/>
          <w:color w:val="000000" w:themeColor="text1"/>
          <w:sz w:val="24"/>
          <w14:textFill>
            <w14:solidFill>
              <w14:schemeClr w14:val="tx1"/>
            </w14:solidFill>
          </w14:textFill>
        </w:rPr>
        <w:t>《环境保护综合名录2021年版》</w:t>
      </w:r>
      <w:r>
        <w:rPr>
          <w:rFonts w:hint="default" w:ascii="Times New Roman" w:hAnsi="Times New Roman" w:cs="Times New Roman"/>
          <w:color w:val="000000" w:themeColor="text1"/>
          <w:sz w:val="24"/>
          <w:szCs w:val="24"/>
          <w14:textFill>
            <w14:solidFill>
              <w14:schemeClr w14:val="tx1"/>
            </w14:solidFill>
          </w14:textFill>
        </w:rPr>
        <w:t>，本项目符合国家产业政策。</w:t>
      </w:r>
    </w:p>
    <w:p w14:paraId="79163FD0">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496" w:name="_Toc173837810"/>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.3环境质量现状</w:t>
      </w:r>
      <w:bookmarkEnd w:id="489"/>
      <w:bookmarkEnd w:id="490"/>
      <w:bookmarkEnd w:id="491"/>
      <w:bookmarkEnd w:id="492"/>
      <w:bookmarkEnd w:id="493"/>
      <w:bookmarkEnd w:id="494"/>
      <w:bookmarkEnd w:id="496"/>
    </w:p>
    <w:p w14:paraId="7A0292AB">
      <w:pPr>
        <w:pStyle w:val="3159"/>
        <w:rPr>
          <w:rFonts w:hint="default" w:ascii="Times New Roman" w:hAnsi="Times New Roman" w:eastAsia="黑体" w:cs="Times New Roman"/>
          <w:b w:val="0"/>
          <w:color w:val="000000" w:themeColor="text1"/>
          <w14:textFill>
            <w14:solidFill>
              <w14:schemeClr w14:val="tx1"/>
            </w14:solidFill>
          </w14:textFill>
        </w:rPr>
      </w:pPr>
      <w:bookmarkStart w:id="497" w:name="_Toc329596501"/>
      <w:bookmarkStart w:id="498" w:name="_Toc326604568"/>
      <w:bookmarkStart w:id="499" w:name="_Toc326842026"/>
      <w:bookmarkStart w:id="500" w:name="_Toc141627949"/>
      <w:bookmarkStart w:id="501" w:name="_Toc133333815"/>
      <w:bookmarkStart w:id="502" w:name="_Toc326605103"/>
      <w:bookmarkStart w:id="503" w:name="_Toc170562325"/>
      <w:bookmarkStart w:id="504" w:name="_Toc133214658"/>
      <w:bookmarkStart w:id="505" w:name="_Toc327774759"/>
      <w:bookmarkStart w:id="506" w:name="_Toc326606300"/>
      <w:bookmarkStart w:id="507" w:name="_Toc173837811"/>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.3.1大气环境</w:t>
      </w:r>
      <w:bookmarkEnd w:id="497"/>
      <w:bookmarkEnd w:id="498"/>
      <w:bookmarkEnd w:id="499"/>
      <w:bookmarkEnd w:id="500"/>
      <w:bookmarkEnd w:id="501"/>
      <w:bookmarkEnd w:id="502"/>
      <w:bookmarkEnd w:id="503"/>
      <w:bookmarkEnd w:id="504"/>
      <w:bookmarkEnd w:id="505"/>
      <w:bookmarkEnd w:id="506"/>
      <w:bookmarkEnd w:id="507"/>
    </w:p>
    <w:p w14:paraId="6476F483">
      <w:pPr>
        <w:widowControl/>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bookmarkStart w:id="508" w:name="_Toc326842027"/>
      <w:bookmarkStart w:id="509" w:name="_Toc326605104"/>
      <w:bookmarkStart w:id="510" w:name="_Toc329596502"/>
      <w:bookmarkStart w:id="511" w:name="_Toc327774760"/>
      <w:bookmarkStart w:id="512" w:name="_Toc326604569"/>
      <w:bookmarkStart w:id="513" w:name="_Toc326606301"/>
      <w:r>
        <w:rPr>
          <w:rFonts w:hint="default" w:ascii="Times New Roman" w:hAnsi="Times New Roman" w:cs="Times New Roman"/>
          <w:color w:val="000000" w:themeColor="text1"/>
          <w:sz w:val="24"/>
          <w:szCs w:val="21"/>
          <w14:textFill>
            <w14:solidFill>
              <w14:schemeClr w14:val="tx1"/>
            </w14:solidFill>
          </w14:textFill>
        </w:rPr>
        <w:t>根据《</w:t>
      </w:r>
      <w:r>
        <w:rPr>
          <w:rFonts w:hint="default" w:ascii="Times New Roman" w:hAnsi="Times New Roman" w:cs="Times New Roman"/>
          <w:color w:val="000000" w:themeColor="text1"/>
          <w:sz w:val="24"/>
          <w:szCs w:val="21"/>
          <w:lang w:eastAsia="zh-CN"/>
          <w14:textFill>
            <w14:solidFill>
              <w14:schemeClr w14:val="tx1"/>
            </w14:solidFill>
          </w14:textFill>
        </w:rPr>
        <w:t>2024年淮南市生态环境质量状况公报</w:t>
      </w:r>
      <w:r>
        <w:rPr>
          <w:rFonts w:hint="default" w:ascii="Times New Roman" w:hAnsi="Times New Roman" w:cs="Times New Roman"/>
          <w:color w:val="000000" w:themeColor="text1"/>
          <w:sz w:val="24"/>
          <w:szCs w:val="21"/>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并结合《环境空气质量标准》（GB3095-2012）及2018年修改单中二级标准可知，项目所在区域为不达标区。</w:t>
      </w:r>
    </w:p>
    <w:p w14:paraId="466C3580">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根据监测结果，</w:t>
      </w:r>
      <w:r>
        <w:rPr>
          <w:rFonts w:hint="default" w:ascii="Times New Roman" w:hAnsi="Times New Roman" w:cs="Times New Roman"/>
          <w:color w:val="000000" w:themeColor="text1"/>
          <w14:textFill>
            <w14:solidFill>
              <w14:schemeClr w14:val="tx1"/>
            </w14:solidFill>
          </w14:textFill>
        </w:rPr>
        <w:t>各监测点位的TSP满足《环境空气质量标准》（GB3095-2012）表2及附录A中二级浓度限值要求；</w:t>
      </w:r>
      <w:r>
        <w:rPr>
          <w:rFonts w:hint="default" w:ascii="Times New Roman" w:hAnsi="Times New Roman" w:cs="Times New Roman"/>
          <w:color w:val="000000" w:themeColor="text1"/>
          <w:lang w:eastAsia="zh-CN"/>
          <w14:textFill>
            <w14:solidFill>
              <w14:schemeClr w14:val="tx1"/>
            </w14:solidFill>
          </w14:textFill>
        </w:rPr>
        <w:t>硫化氢</w:t>
      </w:r>
      <w:r>
        <w:rPr>
          <w:rFonts w:hint="default" w:ascii="Times New Roman" w:hAnsi="Times New Roman" w:cs="Times New Roman"/>
          <w:color w:val="000000" w:themeColor="text1"/>
          <w14:textFill>
            <w14:solidFill>
              <w14:schemeClr w14:val="tx1"/>
            </w14:solidFill>
          </w14:textFill>
        </w:rPr>
        <w:t>、氨气满足《环境影响评价技术导则大气环境》（HJ2.2-2018）附录D中表D.1其他污染物空气质量浓度参考限值要求；非甲烷总烃满足《大气污染物综合排放标准详解》中限值要求。</w:t>
      </w:r>
    </w:p>
    <w:p w14:paraId="235D4CCD">
      <w:pPr>
        <w:pStyle w:val="3159"/>
        <w:rPr>
          <w:rFonts w:hint="default" w:ascii="Times New Roman" w:hAnsi="Times New Roman" w:eastAsia="黑体" w:cs="Times New Roman"/>
          <w:b w:val="0"/>
          <w:color w:val="000000" w:themeColor="text1"/>
          <w14:textFill>
            <w14:solidFill>
              <w14:schemeClr w14:val="tx1"/>
            </w14:solidFill>
          </w14:textFill>
        </w:rPr>
      </w:pPr>
      <w:bookmarkStart w:id="514" w:name="_Toc141627950"/>
      <w:bookmarkStart w:id="515" w:name="_Toc133214659"/>
      <w:bookmarkStart w:id="516" w:name="_Toc173837812"/>
      <w:bookmarkStart w:id="517" w:name="_Toc133333816"/>
      <w:bookmarkStart w:id="518" w:name="_Toc170562326"/>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.3.2地表水环境</w:t>
      </w:r>
      <w:bookmarkEnd w:id="508"/>
      <w:bookmarkEnd w:id="509"/>
      <w:bookmarkEnd w:id="510"/>
      <w:bookmarkEnd w:id="511"/>
      <w:bookmarkEnd w:id="512"/>
      <w:bookmarkEnd w:id="513"/>
      <w:bookmarkEnd w:id="514"/>
      <w:bookmarkEnd w:id="515"/>
      <w:bookmarkEnd w:id="516"/>
      <w:bookmarkEnd w:id="517"/>
      <w:bookmarkEnd w:id="518"/>
    </w:p>
    <w:p w14:paraId="0AFFBF97">
      <w:pPr>
        <w:widowControl/>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bookmarkStart w:id="519" w:name="_Toc326605105"/>
      <w:bookmarkStart w:id="520" w:name="_Toc329596503"/>
      <w:bookmarkStart w:id="521" w:name="_Toc327774761"/>
      <w:bookmarkStart w:id="522" w:name="_Toc326606302"/>
      <w:bookmarkStart w:id="523" w:name="_Toc326604570"/>
      <w:bookmarkStart w:id="524" w:name="_Toc326842028"/>
      <w:r>
        <w:rPr>
          <w:rFonts w:hint="eastAsia" w:cs="Times New Roman"/>
          <w:color w:val="000000" w:themeColor="text1"/>
          <w:sz w:val="24"/>
          <w:szCs w:val="24"/>
          <w:lang w:val="en-US" w:eastAsia="zh-CN"/>
          <w14:textFill>
            <w14:solidFill>
              <w14:schemeClr w14:val="tx1"/>
            </w14:solidFill>
          </w14:textFill>
        </w:rPr>
        <w:t>西淝河</w:t>
      </w:r>
      <w:r>
        <w:rPr>
          <w:rFonts w:hint="default" w:ascii="Times New Roman" w:hAnsi="Times New Roman" w:cs="Times New Roman"/>
          <w:color w:val="000000" w:themeColor="text1"/>
          <w:sz w:val="24"/>
          <w:szCs w:val="24"/>
          <w14:textFill>
            <w14:solidFill>
              <w14:schemeClr w14:val="tx1"/>
            </w14:solidFill>
          </w14:textFill>
        </w:rPr>
        <w:t>水质满足《地表水环境质量标准》（GB3838-2002）中Ⅲ类标准要求</w:t>
      </w:r>
      <w:r>
        <w:rPr>
          <w:rFonts w:hint="eastAsia"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表明地表水环境现状良好，均具有一定的环境容量。本项目废水</w:t>
      </w:r>
      <w:r>
        <w:rPr>
          <w:rFonts w:hint="default" w:ascii="Times New Roman" w:hAnsi="Times New Roman" w:cs="Times New Roman"/>
          <w:color w:val="000000" w:themeColor="text1"/>
          <w:sz w:val="24"/>
          <w:szCs w:val="24"/>
          <w:lang w:eastAsia="zh-CN"/>
          <w14:textFill>
            <w14:solidFill>
              <w14:schemeClr w14:val="tx1"/>
            </w14:solidFill>
          </w14:textFill>
        </w:rPr>
        <w:t>污染因子简单</w:t>
      </w:r>
      <w:r>
        <w:rPr>
          <w:rFonts w:hint="default" w:ascii="Times New Roman" w:hAnsi="Times New Roman" w:cs="Times New Roman"/>
          <w:color w:val="000000" w:themeColor="text1"/>
          <w:sz w:val="24"/>
          <w:szCs w:val="24"/>
          <w14:textFill>
            <w14:solidFill>
              <w14:schemeClr w14:val="tx1"/>
            </w14:solidFill>
          </w14:textFill>
        </w:rPr>
        <w:t>，建成后对区域地表水体影响较小。</w:t>
      </w:r>
    </w:p>
    <w:p w14:paraId="051765E3">
      <w:pPr>
        <w:pStyle w:val="3159"/>
        <w:rPr>
          <w:rFonts w:hint="default" w:ascii="Times New Roman" w:hAnsi="Times New Roman" w:eastAsia="黑体" w:cs="Times New Roman"/>
          <w:b w:val="0"/>
          <w:color w:val="000000" w:themeColor="text1"/>
          <w14:textFill>
            <w14:solidFill>
              <w14:schemeClr w14:val="tx1"/>
            </w14:solidFill>
          </w14:textFill>
        </w:rPr>
      </w:pPr>
      <w:bookmarkStart w:id="525" w:name="_Toc170562327"/>
      <w:bookmarkStart w:id="526" w:name="_Toc133333817"/>
      <w:bookmarkStart w:id="527" w:name="_Toc133214660"/>
      <w:bookmarkStart w:id="528" w:name="_Toc173837813"/>
      <w:bookmarkStart w:id="529" w:name="_Toc141627951"/>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.3.3声环境</w:t>
      </w:r>
      <w:bookmarkEnd w:id="519"/>
      <w:bookmarkEnd w:id="520"/>
      <w:bookmarkEnd w:id="521"/>
      <w:bookmarkEnd w:id="522"/>
      <w:bookmarkEnd w:id="523"/>
      <w:bookmarkEnd w:id="524"/>
      <w:bookmarkEnd w:id="525"/>
      <w:bookmarkEnd w:id="526"/>
      <w:bookmarkEnd w:id="527"/>
      <w:bookmarkEnd w:id="528"/>
      <w:bookmarkEnd w:id="529"/>
    </w:p>
    <w:p w14:paraId="6FB7745F">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本次声环境质量现状监测共布设4个声环境质量监测点。现状监测结果表明各向厂界监测点昼、夜间噪声均符合《声环境质量标准》（GB3096-2008）中3类标准要求</w:t>
      </w:r>
      <w:r>
        <w:rPr>
          <w:rFonts w:hint="default" w:ascii="Times New Roman" w:hAnsi="Times New Roman" w:cs="Times New Roman"/>
          <w:color w:val="000000" w:themeColor="text1"/>
          <w:sz w:val="24"/>
          <w:szCs w:val="24"/>
          <w14:textFill>
            <w14:solidFill>
              <w14:schemeClr w14:val="tx1"/>
            </w14:solidFill>
          </w14:textFill>
        </w:rPr>
        <w:t>。</w:t>
      </w:r>
    </w:p>
    <w:p w14:paraId="39B2584A">
      <w:pPr>
        <w:pStyle w:val="3159"/>
        <w:rPr>
          <w:rFonts w:hint="default" w:ascii="Times New Roman" w:hAnsi="Times New Roman" w:eastAsia="黑体" w:cs="Times New Roman"/>
          <w:b w:val="0"/>
          <w:color w:val="000000" w:themeColor="text1"/>
          <w14:textFill>
            <w14:solidFill>
              <w14:schemeClr w14:val="tx1"/>
            </w14:solidFill>
          </w14:textFill>
        </w:rPr>
      </w:pPr>
      <w:bookmarkStart w:id="530" w:name="_Toc170562328"/>
      <w:bookmarkStart w:id="531" w:name="_Toc141627952"/>
      <w:bookmarkStart w:id="532" w:name="_Toc173837814"/>
      <w:bookmarkStart w:id="533" w:name="_Toc133333818"/>
      <w:bookmarkStart w:id="534" w:name="_Toc133214661"/>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.3.4地下水环境</w:t>
      </w:r>
      <w:bookmarkEnd w:id="530"/>
      <w:bookmarkEnd w:id="531"/>
      <w:bookmarkEnd w:id="532"/>
      <w:bookmarkEnd w:id="533"/>
      <w:bookmarkEnd w:id="534"/>
    </w:p>
    <w:p w14:paraId="418B012A">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根据监测结果表明，项目所在区域地下水各项监测指标均可达到《地下水质量标准</w:t>
      </w:r>
      <w:r>
        <w:rPr>
          <w:rFonts w:hint="default" w:ascii="Times New Roman" w:hAnsi="Times New Roman" w:cs="Times New Roman"/>
          <w:color w:val="000000" w:themeColor="text1"/>
          <w:spacing w:val="-17"/>
          <w:sz w:val="24"/>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（GB/T14848-2017</w:t>
      </w:r>
      <w:r>
        <w:rPr>
          <w:rFonts w:hint="default" w:ascii="Times New Roman" w:hAnsi="Times New Roman" w:cs="Times New Roman"/>
          <w:color w:val="000000" w:themeColor="text1"/>
          <w:spacing w:val="-8"/>
          <w:sz w:val="24"/>
          <w14:textFill>
            <w14:solidFill>
              <w14:schemeClr w14:val="tx1"/>
            </w14:solidFill>
          </w14:textFill>
        </w:rPr>
        <w:t>）中</w:t>
      </w:r>
      <w:r>
        <w:rPr>
          <w:rFonts w:hint="default" w:ascii="Times New Roman" w:hAnsi="Times New Roman" w:cs="Times New Roman"/>
          <w:color w:val="000000" w:themeColor="text1"/>
          <w:sz w:val="24"/>
          <w:szCs w:val="24"/>
          <w14:textFill>
            <w14:solidFill>
              <w14:schemeClr w14:val="tx1"/>
            </w14:solidFill>
          </w14:textFill>
        </w:rPr>
        <w:t>Ⅲ</w:t>
      </w:r>
      <w:r>
        <w:rPr>
          <w:rFonts w:hint="default" w:ascii="Times New Roman" w:hAnsi="Times New Roman" w:cs="Times New Roman"/>
          <w:color w:val="000000" w:themeColor="text1"/>
          <w:sz w:val="24"/>
          <w14:textFill>
            <w14:solidFill>
              <w14:schemeClr w14:val="tx1"/>
            </w14:solidFill>
          </w14:textFill>
        </w:rPr>
        <w:t>类标准要求。</w:t>
      </w:r>
    </w:p>
    <w:p w14:paraId="5BA4A8AF">
      <w:pPr>
        <w:pStyle w:val="3159"/>
        <w:rPr>
          <w:rFonts w:hint="default" w:ascii="Times New Roman" w:hAnsi="Times New Roman" w:eastAsia="黑体" w:cs="Times New Roman"/>
          <w:b w:val="0"/>
          <w:color w:val="000000" w:themeColor="text1"/>
          <w14:textFill>
            <w14:solidFill>
              <w14:schemeClr w14:val="tx1"/>
            </w14:solidFill>
          </w14:textFill>
        </w:rPr>
      </w:pPr>
      <w:bookmarkStart w:id="535" w:name="_Toc133333819"/>
      <w:bookmarkStart w:id="536" w:name="_Toc170562329"/>
      <w:bookmarkStart w:id="537" w:name="_Toc133214662"/>
      <w:bookmarkStart w:id="538" w:name="_Toc173837815"/>
      <w:bookmarkStart w:id="539" w:name="_Toc141627953"/>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.3.5土壤</w:t>
      </w:r>
      <w:bookmarkEnd w:id="535"/>
      <w:bookmarkEnd w:id="536"/>
      <w:bookmarkEnd w:id="537"/>
      <w:bookmarkEnd w:id="538"/>
      <w:bookmarkEnd w:id="539"/>
    </w:p>
    <w:p w14:paraId="5D62ABD6">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w:t>
      </w:r>
      <w:r>
        <w:rPr>
          <w:rFonts w:hint="default" w:ascii="Times New Roman" w:hAnsi="Times New Roman" w:cs="Times New Roman"/>
          <w:color w:val="000000" w:themeColor="text1"/>
          <w:sz w:val="24"/>
          <w:szCs w:val="24"/>
          <w:lang w:eastAsia="zh-CN"/>
          <w14:textFill>
            <w14:solidFill>
              <w14:schemeClr w14:val="tx1"/>
            </w14:solidFill>
          </w14:textFill>
        </w:rPr>
        <w:t>引用</w:t>
      </w:r>
      <w:r>
        <w:rPr>
          <w:rFonts w:hint="default" w:ascii="Times New Roman" w:hAnsi="Times New Roman" w:cs="Times New Roman"/>
          <w:color w:val="000000" w:themeColor="text1"/>
          <w:sz w:val="24"/>
          <w:szCs w:val="24"/>
          <w14:textFill>
            <w14:solidFill>
              <w14:schemeClr w14:val="tx1"/>
            </w14:solidFill>
          </w14:textFill>
        </w:rPr>
        <w:t>监测结果，项目土壤</w:t>
      </w:r>
      <w:r>
        <w:rPr>
          <w:rFonts w:hint="default" w:ascii="Times New Roman" w:hAnsi="Times New Roman" w:cs="Times New Roman"/>
          <w:color w:val="000000" w:themeColor="text1"/>
          <w:sz w:val="24"/>
          <w:szCs w:val="24"/>
          <w:lang w:eastAsia="zh-CN"/>
          <w14:textFill>
            <w14:solidFill>
              <w14:schemeClr w14:val="tx1"/>
            </w14:solidFill>
          </w14:textFill>
        </w:rPr>
        <w:t>环境</w:t>
      </w:r>
      <w:r>
        <w:rPr>
          <w:rFonts w:hint="default" w:ascii="Times New Roman" w:hAnsi="Times New Roman" w:cs="Times New Roman"/>
          <w:color w:val="000000" w:themeColor="text1"/>
          <w:sz w:val="24"/>
          <w:szCs w:val="24"/>
          <w14:textFill>
            <w14:solidFill>
              <w14:schemeClr w14:val="tx1"/>
            </w14:solidFill>
          </w14:textFill>
        </w:rPr>
        <w:t>监测点位满足《土壤环境质量建设用地土壤污染风险管控标准》中的第二类用地筛选值</w:t>
      </w:r>
    </w:p>
    <w:p w14:paraId="5B727FB3">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540" w:name="_Toc326604571"/>
      <w:bookmarkStart w:id="541" w:name="_Toc326605106"/>
      <w:bookmarkStart w:id="542" w:name="_Toc252347719"/>
      <w:bookmarkStart w:id="543" w:name="_Toc326606303"/>
      <w:bookmarkStart w:id="544" w:name="_Toc326606530"/>
      <w:bookmarkStart w:id="545" w:name="_Toc109136015"/>
      <w:bookmarkStart w:id="546" w:name="_Toc23923871"/>
      <w:bookmarkStart w:id="547" w:name="_Toc133333820"/>
      <w:bookmarkStart w:id="548" w:name="_Toc517696067"/>
      <w:bookmarkStart w:id="549" w:name="_Toc133214663"/>
      <w:bookmarkStart w:id="550" w:name="_Toc173837816"/>
      <w:bookmarkStart w:id="551" w:name="_Toc511286913"/>
      <w:bookmarkStart w:id="552" w:name="_Toc493508505"/>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.4</w:t>
      </w:r>
      <w:bookmarkEnd w:id="540"/>
      <w:bookmarkEnd w:id="541"/>
      <w:bookmarkEnd w:id="542"/>
      <w:bookmarkEnd w:id="543"/>
      <w:bookmarkEnd w:id="544"/>
      <w:r>
        <w:rPr>
          <w:rFonts w:hint="default" w:ascii="Times New Roman" w:hAnsi="Times New Roman" w:eastAsia="黑体" w:cs="Times New Roman"/>
          <w:b w:val="0"/>
          <w:color w:val="000000" w:themeColor="text1"/>
          <w14:textFill>
            <w14:solidFill>
              <w14:schemeClr w14:val="tx1"/>
            </w14:solidFill>
          </w14:textFill>
        </w:rPr>
        <w:t>主要环境影响</w:t>
      </w:r>
      <w:bookmarkEnd w:id="545"/>
      <w:bookmarkEnd w:id="546"/>
      <w:bookmarkEnd w:id="547"/>
      <w:bookmarkEnd w:id="548"/>
      <w:bookmarkEnd w:id="549"/>
      <w:bookmarkEnd w:id="550"/>
      <w:bookmarkEnd w:id="551"/>
      <w:bookmarkEnd w:id="552"/>
    </w:p>
    <w:p w14:paraId="35913467">
      <w:pPr>
        <w:pStyle w:val="3159"/>
        <w:rPr>
          <w:rFonts w:hint="default" w:ascii="Times New Roman" w:hAnsi="Times New Roman" w:eastAsia="黑体" w:cs="Times New Roman"/>
          <w:b w:val="0"/>
          <w:color w:val="000000" w:themeColor="text1"/>
          <w14:textFill>
            <w14:solidFill>
              <w14:schemeClr w14:val="tx1"/>
            </w14:solidFill>
          </w14:textFill>
        </w:rPr>
      </w:pPr>
      <w:bookmarkStart w:id="553" w:name="_Toc141627955"/>
      <w:bookmarkStart w:id="554" w:name="_Toc133333821"/>
      <w:bookmarkStart w:id="555" w:name="_Toc173837817"/>
      <w:bookmarkStart w:id="556" w:name="_Toc133214664"/>
      <w:bookmarkStart w:id="557" w:name="_Toc170562331"/>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.4.1大气环境</w:t>
      </w:r>
      <w:bookmarkEnd w:id="553"/>
      <w:bookmarkEnd w:id="554"/>
      <w:bookmarkEnd w:id="555"/>
      <w:bookmarkEnd w:id="556"/>
      <w:bookmarkEnd w:id="557"/>
    </w:p>
    <w:p w14:paraId="46161248">
      <w:pPr>
        <w:adjustRightInd w:val="0"/>
        <w:spacing w:line="360" w:lineRule="auto"/>
        <w:ind w:firstLine="474" w:firstLineChars="200"/>
        <w:jc w:val="left"/>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1、大气环境影响评价结论</w:t>
      </w:r>
    </w:p>
    <w:p w14:paraId="525B3858">
      <w:pPr>
        <w:pStyle w:val="251"/>
        <w:ind w:firstLine="480"/>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本项目大气污染物主要为</w:t>
      </w:r>
      <w:r>
        <w:rPr>
          <w:rFonts w:hint="default" w:ascii="Times New Roman" w:hAnsi="Times New Roman" w:cs="Times New Roman"/>
          <w:color w:val="000000" w:themeColor="text1"/>
          <w:lang w:val="en-US" w:eastAsia="zh-CN"/>
          <w14:textFill>
            <w14:solidFill>
              <w14:schemeClr w14:val="tx1"/>
            </w14:solidFill>
          </w14:textFill>
        </w:rPr>
        <w:t>拆包</w:t>
      </w:r>
      <w:r>
        <w:rPr>
          <w:rFonts w:hint="default" w:ascii="Times New Roman" w:hAnsi="Times New Roman" w:cs="Times New Roman"/>
          <w:color w:val="000000" w:themeColor="text1"/>
          <w14:textFill>
            <w14:solidFill>
              <w14:schemeClr w14:val="tx1"/>
            </w14:solidFill>
          </w14:textFill>
        </w:rPr>
        <w:t>工序、</w:t>
      </w:r>
      <w:r>
        <w:rPr>
          <w:rFonts w:hint="eastAsia" w:ascii="Times New Roman" w:hAnsi="Times New Roman" w:cs="Times New Roman"/>
          <w:color w:val="000000" w:themeColor="text1"/>
          <w:lang w:val="en-US" w:eastAsia="zh-CN"/>
          <w14:textFill>
            <w14:solidFill>
              <w14:schemeClr w14:val="tx1"/>
            </w14:solidFill>
          </w14:textFill>
        </w:rPr>
        <w:t>磨粉</w:t>
      </w:r>
      <w:r>
        <w:rPr>
          <w:rFonts w:hint="default" w:ascii="Times New Roman" w:hAnsi="Times New Roman" w:cs="Times New Roman"/>
          <w:color w:val="000000" w:themeColor="text1"/>
          <w14:textFill>
            <w14:solidFill>
              <w14:schemeClr w14:val="tx1"/>
            </w14:solidFill>
          </w14:textFill>
        </w:rPr>
        <w:t>工序、</w:t>
      </w:r>
      <w:r>
        <w:rPr>
          <w:rFonts w:hint="default" w:ascii="Times New Roman" w:hAnsi="Times New Roman" w:cs="Times New Roman"/>
          <w:color w:val="000000" w:themeColor="text1"/>
          <w:lang w:val="en-US" w:eastAsia="zh-CN"/>
          <w14:textFill>
            <w14:solidFill>
              <w14:schemeClr w14:val="tx1"/>
            </w14:solidFill>
          </w14:textFill>
        </w:rPr>
        <w:t>熔融挤出</w:t>
      </w:r>
      <w:r>
        <w:rPr>
          <w:rFonts w:hint="default" w:ascii="Times New Roman" w:hAnsi="Times New Roman" w:cs="Times New Roman"/>
          <w:color w:val="000000" w:themeColor="text1"/>
          <w14:textFill>
            <w14:solidFill>
              <w14:schemeClr w14:val="tx1"/>
            </w14:solidFill>
          </w14:textFill>
        </w:rPr>
        <w:t>工序</w:t>
      </w:r>
      <w:r>
        <w:rPr>
          <w:rFonts w:hint="default"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lang w:eastAsia="zh-CN"/>
          <w14:textFill>
            <w14:solidFill>
              <w14:schemeClr w14:val="tx1"/>
            </w14:solidFill>
          </w14:textFill>
        </w:rPr>
        <w:t>高温分选工序、</w:t>
      </w:r>
      <w:r>
        <w:rPr>
          <w:rFonts w:hint="default" w:ascii="Times New Roman" w:hAnsi="Times New Roman" w:cs="Times New Roman"/>
          <w:color w:val="000000" w:themeColor="text1"/>
          <w:lang w:val="en-US" w:eastAsia="zh-CN"/>
          <w14:textFill>
            <w14:solidFill>
              <w14:schemeClr w14:val="tx1"/>
            </w14:solidFill>
          </w14:textFill>
        </w:rPr>
        <w:t>污水站</w:t>
      </w:r>
      <w:r>
        <w:rPr>
          <w:rFonts w:hint="default" w:ascii="Times New Roman" w:hAnsi="Times New Roman" w:cs="Times New Roman"/>
          <w:color w:val="000000" w:themeColor="text1"/>
          <w14:textFill>
            <w14:solidFill>
              <w14:schemeClr w14:val="tx1"/>
            </w14:solidFill>
          </w14:textFill>
        </w:rPr>
        <w:t>产生的颗粒物、非甲烷总烃、</w:t>
      </w:r>
      <w:r>
        <w:rPr>
          <w:rFonts w:hint="default" w:ascii="Times New Roman" w:hAnsi="Times New Roman" w:cs="Times New Roman"/>
          <w:color w:val="000000" w:themeColor="text1"/>
          <w:lang w:val="en-US" w:eastAsia="zh-CN"/>
          <w14:textFill>
            <w14:solidFill>
              <w14:schemeClr w14:val="tx1"/>
            </w14:solidFill>
          </w14:textFill>
        </w:rPr>
        <w:t>氨</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硫化氢</w:t>
      </w:r>
      <w:r>
        <w:rPr>
          <w:rFonts w:hint="default" w:ascii="Times New Roman" w:hAnsi="Times New Roman" w:cs="Times New Roman"/>
          <w:color w:val="000000" w:themeColor="text1"/>
          <w14:textFill>
            <w14:solidFill>
              <w14:schemeClr w14:val="tx1"/>
            </w14:solidFill>
          </w14:textFill>
        </w:rPr>
        <w:t>等污染物。建设项目拟采取的废气治理措施主要为：</w:t>
      </w:r>
    </w:p>
    <w:p w14:paraId="77A74BD5">
      <w:pPr>
        <w:pStyle w:val="251"/>
        <w:ind w:firstLine="482"/>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lang w:val="en-US" w:eastAsia="zh-CN"/>
          <w14:textFill>
            <w14:solidFill>
              <w14:schemeClr w14:val="tx1"/>
            </w14:solidFill>
          </w14:textFill>
        </w:rPr>
        <w:t>熔融挤出</w:t>
      </w:r>
      <w:r>
        <w:rPr>
          <w:rFonts w:hint="default" w:ascii="Times New Roman" w:hAnsi="Times New Roman" w:cs="Times New Roman"/>
          <w:b/>
          <w:color w:val="000000" w:themeColor="text1"/>
          <w14:textFill>
            <w14:solidFill>
              <w14:schemeClr w14:val="tx1"/>
            </w14:solidFill>
          </w14:textFill>
        </w:rPr>
        <w:t>废气：</w:t>
      </w:r>
      <w:r>
        <w:rPr>
          <w:rFonts w:hint="eastAsia" w:ascii="Times New Roman" w:hAnsi="Times New Roman" w:cs="Times New Roman"/>
          <w:b w:val="0"/>
          <w:bCs/>
          <w:color w:val="000000" w:themeColor="text1"/>
          <w:lang w:eastAsia="zh-CN"/>
          <w14:textFill>
            <w14:solidFill>
              <w14:schemeClr w14:val="tx1"/>
            </w14:solidFill>
          </w14:textFill>
        </w:rPr>
        <w:t>改性粒子</w:t>
      </w:r>
      <w:r>
        <w:rPr>
          <w:rFonts w:hint="default" w:ascii="Times New Roman" w:hAnsi="Times New Roman" w:cs="Times New Roman"/>
          <w:b w:val="0"/>
          <w:bCs/>
          <w:color w:val="000000" w:themeColor="text1"/>
          <w:lang w:val="en-US" w:eastAsia="zh-CN"/>
          <w14:textFill>
            <w14:solidFill>
              <w14:schemeClr w14:val="tx1"/>
            </w14:solidFill>
          </w14:textFill>
        </w:rPr>
        <w:t>熔</w:t>
      </w:r>
      <w:r>
        <w:rPr>
          <w:rFonts w:hint="default" w:ascii="Times New Roman" w:hAnsi="Times New Roman" w:cs="Times New Roman"/>
          <w:color w:val="000000" w:themeColor="text1"/>
          <w:lang w:val="en-US" w:eastAsia="zh-CN"/>
          <w14:textFill>
            <w14:solidFill>
              <w14:schemeClr w14:val="tx1"/>
            </w14:solidFill>
          </w14:textFill>
        </w:rPr>
        <w:t>融挤出</w:t>
      </w:r>
      <w:r>
        <w:rPr>
          <w:rFonts w:hint="default" w:ascii="Times New Roman" w:hAnsi="Times New Roman" w:cs="Times New Roman"/>
          <w:color w:val="000000" w:themeColor="text1"/>
          <w14:textFill>
            <w14:solidFill>
              <w14:schemeClr w14:val="tx1"/>
            </w14:solidFill>
          </w14:textFill>
        </w:rPr>
        <w:t>废气经</w:t>
      </w:r>
      <w:r>
        <w:rPr>
          <w:rFonts w:hint="default" w:ascii="Times New Roman" w:hAnsi="Times New Roman" w:cs="Times New Roman"/>
          <w:color w:val="000000" w:themeColor="text1"/>
          <w:lang w:val="en-US" w:eastAsia="zh-CN"/>
          <w14:textFill>
            <w14:solidFill>
              <w14:schemeClr w14:val="tx1"/>
            </w14:solidFill>
          </w14:textFill>
        </w:rPr>
        <w:t>区域封闭+集气罩</w:t>
      </w:r>
      <w:r>
        <w:rPr>
          <w:rFonts w:hint="default" w:ascii="Times New Roman" w:hAnsi="Times New Roman" w:cs="Times New Roman"/>
          <w:color w:val="000000" w:themeColor="text1"/>
          <w14:textFill>
            <w14:solidFill>
              <w14:schemeClr w14:val="tx1"/>
            </w14:solidFill>
          </w14:textFill>
        </w:rPr>
        <w:t>收集后</w:t>
      </w:r>
      <w:r>
        <w:rPr>
          <w:rFonts w:hint="default" w:ascii="Times New Roman" w:hAnsi="Times New Roman" w:cs="Times New Roman"/>
          <w:color w:val="000000" w:themeColor="text1"/>
          <w:lang w:val="en-US" w:eastAsia="zh-CN"/>
          <w14:textFill>
            <w14:solidFill>
              <w14:schemeClr w14:val="tx1"/>
            </w14:solidFill>
          </w14:textFill>
        </w:rPr>
        <w:t>进入</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油烟净化器</w:t>
      </w:r>
      <w:r>
        <w:rPr>
          <w:rFonts w:hint="default" w:ascii="Times New Roman" w:hAnsi="Times New Roman" w:cs="Times New Roman"/>
          <w:color w:val="000000" w:themeColor="text1"/>
          <w14:textFill>
            <w14:solidFill>
              <w14:schemeClr w14:val="tx1"/>
            </w14:solidFill>
          </w14:textFill>
        </w:rPr>
        <w:t>+两级活性炭吸附装置（TA00</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）”处理后通过</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5m高排气筒（DA00</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）排放；</w:t>
      </w:r>
    </w:p>
    <w:p w14:paraId="10FAA7D0">
      <w:pPr>
        <w:pStyle w:val="251"/>
        <w:ind w:firstLine="482"/>
        <w:rPr>
          <w:rFonts w:hint="default" w:ascii="Times New Roman" w:hAnsi="Times New Roman" w:cs="Times New Roman"/>
          <w:b/>
          <w:color w:val="000000" w:themeColor="text1"/>
          <w:lang w:val="en-US" w:eastAsia="zh-CN"/>
          <w14:textFill>
            <w14:solidFill>
              <w14:schemeClr w14:val="tx1"/>
            </w14:solidFill>
          </w14:textFill>
        </w:rPr>
      </w:pPr>
      <w:r>
        <w:rPr>
          <w:rFonts w:hint="eastAsia" w:ascii="Times New Roman" w:hAnsi="Times New Roman" w:cs="Times New Roman"/>
          <w:b/>
          <w:color w:val="000000" w:themeColor="text1"/>
          <w:lang w:val="en-US" w:eastAsia="zh-CN"/>
          <w14:textFill>
            <w14:solidFill>
              <w14:schemeClr w14:val="tx1"/>
            </w14:solidFill>
          </w14:textFill>
        </w:rPr>
        <w:t>高温分选</w:t>
      </w:r>
      <w:r>
        <w:rPr>
          <w:rFonts w:hint="default" w:ascii="Times New Roman" w:hAnsi="Times New Roman" w:cs="Times New Roman"/>
          <w:b/>
          <w:color w:val="000000" w:themeColor="text1"/>
          <w14:textFill>
            <w14:solidFill>
              <w14:schemeClr w14:val="tx1"/>
            </w14:solidFill>
          </w14:textFill>
        </w:rPr>
        <w:t>废气：</w:t>
      </w:r>
      <w:r>
        <w:rPr>
          <w:rFonts w:hint="eastAsia" w:ascii="Times New Roman" w:hAnsi="Times New Roman" w:cs="Times New Roman"/>
          <w:color w:val="000000" w:themeColor="text1"/>
          <w:lang w:val="en-US" w:eastAsia="zh-CN"/>
          <w14:textFill>
            <w14:solidFill>
              <w14:schemeClr w14:val="tx1"/>
            </w14:solidFill>
          </w14:textFill>
        </w:rPr>
        <w:t>标签纸高温分选</w:t>
      </w:r>
      <w:r>
        <w:rPr>
          <w:rFonts w:hint="default" w:ascii="Times New Roman" w:hAnsi="Times New Roman" w:cs="Times New Roman"/>
          <w:color w:val="000000" w:themeColor="text1"/>
          <w14:textFill>
            <w14:solidFill>
              <w14:schemeClr w14:val="tx1"/>
            </w14:solidFill>
          </w14:textFill>
        </w:rPr>
        <w:t>废气经</w:t>
      </w:r>
      <w:r>
        <w:rPr>
          <w:rFonts w:hint="eastAsia" w:ascii="Times New Roman" w:hAnsi="Times New Roman" w:cs="Times New Roman"/>
          <w:color w:val="000000" w:themeColor="text1"/>
          <w:lang w:val="en-US" w:eastAsia="zh-CN"/>
          <w14:textFill>
            <w14:solidFill>
              <w14:schemeClr w14:val="tx1"/>
            </w14:solidFill>
          </w14:textFill>
        </w:rPr>
        <w:t>设备密闭</w:t>
      </w:r>
      <w:r>
        <w:rPr>
          <w:rFonts w:hint="default" w:ascii="Times New Roman" w:hAnsi="Times New Roman" w:cs="Times New Roman"/>
          <w:color w:val="000000" w:themeColor="text1"/>
          <w:lang w:val="en-US" w:eastAsia="zh-CN"/>
          <w14:textFill>
            <w14:solidFill>
              <w14:schemeClr w14:val="tx1"/>
            </w14:solidFill>
          </w14:textFill>
        </w:rPr>
        <w:t>+集气罩</w:t>
      </w:r>
      <w:r>
        <w:rPr>
          <w:rFonts w:hint="default" w:ascii="Times New Roman" w:hAnsi="Times New Roman" w:cs="Times New Roman"/>
          <w:color w:val="000000" w:themeColor="text1"/>
          <w14:textFill>
            <w14:solidFill>
              <w14:schemeClr w14:val="tx1"/>
            </w14:solidFill>
          </w14:textFill>
        </w:rPr>
        <w:t>收集后</w:t>
      </w:r>
      <w:r>
        <w:rPr>
          <w:rFonts w:hint="default" w:ascii="Times New Roman" w:hAnsi="Times New Roman" w:cs="Times New Roman"/>
          <w:color w:val="000000" w:themeColor="text1"/>
          <w:lang w:val="en-US" w:eastAsia="zh-CN"/>
          <w14:textFill>
            <w14:solidFill>
              <w14:schemeClr w14:val="tx1"/>
            </w14:solidFill>
          </w14:textFill>
        </w:rPr>
        <w:t>进入</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油烟净化器</w:t>
      </w:r>
      <w:r>
        <w:rPr>
          <w:rFonts w:hint="default" w:ascii="Times New Roman" w:hAnsi="Times New Roman" w:cs="Times New Roman"/>
          <w:color w:val="000000" w:themeColor="text1"/>
          <w14:textFill>
            <w14:solidFill>
              <w14:schemeClr w14:val="tx1"/>
            </w14:solidFill>
          </w14:textFill>
        </w:rPr>
        <w:t>+两级活性炭吸附装置（TA00</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）”处理后通过</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5m高排气筒（DA00</w:t>
      </w:r>
      <w:r>
        <w:rPr>
          <w:rFonts w:hint="eastAsia"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）排放；</w:t>
      </w:r>
    </w:p>
    <w:p w14:paraId="060958AF">
      <w:pPr>
        <w:pStyle w:val="251"/>
        <w:ind w:firstLine="482"/>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b/>
          <w:color w:val="000000" w:themeColor="text1"/>
          <w:lang w:val="en-US" w:eastAsia="zh-CN"/>
          <w14:textFill>
            <w14:solidFill>
              <w14:schemeClr w14:val="tx1"/>
            </w14:solidFill>
          </w14:textFill>
        </w:rPr>
        <w:t>拆包</w:t>
      </w:r>
      <w:r>
        <w:rPr>
          <w:rFonts w:hint="default" w:ascii="Times New Roman" w:hAnsi="Times New Roman" w:cs="Times New Roman"/>
          <w:b/>
          <w:color w:val="000000" w:themeColor="text1"/>
          <w14:textFill>
            <w14:solidFill>
              <w14:schemeClr w14:val="tx1"/>
            </w14:solidFill>
          </w14:textFill>
        </w:rPr>
        <w:t>废气：</w:t>
      </w:r>
      <w:r>
        <w:rPr>
          <w:rFonts w:hint="default" w:ascii="Times New Roman" w:hAnsi="Times New Roman" w:cs="Times New Roman"/>
          <w:color w:val="000000" w:themeColor="text1"/>
          <w:lang w:val="en-US" w:eastAsia="zh-CN"/>
          <w14:textFill>
            <w14:solidFill>
              <w14:schemeClr w14:val="tx1"/>
            </w14:solidFill>
          </w14:textFill>
        </w:rPr>
        <w:t>拆包</w:t>
      </w:r>
      <w:r>
        <w:rPr>
          <w:rFonts w:hint="default" w:ascii="Times New Roman" w:hAnsi="Times New Roman" w:cs="Times New Roman"/>
          <w:color w:val="000000" w:themeColor="text1"/>
          <w14:textFill>
            <w14:solidFill>
              <w14:schemeClr w14:val="tx1"/>
            </w14:solidFill>
          </w14:textFill>
        </w:rPr>
        <w:t>废气经</w:t>
      </w:r>
      <w:r>
        <w:rPr>
          <w:rFonts w:hint="eastAsia" w:ascii="Times New Roman" w:hAnsi="Times New Roman" w:cs="Times New Roman"/>
          <w:color w:val="000000" w:themeColor="text1"/>
          <w:lang w:eastAsia="zh-CN"/>
          <w14:textFill>
            <w14:solidFill>
              <w14:schemeClr w14:val="tx1"/>
            </w14:solidFill>
          </w14:textFill>
        </w:rPr>
        <w:t>软帘</w:t>
      </w:r>
      <w:r>
        <w:rPr>
          <w:rFonts w:hint="eastAsia"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集气罩收集后进入“布袋除尘器（TA00</w:t>
      </w:r>
      <w:r>
        <w:rPr>
          <w:rFonts w:hint="eastAsia"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）”处理后由1</w:t>
      </w:r>
      <w:r>
        <w:rPr>
          <w:rFonts w:hint="default"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themeColor="text1"/>
          <w14:textFill>
            <w14:solidFill>
              <w14:schemeClr w14:val="tx1"/>
            </w14:solidFill>
          </w14:textFill>
        </w:rPr>
        <w:t>m高排气筒（DA00</w:t>
      </w:r>
      <w:r>
        <w:rPr>
          <w:rFonts w:hint="eastAsia"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）排放；</w:t>
      </w:r>
    </w:p>
    <w:p w14:paraId="6C18D86D">
      <w:pPr>
        <w:pStyle w:val="251"/>
        <w:ind w:firstLine="482"/>
        <w:rPr>
          <w:rFonts w:hint="default" w:ascii="Times New Roman" w:hAnsi="Times New Roman" w:cs="Times New Roman"/>
          <w:color w:val="000000" w:themeColor="text1"/>
          <w14:textFill>
            <w14:solidFill>
              <w14:schemeClr w14:val="tx1"/>
            </w14:solidFill>
          </w14:textFill>
        </w:rPr>
      </w:pPr>
      <w:r>
        <w:rPr>
          <w:rFonts w:hint="eastAsia" w:ascii="Times New Roman" w:hAnsi="Times New Roman" w:cs="Times New Roman"/>
          <w:b/>
          <w:color w:val="000000" w:themeColor="text1"/>
          <w:lang w:val="en-US" w:eastAsia="zh-CN"/>
          <w14:textFill>
            <w14:solidFill>
              <w14:schemeClr w14:val="tx1"/>
            </w14:solidFill>
          </w14:textFill>
        </w:rPr>
        <w:t>磨粉</w:t>
      </w:r>
      <w:r>
        <w:rPr>
          <w:rFonts w:hint="default" w:ascii="Times New Roman" w:hAnsi="Times New Roman" w:cs="Times New Roman"/>
          <w:b/>
          <w:color w:val="000000" w:themeColor="text1"/>
          <w14:textFill>
            <w14:solidFill>
              <w14:schemeClr w14:val="tx1"/>
            </w14:solidFill>
          </w14:textFill>
        </w:rPr>
        <w:t>废气：</w:t>
      </w:r>
      <w:r>
        <w:rPr>
          <w:rFonts w:hint="eastAsia" w:ascii="Times New Roman" w:hAnsi="Times New Roman" w:cs="Times New Roman"/>
          <w:b w:val="0"/>
          <w:bCs/>
          <w:color w:val="000000" w:themeColor="text1"/>
          <w:lang w:val="en-US" w:eastAsia="zh-CN"/>
          <w14:textFill>
            <w14:solidFill>
              <w14:schemeClr w14:val="tx1"/>
            </w14:solidFill>
          </w14:textFill>
        </w:rPr>
        <w:t>标签纸磨粉</w:t>
      </w:r>
      <w:r>
        <w:rPr>
          <w:rFonts w:hint="default" w:ascii="Times New Roman" w:hAnsi="Times New Roman" w:cs="Times New Roman"/>
          <w:color w:val="000000" w:themeColor="text1"/>
          <w14:textFill>
            <w14:solidFill>
              <w14:schemeClr w14:val="tx1"/>
            </w14:solidFill>
          </w14:textFill>
        </w:rPr>
        <w:t>废气经</w:t>
      </w:r>
      <w:r>
        <w:rPr>
          <w:rFonts w:hint="default" w:ascii="Times New Roman" w:hAnsi="Times New Roman" w:cs="Times New Roman"/>
          <w:color w:val="000000" w:themeColor="text1"/>
          <w:lang w:val="en-US" w:eastAsia="zh-CN"/>
          <w14:textFill>
            <w14:solidFill>
              <w14:schemeClr w14:val="tx1"/>
            </w14:solidFill>
          </w14:textFill>
        </w:rPr>
        <w:t>封闭设备+</w:t>
      </w:r>
      <w:r>
        <w:rPr>
          <w:rFonts w:hint="eastAsia" w:ascii="Times New Roman" w:hAnsi="Times New Roman" w:cs="Times New Roman"/>
          <w:color w:val="000000" w:themeColor="text1"/>
          <w:lang w:val="en-US" w:eastAsia="zh-CN"/>
          <w14:textFill>
            <w14:solidFill>
              <w14:schemeClr w14:val="tx1"/>
            </w14:solidFill>
          </w14:textFill>
        </w:rPr>
        <w:t>集气罩</w:t>
      </w:r>
      <w:r>
        <w:rPr>
          <w:rFonts w:hint="default" w:ascii="Times New Roman" w:hAnsi="Times New Roman" w:cs="Times New Roman"/>
          <w:color w:val="000000" w:themeColor="text1"/>
          <w14:textFill>
            <w14:solidFill>
              <w14:schemeClr w14:val="tx1"/>
            </w14:solidFill>
          </w14:textFill>
        </w:rPr>
        <w:t>收集后</w:t>
      </w:r>
      <w:r>
        <w:rPr>
          <w:rFonts w:hint="default" w:ascii="Times New Roman" w:hAnsi="Times New Roman" w:cs="Times New Roman"/>
          <w:color w:val="000000" w:themeColor="text1"/>
          <w:lang w:val="en-US" w:eastAsia="zh-CN"/>
          <w14:textFill>
            <w14:solidFill>
              <w14:schemeClr w14:val="tx1"/>
            </w14:solidFill>
          </w14:textFill>
        </w:rPr>
        <w:t>进入</w:t>
      </w:r>
      <w:r>
        <w:rPr>
          <w:rFonts w:hint="default" w:ascii="Times New Roman" w:hAnsi="Times New Roman" w:cs="Times New Roman"/>
          <w:color w:val="000000" w:themeColor="text1"/>
          <w14:textFill>
            <w14:solidFill>
              <w14:schemeClr w14:val="tx1"/>
            </w14:solidFill>
          </w14:textFill>
        </w:rPr>
        <w:t>“布袋除尘器（TA00</w:t>
      </w:r>
      <w:r>
        <w:rPr>
          <w:rFonts w:hint="default" w:ascii="Times New Roman" w:hAnsi="Times New Roman" w:cs="Times New Roman"/>
          <w:color w:val="000000" w:themeColor="text1"/>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）”处理后通过</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5m高排气筒（DA002）排放；</w:t>
      </w:r>
    </w:p>
    <w:p w14:paraId="22652B11">
      <w:pPr>
        <w:pStyle w:val="251"/>
        <w:ind w:firstLine="482"/>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cs="Times New Roman"/>
          <w:b/>
          <w:color w:val="000000" w:themeColor="text1"/>
          <w:lang w:val="en-US" w:eastAsia="zh-CN"/>
          <w14:textFill>
            <w14:solidFill>
              <w14:schemeClr w14:val="tx1"/>
            </w14:solidFill>
          </w14:textFill>
        </w:rPr>
        <w:t>污水站</w:t>
      </w:r>
      <w:r>
        <w:rPr>
          <w:rFonts w:hint="default" w:ascii="Times New Roman" w:hAnsi="Times New Roman" w:cs="Times New Roman"/>
          <w:b/>
          <w:color w:val="000000" w:themeColor="text1"/>
          <w14:textFill>
            <w14:solidFill>
              <w14:schemeClr w14:val="tx1"/>
            </w14:solidFill>
          </w14:textFill>
        </w:rPr>
        <w:t>废气：</w:t>
      </w:r>
      <w:r>
        <w:rPr>
          <w:rFonts w:hint="default" w:ascii="Times New Roman" w:hAnsi="Times New Roman" w:cs="Times New Roman"/>
          <w:color w:val="000000" w:themeColor="text1"/>
          <w:lang w:val="en-US" w:eastAsia="zh-CN"/>
          <w14:textFill>
            <w14:solidFill>
              <w14:schemeClr w14:val="tx1"/>
            </w14:solidFill>
          </w14:textFill>
        </w:rPr>
        <w:t>污水站废气经封闭</w:t>
      </w:r>
      <w:r>
        <w:rPr>
          <w:rFonts w:hint="default" w:ascii="Times New Roman" w:hAnsi="Times New Roman" w:cs="Times New Roman"/>
          <w:color w:val="000000" w:themeColor="text1"/>
          <w14:textFill>
            <w14:solidFill>
              <w14:schemeClr w14:val="tx1"/>
            </w14:solidFill>
          </w14:textFill>
        </w:rPr>
        <w:t>负压收集</w:t>
      </w:r>
      <w:r>
        <w:rPr>
          <w:rFonts w:hint="default" w:ascii="Times New Roman" w:hAnsi="Times New Roman" w:cs="Times New Roman"/>
          <w:color w:val="000000" w:themeColor="text1"/>
          <w:lang w:val="en-US" w:eastAsia="zh-CN"/>
          <w14:textFill>
            <w14:solidFill>
              <w14:schemeClr w14:val="tx1"/>
            </w14:solidFill>
          </w14:textFill>
        </w:rPr>
        <w:t>后进入</w:t>
      </w:r>
      <w:r>
        <w:rPr>
          <w:rFonts w:hint="default"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sz w:val="24"/>
          <w:lang w:eastAsia="zh-CN"/>
          <w14:textFill>
            <w14:solidFill>
              <w14:schemeClr w14:val="tx1"/>
            </w14:solidFill>
          </w14:textFill>
        </w:rPr>
        <w:t>两级活性炭吸附装置</w:t>
      </w:r>
      <w:r>
        <w:rPr>
          <w:rFonts w:hint="default" w:ascii="Times New Roman" w:hAnsi="Times New Roman" w:cs="Times New Roman"/>
          <w:color w:val="000000" w:themeColor="text1"/>
          <w14:textFill>
            <w14:solidFill>
              <w14:schemeClr w14:val="tx1"/>
            </w14:solidFill>
          </w14:textFill>
        </w:rPr>
        <w:t>（TA00</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）”处理后通过</w:t>
      </w:r>
      <w:r>
        <w:rPr>
          <w:rFonts w:hint="default" w:ascii="Times New Roman" w:hAnsi="Times New Roman" w:cs="Times New Roman"/>
          <w:color w:val="000000" w:themeColor="text1"/>
          <w:lang w:val="en-US" w:eastAsia="zh-CN"/>
          <w14:textFill>
            <w14:solidFill>
              <w14:schemeClr w14:val="tx1"/>
            </w14:solidFill>
          </w14:textFill>
        </w:rPr>
        <w:t>1</w:t>
      </w:r>
      <w:r>
        <w:rPr>
          <w:rFonts w:hint="default" w:ascii="Times New Roman" w:hAnsi="Times New Roman" w:cs="Times New Roman"/>
          <w:color w:val="000000" w:themeColor="text1"/>
          <w14:textFill>
            <w14:solidFill>
              <w14:schemeClr w14:val="tx1"/>
            </w14:solidFill>
          </w14:textFill>
        </w:rPr>
        <w:t>5m高排气筒（DA00</w:t>
      </w:r>
      <w:r>
        <w:rPr>
          <w:rFonts w:hint="eastAsia" w:ascii="Times New Roman" w:hAnsi="Times New Roman" w:cs="Times New Roman"/>
          <w:color w:val="000000" w:themeColor="text1"/>
          <w:lang w:val="en-US" w:eastAsia="zh-CN"/>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）排放</w:t>
      </w:r>
      <w:r>
        <w:rPr>
          <w:rFonts w:hint="default" w:ascii="Times New Roman" w:hAnsi="Times New Roman" w:cs="Times New Roman"/>
          <w:color w:val="000000" w:themeColor="text1"/>
          <w:lang w:eastAsia="zh-CN"/>
          <w14:textFill>
            <w14:solidFill>
              <w14:schemeClr w14:val="tx1"/>
            </w14:solidFill>
          </w14:textFill>
        </w:rPr>
        <w:t>。</w:t>
      </w:r>
    </w:p>
    <w:p w14:paraId="64C51673">
      <w:pPr>
        <w:adjustRightInd w:val="0"/>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各类废气经处理后均能满足相应标准排放。评价认为，项目实施对区域大气环境造成的不利影响较小。</w:t>
      </w:r>
    </w:p>
    <w:p w14:paraId="48DA0501">
      <w:pPr>
        <w:adjustRightInd w:val="0"/>
        <w:spacing w:line="360" w:lineRule="auto"/>
        <w:ind w:firstLine="472" w:firstLineChars="200"/>
        <w:jc w:val="left"/>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2、大气环境防护距离</w:t>
      </w:r>
    </w:p>
    <w:p w14:paraId="5089475E">
      <w:pPr>
        <w:spacing w:line="360" w:lineRule="auto"/>
        <w:ind w:firstLine="472" w:firstLineChars="200"/>
        <w:rPr>
          <w:rFonts w:hint="default" w:ascii="Times New Roman" w:hAnsi="Times New Roman" w:cs="Times New Roman"/>
          <w:bCs/>
          <w:color w:val="000000" w:themeColor="text1"/>
          <w:sz w:val="24"/>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根据《环境影响评价技术导则 大气环境》（HJ2.2-2018）推荐模式计算结果，项目无组织废气排放厂界外均没有出现超标点。本项目</w:t>
      </w:r>
      <w:r>
        <w:rPr>
          <w:rFonts w:hint="eastAsia" w:cs="Times New Roman"/>
          <w:bCs/>
          <w:color w:val="000000" w:themeColor="text1"/>
          <w:sz w:val="24"/>
          <w:lang w:eastAsia="zh-CN"/>
          <w14:textFill>
            <w14:solidFill>
              <w14:schemeClr w14:val="tx1"/>
            </w14:solidFill>
          </w14:textFill>
        </w:rPr>
        <w:t>设置</w:t>
      </w:r>
      <w:r>
        <w:rPr>
          <w:rFonts w:hint="default" w:ascii="Times New Roman" w:hAnsi="Times New Roman" w:cs="Times New Roman"/>
          <w:bCs/>
          <w:color w:val="000000" w:themeColor="text1"/>
          <w:sz w:val="24"/>
          <w14:textFill>
            <w14:solidFill>
              <w14:schemeClr w14:val="tx1"/>
            </w14:solidFill>
          </w14:textFill>
        </w:rPr>
        <w:t>环境防护距离为100m。根据现场勘察，项目东侧为烟波路，南侧为安徽金荣铜业有限公司，西侧为空地，北侧为空地，厂界100m范围内无居民等环境敏感点。因此本项目无组织排放的各种废气对周边影响较小。同时本环评要求，在厂区生产单元周围100m范围内，规划部门不得规划兴建集中住宅区、学校以及医院等居民集中区和食品、医药行业等，以避免废气对民众的身体健康和食品、医药行业造成影响。</w:t>
      </w:r>
    </w:p>
    <w:p w14:paraId="179167FB">
      <w:pPr>
        <w:pStyle w:val="3159"/>
        <w:rPr>
          <w:rFonts w:hint="default" w:ascii="Times New Roman" w:hAnsi="Times New Roman" w:eastAsia="黑体" w:cs="Times New Roman"/>
          <w:b w:val="0"/>
          <w:color w:val="000000" w:themeColor="text1"/>
          <w14:textFill>
            <w14:solidFill>
              <w14:schemeClr w14:val="tx1"/>
            </w14:solidFill>
          </w14:textFill>
        </w:rPr>
      </w:pPr>
      <w:bookmarkStart w:id="558" w:name="_Toc133333822"/>
      <w:bookmarkStart w:id="559" w:name="_Toc133214665"/>
      <w:bookmarkStart w:id="560" w:name="_Toc173837818"/>
      <w:bookmarkStart w:id="561" w:name="_Toc141627956"/>
      <w:bookmarkStart w:id="562" w:name="_Toc170562332"/>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.4.2地表水环境</w:t>
      </w:r>
      <w:bookmarkEnd w:id="558"/>
      <w:bookmarkEnd w:id="559"/>
      <w:bookmarkEnd w:id="560"/>
      <w:bookmarkEnd w:id="561"/>
      <w:bookmarkEnd w:id="562"/>
    </w:p>
    <w:p w14:paraId="627FB05D">
      <w:pPr>
        <w:pStyle w:val="251"/>
        <w:ind w:firstLine="480"/>
        <w:rPr>
          <w:rFonts w:hint="default" w:ascii="Times New Roman" w:hAnsi="Times New Roman" w:eastAsia="宋体" w:cs="Times New Roman"/>
          <w:color w:val="000000" w:themeColor="text1"/>
          <w:lang w:eastAsia="zh-CN"/>
          <w14:textFill>
            <w14:solidFill>
              <w14:schemeClr w14:val="tx1"/>
            </w14:solidFill>
          </w14:textFill>
        </w:rPr>
      </w:pPr>
      <w:bookmarkStart w:id="563" w:name="_Toc329596507"/>
      <w:bookmarkStart w:id="564" w:name="_Toc326605109"/>
      <w:bookmarkStart w:id="565" w:name="_Toc327774765"/>
      <w:bookmarkStart w:id="566" w:name="_Toc326842032"/>
      <w:bookmarkStart w:id="567" w:name="_Toc326606306"/>
      <w:bookmarkStart w:id="568" w:name="_Toc326604574"/>
      <w:r>
        <w:rPr>
          <w:rFonts w:hint="default" w:ascii="Times New Roman" w:hAnsi="Times New Roman" w:cs="Times New Roman"/>
          <w:color w:val="000000" w:themeColor="text1"/>
          <w14:textFill>
            <w14:solidFill>
              <w14:schemeClr w14:val="tx1"/>
            </w14:solidFill>
          </w14:textFill>
        </w:rPr>
        <w:t>本项目雨污分流。项目运营期冷却水为</w:t>
      </w:r>
      <w:r>
        <w:rPr>
          <w:rFonts w:hint="eastAsia" w:ascii="Times New Roman" w:hAnsi="Times New Roman" w:cs="Times New Roman"/>
          <w:color w:val="000000" w:themeColor="text1"/>
          <w:lang w:eastAsia="zh-CN"/>
          <w14:textFill>
            <w14:solidFill>
              <w14:schemeClr w14:val="tx1"/>
            </w14:solidFill>
          </w14:textFill>
        </w:rPr>
        <w:t>直接</w:t>
      </w:r>
      <w:r>
        <w:rPr>
          <w:rFonts w:hint="default" w:ascii="Times New Roman" w:hAnsi="Times New Roman" w:cs="Times New Roman"/>
          <w:color w:val="000000" w:themeColor="text1"/>
          <w14:textFill>
            <w14:solidFill>
              <w14:schemeClr w14:val="tx1"/>
            </w14:solidFill>
          </w14:textFill>
        </w:rPr>
        <w:t>冷却，循环利用，</w:t>
      </w:r>
      <w:r>
        <w:rPr>
          <w:rFonts w:hint="eastAsia" w:ascii="Times New Roman" w:hAnsi="Times New Roman" w:cs="Times New Roman"/>
          <w:color w:val="000000" w:themeColor="text1"/>
          <w:lang w:eastAsia="zh-CN"/>
          <w14:textFill>
            <w14:solidFill>
              <w14:schemeClr w14:val="tx1"/>
            </w14:solidFill>
          </w14:textFill>
        </w:rPr>
        <w:t>定期外排水用于物料清洗</w:t>
      </w:r>
      <w:r>
        <w:rPr>
          <w:rFonts w:hint="default" w:ascii="Times New Roman" w:hAnsi="Times New Roman" w:cs="Times New Roman"/>
          <w:color w:val="000000" w:themeColor="text1"/>
          <w14:textFill>
            <w14:solidFill>
              <w14:schemeClr w14:val="tx1"/>
            </w14:solidFill>
          </w14:textFill>
        </w:rPr>
        <w:t>；瓶片清洗废水经厂内污水处理站处理后90%回用，10%经市政污水管网排入毛集实验区污水处理厂深度处理；生活污水经化粪池预处理后经市政污水管网排入毛集实验区污水处理厂集中处理，最终排至西淝河</w:t>
      </w:r>
      <w:r>
        <w:rPr>
          <w:rFonts w:hint="default" w:ascii="Times New Roman" w:hAnsi="Times New Roman" w:cs="Times New Roman"/>
          <w:color w:val="000000" w:themeColor="text1"/>
          <w:lang w:eastAsia="zh-CN"/>
          <w14:textFill>
            <w14:solidFill>
              <w14:schemeClr w14:val="tx1"/>
            </w14:solidFill>
          </w14:textFill>
        </w:rPr>
        <w:t>。</w:t>
      </w:r>
    </w:p>
    <w:p w14:paraId="63C181AB">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因此，本评价认为项目实施对区域地表水环境造成的不利影响较小。</w:t>
      </w:r>
    </w:p>
    <w:p w14:paraId="2A3D6070">
      <w:pPr>
        <w:pStyle w:val="3159"/>
        <w:rPr>
          <w:rFonts w:hint="default" w:ascii="Times New Roman" w:hAnsi="Times New Roman" w:eastAsia="黑体" w:cs="Times New Roman"/>
          <w:b w:val="0"/>
          <w:color w:val="000000" w:themeColor="text1"/>
          <w14:textFill>
            <w14:solidFill>
              <w14:schemeClr w14:val="tx1"/>
            </w14:solidFill>
          </w14:textFill>
        </w:rPr>
      </w:pPr>
      <w:bookmarkStart w:id="569" w:name="_Toc141627957"/>
      <w:bookmarkStart w:id="570" w:name="_Toc133333823"/>
      <w:bookmarkStart w:id="571" w:name="_Toc170562333"/>
      <w:bookmarkStart w:id="572" w:name="_Toc133214666"/>
      <w:bookmarkStart w:id="573" w:name="_Toc173837819"/>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.4.3声环境</w:t>
      </w:r>
      <w:bookmarkEnd w:id="563"/>
      <w:bookmarkEnd w:id="564"/>
      <w:bookmarkEnd w:id="565"/>
      <w:bookmarkEnd w:id="566"/>
      <w:bookmarkEnd w:id="567"/>
      <w:bookmarkEnd w:id="568"/>
      <w:bookmarkEnd w:id="569"/>
      <w:bookmarkEnd w:id="570"/>
      <w:bookmarkEnd w:id="571"/>
      <w:bookmarkEnd w:id="572"/>
      <w:bookmarkEnd w:id="573"/>
    </w:p>
    <w:p w14:paraId="7AE40E09">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高噪声设备较少，主要噪声污染来自设备噪声、风机及各类泵等，建设单位选用低噪声设备、设置减震垫、安装消声装置等措施后厂界噪声均能满足《工业企业厂界环境噪声排放标准》（GB12348-2008）中3类标准。</w:t>
      </w:r>
    </w:p>
    <w:p w14:paraId="45D2A72A">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因此，本评价认为项目生产过程中的噪声对区域声环境造成影响较小。</w:t>
      </w:r>
    </w:p>
    <w:p w14:paraId="67B74BDF">
      <w:pPr>
        <w:pStyle w:val="3159"/>
        <w:rPr>
          <w:rFonts w:hint="default" w:ascii="Times New Roman" w:hAnsi="Times New Roman" w:eastAsia="黑体" w:cs="Times New Roman"/>
          <w:b w:val="0"/>
          <w:color w:val="000000" w:themeColor="text1"/>
          <w14:textFill>
            <w14:solidFill>
              <w14:schemeClr w14:val="tx1"/>
            </w14:solidFill>
          </w14:textFill>
        </w:rPr>
      </w:pPr>
      <w:bookmarkStart w:id="574" w:name="_Toc141627958"/>
      <w:bookmarkStart w:id="575" w:name="_Toc173837820"/>
      <w:bookmarkStart w:id="576" w:name="_Toc133333824"/>
      <w:bookmarkStart w:id="577" w:name="_Toc170562334"/>
      <w:bookmarkStart w:id="578" w:name="_Toc133214667"/>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.4.4地下水环境</w:t>
      </w:r>
      <w:bookmarkEnd w:id="574"/>
      <w:bookmarkEnd w:id="575"/>
      <w:bookmarkEnd w:id="576"/>
      <w:bookmarkEnd w:id="577"/>
      <w:bookmarkEnd w:id="578"/>
    </w:p>
    <w:p w14:paraId="097E36AB">
      <w:pPr>
        <w:spacing w:line="360" w:lineRule="auto"/>
        <w:ind w:firstLine="480"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pacing w:val="0"/>
          <w:sz w:val="24"/>
          <w:szCs w:val="24"/>
          <w14:textFill>
            <w14:solidFill>
              <w14:schemeClr w14:val="tx1"/>
            </w14:solidFill>
          </w14:textFill>
        </w:rPr>
        <w:t>建设项目场区地下水不敏感，污染物排放简单，在落实好防渗、防污措施后，本项目污染物能得到有效处理，对地下水环境影响较小。</w:t>
      </w:r>
    </w:p>
    <w:p w14:paraId="5CD90A6B">
      <w:pPr>
        <w:pStyle w:val="3159"/>
        <w:rPr>
          <w:rFonts w:hint="default" w:ascii="Times New Roman" w:hAnsi="Times New Roman" w:eastAsia="黑体" w:cs="Times New Roman"/>
          <w:b w:val="0"/>
          <w:color w:val="000000" w:themeColor="text1"/>
          <w14:textFill>
            <w14:solidFill>
              <w14:schemeClr w14:val="tx1"/>
            </w14:solidFill>
          </w14:textFill>
        </w:rPr>
      </w:pPr>
      <w:bookmarkStart w:id="579" w:name="_Toc173837821"/>
      <w:bookmarkStart w:id="580" w:name="_Toc133333825"/>
      <w:bookmarkStart w:id="581" w:name="_Toc141627959"/>
      <w:bookmarkStart w:id="582" w:name="_Toc170562335"/>
      <w:bookmarkStart w:id="583" w:name="_Toc133214668"/>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.4.5土壤环境</w:t>
      </w:r>
      <w:bookmarkEnd w:id="579"/>
      <w:bookmarkEnd w:id="580"/>
      <w:bookmarkEnd w:id="581"/>
      <w:bookmarkEnd w:id="582"/>
      <w:bookmarkEnd w:id="583"/>
    </w:p>
    <w:p w14:paraId="60C07FDF">
      <w:pPr>
        <w:spacing w:line="360" w:lineRule="auto"/>
        <w:ind w:firstLine="472" w:firstLineChars="200"/>
        <w:rPr>
          <w:rFonts w:hint="default" w:ascii="Times New Roman" w:hAnsi="Times New Roman" w:eastAsia="黑体" w:cs="Times New Roman"/>
          <w:b w:val="0"/>
          <w:color w:val="000000" w:themeColor="text1"/>
          <w:lang w:val="en-US" w:eastAsia="zh-CN"/>
          <w14:textFill>
            <w14:solidFill>
              <w14:schemeClr w14:val="tx1"/>
            </w14:solidFill>
          </w14:textFill>
        </w:rPr>
      </w:pPr>
      <w:bookmarkStart w:id="584" w:name="_Toc493508506"/>
      <w:bookmarkStart w:id="585" w:name="_Toc511286914"/>
      <w:r>
        <w:rPr>
          <w:rFonts w:hint="default" w:ascii="Times New Roman" w:hAnsi="Times New Roman" w:cs="Times New Roman"/>
          <w:color w:val="000000" w:themeColor="text1"/>
          <w:sz w:val="24"/>
          <w14:textFill>
            <w14:solidFill>
              <w14:schemeClr w14:val="tx1"/>
            </w14:solidFill>
          </w14:textFill>
        </w:rPr>
        <w:t>拟建项目对可能产生土壤影响的各项途径均进行有效预防，确保各项防渗措施得以落实，在加强维护防渗设施和厂区环境管理的前提下，可有效控制厂区内的废水污染物下渗，避免污染土壤，因此拟建项目不会对区域土壤环境产生明显影响。</w:t>
      </w:r>
      <w:bookmarkStart w:id="586" w:name="_Toc133333826"/>
      <w:bookmarkStart w:id="587" w:name="_Toc141627960"/>
      <w:bookmarkStart w:id="588" w:name="_Toc133214669"/>
      <w:bookmarkStart w:id="589" w:name="_Toc170562336"/>
      <w:bookmarkStart w:id="590" w:name="_Toc173837822"/>
    </w:p>
    <w:p w14:paraId="62B5EBFE">
      <w:pPr>
        <w:pStyle w:val="3159"/>
        <w:rPr>
          <w:rFonts w:hint="default" w:ascii="Times New Roman" w:hAnsi="Times New Roman" w:eastAsia="黑体" w:cs="Times New Roman"/>
          <w:b w:val="0"/>
          <w:color w:val="000000" w:themeColor="text1"/>
          <w14:textFill>
            <w14:solidFill>
              <w14:schemeClr w14:val="tx1"/>
            </w14:solidFill>
          </w14:textFill>
        </w:rPr>
      </w:pPr>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.4.6环境风险</w:t>
      </w:r>
      <w:bookmarkEnd w:id="584"/>
      <w:bookmarkEnd w:id="585"/>
      <w:bookmarkEnd w:id="586"/>
      <w:bookmarkEnd w:id="587"/>
      <w:bookmarkEnd w:id="588"/>
      <w:bookmarkEnd w:id="589"/>
      <w:bookmarkEnd w:id="590"/>
    </w:p>
    <w:p w14:paraId="18A3657A">
      <w:pPr>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pPr>
      <w:bookmarkStart w:id="591" w:name="_Toc252347722"/>
      <w:bookmarkStart w:id="592" w:name="_Toc326605116"/>
      <w:bookmarkStart w:id="593" w:name="_Toc517696068"/>
      <w:bookmarkStart w:id="594" w:name="_Toc493508507"/>
      <w:bookmarkStart w:id="595" w:name="_Toc326606533"/>
      <w:bookmarkStart w:id="596" w:name="_Toc511286915"/>
      <w:bookmarkStart w:id="597" w:name="_Toc326606313"/>
      <w:bookmarkStart w:id="598" w:name="_Toc326604581"/>
      <w:r>
        <w:rPr>
          <w:rFonts w:hint="default" w:ascii="Times New Roman" w:hAnsi="Times New Roman" w:cs="Times New Roman"/>
          <w:color w:val="000000" w:themeColor="text1"/>
          <w:sz w:val="24"/>
          <w:szCs w:val="24"/>
          <w14:textFill>
            <w14:solidFill>
              <w14:schemeClr w14:val="tx1"/>
            </w14:solidFill>
          </w14:textFill>
        </w:rPr>
        <w:t>本项目生产过程中突发环境事件在采取有针对性的环境风险防范措施及应急措施后，可将风险事故对环境的影响控制在可接受的水平，项目拟采取的风险防范措施及应急预案有效可靠，</w:t>
      </w:r>
      <w:r>
        <w:rPr>
          <w:rFonts w:hint="default" w:ascii="Times New Roman" w:hAnsi="Times New Roman" w:cs="Times New Roman"/>
          <w:color w:val="000000" w:themeColor="text1"/>
          <w:spacing w:val="0"/>
          <w:sz w:val="24"/>
          <w:szCs w:val="28"/>
          <w14:textFill>
            <w14:solidFill>
              <w14:schemeClr w14:val="tx1"/>
            </w14:solidFill>
          </w14:textFill>
        </w:rPr>
        <w:t>环境风险在可接受水平内</w:t>
      </w:r>
      <w:r>
        <w:rPr>
          <w:rFonts w:hint="default" w:ascii="Times New Roman" w:hAnsi="Times New Roman" w:cs="Times New Roman"/>
          <w:color w:val="000000" w:themeColor="text1"/>
          <w:sz w:val="24"/>
          <w:szCs w:val="24"/>
          <w14:textFill>
            <w14:solidFill>
              <w14:schemeClr w14:val="tx1"/>
            </w14:solidFill>
          </w14:textFill>
        </w:rPr>
        <w:t>。</w:t>
      </w:r>
    </w:p>
    <w:p w14:paraId="19C13793">
      <w:pPr>
        <w:pStyle w:val="3159"/>
        <w:rPr>
          <w:rFonts w:hint="default" w:ascii="Times New Roman" w:hAnsi="Times New Roman" w:eastAsia="黑体" w:cs="Times New Roman"/>
          <w:b w:val="0"/>
          <w:color w:val="000000" w:themeColor="text1"/>
          <w:lang w:val="en-US" w:eastAsia="zh-CN"/>
          <w14:textFill>
            <w14:solidFill>
              <w14:schemeClr w14:val="tx1"/>
            </w14:solidFill>
          </w14:textFill>
        </w:rPr>
      </w:pPr>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eastAsia" w:ascii="Times New Roman" w:hAnsi="Times New Roman" w:eastAsia="黑体" w:cs="Times New Roman"/>
          <w:b w:val="0"/>
          <w:color w:val="000000" w:themeColor="text1"/>
          <w:lang w:val="en-US" w:eastAsia="zh-CN"/>
          <w14:textFill>
            <w14:solidFill>
              <w14:schemeClr w14:val="tx1"/>
            </w14:solidFill>
          </w14:textFill>
        </w:rPr>
        <w:t>4</w:t>
      </w:r>
      <w:r>
        <w:rPr>
          <w:rFonts w:hint="default" w:ascii="Times New Roman" w:hAnsi="Times New Roman" w:eastAsia="黑体" w:cs="Times New Roman"/>
          <w:b w:val="0"/>
          <w:color w:val="000000" w:themeColor="text1"/>
          <w:lang w:val="en-US" w:eastAsia="zh-CN"/>
          <w14:textFill>
            <w14:solidFill>
              <w14:schemeClr w14:val="tx1"/>
            </w14:solidFill>
          </w14:textFill>
        </w:rPr>
        <w:t>.</w:t>
      </w:r>
      <w:r>
        <w:rPr>
          <w:rFonts w:hint="eastAsia" w:ascii="Times New Roman" w:hAnsi="Times New Roman" w:eastAsia="黑体" w:cs="Times New Roman"/>
          <w:b w:val="0"/>
          <w:color w:val="000000" w:themeColor="text1"/>
          <w:lang w:val="en-US" w:eastAsia="zh-CN"/>
          <w14:textFill>
            <w14:solidFill>
              <w14:schemeClr w14:val="tx1"/>
            </w14:solidFill>
          </w14:textFill>
        </w:rPr>
        <w:t>7</w:t>
      </w:r>
      <w:r>
        <w:rPr>
          <w:rFonts w:hint="default" w:ascii="Times New Roman" w:hAnsi="Times New Roman" w:eastAsia="黑体" w:cs="Times New Roman"/>
          <w:b w:val="0"/>
          <w:color w:val="000000" w:themeColor="text1"/>
          <w:lang w:val="en-US" w:eastAsia="zh-CN"/>
          <w14:textFill>
            <w14:solidFill>
              <w14:schemeClr w14:val="tx1"/>
            </w14:solidFill>
          </w14:textFill>
        </w:rPr>
        <w:t>公众参与</w:t>
      </w:r>
    </w:p>
    <w:p w14:paraId="2943E2D0">
      <w:pPr>
        <w:spacing w:line="360" w:lineRule="auto"/>
        <w:ind w:firstLine="472"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建设单位按照《环境影响评价公众参与办法》（部令第4号）等文件规定的工作流程、公开方式、组织形式开展公众参与调查工作，主要进行了网络公示、新安晚报登报。具体调查结果如下：</w:t>
      </w:r>
    </w:p>
    <w:p w14:paraId="59FB09F4">
      <w:pPr>
        <w:spacing w:line="360" w:lineRule="auto"/>
        <w:ind w:firstLine="472" w:firstLineChars="200"/>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网络公示、新安晚报登报阶段未收到公众对于建设项目的反对意见</w:t>
      </w:r>
      <w:r>
        <w:rPr>
          <w:rFonts w:hint="eastAsia" w:cs="Times New Roman"/>
          <w:color w:val="000000" w:themeColor="text1"/>
          <w:sz w:val="24"/>
          <w:lang w:eastAsia="zh-CN"/>
          <w14:textFill>
            <w14:solidFill>
              <w14:schemeClr w14:val="tx1"/>
            </w14:solidFill>
          </w14:textFill>
        </w:rPr>
        <w:t>。</w:t>
      </w:r>
    </w:p>
    <w:bookmarkEnd w:id="591"/>
    <w:bookmarkEnd w:id="592"/>
    <w:bookmarkEnd w:id="593"/>
    <w:bookmarkEnd w:id="594"/>
    <w:bookmarkEnd w:id="595"/>
    <w:bookmarkEnd w:id="596"/>
    <w:bookmarkEnd w:id="597"/>
    <w:bookmarkEnd w:id="598"/>
    <w:p w14:paraId="2B0A60A3">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599" w:name="_Toc133214671"/>
      <w:bookmarkStart w:id="600" w:name="_Toc109136017"/>
      <w:bookmarkStart w:id="601" w:name="_Toc173837823"/>
      <w:bookmarkStart w:id="602" w:name="_Toc90469144"/>
      <w:bookmarkStart w:id="603" w:name="_Toc133333828"/>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.5环境保护措施</w:t>
      </w:r>
      <w:bookmarkEnd w:id="599"/>
      <w:bookmarkEnd w:id="600"/>
      <w:bookmarkEnd w:id="601"/>
      <w:bookmarkEnd w:id="602"/>
      <w:bookmarkEnd w:id="603"/>
    </w:p>
    <w:p w14:paraId="6B448D2A">
      <w:pPr>
        <w:adjustRightInd w:val="0"/>
        <w:spacing w:line="360" w:lineRule="auto"/>
        <w:ind w:firstLine="472" w:firstLineChars="200"/>
        <w:rPr>
          <w:rFonts w:hint="default" w:ascii="Times New Roman" w:hAnsi="Times New Roman" w:cs="Times New Roman"/>
          <w:color w:val="000000" w:themeColor="text1"/>
          <w:sz w:val="24"/>
          <w:szCs w:val="24"/>
          <w14:textFill>
            <w14:solidFill>
              <w14:schemeClr w14:val="tx1"/>
            </w14:solidFill>
          </w14:textFill>
        </w:rPr>
        <w:sectPr>
          <w:pgSz w:w="11907" w:h="16839"/>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000000" w:themeColor="text1"/>
          <w:sz w:val="24"/>
          <w:szCs w:val="24"/>
          <w14:textFill>
            <w14:solidFill>
              <w14:schemeClr w14:val="tx1"/>
            </w14:solidFill>
          </w14:textFill>
        </w:rPr>
        <w:t>本项目环境保护“三同时”验收内容汇总情况见表</w:t>
      </w:r>
      <w:r>
        <w:rPr>
          <w:rFonts w:hint="default" w:ascii="Times New Roman" w:hAnsi="Times New Roman" w:cs="Times New Roman"/>
          <w:color w:val="000000" w:themeColor="text1"/>
          <w:sz w:val="24"/>
          <w:szCs w:val="24"/>
          <w:lang w:val="en-US" w:eastAsia="zh-CN"/>
          <w14:textFill>
            <w14:solidFill>
              <w14:schemeClr w14:val="tx1"/>
            </w14:solidFill>
          </w14:textFill>
        </w:rPr>
        <w:t>9</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5</w:t>
      </w:r>
      <w:r>
        <w:rPr>
          <w:rFonts w:hint="default" w:ascii="Times New Roman" w:hAnsi="Times New Roman" w:cs="Times New Roman"/>
          <w:color w:val="000000" w:themeColor="text1"/>
          <w:sz w:val="24"/>
          <w:szCs w:val="24"/>
          <w14:textFill>
            <w14:solidFill>
              <w14:schemeClr w14:val="tx1"/>
            </w14:solidFill>
          </w14:textFill>
        </w:rPr>
        <w:t>-1。</w:t>
      </w:r>
    </w:p>
    <w:p w14:paraId="1F5F5163">
      <w:pPr>
        <w:spacing w:line="360" w:lineRule="auto"/>
        <w:jc w:val="center"/>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default" w:ascii="Times New Roman" w:hAnsi="Times New Roman" w:eastAsia="黑体" w:cs="Times New Roman"/>
          <w:bCs/>
          <w:color w:val="000000" w:themeColor="text1"/>
          <w:sz w:val="24"/>
          <w:lang w:val="en-US" w:eastAsia="zh-CN"/>
          <w14:textFill>
            <w14:solidFill>
              <w14:schemeClr w14:val="tx1"/>
            </w14:solidFill>
          </w14:textFill>
        </w:rPr>
        <w:t>9</w:t>
      </w:r>
      <w:r>
        <w:rPr>
          <w:rFonts w:hint="default" w:ascii="Times New Roman" w:hAnsi="Times New Roman" w:eastAsia="黑体" w:cs="Times New Roman"/>
          <w:bCs/>
          <w:color w:val="000000" w:themeColor="text1"/>
          <w:sz w:val="24"/>
          <w14:textFill>
            <w14:solidFill>
              <w14:schemeClr w14:val="tx1"/>
            </w14:solidFill>
          </w14:textFill>
        </w:rPr>
        <w:t>.5-1本项目污染治理措施及“三同时”验收一览表</w:t>
      </w:r>
    </w:p>
    <w:tbl>
      <w:tblPr>
        <w:tblStyle w:val="8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273"/>
        <w:gridCol w:w="1812"/>
        <w:gridCol w:w="1324"/>
        <w:gridCol w:w="6545"/>
        <w:gridCol w:w="240"/>
        <w:gridCol w:w="2764"/>
      </w:tblGrid>
      <w:tr w14:paraId="16C053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456" w:type="pct"/>
            <w:vAlign w:val="center"/>
          </w:tcPr>
          <w:p w14:paraId="7727494C">
            <w:pPr>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类别</w:t>
            </w:r>
          </w:p>
        </w:tc>
        <w:tc>
          <w:tcPr>
            <w:tcW w:w="649" w:type="pct"/>
            <w:vAlign w:val="center"/>
          </w:tcPr>
          <w:p w14:paraId="1CEC6ED5">
            <w:pPr>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污染源</w:t>
            </w:r>
          </w:p>
        </w:tc>
        <w:tc>
          <w:tcPr>
            <w:tcW w:w="474" w:type="pct"/>
            <w:vAlign w:val="center"/>
          </w:tcPr>
          <w:p w14:paraId="72223ED1">
            <w:pPr>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污染物</w:t>
            </w:r>
          </w:p>
        </w:tc>
        <w:tc>
          <w:tcPr>
            <w:tcW w:w="2344" w:type="pct"/>
            <w:vAlign w:val="center"/>
          </w:tcPr>
          <w:p w14:paraId="126A534B">
            <w:pPr>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拟采取的治理措施</w:t>
            </w:r>
          </w:p>
        </w:tc>
        <w:tc>
          <w:tcPr>
            <w:tcW w:w="1076" w:type="pct"/>
            <w:gridSpan w:val="2"/>
            <w:vAlign w:val="center"/>
          </w:tcPr>
          <w:p w14:paraId="6A5B1E92">
            <w:pPr>
              <w:jc w:val="center"/>
              <w:rPr>
                <w:rFonts w:hint="default" w:ascii="Times New Roman" w:hAnsi="Times New Roman" w:cs="Times New Roman"/>
                <w:b/>
                <w:color w:val="000000" w:themeColor="text1"/>
                <w:spacing w:val="0"/>
                <w:sz w:val="21"/>
                <w:szCs w:val="21"/>
                <w14:textFill>
                  <w14:solidFill>
                    <w14:schemeClr w14:val="tx1"/>
                  </w14:solidFill>
                </w14:textFill>
              </w:rPr>
            </w:pPr>
            <w:r>
              <w:rPr>
                <w:rFonts w:hint="default" w:ascii="Times New Roman" w:hAnsi="Times New Roman" w:cs="Times New Roman"/>
                <w:b/>
                <w:color w:val="000000" w:themeColor="text1"/>
                <w:spacing w:val="0"/>
                <w:sz w:val="21"/>
                <w:szCs w:val="21"/>
                <w14:textFill>
                  <w14:solidFill>
                    <w14:schemeClr w14:val="tx1"/>
                  </w14:solidFill>
                </w14:textFill>
              </w:rPr>
              <w:t>预期效果</w:t>
            </w:r>
          </w:p>
        </w:tc>
      </w:tr>
      <w:tr w14:paraId="50B8CE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4" w:hRule="atLeast"/>
          <w:jc w:val="center"/>
        </w:trPr>
        <w:tc>
          <w:tcPr>
            <w:tcW w:w="456" w:type="pct"/>
            <w:vMerge w:val="restart"/>
            <w:vAlign w:val="center"/>
          </w:tcPr>
          <w:p w14:paraId="35504F38">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大气污染防治措施</w:t>
            </w:r>
          </w:p>
        </w:tc>
        <w:tc>
          <w:tcPr>
            <w:tcW w:w="649" w:type="pct"/>
            <w:vAlign w:val="center"/>
          </w:tcPr>
          <w:p w14:paraId="792E3E62">
            <w:pPr>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bCs/>
                <w:color w:val="000000" w:themeColor="text1"/>
                <w:spacing w:val="0"/>
                <w:sz w:val="21"/>
                <w:szCs w:val="21"/>
                <w:lang w:eastAsia="zh-CN"/>
                <w14:textFill>
                  <w14:solidFill>
                    <w14:schemeClr w14:val="tx1"/>
                  </w14:solidFill>
                </w14:textFill>
              </w:rPr>
              <w:t>熔融挤出</w:t>
            </w:r>
            <w:r>
              <w:rPr>
                <w:rFonts w:hint="default" w:ascii="Times New Roman" w:hAnsi="Times New Roman" w:cs="Times New Roman"/>
                <w:bCs/>
                <w:color w:val="000000" w:themeColor="text1"/>
                <w:spacing w:val="0"/>
                <w:sz w:val="21"/>
                <w:szCs w:val="21"/>
                <w14:textFill>
                  <w14:solidFill>
                    <w14:schemeClr w14:val="tx1"/>
                  </w14:solidFill>
                </w14:textFill>
              </w:rPr>
              <w:t>废气</w:t>
            </w:r>
          </w:p>
        </w:tc>
        <w:tc>
          <w:tcPr>
            <w:tcW w:w="474" w:type="pct"/>
            <w:vMerge w:val="restart"/>
            <w:vAlign w:val="center"/>
          </w:tcPr>
          <w:p w14:paraId="2793D388">
            <w:pPr>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bCs/>
                <w:color w:val="000000" w:themeColor="text1"/>
                <w:spacing w:val="0"/>
                <w:sz w:val="21"/>
                <w:szCs w:val="21"/>
                <w14:textFill>
                  <w14:solidFill>
                    <w14:schemeClr w14:val="tx1"/>
                  </w14:solidFill>
                </w14:textFill>
              </w:rPr>
              <w:t>非甲烷总烃</w:t>
            </w:r>
          </w:p>
        </w:tc>
        <w:tc>
          <w:tcPr>
            <w:tcW w:w="2344" w:type="pct"/>
            <w:vAlign w:val="center"/>
          </w:tcPr>
          <w:p w14:paraId="322712CD">
            <w:pPr>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bCs/>
                <w:color w:val="000000" w:themeColor="text1"/>
                <w:spacing w:val="0"/>
                <w:sz w:val="21"/>
                <w:szCs w:val="21"/>
                <w:lang w:eastAsia="zh-CN"/>
                <w14:textFill>
                  <w14:solidFill>
                    <w14:schemeClr w14:val="tx1"/>
                  </w14:solidFill>
                </w14:textFill>
              </w:rPr>
              <w:t>区域封闭</w:t>
            </w:r>
            <w:r>
              <w:rPr>
                <w:rFonts w:hint="default" w:ascii="Times New Roman" w:hAnsi="Times New Roman" w:cs="Times New Roman"/>
                <w:bCs/>
                <w:color w:val="000000" w:themeColor="text1"/>
                <w:spacing w:val="0"/>
                <w:sz w:val="21"/>
                <w:szCs w:val="21"/>
                <w:lang w:val="en-US" w:eastAsia="zh-CN"/>
                <w14:textFill>
                  <w14:solidFill>
                    <w14:schemeClr w14:val="tx1"/>
                  </w14:solidFill>
                </w14:textFill>
              </w:rPr>
              <w:t>+</w:t>
            </w:r>
            <w:r>
              <w:rPr>
                <w:rFonts w:hint="default" w:ascii="Times New Roman" w:hAnsi="Times New Roman" w:cs="Times New Roman"/>
                <w:bCs/>
                <w:color w:val="000000" w:themeColor="text1"/>
                <w:spacing w:val="0"/>
                <w:sz w:val="21"/>
                <w:szCs w:val="21"/>
                <w14:textFill>
                  <w14:solidFill>
                    <w14:schemeClr w14:val="tx1"/>
                  </w14:solidFill>
                </w14:textFill>
              </w:rPr>
              <w:t>集气罩收集＋两级活性炭吸附装置＋1</w:t>
            </w:r>
            <w:r>
              <w:rPr>
                <w:rFonts w:hint="default" w:ascii="Times New Roman" w:hAnsi="Times New Roman" w:cs="Times New Roman"/>
                <w:bCs/>
                <w:color w:val="000000" w:themeColor="text1"/>
                <w:spacing w:val="0"/>
                <w:sz w:val="21"/>
                <w:szCs w:val="21"/>
                <w:lang w:val="en-US" w:eastAsia="zh-CN"/>
                <w14:textFill>
                  <w14:solidFill>
                    <w14:schemeClr w14:val="tx1"/>
                  </w14:solidFill>
                </w14:textFill>
              </w:rPr>
              <w:t>5</w:t>
            </w:r>
            <w:r>
              <w:rPr>
                <w:rFonts w:hint="default" w:ascii="Times New Roman" w:hAnsi="Times New Roman" w:cs="Times New Roman"/>
                <w:bCs/>
                <w:color w:val="000000" w:themeColor="text1"/>
                <w:spacing w:val="0"/>
                <w:sz w:val="21"/>
                <w:szCs w:val="21"/>
                <w14:textFill>
                  <w14:solidFill>
                    <w14:schemeClr w14:val="tx1"/>
                  </w14:solidFill>
                </w14:textFill>
              </w:rPr>
              <w:t>m高DA001排气筒</w:t>
            </w:r>
          </w:p>
        </w:tc>
        <w:tc>
          <w:tcPr>
            <w:tcW w:w="1076" w:type="pct"/>
            <w:gridSpan w:val="2"/>
            <w:vMerge w:val="restart"/>
            <w:vAlign w:val="center"/>
          </w:tcPr>
          <w:p w14:paraId="49F9D88F">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满足《固定源挥发性有机物综合排放标准 第6部分其他行业》（DB34 4812.6-2024）中标准限值</w:t>
            </w:r>
          </w:p>
        </w:tc>
      </w:tr>
      <w:tr w14:paraId="222F4D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456" w:type="pct"/>
            <w:vMerge w:val="continue"/>
            <w:vAlign w:val="center"/>
          </w:tcPr>
          <w:p w14:paraId="53282EB6">
            <w:pPr>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649" w:type="pct"/>
            <w:tcBorders>
              <w:top w:val="single" w:color="000000" w:sz="4" w:space="0"/>
              <w:bottom w:val="single" w:color="auto" w:sz="4" w:space="0"/>
            </w:tcBorders>
            <w:vAlign w:val="center"/>
          </w:tcPr>
          <w:p w14:paraId="73E08CA6">
            <w:pPr>
              <w:spacing w:line="276" w:lineRule="auto"/>
              <w:ind w:left="14" w:leftChars="7"/>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eastAsia" w:cs="Times New Roman"/>
                <w:color w:val="000000" w:themeColor="text1"/>
                <w:spacing w:val="0"/>
                <w:sz w:val="21"/>
                <w:szCs w:val="21"/>
                <w:lang w:eastAsia="zh-CN"/>
                <w14:textFill>
                  <w14:solidFill>
                    <w14:schemeClr w14:val="tx1"/>
                  </w14:solidFill>
                </w14:textFill>
              </w:rPr>
              <w:t>高温分选</w:t>
            </w:r>
            <w:r>
              <w:rPr>
                <w:rFonts w:hint="default" w:ascii="Times New Roman" w:hAnsi="Times New Roman" w:cs="Times New Roman"/>
                <w:color w:val="000000" w:themeColor="text1"/>
                <w:spacing w:val="0"/>
                <w:sz w:val="21"/>
                <w:szCs w:val="21"/>
                <w14:textFill>
                  <w14:solidFill>
                    <w14:schemeClr w14:val="tx1"/>
                  </w14:solidFill>
                </w14:textFill>
              </w:rPr>
              <w:t>废气</w:t>
            </w:r>
          </w:p>
        </w:tc>
        <w:tc>
          <w:tcPr>
            <w:tcW w:w="474" w:type="pct"/>
            <w:vMerge w:val="continue"/>
            <w:tcBorders>
              <w:bottom w:val="single" w:color="auto" w:sz="4" w:space="0"/>
            </w:tcBorders>
            <w:vAlign w:val="center"/>
          </w:tcPr>
          <w:p w14:paraId="6AC91C41">
            <w:pPr>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p>
        </w:tc>
        <w:tc>
          <w:tcPr>
            <w:tcW w:w="2344" w:type="pct"/>
            <w:tcBorders>
              <w:top w:val="single" w:color="000000" w:sz="4" w:space="0"/>
              <w:bottom w:val="single" w:color="auto" w:sz="4" w:space="0"/>
            </w:tcBorders>
            <w:vAlign w:val="center"/>
          </w:tcPr>
          <w:p w14:paraId="129BC0DA">
            <w:pPr>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bCs/>
                <w:color w:val="000000" w:themeColor="text1"/>
                <w:spacing w:val="0"/>
                <w:sz w:val="21"/>
                <w:szCs w:val="21"/>
                <w:lang w:eastAsia="zh-CN"/>
                <w14:textFill>
                  <w14:solidFill>
                    <w14:schemeClr w14:val="tx1"/>
                  </w14:solidFill>
                </w14:textFill>
              </w:rPr>
              <w:t>设备密闭</w:t>
            </w:r>
            <w:r>
              <w:rPr>
                <w:rFonts w:hint="default" w:ascii="Times New Roman" w:hAnsi="Times New Roman" w:cs="Times New Roman"/>
                <w:bCs/>
                <w:color w:val="000000" w:themeColor="text1"/>
                <w:spacing w:val="0"/>
                <w:sz w:val="21"/>
                <w:szCs w:val="21"/>
                <w:lang w:val="en-US" w:eastAsia="zh-CN"/>
                <w14:textFill>
                  <w14:solidFill>
                    <w14:schemeClr w14:val="tx1"/>
                  </w14:solidFill>
                </w14:textFill>
              </w:rPr>
              <w:t>+集气罩</w:t>
            </w:r>
            <w:r>
              <w:rPr>
                <w:rFonts w:hint="default" w:ascii="Times New Roman" w:hAnsi="Times New Roman" w:cs="Times New Roman"/>
                <w:bCs/>
                <w:color w:val="000000" w:themeColor="text1"/>
                <w:spacing w:val="0"/>
                <w:sz w:val="21"/>
                <w:szCs w:val="21"/>
                <w14:textFill>
                  <w14:solidFill>
                    <w14:schemeClr w14:val="tx1"/>
                  </w14:solidFill>
                </w14:textFill>
              </w:rPr>
              <w:t>收集＋两级活性炭吸附装置＋1</w:t>
            </w:r>
            <w:r>
              <w:rPr>
                <w:rFonts w:hint="default" w:ascii="Times New Roman" w:hAnsi="Times New Roman" w:cs="Times New Roman"/>
                <w:bCs/>
                <w:color w:val="000000" w:themeColor="text1"/>
                <w:spacing w:val="0"/>
                <w:sz w:val="21"/>
                <w:szCs w:val="21"/>
                <w:lang w:val="en-US" w:eastAsia="zh-CN"/>
                <w14:textFill>
                  <w14:solidFill>
                    <w14:schemeClr w14:val="tx1"/>
                  </w14:solidFill>
                </w14:textFill>
              </w:rPr>
              <w:t>5</w:t>
            </w:r>
            <w:r>
              <w:rPr>
                <w:rFonts w:hint="default" w:ascii="Times New Roman" w:hAnsi="Times New Roman" w:cs="Times New Roman"/>
                <w:bCs/>
                <w:color w:val="000000" w:themeColor="text1"/>
                <w:spacing w:val="0"/>
                <w:sz w:val="21"/>
                <w:szCs w:val="21"/>
                <w14:textFill>
                  <w14:solidFill>
                    <w14:schemeClr w14:val="tx1"/>
                  </w14:solidFill>
                </w14:textFill>
              </w:rPr>
              <w:t>m高DA001排气筒</w:t>
            </w:r>
          </w:p>
        </w:tc>
        <w:tc>
          <w:tcPr>
            <w:tcW w:w="1076" w:type="pct"/>
            <w:gridSpan w:val="2"/>
            <w:vMerge w:val="continue"/>
            <w:vAlign w:val="center"/>
          </w:tcPr>
          <w:p w14:paraId="32676E96">
            <w:pPr>
              <w:jc w:val="center"/>
              <w:rPr>
                <w:rFonts w:hint="default" w:ascii="Times New Roman" w:hAnsi="Times New Roman" w:cs="Times New Roman"/>
                <w:color w:val="000000" w:themeColor="text1"/>
                <w:spacing w:val="0"/>
                <w:sz w:val="21"/>
                <w:szCs w:val="21"/>
                <w14:textFill>
                  <w14:solidFill>
                    <w14:schemeClr w14:val="tx1"/>
                  </w14:solidFill>
                </w14:textFill>
              </w:rPr>
            </w:pPr>
          </w:p>
        </w:tc>
      </w:tr>
      <w:tr w14:paraId="04BE09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456" w:type="pct"/>
            <w:vMerge w:val="continue"/>
            <w:vAlign w:val="center"/>
          </w:tcPr>
          <w:p w14:paraId="6956ADB2">
            <w:pPr>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649" w:type="pct"/>
            <w:tcBorders>
              <w:top w:val="single" w:color="auto" w:sz="4" w:space="0"/>
            </w:tcBorders>
            <w:vAlign w:val="center"/>
          </w:tcPr>
          <w:p w14:paraId="607611F2">
            <w:pPr>
              <w:spacing w:line="276" w:lineRule="auto"/>
              <w:ind w:left="14" w:leftChars="7"/>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拆包</w:t>
            </w:r>
            <w:r>
              <w:rPr>
                <w:rFonts w:hint="default" w:ascii="Times New Roman" w:hAnsi="Times New Roman" w:cs="Times New Roman"/>
                <w:color w:val="000000" w:themeColor="text1"/>
                <w:spacing w:val="0"/>
                <w:sz w:val="21"/>
                <w:szCs w:val="21"/>
                <w14:textFill>
                  <w14:solidFill>
                    <w14:schemeClr w14:val="tx1"/>
                  </w14:solidFill>
                </w14:textFill>
              </w:rPr>
              <w:t>废气</w:t>
            </w:r>
          </w:p>
        </w:tc>
        <w:tc>
          <w:tcPr>
            <w:tcW w:w="474" w:type="pct"/>
            <w:vMerge w:val="restart"/>
            <w:tcBorders>
              <w:top w:val="single" w:color="auto" w:sz="4" w:space="0"/>
            </w:tcBorders>
            <w:vAlign w:val="center"/>
          </w:tcPr>
          <w:p w14:paraId="36664376">
            <w:pPr>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bCs/>
                <w:color w:val="000000" w:themeColor="text1"/>
                <w:spacing w:val="0"/>
                <w:sz w:val="21"/>
                <w:szCs w:val="21"/>
                <w14:textFill>
                  <w14:solidFill>
                    <w14:schemeClr w14:val="tx1"/>
                  </w14:solidFill>
                </w14:textFill>
              </w:rPr>
              <w:t>颗粒物</w:t>
            </w:r>
          </w:p>
        </w:tc>
        <w:tc>
          <w:tcPr>
            <w:tcW w:w="2344" w:type="pct"/>
            <w:tcBorders>
              <w:top w:val="single" w:color="auto" w:sz="4" w:space="0"/>
            </w:tcBorders>
            <w:vAlign w:val="center"/>
          </w:tcPr>
          <w:p w14:paraId="3F3EC4BB">
            <w:pPr>
              <w:spacing w:line="276" w:lineRule="auto"/>
              <w:jc w:val="center"/>
              <w:rPr>
                <w:rFonts w:hint="default" w:ascii="Times New Roman" w:hAnsi="Times New Roman" w:cs="Times New Roman"/>
                <w:color w:val="000000" w:themeColor="text1"/>
                <w:spacing w:val="0"/>
                <w14:textFill>
                  <w14:solidFill>
                    <w14:schemeClr w14:val="tx1"/>
                  </w14:solidFill>
                </w14:textFill>
              </w:rPr>
            </w:pPr>
            <w:r>
              <w:rPr>
                <w:rFonts w:hint="default" w:ascii="Times New Roman" w:hAnsi="Times New Roman" w:cs="Times New Roman"/>
                <w:bCs/>
                <w:color w:val="000000" w:themeColor="text1"/>
                <w:spacing w:val="0"/>
                <w:sz w:val="21"/>
                <w:szCs w:val="21"/>
                <w:lang w:eastAsia="zh-CN"/>
                <w14:textFill>
                  <w14:solidFill>
                    <w14:schemeClr w14:val="tx1"/>
                  </w14:solidFill>
                </w14:textFill>
              </w:rPr>
              <w:t>软帘</w:t>
            </w:r>
            <w:r>
              <w:rPr>
                <w:rFonts w:hint="default" w:ascii="Times New Roman" w:hAnsi="Times New Roman" w:cs="Times New Roman"/>
                <w:bCs/>
                <w:color w:val="000000" w:themeColor="text1"/>
                <w:spacing w:val="0"/>
                <w:sz w:val="21"/>
                <w:szCs w:val="21"/>
                <w:lang w:val="en-US" w:eastAsia="zh-CN"/>
                <w14:textFill>
                  <w14:solidFill>
                    <w14:schemeClr w14:val="tx1"/>
                  </w14:solidFill>
                </w14:textFill>
              </w:rPr>
              <w:t>+</w:t>
            </w:r>
            <w:r>
              <w:rPr>
                <w:rFonts w:hint="default" w:ascii="Times New Roman" w:hAnsi="Times New Roman" w:cs="Times New Roman"/>
                <w:bCs/>
                <w:color w:val="000000" w:themeColor="text1"/>
                <w:spacing w:val="0"/>
                <w:sz w:val="21"/>
                <w:szCs w:val="21"/>
                <w14:textFill>
                  <w14:solidFill>
                    <w14:schemeClr w14:val="tx1"/>
                  </w14:solidFill>
                </w14:textFill>
              </w:rPr>
              <w:t>集气罩＋</w:t>
            </w:r>
            <w:r>
              <w:rPr>
                <w:rFonts w:hint="default" w:ascii="Times New Roman" w:hAnsi="Times New Roman" w:cs="Times New Roman"/>
                <w:bCs/>
                <w:color w:val="000000" w:themeColor="text1"/>
                <w:spacing w:val="0"/>
                <w:sz w:val="21"/>
                <w:szCs w:val="21"/>
                <w:lang w:eastAsia="zh-CN"/>
                <w14:textFill>
                  <w14:solidFill>
                    <w14:schemeClr w14:val="tx1"/>
                  </w14:solidFill>
                </w14:textFill>
              </w:rPr>
              <w:t>脉冲式布袋除尘器</w:t>
            </w:r>
            <w:r>
              <w:rPr>
                <w:rFonts w:hint="default" w:ascii="Times New Roman" w:hAnsi="Times New Roman" w:cs="Times New Roman"/>
                <w:color w:val="000000" w:themeColor="text1"/>
                <w:spacing w:val="0"/>
                <w:sz w:val="21"/>
                <w:szCs w:val="21"/>
                <w14:textFill>
                  <w14:solidFill>
                    <w14:schemeClr w14:val="tx1"/>
                  </w14:solidFill>
                </w14:textFill>
              </w:rPr>
              <w:t>+</w:t>
            </w:r>
            <w:r>
              <w:rPr>
                <w:rFonts w:hint="default" w:ascii="Times New Roman" w:hAnsi="Times New Roman" w:cs="Times New Roman"/>
                <w:bCs/>
                <w:color w:val="000000" w:themeColor="text1"/>
                <w:spacing w:val="0"/>
                <w:sz w:val="21"/>
                <w:szCs w:val="21"/>
                <w:lang w:val="en-US" w:eastAsia="zh-CN"/>
                <w14:textFill>
                  <w14:solidFill>
                    <w14:schemeClr w14:val="tx1"/>
                  </w14:solidFill>
                </w14:textFill>
              </w:rPr>
              <w:t>1</w:t>
            </w:r>
            <w:r>
              <w:rPr>
                <w:rFonts w:hint="default" w:ascii="Times New Roman" w:hAnsi="Times New Roman" w:cs="Times New Roman"/>
                <w:bCs/>
                <w:color w:val="000000" w:themeColor="text1"/>
                <w:spacing w:val="0"/>
                <w:sz w:val="21"/>
                <w:szCs w:val="21"/>
                <w14:textFill>
                  <w14:solidFill>
                    <w14:schemeClr w14:val="tx1"/>
                  </w14:solidFill>
                </w14:textFill>
              </w:rPr>
              <w:t>5m高DA00</w:t>
            </w:r>
            <w:r>
              <w:rPr>
                <w:rFonts w:hint="default" w:ascii="Times New Roman" w:hAnsi="Times New Roman" w:cs="Times New Roman"/>
                <w:bCs/>
                <w:color w:val="000000" w:themeColor="text1"/>
                <w:spacing w:val="0"/>
                <w:sz w:val="21"/>
                <w:szCs w:val="21"/>
                <w:lang w:val="en-US" w:eastAsia="zh-CN"/>
                <w14:textFill>
                  <w14:solidFill>
                    <w14:schemeClr w14:val="tx1"/>
                  </w14:solidFill>
                </w14:textFill>
              </w:rPr>
              <w:t>2</w:t>
            </w:r>
            <w:r>
              <w:rPr>
                <w:rFonts w:hint="default" w:ascii="Times New Roman" w:hAnsi="Times New Roman" w:cs="Times New Roman"/>
                <w:bCs/>
                <w:color w:val="000000" w:themeColor="text1"/>
                <w:spacing w:val="0"/>
                <w:sz w:val="21"/>
                <w:szCs w:val="21"/>
                <w14:textFill>
                  <w14:solidFill>
                    <w14:schemeClr w14:val="tx1"/>
                  </w14:solidFill>
                </w14:textFill>
              </w:rPr>
              <w:t>排气筒</w:t>
            </w:r>
          </w:p>
        </w:tc>
        <w:tc>
          <w:tcPr>
            <w:tcW w:w="1076" w:type="pct"/>
            <w:gridSpan w:val="2"/>
            <w:vMerge w:val="restart"/>
            <w:tcBorders>
              <w:top w:val="single" w:color="auto" w:sz="4" w:space="0"/>
            </w:tcBorders>
            <w:vAlign w:val="center"/>
          </w:tcPr>
          <w:p w14:paraId="6A5510D0">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满足《大气污染物综合排放标准》（GB162967-1996）中标准限值</w:t>
            </w:r>
          </w:p>
        </w:tc>
      </w:tr>
      <w:tr w14:paraId="1EC1A7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456" w:type="pct"/>
            <w:vMerge w:val="continue"/>
            <w:vAlign w:val="center"/>
          </w:tcPr>
          <w:p w14:paraId="1823DCA2">
            <w:pPr>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649" w:type="pct"/>
            <w:tcBorders>
              <w:top w:val="single" w:color="auto" w:sz="4" w:space="0"/>
            </w:tcBorders>
            <w:vAlign w:val="center"/>
          </w:tcPr>
          <w:p w14:paraId="3B01AFEC">
            <w:pPr>
              <w:spacing w:line="276" w:lineRule="auto"/>
              <w:ind w:left="14" w:leftChars="7"/>
              <w:jc w:val="center"/>
              <w:rPr>
                <w:rFonts w:hint="default" w:ascii="Times New Roman" w:hAnsi="Times New Roman"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磨粉废气</w:t>
            </w:r>
          </w:p>
        </w:tc>
        <w:tc>
          <w:tcPr>
            <w:tcW w:w="474" w:type="pct"/>
            <w:vMerge w:val="continue"/>
            <w:vAlign w:val="center"/>
          </w:tcPr>
          <w:p w14:paraId="2298F8E8">
            <w:pPr>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p>
        </w:tc>
        <w:tc>
          <w:tcPr>
            <w:tcW w:w="2344" w:type="pct"/>
            <w:tcBorders>
              <w:top w:val="single" w:color="auto" w:sz="4" w:space="0"/>
            </w:tcBorders>
            <w:vAlign w:val="center"/>
          </w:tcPr>
          <w:p w14:paraId="71F97D6E">
            <w:pPr>
              <w:spacing w:line="276" w:lineRule="auto"/>
              <w:jc w:val="center"/>
              <w:rPr>
                <w:rFonts w:hint="default" w:ascii="Times New Roman" w:hAnsi="Times New Roman" w:cs="Times New Roman"/>
                <w:bCs/>
                <w:color w:val="000000" w:themeColor="text1"/>
                <w:spacing w:val="0"/>
                <w:sz w:val="21"/>
                <w:szCs w:val="21"/>
                <w:lang w:eastAsia="zh-CN"/>
                <w14:textFill>
                  <w14:solidFill>
                    <w14:schemeClr w14:val="tx1"/>
                  </w14:solidFill>
                </w14:textFill>
              </w:rPr>
            </w:pPr>
            <w:r>
              <w:rPr>
                <w:rFonts w:hint="default" w:ascii="Times New Roman" w:hAnsi="Times New Roman" w:cs="Times New Roman"/>
                <w:bCs/>
                <w:color w:val="000000" w:themeColor="text1"/>
                <w:spacing w:val="0"/>
                <w:sz w:val="21"/>
                <w:szCs w:val="21"/>
                <w:lang w:eastAsia="zh-CN"/>
                <w14:textFill>
                  <w14:solidFill>
                    <w14:schemeClr w14:val="tx1"/>
                  </w14:solidFill>
                </w14:textFill>
              </w:rPr>
              <w:t>设备密闭</w:t>
            </w:r>
            <w:r>
              <w:rPr>
                <w:rFonts w:hint="default" w:ascii="Times New Roman" w:hAnsi="Times New Roman" w:cs="Times New Roman"/>
                <w:bCs/>
                <w:color w:val="000000" w:themeColor="text1"/>
                <w:spacing w:val="0"/>
                <w:sz w:val="21"/>
                <w:szCs w:val="21"/>
                <w:lang w:val="en-US" w:eastAsia="zh-CN"/>
                <w14:textFill>
                  <w14:solidFill>
                    <w14:schemeClr w14:val="tx1"/>
                  </w14:solidFill>
                </w14:textFill>
              </w:rPr>
              <w:t>+</w:t>
            </w:r>
            <w:r>
              <w:rPr>
                <w:rFonts w:hint="default" w:ascii="Times New Roman" w:hAnsi="Times New Roman" w:cs="Times New Roman"/>
                <w:bCs/>
                <w:color w:val="000000" w:themeColor="text1"/>
                <w:spacing w:val="0"/>
                <w:sz w:val="21"/>
                <w:szCs w:val="21"/>
                <w14:textFill>
                  <w14:solidFill>
                    <w14:schemeClr w14:val="tx1"/>
                  </w14:solidFill>
                </w14:textFill>
              </w:rPr>
              <w:t>集气罩＋</w:t>
            </w:r>
            <w:r>
              <w:rPr>
                <w:rFonts w:hint="default" w:ascii="Times New Roman" w:hAnsi="Times New Roman" w:cs="Times New Roman"/>
                <w:bCs/>
                <w:color w:val="000000" w:themeColor="text1"/>
                <w:spacing w:val="0"/>
                <w:sz w:val="21"/>
                <w:szCs w:val="21"/>
                <w:lang w:eastAsia="zh-CN"/>
                <w14:textFill>
                  <w14:solidFill>
                    <w14:schemeClr w14:val="tx1"/>
                  </w14:solidFill>
                </w14:textFill>
              </w:rPr>
              <w:t>脉冲式布袋除尘器</w:t>
            </w:r>
            <w:r>
              <w:rPr>
                <w:rFonts w:hint="default" w:ascii="Times New Roman" w:hAnsi="Times New Roman" w:cs="Times New Roman"/>
                <w:color w:val="000000" w:themeColor="text1"/>
                <w:spacing w:val="0"/>
                <w:sz w:val="21"/>
                <w:szCs w:val="21"/>
                <w14:textFill>
                  <w14:solidFill>
                    <w14:schemeClr w14:val="tx1"/>
                  </w14:solidFill>
                </w14:textFill>
              </w:rPr>
              <w:t>+</w:t>
            </w:r>
            <w:r>
              <w:rPr>
                <w:rFonts w:hint="default" w:ascii="Times New Roman" w:hAnsi="Times New Roman" w:cs="Times New Roman"/>
                <w:bCs/>
                <w:color w:val="000000" w:themeColor="text1"/>
                <w:spacing w:val="0"/>
                <w:sz w:val="21"/>
                <w:szCs w:val="21"/>
                <w:lang w:val="en-US" w:eastAsia="zh-CN"/>
                <w14:textFill>
                  <w14:solidFill>
                    <w14:schemeClr w14:val="tx1"/>
                  </w14:solidFill>
                </w14:textFill>
              </w:rPr>
              <w:t>1</w:t>
            </w:r>
            <w:r>
              <w:rPr>
                <w:rFonts w:hint="default" w:ascii="Times New Roman" w:hAnsi="Times New Roman" w:cs="Times New Roman"/>
                <w:bCs/>
                <w:color w:val="000000" w:themeColor="text1"/>
                <w:spacing w:val="0"/>
                <w:sz w:val="21"/>
                <w:szCs w:val="21"/>
                <w14:textFill>
                  <w14:solidFill>
                    <w14:schemeClr w14:val="tx1"/>
                  </w14:solidFill>
                </w14:textFill>
              </w:rPr>
              <w:t>5m高DA00</w:t>
            </w:r>
            <w:r>
              <w:rPr>
                <w:rFonts w:hint="default" w:ascii="Times New Roman" w:hAnsi="Times New Roman" w:cs="Times New Roman"/>
                <w:bCs/>
                <w:color w:val="000000" w:themeColor="text1"/>
                <w:spacing w:val="0"/>
                <w:sz w:val="21"/>
                <w:szCs w:val="21"/>
                <w:lang w:val="en-US" w:eastAsia="zh-CN"/>
                <w14:textFill>
                  <w14:solidFill>
                    <w14:schemeClr w14:val="tx1"/>
                  </w14:solidFill>
                </w14:textFill>
              </w:rPr>
              <w:t>2</w:t>
            </w:r>
            <w:r>
              <w:rPr>
                <w:rFonts w:hint="default" w:ascii="Times New Roman" w:hAnsi="Times New Roman" w:cs="Times New Roman"/>
                <w:bCs/>
                <w:color w:val="000000" w:themeColor="text1"/>
                <w:spacing w:val="0"/>
                <w:sz w:val="21"/>
                <w:szCs w:val="21"/>
                <w14:textFill>
                  <w14:solidFill>
                    <w14:schemeClr w14:val="tx1"/>
                  </w14:solidFill>
                </w14:textFill>
              </w:rPr>
              <w:t>排气筒</w:t>
            </w:r>
          </w:p>
        </w:tc>
        <w:tc>
          <w:tcPr>
            <w:tcW w:w="1076" w:type="pct"/>
            <w:gridSpan w:val="2"/>
            <w:vMerge w:val="continue"/>
            <w:vAlign w:val="center"/>
          </w:tcPr>
          <w:p w14:paraId="76D3B578">
            <w:pPr>
              <w:jc w:val="center"/>
              <w:rPr>
                <w:rFonts w:hint="default" w:ascii="Times New Roman" w:hAnsi="Times New Roman" w:cs="Times New Roman"/>
                <w:color w:val="000000" w:themeColor="text1"/>
                <w:spacing w:val="0"/>
                <w:sz w:val="21"/>
                <w:szCs w:val="21"/>
                <w14:textFill>
                  <w14:solidFill>
                    <w14:schemeClr w14:val="tx1"/>
                  </w14:solidFill>
                </w14:textFill>
              </w:rPr>
            </w:pPr>
          </w:p>
        </w:tc>
      </w:tr>
      <w:tr w14:paraId="609EC0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456" w:type="pct"/>
            <w:vMerge w:val="continue"/>
            <w:vAlign w:val="center"/>
          </w:tcPr>
          <w:p w14:paraId="51ACF90D">
            <w:pPr>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649" w:type="pct"/>
            <w:vAlign w:val="center"/>
          </w:tcPr>
          <w:p w14:paraId="5DA57277">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污水站</w:t>
            </w:r>
            <w:r>
              <w:rPr>
                <w:rFonts w:hint="default" w:ascii="Times New Roman" w:hAnsi="Times New Roman" w:cs="Times New Roman"/>
                <w:color w:val="000000" w:themeColor="text1"/>
                <w:spacing w:val="0"/>
                <w:sz w:val="21"/>
                <w:szCs w:val="21"/>
                <w14:textFill>
                  <w14:solidFill>
                    <w14:schemeClr w14:val="tx1"/>
                  </w14:solidFill>
                </w14:textFill>
              </w:rPr>
              <w:t>废气</w:t>
            </w:r>
          </w:p>
        </w:tc>
        <w:tc>
          <w:tcPr>
            <w:tcW w:w="474" w:type="pct"/>
            <w:vAlign w:val="center"/>
          </w:tcPr>
          <w:p w14:paraId="358B013C">
            <w:pPr>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硫化氢</w:t>
            </w:r>
            <w:r>
              <w:rPr>
                <w:rFonts w:hint="default" w:ascii="Times New Roman" w:hAnsi="Times New Roman" w:cs="Times New Roman"/>
                <w:color w:val="000000" w:themeColor="text1"/>
                <w:spacing w:val="0"/>
                <w:sz w:val="21"/>
                <w:szCs w:val="21"/>
                <w14:textFill>
                  <w14:solidFill>
                    <w14:schemeClr w14:val="tx1"/>
                  </w14:solidFill>
                </w14:textFill>
              </w:rPr>
              <w:t>、氨</w:t>
            </w:r>
          </w:p>
        </w:tc>
        <w:tc>
          <w:tcPr>
            <w:tcW w:w="2344" w:type="pct"/>
            <w:vAlign w:val="center"/>
          </w:tcPr>
          <w:p w14:paraId="5FBB7B54">
            <w:pPr>
              <w:spacing w:line="276" w:lineRule="auto"/>
              <w:jc w:val="center"/>
              <w:rPr>
                <w:rFonts w:hint="default" w:ascii="Times New Roman" w:hAnsi="Times New Roman" w:cs="Times New Roman"/>
                <w:bCs/>
                <w:color w:val="000000" w:themeColor="text1"/>
                <w:spacing w:val="0"/>
                <w:sz w:val="21"/>
                <w:szCs w:val="21"/>
                <w14:textFill>
                  <w14:solidFill>
                    <w14:schemeClr w14:val="tx1"/>
                  </w14:solidFill>
                </w14:textFill>
              </w:rPr>
            </w:pPr>
            <w:r>
              <w:rPr>
                <w:rFonts w:hint="default" w:ascii="Times New Roman" w:hAnsi="Times New Roman" w:cs="Times New Roman"/>
                <w:bCs/>
                <w:color w:val="000000" w:themeColor="text1"/>
                <w:spacing w:val="0"/>
                <w:sz w:val="21"/>
                <w:szCs w:val="21"/>
                <w:lang w:eastAsia="zh-CN"/>
                <w14:textFill>
                  <w14:solidFill>
                    <w14:schemeClr w14:val="tx1"/>
                  </w14:solidFill>
                </w14:textFill>
              </w:rPr>
              <w:t>封闭</w:t>
            </w:r>
            <w:r>
              <w:rPr>
                <w:rFonts w:hint="default" w:ascii="Times New Roman" w:hAnsi="Times New Roman" w:cs="Times New Roman"/>
                <w:bCs/>
                <w:color w:val="000000" w:themeColor="text1"/>
                <w:spacing w:val="0"/>
                <w:sz w:val="21"/>
                <w:szCs w:val="21"/>
                <w14:textFill>
                  <w14:solidFill>
                    <w14:schemeClr w14:val="tx1"/>
                  </w14:solidFill>
                </w14:textFill>
              </w:rPr>
              <w:t>负压收集＋</w:t>
            </w:r>
            <w:r>
              <w:rPr>
                <w:rFonts w:hint="eastAsia" w:cs="Times New Roman"/>
                <w:bCs/>
                <w:color w:val="000000" w:themeColor="text1"/>
                <w:spacing w:val="0"/>
                <w:sz w:val="21"/>
                <w:szCs w:val="21"/>
                <w:lang w:eastAsia="zh-CN"/>
                <w14:textFill>
                  <w14:solidFill>
                    <w14:schemeClr w14:val="tx1"/>
                  </w14:solidFill>
                </w14:textFill>
              </w:rPr>
              <w:t>两级活性炭吸附装置</w:t>
            </w:r>
            <w:r>
              <w:rPr>
                <w:rFonts w:hint="default" w:ascii="Times New Roman" w:hAnsi="Times New Roman" w:cs="Times New Roman"/>
                <w:bCs/>
                <w:color w:val="000000" w:themeColor="text1"/>
                <w:spacing w:val="0"/>
                <w:sz w:val="21"/>
                <w:szCs w:val="21"/>
                <w14:textFill>
                  <w14:solidFill>
                    <w14:schemeClr w14:val="tx1"/>
                  </w14:solidFill>
                </w14:textFill>
              </w:rPr>
              <w:t>＋1</w:t>
            </w:r>
            <w:r>
              <w:rPr>
                <w:rFonts w:hint="default" w:ascii="Times New Roman" w:hAnsi="Times New Roman" w:cs="Times New Roman"/>
                <w:bCs/>
                <w:color w:val="000000" w:themeColor="text1"/>
                <w:spacing w:val="0"/>
                <w:sz w:val="21"/>
                <w:szCs w:val="21"/>
                <w:lang w:val="en-US" w:eastAsia="zh-CN"/>
                <w14:textFill>
                  <w14:solidFill>
                    <w14:schemeClr w14:val="tx1"/>
                  </w14:solidFill>
                </w14:textFill>
              </w:rPr>
              <w:t>5</w:t>
            </w:r>
            <w:r>
              <w:rPr>
                <w:rFonts w:hint="default" w:ascii="Times New Roman" w:hAnsi="Times New Roman" w:cs="Times New Roman"/>
                <w:bCs/>
                <w:color w:val="000000" w:themeColor="text1"/>
                <w:spacing w:val="0"/>
                <w:sz w:val="21"/>
                <w:szCs w:val="21"/>
                <w14:textFill>
                  <w14:solidFill>
                    <w14:schemeClr w14:val="tx1"/>
                  </w14:solidFill>
                </w14:textFill>
              </w:rPr>
              <w:t>m高DA00</w:t>
            </w:r>
            <w:r>
              <w:rPr>
                <w:rFonts w:hint="default" w:ascii="Times New Roman" w:hAnsi="Times New Roman" w:cs="Times New Roman"/>
                <w:bCs/>
                <w:color w:val="000000" w:themeColor="text1"/>
                <w:spacing w:val="0"/>
                <w:sz w:val="21"/>
                <w:szCs w:val="21"/>
                <w:lang w:val="en-US" w:eastAsia="zh-CN"/>
                <w14:textFill>
                  <w14:solidFill>
                    <w14:schemeClr w14:val="tx1"/>
                  </w14:solidFill>
                </w14:textFill>
              </w:rPr>
              <w:t>3</w:t>
            </w:r>
            <w:r>
              <w:rPr>
                <w:rFonts w:hint="default" w:ascii="Times New Roman" w:hAnsi="Times New Roman" w:cs="Times New Roman"/>
                <w:bCs/>
                <w:color w:val="000000" w:themeColor="text1"/>
                <w:spacing w:val="0"/>
                <w:sz w:val="21"/>
                <w:szCs w:val="21"/>
                <w14:textFill>
                  <w14:solidFill>
                    <w14:schemeClr w14:val="tx1"/>
                  </w14:solidFill>
                </w14:textFill>
              </w:rPr>
              <w:t>排气筒</w:t>
            </w:r>
          </w:p>
        </w:tc>
        <w:tc>
          <w:tcPr>
            <w:tcW w:w="1076" w:type="pct"/>
            <w:gridSpan w:val="2"/>
            <w:vAlign w:val="center"/>
          </w:tcPr>
          <w:p w14:paraId="56E63377">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满足《恶臭污染物排放标准》（GB14554-93）表2中标准限值</w:t>
            </w:r>
          </w:p>
        </w:tc>
      </w:tr>
      <w:tr w14:paraId="61F2CF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456" w:type="pct"/>
            <w:vAlign w:val="center"/>
          </w:tcPr>
          <w:p w14:paraId="20EBE977">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废水污染防治措施</w:t>
            </w:r>
          </w:p>
        </w:tc>
        <w:tc>
          <w:tcPr>
            <w:tcW w:w="649" w:type="pct"/>
            <w:vAlign w:val="center"/>
          </w:tcPr>
          <w:p w14:paraId="424A11FA">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生活及生产废水</w:t>
            </w:r>
          </w:p>
        </w:tc>
        <w:tc>
          <w:tcPr>
            <w:tcW w:w="474" w:type="pct"/>
            <w:vAlign w:val="center"/>
          </w:tcPr>
          <w:p w14:paraId="62186DA7">
            <w:pPr>
              <w:jc w:val="center"/>
              <w:rPr>
                <w:rFonts w:hint="default" w:ascii="Times New Roman" w:hAnsi="Times New Roman" w:eastAsia="宋体" w:cs="Times New Roman"/>
                <w:color w:val="000000" w:themeColor="text1"/>
                <w:spacing w:val="0"/>
                <w:sz w:val="21"/>
                <w:szCs w:val="21"/>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pH、COD、BOD</w:t>
            </w:r>
            <w:r>
              <w:rPr>
                <w:rFonts w:hint="default" w:ascii="Times New Roman" w:hAnsi="Times New Roman" w:cs="Times New Roman"/>
                <w:color w:val="000000" w:themeColor="text1"/>
                <w:spacing w:val="0"/>
                <w:sz w:val="21"/>
                <w:szCs w:val="21"/>
                <w:vertAlign w:val="subscript"/>
                <w14:textFill>
                  <w14:solidFill>
                    <w14:schemeClr w14:val="tx1"/>
                  </w14:solidFill>
                </w14:textFill>
              </w:rPr>
              <w:t>5</w:t>
            </w:r>
            <w:r>
              <w:rPr>
                <w:rFonts w:hint="default" w:ascii="Times New Roman" w:hAnsi="Times New Roman" w:cs="Times New Roman"/>
                <w:color w:val="000000" w:themeColor="text1"/>
                <w:spacing w:val="0"/>
                <w:sz w:val="21"/>
                <w:szCs w:val="21"/>
                <w14:textFill>
                  <w14:solidFill>
                    <w14:schemeClr w14:val="tx1"/>
                  </w14:solidFill>
                </w14:textFill>
              </w:rPr>
              <w:t>、SS、NH</w:t>
            </w:r>
            <w:r>
              <w:rPr>
                <w:rFonts w:hint="default" w:ascii="Times New Roman" w:hAnsi="Times New Roman" w:cs="Times New Roman"/>
                <w:color w:val="000000" w:themeColor="text1"/>
                <w:spacing w:val="0"/>
                <w:sz w:val="21"/>
                <w:szCs w:val="21"/>
                <w:vertAlign w:val="sub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-N、</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TP</w:t>
            </w:r>
          </w:p>
        </w:tc>
        <w:tc>
          <w:tcPr>
            <w:tcW w:w="2344" w:type="pct"/>
            <w:vAlign w:val="center"/>
          </w:tcPr>
          <w:p w14:paraId="1382D541">
            <w:pPr>
              <w:kinsoku w:val="0"/>
              <w:overflowPunct w:val="0"/>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生产废水</w:t>
            </w:r>
            <w:r>
              <w:rPr>
                <w:rFonts w:hint="default" w:ascii="Times New Roman" w:hAnsi="Times New Roman" w:cs="Times New Roman"/>
                <w:color w:val="000000" w:themeColor="text1"/>
                <w:spacing w:val="0"/>
                <w:sz w:val="21"/>
                <w:szCs w:val="21"/>
                <w14:textFill>
                  <w14:solidFill>
                    <w14:schemeClr w14:val="tx1"/>
                  </w14:solidFill>
                </w14:textFill>
              </w:rPr>
              <w:t>经“pH调节+</w:t>
            </w:r>
            <w:r>
              <w:rPr>
                <w:rFonts w:hint="default" w:ascii="Times New Roman" w:hAnsi="Times New Roman" w:cs="Times New Roman"/>
                <w:color w:val="000000" w:themeColor="text1"/>
                <w:spacing w:val="0"/>
                <w:sz w:val="21"/>
                <w:szCs w:val="21"/>
                <w:lang w:eastAsia="zh-CN"/>
                <w14:textFill>
                  <w14:solidFill>
                    <w14:schemeClr w14:val="tx1"/>
                  </w14:solidFill>
                </w14:textFill>
              </w:rPr>
              <w:t>气浮</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0"/>
                <w:sz w:val="21"/>
                <w:szCs w:val="21"/>
                <w14:textFill>
                  <w14:solidFill>
                    <w14:schemeClr w14:val="tx1"/>
                  </w14:solidFill>
                </w14:textFill>
              </w:rPr>
              <w:t>絮凝沉淀</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+A/O</w:t>
            </w:r>
            <w:r>
              <w:rPr>
                <w:rFonts w:hint="default" w:ascii="Times New Roman" w:hAnsi="Times New Roman" w:cs="Times New Roman"/>
                <w:color w:val="000000" w:themeColor="text1"/>
                <w:spacing w:val="0"/>
                <w:sz w:val="21"/>
                <w:szCs w:val="21"/>
                <w14:textFill>
                  <w14:solidFill>
                    <w14:schemeClr w14:val="tx1"/>
                  </w14:solidFill>
                </w14:textFill>
              </w:rPr>
              <w:t>”后</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90%</w:t>
            </w:r>
            <w:r>
              <w:rPr>
                <w:rFonts w:hint="default" w:ascii="Times New Roman" w:hAnsi="Times New Roman" w:cs="Times New Roman"/>
                <w:color w:val="000000" w:themeColor="text1"/>
                <w:spacing w:val="0"/>
                <w:sz w:val="21"/>
                <w:szCs w:val="21"/>
                <w14:textFill>
                  <w14:solidFill>
                    <w14:schemeClr w14:val="tx1"/>
                  </w14:solidFill>
                </w14:textFill>
              </w:rPr>
              <w:t>回用于</w:t>
            </w:r>
            <w:r>
              <w:rPr>
                <w:rFonts w:hint="default" w:ascii="Times New Roman" w:hAnsi="Times New Roman" w:cs="Times New Roman"/>
                <w:color w:val="000000" w:themeColor="text1"/>
                <w:spacing w:val="0"/>
                <w:sz w:val="21"/>
                <w:szCs w:val="21"/>
                <w:lang w:eastAsia="zh-CN"/>
                <w14:textFill>
                  <w14:solidFill>
                    <w14:schemeClr w14:val="tx1"/>
                  </w14:solidFill>
                </w14:textFill>
              </w:rPr>
              <w:t>生产，</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10%与经化粪池预处理后的生活污水一起通过市政污水管网排入毛集实验区污水处理厂深度处理</w:t>
            </w:r>
          </w:p>
        </w:tc>
        <w:tc>
          <w:tcPr>
            <w:tcW w:w="1076" w:type="pct"/>
            <w:gridSpan w:val="2"/>
            <w:vAlign w:val="center"/>
          </w:tcPr>
          <w:p w14:paraId="29A2EDD9">
            <w:pPr>
              <w:kinsoku w:val="0"/>
              <w:overflowPunct w:val="0"/>
              <w:jc w:val="center"/>
              <w:rPr>
                <w:rFonts w:hint="default" w:ascii="Times New Roman" w:hAnsi="Times New Roman" w:eastAsia="宋体" w:cs="Times New Roman"/>
                <w:color w:val="000000" w:themeColor="text1"/>
                <w:spacing w:val="0"/>
                <w:sz w:val="21"/>
                <w:szCs w:val="21"/>
                <w:lang w:eastAsia="zh-CN"/>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满足毛集实验区污水处理厂接管标准</w:t>
            </w:r>
          </w:p>
        </w:tc>
      </w:tr>
      <w:tr w14:paraId="38C90A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456" w:type="pct"/>
            <w:vAlign w:val="center"/>
          </w:tcPr>
          <w:p w14:paraId="1E530AB6">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噪声防治措施</w:t>
            </w:r>
          </w:p>
        </w:tc>
        <w:tc>
          <w:tcPr>
            <w:tcW w:w="649" w:type="pct"/>
            <w:vAlign w:val="center"/>
          </w:tcPr>
          <w:p w14:paraId="52511AC1">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风机、设备噪声</w:t>
            </w:r>
          </w:p>
        </w:tc>
        <w:tc>
          <w:tcPr>
            <w:tcW w:w="474" w:type="pct"/>
            <w:vAlign w:val="center"/>
          </w:tcPr>
          <w:p w14:paraId="5D509A4D">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L</w:t>
            </w:r>
            <w:r>
              <w:rPr>
                <w:rFonts w:hint="default" w:ascii="Times New Roman" w:hAnsi="Times New Roman" w:cs="Times New Roman"/>
                <w:color w:val="000000" w:themeColor="text1"/>
                <w:spacing w:val="0"/>
                <w:sz w:val="21"/>
                <w:szCs w:val="21"/>
                <w:vertAlign w:val="subscript"/>
                <w14:textFill>
                  <w14:solidFill>
                    <w14:schemeClr w14:val="tx1"/>
                  </w14:solidFill>
                </w14:textFill>
              </w:rPr>
              <w:t>Aeq</w:t>
            </w:r>
          </w:p>
        </w:tc>
        <w:tc>
          <w:tcPr>
            <w:tcW w:w="2344" w:type="pct"/>
            <w:vAlign w:val="center"/>
          </w:tcPr>
          <w:p w14:paraId="3B2CBA6D">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选用低噪声设备，通过合理布局、基础减震、隔声、消声等措施来降低噪声</w:t>
            </w:r>
          </w:p>
        </w:tc>
        <w:tc>
          <w:tcPr>
            <w:tcW w:w="1076" w:type="pct"/>
            <w:gridSpan w:val="2"/>
            <w:vAlign w:val="center"/>
          </w:tcPr>
          <w:p w14:paraId="29CAAEBE">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满足《工业企业厂界环境噪声排放标准》（GB12348-2008）3类标准</w:t>
            </w:r>
          </w:p>
        </w:tc>
      </w:tr>
      <w:tr w14:paraId="1A8E53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67" w:hRule="atLeast"/>
          <w:jc w:val="center"/>
        </w:trPr>
        <w:tc>
          <w:tcPr>
            <w:tcW w:w="456" w:type="pct"/>
            <w:vMerge w:val="restart"/>
            <w:vAlign w:val="center"/>
          </w:tcPr>
          <w:p w14:paraId="04441AAC">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固废污染控制措施</w:t>
            </w:r>
          </w:p>
        </w:tc>
        <w:tc>
          <w:tcPr>
            <w:tcW w:w="1123" w:type="pct"/>
            <w:gridSpan w:val="2"/>
            <w:vAlign w:val="center"/>
          </w:tcPr>
          <w:p w14:paraId="0A4D3074">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一般固体废物</w:t>
            </w:r>
          </w:p>
        </w:tc>
        <w:tc>
          <w:tcPr>
            <w:tcW w:w="2344" w:type="pct"/>
            <w:vAlign w:val="center"/>
          </w:tcPr>
          <w:p w14:paraId="1AF6B36A">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1#厂房</w:t>
            </w:r>
            <w:r>
              <w:rPr>
                <w:rFonts w:hint="default" w:ascii="Times New Roman" w:hAnsi="Times New Roman" w:cs="Times New Roman"/>
                <w:color w:val="000000" w:themeColor="text1"/>
                <w:spacing w:val="0"/>
                <w:sz w:val="21"/>
                <w:szCs w:val="21"/>
                <w:lang w:eastAsia="zh-CN"/>
                <w14:textFill>
                  <w14:solidFill>
                    <w14:schemeClr w14:val="tx1"/>
                  </w14:solidFill>
                </w14:textFill>
              </w:rPr>
              <w:t>西北侧</w:t>
            </w:r>
            <w:r>
              <w:rPr>
                <w:rFonts w:hint="default" w:ascii="Times New Roman" w:hAnsi="Times New Roman" w:cs="Times New Roman"/>
                <w:color w:val="000000" w:themeColor="text1"/>
                <w:spacing w:val="0"/>
                <w:sz w:val="21"/>
                <w:szCs w:val="21"/>
                <w14:textFill>
                  <w14:solidFill>
                    <w14:schemeClr w14:val="tx1"/>
                  </w14:solidFill>
                </w14:textFill>
              </w:rPr>
              <w:t>设置一般工业固体废物暂存仓库（1F，占地面积为50m</w:t>
            </w:r>
            <w:r>
              <w:rPr>
                <w:rFonts w:hint="default" w:ascii="Times New Roman" w:hAnsi="Times New Roman" w:cs="Times New Roman"/>
                <w:color w:val="000000" w:themeColor="text1"/>
                <w:spacing w:val="0"/>
                <w:sz w:val="21"/>
                <w:szCs w:val="21"/>
                <w:vertAlign w:val="superscript"/>
                <w14:textFill>
                  <w14:solidFill>
                    <w14:schemeClr w14:val="tx1"/>
                  </w14:solidFill>
                </w14:textFill>
              </w:rPr>
              <w:t>2</w:t>
            </w:r>
            <w:r>
              <w:rPr>
                <w:rFonts w:hint="default" w:ascii="Times New Roman" w:hAnsi="Times New Roman" w:cs="Times New Roman"/>
                <w:color w:val="000000" w:themeColor="text1"/>
                <w:spacing w:val="0"/>
                <w:sz w:val="21"/>
                <w:szCs w:val="21"/>
                <w14:textFill>
                  <w14:solidFill>
                    <w14:schemeClr w14:val="tx1"/>
                  </w14:solidFill>
                </w14:textFill>
              </w:rPr>
              <w:t>，储存规模</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5</w:t>
            </w:r>
            <w:r>
              <w:rPr>
                <w:rFonts w:hint="default" w:ascii="Times New Roman" w:hAnsi="Times New Roman" w:cs="Times New Roman"/>
                <w:color w:val="000000" w:themeColor="text1"/>
                <w:spacing w:val="0"/>
                <w:sz w:val="21"/>
                <w:szCs w:val="21"/>
                <w14:textFill>
                  <w14:solidFill>
                    <w14:schemeClr w14:val="tx1"/>
                  </w14:solidFill>
                </w14:textFill>
              </w:rPr>
              <w:t>0t），暂存本项目产生的一般工业固体废物</w:t>
            </w:r>
          </w:p>
        </w:tc>
        <w:tc>
          <w:tcPr>
            <w:tcW w:w="1076" w:type="pct"/>
            <w:gridSpan w:val="2"/>
            <w:vMerge w:val="restart"/>
            <w:vAlign w:val="center"/>
          </w:tcPr>
          <w:p w14:paraId="24557CF8">
            <w:pPr>
              <w:pStyle w:val="641"/>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合理处置，不产生二次污染</w:t>
            </w:r>
          </w:p>
        </w:tc>
      </w:tr>
      <w:tr w14:paraId="75826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456" w:type="pct"/>
            <w:vMerge w:val="continue"/>
            <w:vAlign w:val="center"/>
          </w:tcPr>
          <w:p w14:paraId="328E13EC">
            <w:pPr>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123" w:type="pct"/>
            <w:gridSpan w:val="2"/>
            <w:vAlign w:val="center"/>
          </w:tcPr>
          <w:p w14:paraId="2218BCD3">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危险废物</w:t>
            </w:r>
          </w:p>
        </w:tc>
        <w:tc>
          <w:tcPr>
            <w:tcW w:w="2344" w:type="pct"/>
            <w:vAlign w:val="center"/>
          </w:tcPr>
          <w:p w14:paraId="00722382">
            <w:pPr>
              <w:spacing w:line="276" w:lineRule="auto"/>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1#厂房</w:t>
            </w:r>
            <w:r>
              <w:rPr>
                <w:rFonts w:hint="default" w:ascii="Times New Roman" w:hAnsi="Times New Roman" w:cs="Times New Roman"/>
                <w:color w:val="000000" w:themeColor="text1"/>
                <w:spacing w:val="0"/>
                <w:sz w:val="21"/>
                <w:szCs w:val="21"/>
                <w:lang w:eastAsia="zh-CN"/>
                <w14:textFill>
                  <w14:solidFill>
                    <w14:schemeClr w14:val="tx1"/>
                  </w14:solidFill>
                </w14:textFill>
              </w:rPr>
              <w:t>西北侧</w:t>
            </w:r>
            <w:r>
              <w:rPr>
                <w:rFonts w:hint="default" w:ascii="Times New Roman" w:hAnsi="Times New Roman" w:cs="Times New Roman"/>
                <w:color w:val="000000" w:themeColor="text1"/>
                <w:spacing w:val="0"/>
                <w:sz w:val="21"/>
                <w:szCs w:val="21"/>
                <w14:textFill>
                  <w14:solidFill>
                    <w14:schemeClr w14:val="tx1"/>
                  </w14:solidFill>
                </w14:textFill>
              </w:rPr>
              <w:t>设置一座危险废物暂存仓库（1F，占地面积为</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5</w:t>
            </w:r>
            <w:r>
              <w:rPr>
                <w:rFonts w:hint="default" w:ascii="Times New Roman" w:hAnsi="Times New Roman" w:cs="Times New Roman"/>
                <w:color w:val="000000" w:themeColor="text1"/>
                <w:spacing w:val="0"/>
                <w:sz w:val="21"/>
                <w:szCs w:val="21"/>
                <w14:textFill>
                  <w14:solidFill>
                    <w14:schemeClr w14:val="tx1"/>
                  </w14:solidFill>
                </w14:textFill>
              </w:rPr>
              <w:t>0m</w:t>
            </w:r>
            <w:r>
              <w:rPr>
                <w:rFonts w:hint="default" w:ascii="Times New Roman" w:hAnsi="Times New Roman" w:cs="Times New Roman"/>
                <w:color w:val="000000" w:themeColor="text1"/>
                <w:spacing w:val="0"/>
                <w:sz w:val="21"/>
                <w:szCs w:val="21"/>
                <w:vertAlign w:val="superscript"/>
                <w14:textFill>
                  <w14:solidFill>
                    <w14:schemeClr w14:val="tx1"/>
                  </w14:solidFill>
                </w14:textFill>
              </w:rPr>
              <w:t>2</w:t>
            </w:r>
            <w:r>
              <w:rPr>
                <w:rFonts w:hint="default" w:ascii="Times New Roman" w:hAnsi="Times New Roman" w:cs="Times New Roman"/>
                <w:color w:val="000000" w:themeColor="text1"/>
                <w:spacing w:val="0"/>
                <w:sz w:val="21"/>
                <w:szCs w:val="21"/>
                <w14:textFill>
                  <w14:solidFill>
                    <w14:schemeClr w14:val="tx1"/>
                  </w14:solidFill>
                </w14:textFill>
              </w:rPr>
              <w:t>，储存规模</w:t>
            </w:r>
            <w:r>
              <w:rPr>
                <w:rFonts w:hint="default" w:ascii="Times New Roman" w:hAnsi="Times New Roman" w:cs="Times New Roman"/>
                <w:color w:val="000000" w:themeColor="text1"/>
                <w:spacing w:val="0"/>
                <w:sz w:val="21"/>
                <w:szCs w:val="21"/>
                <w:lang w:val="en-US" w:eastAsia="zh-CN"/>
                <w14:textFill>
                  <w14:solidFill>
                    <w14:schemeClr w14:val="tx1"/>
                  </w14:solidFill>
                </w14:textFill>
              </w:rPr>
              <w:t>5</w:t>
            </w:r>
            <w:r>
              <w:rPr>
                <w:rFonts w:hint="default" w:ascii="Times New Roman" w:hAnsi="Times New Roman" w:cs="Times New Roman"/>
                <w:color w:val="000000" w:themeColor="text1"/>
                <w:spacing w:val="0"/>
                <w:sz w:val="21"/>
                <w:szCs w:val="21"/>
                <w14:textFill>
                  <w14:solidFill>
                    <w14:schemeClr w14:val="tx1"/>
                  </w14:solidFill>
                </w14:textFill>
              </w:rPr>
              <w:t>0t），暂存本项目产生的危险废物</w:t>
            </w:r>
          </w:p>
        </w:tc>
        <w:tc>
          <w:tcPr>
            <w:tcW w:w="1076" w:type="pct"/>
            <w:gridSpan w:val="2"/>
            <w:vMerge w:val="continue"/>
            <w:vAlign w:val="center"/>
          </w:tcPr>
          <w:p w14:paraId="3BABDFA0">
            <w:pPr>
              <w:pStyle w:val="641"/>
              <w:jc w:val="center"/>
              <w:rPr>
                <w:rFonts w:hint="default" w:ascii="Times New Roman" w:hAnsi="Times New Roman" w:eastAsia="宋体" w:cs="Times New Roman"/>
                <w:color w:val="000000" w:themeColor="text1"/>
                <w:kern w:val="0"/>
                <w:sz w:val="21"/>
                <w:szCs w:val="21"/>
                <w14:textFill>
                  <w14:solidFill>
                    <w14:schemeClr w14:val="tx1"/>
                  </w14:solidFill>
                </w14:textFill>
              </w:rPr>
            </w:pPr>
          </w:p>
        </w:tc>
      </w:tr>
      <w:tr w14:paraId="27C680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0" w:hRule="atLeast"/>
          <w:jc w:val="center"/>
        </w:trPr>
        <w:tc>
          <w:tcPr>
            <w:tcW w:w="456" w:type="pct"/>
            <w:vMerge w:val="continue"/>
            <w:vAlign w:val="center"/>
          </w:tcPr>
          <w:p w14:paraId="2F93DF9F">
            <w:pPr>
              <w:jc w:val="center"/>
              <w:rPr>
                <w:rFonts w:hint="default" w:ascii="Times New Roman" w:hAnsi="Times New Roman" w:cs="Times New Roman"/>
                <w:color w:val="000000" w:themeColor="text1"/>
                <w:spacing w:val="0"/>
                <w:sz w:val="21"/>
                <w:szCs w:val="21"/>
                <w14:textFill>
                  <w14:solidFill>
                    <w14:schemeClr w14:val="tx1"/>
                  </w14:solidFill>
                </w14:textFill>
              </w:rPr>
            </w:pPr>
          </w:p>
        </w:tc>
        <w:tc>
          <w:tcPr>
            <w:tcW w:w="1123" w:type="pct"/>
            <w:gridSpan w:val="2"/>
            <w:vAlign w:val="center"/>
          </w:tcPr>
          <w:p w14:paraId="4908A91D">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生活垃圾</w:t>
            </w:r>
          </w:p>
        </w:tc>
        <w:tc>
          <w:tcPr>
            <w:tcW w:w="2344" w:type="pct"/>
            <w:vAlign w:val="center"/>
          </w:tcPr>
          <w:p w14:paraId="182E53BD">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垃圾桶，委托当地的环卫部门统一清运处理</w:t>
            </w:r>
          </w:p>
        </w:tc>
        <w:tc>
          <w:tcPr>
            <w:tcW w:w="1076" w:type="pct"/>
            <w:gridSpan w:val="2"/>
            <w:vMerge w:val="continue"/>
            <w:vAlign w:val="center"/>
          </w:tcPr>
          <w:p w14:paraId="1F291A0C">
            <w:pPr>
              <w:jc w:val="center"/>
              <w:rPr>
                <w:rFonts w:hint="default" w:ascii="Times New Roman" w:hAnsi="Times New Roman" w:cs="Times New Roman"/>
                <w:color w:val="000000" w:themeColor="text1"/>
                <w:spacing w:val="0"/>
                <w:sz w:val="21"/>
                <w:szCs w:val="21"/>
                <w14:textFill>
                  <w14:solidFill>
                    <w14:schemeClr w14:val="tx1"/>
                  </w14:solidFill>
                </w14:textFill>
              </w:rPr>
            </w:pPr>
          </w:p>
        </w:tc>
      </w:tr>
      <w:tr w14:paraId="592E10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166" w:hRule="atLeast"/>
          <w:jc w:val="center"/>
        </w:trPr>
        <w:tc>
          <w:tcPr>
            <w:tcW w:w="456" w:type="pct"/>
            <w:tcBorders>
              <w:bottom w:val="single" w:color="auto" w:sz="4" w:space="0"/>
            </w:tcBorders>
            <w:vAlign w:val="center"/>
          </w:tcPr>
          <w:p w14:paraId="61EFD58C">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地下水防渗措施</w:t>
            </w:r>
          </w:p>
        </w:tc>
        <w:tc>
          <w:tcPr>
            <w:tcW w:w="1123" w:type="pct"/>
            <w:gridSpan w:val="2"/>
            <w:tcBorders>
              <w:bottom w:val="single" w:color="auto" w:sz="4" w:space="0"/>
            </w:tcBorders>
            <w:vAlign w:val="center"/>
          </w:tcPr>
          <w:p w14:paraId="3BC4FB49">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分区防渗</w:t>
            </w:r>
          </w:p>
        </w:tc>
        <w:tc>
          <w:tcPr>
            <w:tcW w:w="3420" w:type="pct"/>
            <w:gridSpan w:val="3"/>
            <w:tcBorders>
              <w:bottom w:val="single" w:color="auto" w:sz="4" w:space="0"/>
            </w:tcBorders>
            <w:vAlign w:val="center"/>
          </w:tcPr>
          <w:p w14:paraId="7120FAE8">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lang w:eastAsia="zh-CN"/>
                <w14:textFill>
                  <w14:solidFill>
                    <w14:schemeClr w14:val="tx1"/>
                  </w14:solidFill>
                </w14:textFill>
              </w:rPr>
              <w:t>清洗区域</w:t>
            </w:r>
            <w:r>
              <w:rPr>
                <w:rFonts w:hint="default" w:ascii="Times New Roman" w:hAnsi="Times New Roman" w:cs="Times New Roman"/>
                <w:color w:val="000000" w:themeColor="text1"/>
                <w:spacing w:val="0"/>
                <w:sz w:val="21"/>
                <w:szCs w:val="21"/>
                <w14:textFill>
                  <w14:solidFill>
                    <w14:schemeClr w14:val="tx1"/>
                  </w14:solidFill>
                </w14:textFill>
              </w:rPr>
              <w:t>、危险废物暂存仓库、事故应急池等实施重点防渗；原料仓库、成品仓库、一般工业固体废物暂存仓库、</w:t>
            </w:r>
            <w:r>
              <w:rPr>
                <w:rFonts w:hint="default" w:ascii="Times New Roman" w:hAnsi="Times New Roman" w:cs="Times New Roman"/>
                <w:color w:val="000000" w:themeColor="text1"/>
                <w:spacing w:val="0"/>
                <w:sz w:val="21"/>
                <w:szCs w:val="21"/>
                <w:lang w:eastAsia="zh-CN"/>
                <w14:textFill>
                  <w14:solidFill>
                    <w14:schemeClr w14:val="tx1"/>
                  </w14:solidFill>
                </w14:textFill>
              </w:rPr>
              <w:t>生产车间</w:t>
            </w:r>
            <w:r>
              <w:rPr>
                <w:rFonts w:hint="default" w:ascii="Times New Roman" w:hAnsi="Times New Roman" w:cs="Times New Roman"/>
                <w:color w:val="000000" w:themeColor="text1"/>
                <w:spacing w:val="0"/>
                <w:sz w:val="21"/>
                <w:szCs w:val="21"/>
                <w14:textFill>
                  <w14:solidFill>
                    <w14:schemeClr w14:val="tx1"/>
                  </w14:solidFill>
                </w14:textFill>
              </w:rPr>
              <w:t>等实施一般防渗；其他区域等进行简单防渗</w:t>
            </w:r>
          </w:p>
        </w:tc>
      </w:tr>
      <w:tr w14:paraId="1E58C7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456" w:type="pct"/>
            <w:vAlign w:val="center"/>
          </w:tcPr>
          <w:p w14:paraId="71AF65D3">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环境风险防范措施</w:t>
            </w:r>
          </w:p>
        </w:tc>
        <w:tc>
          <w:tcPr>
            <w:tcW w:w="1123" w:type="pct"/>
            <w:gridSpan w:val="2"/>
            <w:vAlign w:val="center"/>
          </w:tcPr>
          <w:p w14:paraId="6603FA20">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2430" w:type="pct"/>
            <w:gridSpan w:val="2"/>
            <w:vAlign w:val="center"/>
          </w:tcPr>
          <w:p w14:paraId="6202C3FB">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1）危险废物暂存仓库进行防腐防渗、并且危废暂存库内设置导流沟和集液池（0.5m</w:t>
            </w:r>
            <w:r>
              <w:rPr>
                <w:rFonts w:hint="default" w:ascii="Times New Roman" w:hAnsi="Times New Roman" w:cs="Times New Roman"/>
                <w:color w:val="000000" w:themeColor="text1"/>
                <w:spacing w:val="0"/>
                <w:sz w:val="21"/>
                <w:szCs w:val="21"/>
                <w:vertAlign w:val="super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），以满足危险废物泄漏收集需要，同时集液池与事故应急池相通，确保事故状态下事故废水可自流至厂区事故应急池。</w:t>
            </w:r>
          </w:p>
          <w:p w14:paraId="75362680">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2）厂区设置</w:t>
            </w:r>
            <w:r>
              <w:rPr>
                <w:rFonts w:hint="eastAsia" w:cs="Times New Roman"/>
                <w:color w:val="000000" w:themeColor="text1"/>
                <w:spacing w:val="0"/>
                <w:sz w:val="21"/>
                <w:szCs w:val="21"/>
                <w:lang w:val="en-US" w:eastAsia="zh-CN"/>
                <w14:textFill>
                  <w14:solidFill>
                    <w14:schemeClr w14:val="tx1"/>
                  </w14:solidFill>
                </w14:textFill>
              </w:rPr>
              <w:t>145m</w:t>
            </w:r>
            <w:r>
              <w:rPr>
                <w:rFonts w:hint="default" w:ascii="Times New Roman" w:hAnsi="Times New Roman" w:cs="Times New Roman"/>
                <w:color w:val="000000" w:themeColor="text1"/>
                <w:spacing w:val="0"/>
                <w:sz w:val="21"/>
                <w:szCs w:val="21"/>
                <w:vertAlign w:val="superscript"/>
                <w14:textFill>
                  <w14:solidFill>
                    <w14:schemeClr w14:val="tx1"/>
                  </w14:solidFill>
                </w14:textFill>
              </w:rPr>
              <w:t>3</w:t>
            </w:r>
            <w:r>
              <w:rPr>
                <w:rFonts w:hint="default" w:ascii="Times New Roman" w:hAnsi="Times New Roman" w:cs="Times New Roman"/>
                <w:color w:val="000000" w:themeColor="text1"/>
                <w:spacing w:val="0"/>
                <w:sz w:val="21"/>
                <w:szCs w:val="21"/>
                <w14:textFill>
                  <w14:solidFill>
                    <w14:schemeClr w14:val="tx1"/>
                  </w14:solidFill>
                </w14:textFill>
              </w:rPr>
              <w:t>事故应急池，污水及雨水总排口设置有自动截断阀；</w:t>
            </w:r>
          </w:p>
          <w:p w14:paraId="17991D69">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3）编制突发环境事件应急预案</w:t>
            </w:r>
          </w:p>
        </w:tc>
        <w:tc>
          <w:tcPr>
            <w:tcW w:w="990" w:type="pct"/>
            <w:vAlign w:val="center"/>
          </w:tcPr>
          <w:p w14:paraId="1EAE7627">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事故发生后得到有效控制</w:t>
            </w:r>
          </w:p>
        </w:tc>
      </w:tr>
      <w:tr w14:paraId="577FBB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456" w:type="pct"/>
            <w:vAlign w:val="center"/>
          </w:tcPr>
          <w:p w14:paraId="49C53011">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绿化</w:t>
            </w:r>
          </w:p>
        </w:tc>
        <w:tc>
          <w:tcPr>
            <w:tcW w:w="1123" w:type="pct"/>
            <w:gridSpan w:val="2"/>
            <w:vAlign w:val="center"/>
          </w:tcPr>
          <w:p w14:paraId="08AD21FC">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c>
          <w:tcPr>
            <w:tcW w:w="2430" w:type="pct"/>
            <w:gridSpan w:val="2"/>
            <w:vAlign w:val="center"/>
          </w:tcPr>
          <w:p w14:paraId="715E2823">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种植草皮、绿化等</w:t>
            </w:r>
          </w:p>
        </w:tc>
        <w:tc>
          <w:tcPr>
            <w:tcW w:w="990" w:type="pct"/>
            <w:vAlign w:val="center"/>
          </w:tcPr>
          <w:p w14:paraId="6F343408">
            <w:pPr>
              <w:jc w:val="center"/>
              <w:rPr>
                <w:rFonts w:hint="default" w:ascii="Times New Roman" w:hAnsi="Times New Roman" w:cs="Times New Roman"/>
                <w:color w:val="000000" w:themeColor="text1"/>
                <w:spacing w:val="0"/>
                <w:sz w:val="21"/>
                <w:szCs w:val="21"/>
                <w14:textFill>
                  <w14:solidFill>
                    <w14:schemeClr w14:val="tx1"/>
                  </w14:solidFill>
                </w14:textFill>
              </w:rPr>
            </w:pPr>
            <w:r>
              <w:rPr>
                <w:rFonts w:hint="default" w:ascii="Times New Roman" w:hAnsi="Times New Roman" w:cs="Times New Roman"/>
                <w:color w:val="000000" w:themeColor="text1"/>
                <w:spacing w:val="0"/>
                <w:sz w:val="21"/>
                <w:szCs w:val="21"/>
                <w14:textFill>
                  <w14:solidFill>
                    <w14:schemeClr w14:val="tx1"/>
                  </w14:solidFill>
                </w14:textFill>
              </w:rPr>
              <w:t>/</w:t>
            </w:r>
          </w:p>
        </w:tc>
      </w:tr>
    </w:tbl>
    <w:p w14:paraId="5AC89187">
      <w:pPr>
        <w:spacing w:line="360" w:lineRule="auto"/>
        <w:jc w:val="left"/>
        <w:rPr>
          <w:rFonts w:hint="default" w:ascii="Times New Roman" w:hAnsi="Times New Roman" w:cs="Times New Roman"/>
          <w:color w:val="000000" w:themeColor="text1"/>
          <w:spacing w:val="0"/>
          <w:sz w:val="24"/>
          <w:szCs w:val="24"/>
          <w14:textFill>
            <w14:solidFill>
              <w14:schemeClr w14:val="tx1"/>
            </w14:solidFill>
          </w14:textFill>
        </w:rPr>
        <w:sectPr>
          <w:footerReference r:id="rId16" w:type="default"/>
          <w:footerReference r:id="rId17" w:type="even"/>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bookmarkEnd w:id="495"/>
    <w:p w14:paraId="152D9F26">
      <w:pPr>
        <w:pStyle w:val="3952"/>
        <w:spacing w:before="156"/>
        <w:rPr>
          <w:rFonts w:hint="default" w:ascii="Times New Roman" w:hAnsi="Times New Roman" w:eastAsia="黑体" w:cs="Times New Roman"/>
          <w:b w:val="0"/>
          <w:color w:val="000000" w:themeColor="text1"/>
          <w14:textFill>
            <w14:solidFill>
              <w14:schemeClr w14:val="tx1"/>
            </w14:solidFill>
          </w14:textFill>
        </w:rPr>
      </w:pPr>
      <w:bookmarkStart w:id="604" w:name="_Toc479085423"/>
      <w:bookmarkStart w:id="605" w:name="_Toc133333829"/>
      <w:bookmarkStart w:id="606" w:name="_Toc109136018"/>
      <w:bookmarkStart w:id="607" w:name="_Toc133214672"/>
      <w:bookmarkStart w:id="608" w:name="_Toc173837824"/>
      <w:r>
        <w:rPr>
          <w:rFonts w:hint="default" w:ascii="Times New Roman" w:hAnsi="Times New Roman" w:eastAsia="黑体" w:cs="Times New Roman"/>
          <w:b w:val="0"/>
          <w:color w:val="000000" w:themeColor="text1"/>
          <w:lang w:val="en-US" w:eastAsia="zh-CN"/>
          <w14:textFill>
            <w14:solidFill>
              <w14:schemeClr w14:val="tx1"/>
            </w14:solidFill>
          </w14:textFill>
        </w:rPr>
        <w:t>9</w:t>
      </w:r>
      <w:r>
        <w:rPr>
          <w:rFonts w:hint="default" w:ascii="Times New Roman" w:hAnsi="Times New Roman" w:eastAsia="黑体" w:cs="Times New Roman"/>
          <w:b w:val="0"/>
          <w:color w:val="000000" w:themeColor="text1"/>
          <w14:textFill>
            <w14:solidFill>
              <w14:schemeClr w14:val="tx1"/>
            </w14:solidFill>
          </w14:textFill>
        </w:rPr>
        <w:t>.6总体结论</w:t>
      </w:r>
      <w:bookmarkEnd w:id="604"/>
      <w:bookmarkEnd w:id="605"/>
      <w:bookmarkEnd w:id="606"/>
      <w:bookmarkEnd w:id="607"/>
      <w:bookmarkEnd w:id="608"/>
    </w:p>
    <w:p w14:paraId="3651DDB1">
      <w:pPr>
        <w:spacing w:line="360" w:lineRule="auto"/>
        <w:ind w:firstLine="472" w:firstLineChars="200"/>
        <w:jc w:val="left"/>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eastAsia="zh-CN"/>
          <w14:textFill>
            <w14:solidFill>
              <w14:schemeClr w14:val="tx1"/>
            </w14:solidFill>
          </w14:textFill>
        </w:rPr>
        <w:t>安徽楹聚环保科技有限公司PET再生资源综合利用项目</w:t>
      </w:r>
      <w:r>
        <w:rPr>
          <w:rFonts w:hint="default" w:ascii="Times New Roman" w:hAnsi="Times New Roman" w:cs="Times New Roman"/>
          <w:bCs/>
          <w:color w:val="000000" w:themeColor="text1"/>
          <w:sz w:val="24"/>
          <w:szCs w:val="24"/>
          <w14:textFill>
            <w14:solidFill>
              <w14:schemeClr w14:val="tx1"/>
            </w14:solidFill>
          </w14:textFill>
        </w:rPr>
        <w:t>符合国家产业政策，建设单位在落实各项污染防治措施后，拟建项目的废气、废水、噪声、固废等污染物均可以实现达标排放或资源化利用，对区域环境影响较小。</w:t>
      </w:r>
    </w:p>
    <w:p w14:paraId="315235ED">
      <w:pPr>
        <w:spacing w:line="360" w:lineRule="auto"/>
        <w:ind w:firstLine="472" w:firstLineChars="200"/>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因此，在严格执行各项环保措施并保证各环保设施正常运行的前提下，</w:t>
      </w:r>
      <w:r>
        <w:rPr>
          <w:rFonts w:hint="default" w:ascii="Times New Roman" w:hAnsi="Times New Roman" w:cs="Times New Roman"/>
          <w:color w:val="000000" w:themeColor="text1"/>
          <w:sz w:val="24"/>
          <w:szCs w:val="24"/>
          <w14:textFill>
            <w14:solidFill>
              <w14:schemeClr w14:val="tx1"/>
            </w14:solidFill>
          </w14:textFill>
        </w:rPr>
        <w:t>从环境影响角度，</w:t>
      </w:r>
      <w:r>
        <w:rPr>
          <w:rFonts w:hint="default" w:ascii="Times New Roman" w:hAnsi="Times New Roman" w:cs="Times New Roman"/>
          <w:bCs/>
          <w:color w:val="000000" w:themeColor="text1"/>
          <w:sz w:val="24"/>
          <w:szCs w:val="24"/>
          <w14:textFill>
            <w14:solidFill>
              <w14:schemeClr w14:val="tx1"/>
            </w14:solidFill>
          </w14:textFill>
        </w:rPr>
        <w:t>项目建设是可行的。</w:t>
      </w:r>
    </w:p>
    <w:p w14:paraId="471E4E8D">
      <w:pPr>
        <w:rPr>
          <w:rFonts w:hint="default" w:ascii="Times New Roman" w:hAnsi="Times New Roman" w:cs="Times New Roman"/>
          <w:color w:val="000000" w:themeColor="text1"/>
          <w14:textFill>
            <w14:solidFill>
              <w14:schemeClr w14:val="tx1"/>
            </w14:solidFill>
          </w14:textFill>
        </w:rPr>
      </w:pPr>
    </w:p>
    <w:p w14:paraId="3C89F56C">
      <w:pPr>
        <w:spacing w:line="360" w:lineRule="auto"/>
        <w:ind w:firstLine="521" w:firstLineChars="221"/>
        <w:rPr>
          <w:rFonts w:hint="default" w:ascii="Times New Roman" w:hAnsi="Times New Roman" w:cs="Times New Roman"/>
          <w:color w:val="000000" w:themeColor="text1"/>
          <w:sz w:val="24"/>
          <w:szCs w:val="24"/>
          <w14:textFill>
            <w14:solidFill>
              <w14:schemeClr w14:val="tx1"/>
            </w14:solidFill>
          </w14:textFill>
        </w:rPr>
      </w:pPr>
    </w:p>
    <w:p w14:paraId="41F177CF">
      <w:pPr>
        <w:spacing w:line="360" w:lineRule="auto"/>
        <w:ind w:firstLine="448" w:firstLineChars="200"/>
        <w:rPr>
          <w:rFonts w:hint="default" w:ascii="Times New Roman" w:hAnsi="Times New Roman" w:cs="Times New Roman"/>
          <w:bCs/>
          <w:color w:val="000000" w:themeColor="text1"/>
          <w:spacing w:val="-8"/>
          <w:sz w:val="24"/>
          <w14:textFill>
            <w14:solidFill>
              <w14:schemeClr w14:val="tx1"/>
            </w14:solidFill>
          </w14:textFill>
        </w:rPr>
      </w:pPr>
    </w:p>
    <w:p w14:paraId="2F3EA440">
      <w:pPr>
        <w:spacing w:line="360" w:lineRule="auto"/>
        <w:ind w:firstLine="448" w:firstLineChars="200"/>
        <w:rPr>
          <w:rFonts w:hint="default" w:ascii="Times New Roman" w:hAnsi="Times New Roman" w:cs="Times New Roman"/>
          <w:bCs/>
          <w:color w:val="000000" w:themeColor="text1"/>
          <w:spacing w:val="-8"/>
          <w:sz w:val="24"/>
          <w14:textFill>
            <w14:solidFill>
              <w14:schemeClr w14:val="tx1"/>
            </w14:solidFill>
          </w14:textFill>
        </w:rPr>
      </w:pPr>
    </w:p>
    <w:p w14:paraId="4F7CDE3F">
      <w:pPr>
        <w:spacing w:line="360" w:lineRule="auto"/>
        <w:ind w:firstLine="448" w:firstLineChars="200"/>
        <w:rPr>
          <w:rFonts w:hint="default" w:ascii="Times New Roman" w:hAnsi="Times New Roman" w:cs="Times New Roman"/>
          <w:bCs/>
          <w:color w:val="000000" w:themeColor="text1"/>
          <w:spacing w:val="-8"/>
          <w:sz w:val="24"/>
          <w14:textFill>
            <w14:solidFill>
              <w14:schemeClr w14:val="tx1"/>
            </w14:solidFill>
          </w14:textFill>
        </w:rPr>
      </w:pPr>
    </w:p>
    <w:p w14:paraId="2411450A">
      <w:pPr>
        <w:spacing w:line="360" w:lineRule="auto"/>
        <w:ind w:firstLine="448" w:firstLineChars="200"/>
        <w:rPr>
          <w:rFonts w:hint="default" w:ascii="Times New Roman" w:hAnsi="Times New Roman" w:cs="Times New Roman"/>
          <w:bCs/>
          <w:color w:val="000000" w:themeColor="text1"/>
          <w:spacing w:val="-8"/>
          <w:sz w:val="24"/>
          <w14:textFill>
            <w14:solidFill>
              <w14:schemeClr w14:val="tx1"/>
            </w14:solidFill>
          </w14:textFill>
        </w:rPr>
      </w:pPr>
    </w:p>
    <w:p w14:paraId="157B0684">
      <w:pPr>
        <w:spacing w:line="360" w:lineRule="auto"/>
        <w:ind w:firstLine="448" w:firstLineChars="200"/>
        <w:rPr>
          <w:rFonts w:hint="default" w:ascii="Times New Roman" w:hAnsi="Times New Roman" w:cs="Times New Roman"/>
          <w:bCs/>
          <w:color w:val="000000" w:themeColor="text1"/>
          <w:spacing w:val="-8"/>
          <w:sz w:val="24"/>
          <w14:textFill>
            <w14:solidFill>
              <w14:schemeClr w14:val="tx1"/>
            </w14:solidFill>
          </w14:textFill>
        </w:rPr>
      </w:pPr>
    </w:p>
    <w:bookmarkEnd w:id="104"/>
    <w:bookmarkEnd w:id="105"/>
    <w:bookmarkEnd w:id="106"/>
    <w:bookmarkEnd w:id="107"/>
    <w:bookmarkEnd w:id="108"/>
    <w:bookmarkEnd w:id="109"/>
    <w:bookmarkEnd w:id="110"/>
    <w:p w14:paraId="4DBFBC0E">
      <w:pPr>
        <w:spacing w:line="360" w:lineRule="auto"/>
        <w:rPr>
          <w:rFonts w:hint="default" w:ascii="Times New Roman" w:hAnsi="Times New Roman" w:cs="Times New Roman"/>
          <w:bCs/>
          <w:color w:val="000000" w:themeColor="text1"/>
          <w:spacing w:val="-8"/>
          <w:sz w:val="24"/>
          <w14:textFill>
            <w14:solidFill>
              <w14:schemeClr w14:val="tx1"/>
            </w14:solidFill>
          </w14:textFill>
        </w:rPr>
      </w:pPr>
    </w:p>
    <w:p w14:paraId="222D4075">
      <w:pPr>
        <w:rPr>
          <w:rFonts w:hint="default" w:ascii="Times New Roman" w:hAnsi="Times New Roman" w:cs="Times New Roman"/>
          <w:color w:val="000000" w:themeColor="text1"/>
          <w14:textFill>
            <w14:solidFill>
              <w14:schemeClr w14:val="tx1"/>
            </w14:solidFill>
          </w14:textFill>
        </w:rPr>
      </w:pPr>
    </w:p>
    <w:p w14:paraId="20C753E8">
      <w:pPr>
        <w:spacing w:line="360" w:lineRule="auto"/>
        <w:rPr>
          <w:rFonts w:hint="default" w:ascii="Times New Roman" w:hAnsi="Times New Roman" w:cs="Times New Roman"/>
          <w:color w:val="000000" w:themeColor="text1"/>
          <w14:textFill>
            <w14:solidFill>
              <w14:schemeClr w14:val="tx1"/>
            </w14:solidFill>
          </w14:textFill>
        </w:rPr>
      </w:pPr>
    </w:p>
    <w:p w14:paraId="1E697D47">
      <w:pPr>
        <w:rPr>
          <w:rFonts w:hint="default" w:ascii="Times New Roman" w:hAnsi="Times New Roman" w:cs="Times New Roman"/>
          <w:color w:val="000000" w:themeColor="text1"/>
          <w14:textFill>
            <w14:solidFill>
              <w14:schemeClr w14:val="tx1"/>
            </w14:solidFill>
          </w14:textFill>
        </w:rPr>
      </w:pPr>
    </w:p>
    <w:p w14:paraId="39E67141">
      <w:pPr>
        <w:rPr>
          <w:rFonts w:hint="default" w:ascii="Times New Roman" w:hAnsi="Times New Roman" w:cs="Times New Roman"/>
          <w:color w:val="000000" w:themeColor="text1"/>
          <w14:textFill>
            <w14:solidFill>
              <w14:schemeClr w14:val="tx1"/>
            </w14:solidFill>
          </w14:textFill>
        </w:rPr>
      </w:pPr>
    </w:p>
    <w:bookmarkEnd w:id="609"/>
    <w:sectPr>
      <w:footerReference r:id="rId18" w:type="default"/>
      <w:footerReference r:id="rId19" w:type="even"/>
      <w:pgSz w:w="11907" w:h="16839"/>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panose1 w:val="02010609030101010101"/>
    <w:charset w:val="86"/>
    <w:family w:val="modern"/>
    <w:pitch w:val="default"/>
    <w:sig w:usb0="00000001" w:usb1="080E0000" w:usb2="00000000" w:usb3="00000000" w:csb0="00040000" w:csb1="00000000"/>
  </w:font>
  <w:font w:name="等线 Light">
    <w:panose1 w:val="02010600030101010101"/>
    <w:charset w:val="86"/>
    <w:family w:val="auto"/>
    <w:pitch w:val="default"/>
    <w:sig w:usb0="A00002BF" w:usb1="38CF7CFA" w:usb2="00000016" w:usb3="00000000" w:csb0="0004000F" w:csb1="00000000"/>
  </w:font>
  <w:font w:name="Times">
    <w:altName w:val="Times New Roman"/>
    <w:panose1 w:val="02020603050405020304"/>
    <w:charset w:val="00"/>
    <w:family w:val="roman"/>
    <w:pitch w:val="default"/>
    <w:sig w:usb0="00000000" w:usb1="00000000" w:usb2="00000009" w:usb3="00000000" w:csb0="000001FF"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ˎ̥">
    <w:altName w:val="Times New Roman"/>
    <w:panose1 w:val="00000000000000000000"/>
    <w:charset w:val="00"/>
    <w:family w:val="roman"/>
    <w:pitch w:val="default"/>
    <w:sig w:usb0="00000000" w:usb1="00000000" w:usb2="00000000" w:usb3="00000000" w:csb0="00040001" w:csb1="00000000"/>
  </w:font>
  <w:font w:name="Verdana">
    <w:panose1 w:val="020B0604030504040204"/>
    <w:charset w:val="00"/>
    <w:family w:val="swiss"/>
    <w:pitch w:val="default"/>
    <w:sig w:usb0="A00006FF" w:usb1="4000205B" w:usb2="00000010" w:usb3="00000000" w:csb0="2000019F" w:csb1="00000000"/>
  </w:font>
  <w:font w:name="文鼎粗行楷简">
    <w:altName w:val="宋体"/>
    <w:panose1 w:val="00000000000000000000"/>
    <w:charset w:val="86"/>
    <w:family w:val="modern"/>
    <w:pitch w:val="default"/>
    <w:sig w:usb0="00000000" w:usb1="00000000" w:usb2="00000000" w:usb3="00000000" w:csb0="00040001" w:csb1="00000000"/>
  </w:font>
  <w:font w:name="??">
    <w:altName w:val="Times New Roman"/>
    <w:panose1 w:val="00000000000000000000"/>
    <w:charset w:val="00"/>
    <w:family w:val="roman"/>
    <w:pitch w:val="default"/>
    <w:sig w:usb0="00000000" w:usb1="00000000" w:usb2="00000000" w:usb3="00000000" w:csb0="00000000" w:csb1="00000000"/>
  </w:font>
  <w:font w:name="Tahoma">
    <w:panose1 w:val="020B0604030504040204"/>
    <w:charset w:val="00"/>
    <w:family w:val="swiss"/>
    <w:pitch w:val="default"/>
    <w:sig w:usb0="E1002EFF" w:usb1="C000605B" w:usb2="00000029" w:usb3="00000000" w:csb0="200101FF" w:csb1="20280000"/>
  </w:font>
  <w:font w:name="长城黑体">
    <w:altName w:val="宋体"/>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287" w:usb1="080F0000" w:usb2="00000000" w:usb3="00000000" w:csb0="0004009F" w:csb1="DFD70000"/>
  </w:font>
  <w:font w:name="Century">
    <w:panose1 w:val="02040604050505020304"/>
    <w:charset w:val="00"/>
    <w:family w:val="roman"/>
    <w:pitch w:val="default"/>
    <w:sig w:usb0="00000287" w:usb1="00000000" w:usb2="00000000" w:usb3="00000000" w:csb0="2000009F" w:csb1="DFD70000"/>
  </w:font>
  <w:font w:name="幼圆">
    <w:panose1 w:val="02010509060101010101"/>
    <w:charset w:val="86"/>
    <w:family w:val="modern"/>
    <w:pitch w:val="default"/>
    <w:sig w:usb0="00000001" w:usb1="080E0000" w:usb2="00000000" w:usb3="00000000" w:csb0="00040000" w:csb1="00000000"/>
  </w:font>
  <w:font w:name="方正大标宋简体">
    <w:altName w:val="微软雅黑"/>
    <w:panose1 w:val="00000000000000000000"/>
    <w:charset w:val="86"/>
    <w:family w:val="auto"/>
    <w:pitch w:val="default"/>
    <w:sig w:usb0="00000000" w:usb1="00000000" w:usb2="00000010" w:usb3="00000000" w:csb0="00040000" w:csb1="00000000"/>
  </w:font>
  <w:font w:name="微软雅黑">
    <w:panose1 w:val="020B0503020204020204"/>
    <w:charset w:val="86"/>
    <w:family w:val="swiss"/>
    <w:pitch w:val="default"/>
    <w:sig w:usb0="80000287" w:usb1="2ACF3C50" w:usb2="00000016" w:usb3="00000000" w:csb0="0004001F" w:csb1="00000000"/>
  </w:font>
  <w:font w:name="DotumChe">
    <w:altName w:val="Malgun Gothic"/>
    <w:panose1 w:val="020B0609000101010101"/>
    <w:charset w:val="81"/>
    <w:family w:val="modern"/>
    <w:pitch w:val="default"/>
    <w:sig w:usb0="00000000" w:usb1="00000000" w:usb2="00000030" w:usb3="00000000" w:csb0="4008009F" w:csb1="DFD70000"/>
  </w:font>
  <w:font w:name="华文细黑">
    <w:panose1 w:val="02010600040101010101"/>
    <w:charset w:val="86"/>
    <w:family w:val="auto"/>
    <w:pitch w:val="default"/>
    <w:sig w:usb0="00000287" w:usb1="080F0000" w:usb2="00000000" w:usb3="00000000" w:csb0="0004009F" w:csb1="DFD70000"/>
  </w:font>
  <w:font w:name="Arial Narrow">
    <w:panose1 w:val="020B0606020202030204"/>
    <w:charset w:val="00"/>
    <w:family w:val="swiss"/>
    <w:pitch w:val="default"/>
    <w:sig w:usb0="00000287" w:usb1="00000800" w:usb2="00000000" w:usb3="00000000" w:csb0="2000009F" w:csb1="DFD70000"/>
  </w:font>
  <w:font w:name="汉鼎简书宋">
    <w:altName w:val="宋体"/>
    <w:panose1 w:val="00000000000000000000"/>
    <w:charset w:val="86"/>
    <w:family w:val="modern"/>
    <w:pitch w:val="default"/>
    <w:sig w:usb0="00000000" w:usb1="00000000" w:usb2="00000010" w:usb3="00000000" w:csb0="00040000" w:csb1="00000000"/>
  </w:font>
  <w:font w:name="Dutch801 Rm BT">
    <w:altName w:val="Times New Roman"/>
    <w:panose1 w:val="02020603060505020304"/>
    <w:charset w:val="00"/>
    <w:family w:val="roman"/>
    <w:pitch w:val="default"/>
    <w:sig w:usb0="00000000" w:usb1="00000000" w:usb2="00000000" w:usb3="00000000" w:csb0="00000000" w:csb1="00000000"/>
  </w:font>
  <w:font w:name="TimesNewRoman">
    <w:altName w:val="Times New Roman"/>
    <w:panose1 w:val="00000000000000000000"/>
    <w:charset w:val="00"/>
    <w:family w:val="auto"/>
    <w:pitch w:val="default"/>
    <w:sig w:usb0="00000000" w:usb1="00000000" w:usb2="00000000" w:usb3="00000000" w:csb0="00000001" w:csb1="00000000"/>
  </w:font>
  <w:font w:name="方正魏碑简体">
    <w:altName w:val="微软雅黑"/>
    <w:panose1 w:val="00000000000000000000"/>
    <w:charset w:val="86"/>
    <w:family w:val="auto"/>
    <w:pitch w:val="default"/>
    <w:sig w:usb0="00000000" w:usb1="00000000" w:usb2="00000000" w:usb3="00000000" w:csb0="00040000" w:csb1="00000000"/>
  </w:font>
  <w:font w:name="昆仑仿宋">
    <w:altName w:val="黑体"/>
    <w:panose1 w:val="00000000000000000000"/>
    <w:charset w:val="86"/>
    <w:family w:val="modern"/>
    <w:pitch w:val="default"/>
    <w:sig w:usb0="00000000" w:usb1="00000000" w:usb2="00000010" w:usb3="00000000" w:csb0="00040000" w:csb1="00000000"/>
  </w:font>
  <w:font w:name="Arial Unicode MS">
    <w:panose1 w:val="020B0604020202020204"/>
    <w:charset w:val="86"/>
    <w:family w:val="swiss"/>
    <w:pitch w:val="default"/>
    <w:sig w:usb0="FFFFFFFF" w:usb1="E9FFFFFF" w:usb2="0000003F" w:usb3="00000000" w:csb0="603F01FF" w:csb1="FFFF0000"/>
  </w:font>
  <w:font w:name="Romantic">
    <w:altName w:val="Segoe Print"/>
    <w:panose1 w:val="00000400000000000000"/>
    <w:charset w:val="02"/>
    <w:family w:val="auto"/>
    <w:pitch w:val="default"/>
    <w:sig w:usb0="00000000" w:usb1="00000000" w:usb2="00000000" w:usb3="00000000" w:csb0="00000000" w:csb1="00000000"/>
  </w:font>
  <w:font w:name="Batang">
    <w:altName w:val="Malgun Gothic"/>
    <w:panose1 w:val="02030600000101010101"/>
    <w:charset w:val="81"/>
    <w:family w:val="auto"/>
    <w:pitch w:val="default"/>
    <w:sig w:usb0="00000000" w:usb1="00000000" w:usb2="00000030" w:usb3="00000000" w:csb0="4008009F" w:csb1="DFD70000"/>
  </w:font>
  <w:font w:name="Courier">
    <w:panose1 w:val="02060409020205020404"/>
    <w:charset w:val="00"/>
    <w:family w:val="modern"/>
    <w:pitch w:val="default"/>
    <w:sig w:usb0="00000007" w:usb1="00000000" w:usb2="00000000" w:usb3="00000000" w:csb0="00000093" w:csb1="00000000"/>
  </w:font>
  <w:font w:name="Helv">
    <w:altName w:val="Segoe Print"/>
    <w:panose1 w:val="020B0604020202030204"/>
    <w:charset w:val="00"/>
    <w:family w:val="swiss"/>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Garamond">
    <w:panose1 w:val="02020404030301010803"/>
    <w:charset w:val="00"/>
    <w:family w:val="roman"/>
    <w:pitch w:val="default"/>
    <w:sig w:usb0="00000287" w:usb1="00000000" w:usb2="00000000" w:usb3="00000000" w:csb0="0000009F" w:csb1="DFD70000"/>
  </w:font>
  <w:font w:name="華康中明體">
    <w:altName w:val="Arial"/>
    <w:panose1 w:val="00000000000000000000"/>
    <w:charset w:val="00"/>
    <w:family w:val="modern"/>
    <w:pitch w:val="default"/>
    <w:sig w:usb0="00000000" w:usb1="00000000" w:usb2="00000000" w:usb3="00000000" w:csb0="00000000" w:csb1="00000000"/>
  </w:font>
  <w:font w:name="隶书">
    <w:panose1 w:val="02010509060101010101"/>
    <w:charset w:val="86"/>
    <w:family w:val="modern"/>
    <w:pitch w:val="default"/>
    <w:sig w:usb0="00000001" w:usb1="080E0000" w:usb2="00000000" w:usb3="00000000" w:csb0="00040000" w:csb1="00000000"/>
  </w:font>
  <w:font w:name="长城楷体">
    <w:altName w:val="黑体"/>
    <w:panose1 w:val="00000000000000000000"/>
    <w:charset w:val="86"/>
    <w:family w:val="modern"/>
    <w:pitch w:val="default"/>
    <w:sig w:usb0="00000000" w:usb1="00000000" w:usb2="00000010" w:usb3="00000000" w:csb0="00040000" w:csb1="00000000"/>
  </w:font>
  <w:font w:name="MS Mincho">
    <w:panose1 w:val="02020609040205080304"/>
    <w:charset w:val="80"/>
    <w:family w:val="modern"/>
    <w:pitch w:val="default"/>
    <w:sig w:usb0="A00002BF" w:usb1="68C7FCFB" w:usb2="00000010" w:usb3="00000000" w:csb0="4002009F" w:csb1="DFD70000"/>
  </w:font>
  <w:font w:name="楷体">
    <w:panose1 w:val="02010609060101010101"/>
    <w:charset w:val="86"/>
    <w:family w:val="modern"/>
    <w:pitch w:val="default"/>
    <w:sig w:usb0="800002BF" w:usb1="38CF7CFA" w:usb2="00000016" w:usb3="00000000" w:csb0="00040001" w:csb1="00000000"/>
  </w:font>
  <w:font w:name="方正小标宋简体">
    <w:panose1 w:val="02010601030101010101"/>
    <w:charset w:val="86"/>
    <w:family w:val="auto"/>
    <w:pitch w:val="default"/>
    <w:sig w:usb0="00000001" w:usb1="080E0000" w:usb2="00000000" w:usb3="00000000" w:csb0="00040000" w:csb1="00000000"/>
  </w:font>
  <w:font w:name="CorpoSLig">
    <w:altName w:val="Times New Roman"/>
    <w:panose1 w:val="00000000000000000000"/>
    <w:charset w:val="00"/>
    <w:family w:val="auto"/>
    <w:pitch w:val="default"/>
    <w:sig w:usb0="00000000" w:usb1="00000000" w:usb2="00000000" w:usb3="00000000" w:csb0="00000001" w:csb1="00000000"/>
  </w:font>
  <w:font w:name="CorporateS-Regular">
    <w:altName w:val="Courier New"/>
    <w:panose1 w:val="00000000000000000000"/>
    <w:charset w:val="00"/>
    <w:family w:val="auto"/>
    <w:pitch w:val="default"/>
    <w:sig w:usb0="00000000" w:usb1="00000000" w:usb2="00000000" w:usb3="00000000" w:csb0="00000001" w:csb1="00000000"/>
  </w:font>
  <w:font w:name="elite">
    <w:altName w:val="Arial"/>
    <w:panose1 w:val="00000000000000000000"/>
    <w:charset w:val="00"/>
    <w:family w:val="modern"/>
    <w:pitch w:val="default"/>
    <w:sig w:usb0="00000000" w:usb1="00000000" w:usb2="00000000" w:usb3="00000000" w:csb0="00000001" w:csb1="00000000"/>
  </w:font>
  <w:font w:name="Tms Rmn">
    <w:altName w:val="Segoe Print"/>
    <w:panose1 w:val="02020603040505020304"/>
    <w:charset w:val="00"/>
    <w:family w:val="roman"/>
    <w:pitch w:val="default"/>
    <w:sig w:usb0="00000000" w:usb1="00000000" w:usb2="00000000" w:usb3="00000000" w:csb0="00000001" w:csb1="00000000"/>
  </w:font>
  <w:font w:name="????">
    <w:altName w:val="Malgun Gothic"/>
    <w:panose1 w:val="00000000000000000000"/>
    <w:charset w:val="81"/>
    <w:family w:val="auto"/>
    <w:pitch w:val="default"/>
    <w:sig w:usb0="00000000" w:usb1="00000000" w:usb2="00000010" w:usb3="00000000" w:csb0="00080001" w:csb1="00000000"/>
  </w:font>
  <w:font w:name="Malgun Gothic">
    <w:panose1 w:val="020B0503020000020004"/>
    <w:charset w:val="81"/>
    <w:family w:val="auto"/>
    <w:pitch w:val="default"/>
    <w:sig w:usb0="9000002F" w:usb1="29D77CFB" w:usb2="00000012" w:usb3="00000000" w:csb0="00080001" w:csb1="00000000"/>
  </w:font>
  <w:font w:name="仿宋体">
    <w:altName w:val="宋体"/>
    <w:panose1 w:val="00000000000000000000"/>
    <w:charset w:val="86"/>
    <w:family w:val="roman"/>
    <w:pitch w:val="default"/>
    <w:sig w:usb0="00000000" w:usb1="00000000" w:usb2="00000010" w:usb3="00000000" w:csb0="00040000" w:csb1="00000000"/>
  </w:font>
  <w:font w:name="CG Times (W1)">
    <w:altName w:val="Times New Roman"/>
    <w:panose1 w:val="00000000000000000000"/>
    <w:charset w:val="00"/>
    <w:family w:val="auto"/>
    <w:pitch w:val="default"/>
    <w:sig w:usb0="00000000" w:usb1="00000000" w:usb2="00000000" w:usb3="00000000" w:csb0="00000001" w:csb1="00000000"/>
  </w:font>
  <w:font w:name="方正宋黑简体">
    <w:altName w:val="宋体"/>
    <w:panose1 w:val="00000000000000000000"/>
    <w:charset w:val="86"/>
    <w:family w:val="auto"/>
    <w:pitch w:val="default"/>
    <w:sig w:usb0="00000000" w:usb1="00000000" w:usb2="00000010" w:usb3="00000000" w:csb0="00040000" w:csb1="00000000"/>
  </w:font>
  <w:font w:name="华文仿宋">
    <w:panose1 w:val="02010600040101010101"/>
    <w:charset w:val="86"/>
    <w:family w:val="auto"/>
    <w:pitch w:val="default"/>
    <w:sig w:usb0="00000287" w:usb1="080F0000" w:usb2="00000000" w:usb3="00000000" w:csb0="0004009F" w:csb1="DFD70000"/>
  </w:font>
  <w:font w:name="Symusic">
    <w:altName w:val="Segoe Print"/>
    <w:panose1 w:val="00000400000000000000"/>
    <w:charset w:val="00"/>
    <w:family w:val="auto"/>
    <w:pitch w:val="default"/>
    <w:sig w:usb0="00000000" w:usb1="00000000" w:usb2="00000000" w:usb3="00000000" w:csb0="000001FF" w:csb1="00000000"/>
  </w:font>
  <w:font w:name="Angsana New">
    <w:altName w:val="Microsoft Sans Serif"/>
    <w:panose1 w:val="02020603050405020304"/>
    <w:charset w:val="DE"/>
    <w:family w:val="roman"/>
    <w:pitch w:val="default"/>
    <w:sig w:usb0="00000000" w:usb1="00000000" w:usb2="00000000" w:usb3="00000000" w:csb0="00010001" w:csb1="00000000"/>
  </w:font>
  <w:font w:name="Impact">
    <w:panose1 w:val="020B0806030902050204"/>
    <w:charset w:val="00"/>
    <w:family w:val="swiss"/>
    <w:pitch w:val="default"/>
    <w:sig w:usb0="00000287" w:usb1="00000000" w:usb2="00000000" w:usb3="00000000" w:csb0="2000009F" w:csb1="DFD70000"/>
  </w:font>
  <w:font w:name="Times New Roman;Symbol;Arial;婼">
    <w:altName w:val="黑体"/>
    <w:panose1 w:val="00000000000000000000"/>
    <w:charset w:val="86"/>
    <w:family w:val="auto"/>
    <w:pitch w:val="default"/>
    <w:sig w:usb0="00000000" w:usb1="00000000" w:usb2="00000010" w:usb3="00000000" w:csb0="00040000" w:csb1="00000000"/>
  </w:font>
  <w:font w:name="Arial Black">
    <w:panose1 w:val="020B0A04020102020204"/>
    <w:charset w:val="00"/>
    <w:family w:val="swiss"/>
    <w:pitch w:val="default"/>
    <w:sig w:usb0="A00002AF" w:usb1="400078FB" w:usb2="00000000" w:usb3="00000000" w:csb0="6000009F" w:csb1="DFD70000"/>
  </w:font>
  <w:font w:name="TimesNewRomanPSMT">
    <w:altName w:val="Times New Roman"/>
    <w:panose1 w:val="00000000000000000000"/>
    <w:charset w:val="00"/>
    <w:family w:val="auto"/>
    <w:pitch w:val="default"/>
    <w:sig w:usb0="00000000" w:usb1="00000000" w:usb2="00000010" w:usb3="00000000" w:csb0="00040000" w:csb1="00000000"/>
  </w:font>
  <w:font w:name="Wingdings 2">
    <w:panose1 w:val="05020102010507070707"/>
    <w:charset w:val="02"/>
    <w:family w:val="roman"/>
    <w:pitch w:val="default"/>
    <w:sig w:usb0="00000000" w:usb1="00000000" w:usb2="00000000" w:usb3="00000000" w:csb0="80000000" w:csb1="00000000"/>
  </w:font>
  <w:font w:name="KSOF5FA7FF03">
    <w:panose1 w:val="020B0503020204020204"/>
    <w:charset w:val="86"/>
    <w:family w:val="auto"/>
    <w:pitch w:val="default"/>
    <w:sig w:usb0="00000001" w:usb1="00000000" w:usb2="00000000" w:usb3="00000000" w:csb0="00040001" w:csb1="00000000"/>
  </w:font>
  <w:font w:name="KSOF615CD7A2">
    <w:panose1 w:val="020B0703020204020201"/>
    <w:charset w:val="86"/>
    <w:family w:val="auto"/>
    <w:pitch w:val="default"/>
    <w:sig w:usb0="00000001" w:usb1="00000000" w:usb2="00000000" w:usb3="00000000" w:csb0="00040001" w:csb1="00000000"/>
  </w:font>
  <w:font w:name="Microsoft Sans Serif">
    <w:panose1 w:val="020B0604020202020204"/>
    <w:charset w:val="00"/>
    <w:family w:val="auto"/>
    <w:pitch w:val="default"/>
    <w:sig w:usb0="E5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069B39">
    <w:pPr>
      <w:pStyle w:val="56"/>
      <w:jc w:val="center"/>
    </w:pPr>
    <w:r>
      <w:rPr>
        <w:sz w:val="20"/>
        <w:szCs w:val="20"/>
      </w:rPr>
      <w:fldChar w:fldCharType="begin"/>
    </w:r>
    <w:r>
      <w:rPr>
        <w:sz w:val="20"/>
        <w:szCs w:val="20"/>
      </w:rPr>
      <w:instrText xml:space="preserve"> PAGE   \* MERGEFORMAT </w:instrText>
    </w:r>
    <w:r>
      <w:rPr>
        <w:sz w:val="20"/>
        <w:szCs w:val="20"/>
      </w:rPr>
      <w:fldChar w:fldCharType="separate"/>
    </w:r>
    <w:r>
      <w:rPr>
        <w:sz w:val="20"/>
        <w:szCs w:val="20"/>
        <w:lang w:val="zh-CN"/>
      </w:rPr>
      <w:t>85</w:t>
    </w:r>
    <w:r>
      <w:rPr>
        <w:sz w:val="20"/>
        <w:szCs w:val="20"/>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374F6E">
    <w:pPr>
      <w:pStyle w:val="56"/>
      <w:jc w:val="cente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72" name="文本框 143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sdt>
                          <w:sdtPr>
                            <w:id w:val="147452984"/>
                            <w:docPartObj>
                              <w:docPartGallery w:val="autotext"/>
                            </w:docPartObj>
                          </w:sdtPr>
                          <w:sdtContent>
                            <w:p w14:paraId="16A4FA12">
                              <w:pPr>
                                <w:pStyle w:val="56"/>
                                <w:jc w:val="center"/>
                              </w:pPr>
                              <w:r>
                                <w:rPr>
                                  <w:sz w:val="20"/>
                                  <w:szCs w:val="20"/>
                                </w:rPr>
                                <w:fldChar w:fldCharType="begin"/>
                              </w:r>
                              <w:r>
                                <w:rPr>
                                  <w:sz w:val="20"/>
                                  <w:szCs w:val="20"/>
                                </w:rPr>
                                <w:instrText xml:space="preserve"> PAGE   \* MERGEFORMAT </w:instrText>
                              </w:r>
                              <w:r>
                                <w:rPr>
                                  <w:sz w:val="20"/>
                                  <w:szCs w:val="20"/>
                                </w:rPr>
                                <w:fldChar w:fldCharType="separate"/>
                              </w:r>
                              <w:r>
                                <w:rPr>
                                  <w:sz w:val="20"/>
                                  <w:szCs w:val="20"/>
                                  <w:lang w:val="zh-CN"/>
                                </w:rPr>
                                <w:t>486</w:t>
                              </w:r>
                              <w:r>
                                <w:rPr>
                                  <w:sz w:val="20"/>
                                  <w:szCs w:val="20"/>
                                </w:rPr>
                                <w:fldChar w:fldCharType="end"/>
                              </w:r>
                            </w:p>
                          </w:sdtContent>
                        </w:sdt>
                        <w:p w14:paraId="1C1E732C"/>
                      </w:txbxContent>
                    </wps:txbx>
                    <wps:bodyPr wrap="none" lIns="0" tIns="0" rIns="0" bIns="0" upright="0">
                      <a:spAutoFit/>
                    </wps:bodyPr>
                  </wps:wsp>
                </a:graphicData>
              </a:graphic>
            </wp:anchor>
          </w:drawing>
        </mc:Choice>
        <mc:Fallback>
          <w:pict>
            <v:shape id="文本框 14342"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zql5uc8AAAAFAQAADwAAAAAAAAABACAAAAAiAAAAZHJzL2Rvd25y&#10;ZXYueG1sUEsBAhQAFAAAAAgAh07iQGaeBhHOAQAAnwMAAA4AAAAAAAAAAQAgAAAAHgEAAGRycy9l&#10;Mm9Eb2MueG1sUEsFBgAAAAAGAAYAWQEAAF4FAAAAAA==&#10;">
              <v:fill on="f" focussize="0,0"/>
              <v:stroke on="f"/>
              <v:imagedata o:title=""/>
              <o:lock v:ext="edit" aspectratio="f"/>
              <v:textbox inset="0mm,0mm,0mm,0mm" style="mso-fit-shape-to-text:t;">
                <w:txbxContent>
                  <w:sdt>
                    <w:sdtPr>
                      <w:id w:val="147452984"/>
                      <w:docPartObj>
                        <w:docPartGallery w:val="autotext"/>
                      </w:docPartObj>
                    </w:sdtPr>
                    <w:sdtContent>
                      <w:p w14:paraId="16A4FA12">
                        <w:pPr>
                          <w:pStyle w:val="56"/>
                          <w:jc w:val="center"/>
                        </w:pPr>
                        <w:r>
                          <w:rPr>
                            <w:sz w:val="20"/>
                            <w:szCs w:val="20"/>
                          </w:rPr>
                          <w:fldChar w:fldCharType="begin"/>
                        </w:r>
                        <w:r>
                          <w:rPr>
                            <w:sz w:val="20"/>
                            <w:szCs w:val="20"/>
                          </w:rPr>
                          <w:instrText xml:space="preserve"> PAGE   \* MERGEFORMAT </w:instrText>
                        </w:r>
                        <w:r>
                          <w:rPr>
                            <w:sz w:val="20"/>
                            <w:szCs w:val="20"/>
                          </w:rPr>
                          <w:fldChar w:fldCharType="separate"/>
                        </w:r>
                        <w:r>
                          <w:rPr>
                            <w:sz w:val="20"/>
                            <w:szCs w:val="20"/>
                            <w:lang w:val="zh-CN"/>
                          </w:rPr>
                          <w:t>486</w:t>
                        </w:r>
                        <w:r>
                          <w:rPr>
                            <w:sz w:val="20"/>
                            <w:szCs w:val="20"/>
                          </w:rPr>
                          <w:fldChar w:fldCharType="end"/>
                        </w:r>
                      </w:p>
                    </w:sdtContent>
                  </w:sdt>
                  <w:p w14:paraId="1C1E732C"/>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3E710A">
    <w:pPr>
      <w:pStyle w:val="56"/>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73" name="文本框 143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3DA0EED">
                          <w:pPr>
                            <w:pStyle w:val="56"/>
                            <w:rPr>
                              <w:rStyle w:val="93"/>
                              <w:sz w:val="20"/>
                              <w:szCs w:val="20"/>
                            </w:rPr>
                          </w:pPr>
                          <w:r>
                            <w:rPr>
                              <w:sz w:val="20"/>
                              <w:szCs w:val="20"/>
                            </w:rPr>
                            <w:fldChar w:fldCharType="begin"/>
                          </w:r>
                          <w:r>
                            <w:rPr>
                              <w:rStyle w:val="93"/>
                              <w:sz w:val="20"/>
                              <w:szCs w:val="20"/>
                            </w:rPr>
                            <w:instrText xml:space="preserve">PAGE  </w:instrText>
                          </w:r>
                          <w:r>
                            <w:rPr>
                              <w:sz w:val="20"/>
                              <w:szCs w:val="20"/>
                            </w:rPr>
                            <w:fldChar w:fldCharType="separate"/>
                          </w:r>
                          <w:r>
                            <w:rPr>
                              <w:rStyle w:val="93"/>
                              <w:sz w:val="20"/>
                              <w:szCs w:val="20"/>
                            </w:rPr>
                            <w:t>489</w:t>
                          </w:r>
                          <w:r>
                            <w:rPr>
                              <w:sz w:val="20"/>
                              <w:szCs w:val="20"/>
                            </w:rPr>
                            <w:fldChar w:fldCharType="end"/>
                          </w:r>
                        </w:p>
                      </w:txbxContent>
                    </wps:txbx>
                    <wps:bodyPr wrap="none" lIns="0" tIns="0" rIns="0" bIns="0" upright="0">
                      <a:spAutoFit/>
                    </wps:bodyPr>
                  </wps:wsp>
                </a:graphicData>
              </a:graphic>
            </wp:anchor>
          </w:drawing>
        </mc:Choice>
        <mc:Fallback>
          <w:pict>
            <v:shape id="文本框 14343"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zql5uc8AAAAFAQAADwAAAAAAAAABACAAAAAiAAAAZHJzL2Rvd25y&#10;ZXYueG1sUEsBAhQAFAAAAAgAh07iQBcITgbOAQAAnwMAAA4AAAAAAAAAAQAgAAAAHgEAAGRycy9l&#10;Mm9Eb2MueG1sUEsFBgAAAAAGAAYAWQEAAF4FAAAAAA==&#10;">
              <v:fill on="f" focussize="0,0"/>
              <v:stroke on="f"/>
              <v:imagedata o:title=""/>
              <o:lock v:ext="edit" aspectratio="f"/>
              <v:textbox inset="0mm,0mm,0mm,0mm" style="mso-fit-shape-to-text:t;">
                <w:txbxContent>
                  <w:p w14:paraId="23DA0EED">
                    <w:pPr>
                      <w:pStyle w:val="56"/>
                      <w:rPr>
                        <w:rStyle w:val="93"/>
                        <w:sz w:val="20"/>
                        <w:szCs w:val="20"/>
                      </w:rPr>
                    </w:pPr>
                    <w:r>
                      <w:rPr>
                        <w:sz w:val="20"/>
                        <w:szCs w:val="20"/>
                      </w:rPr>
                      <w:fldChar w:fldCharType="begin"/>
                    </w:r>
                    <w:r>
                      <w:rPr>
                        <w:rStyle w:val="93"/>
                        <w:sz w:val="20"/>
                        <w:szCs w:val="20"/>
                      </w:rPr>
                      <w:instrText xml:space="preserve">PAGE  </w:instrText>
                    </w:r>
                    <w:r>
                      <w:rPr>
                        <w:sz w:val="20"/>
                        <w:szCs w:val="20"/>
                      </w:rPr>
                      <w:fldChar w:fldCharType="separate"/>
                    </w:r>
                    <w:r>
                      <w:rPr>
                        <w:rStyle w:val="93"/>
                        <w:sz w:val="20"/>
                        <w:szCs w:val="20"/>
                      </w:rPr>
                      <w:t>489</w:t>
                    </w:r>
                    <w:r>
                      <w:rPr>
                        <w:sz w:val="20"/>
                        <w:szCs w:val="20"/>
                      </w:rP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1B792B">
    <w:pPr>
      <w:pStyle w:val="56"/>
      <w:framePr w:wrap="around" w:vAnchor="text" w:hAnchor="margin" w:xAlign="center" w:y="1"/>
      <w:rPr>
        <w:rStyle w:val="93"/>
      </w:rPr>
    </w:pPr>
    <w:r>
      <w:fldChar w:fldCharType="begin"/>
    </w:r>
    <w:r>
      <w:rPr>
        <w:rStyle w:val="93"/>
      </w:rPr>
      <w:instrText xml:space="preserve">PAGE  </w:instrText>
    </w:r>
    <w:r>
      <w:fldChar w:fldCharType="separate"/>
    </w:r>
    <w:r>
      <w:rPr>
        <w:rStyle w:val="93"/>
      </w:rPr>
      <w:t>26</w:t>
    </w:r>
    <w:r>
      <w:fldChar w:fldCharType="end"/>
    </w:r>
  </w:p>
  <w:p w14:paraId="5FA23AE3">
    <w:pPr>
      <w:pStyle w:val="56"/>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0BF2CD">
    <w:pPr>
      <w:pStyle w:val="56"/>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74" name="文本框 143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2D289BC">
                          <w:pPr>
                            <w:pStyle w:val="56"/>
                            <w:rPr>
                              <w:rStyle w:val="93"/>
                              <w:sz w:val="20"/>
                              <w:szCs w:val="20"/>
                            </w:rPr>
                          </w:pPr>
                          <w:r>
                            <w:rPr>
                              <w:sz w:val="20"/>
                              <w:szCs w:val="20"/>
                            </w:rPr>
                            <w:fldChar w:fldCharType="begin"/>
                          </w:r>
                          <w:r>
                            <w:rPr>
                              <w:rStyle w:val="93"/>
                              <w:sz w:val="20"/>
                              <w:szCs w:val="20"/>
                            </w:rPr>
                            <w:instrText xml:space="preserve">PAGE  </w:instrText>
                          </w:r>
                          <w:r>
                            <w:rPr>
                              <w:sz w:val="20"/>
                              <w:szCs w:val="20"/>
                            </w:rPr>
                            <w:fldChar w:fldCharType="separate"/>
                          </w:r>
                          <w:r>
                            <w:rPr>
                              <w:rStyle w:val="93"/>
                              <w:sz w:val="20"/>
                              <w:szCs w:val="20"/>
                            </w:rPr>
                            <w:t>490</w:t>
                          </w:r>
                          <w:r>
                            <w:rPr>
                              <w:sz w:val="20"/>
                              <w:szCs w:val="20"/>
                            </w:rPr>
                            <w:fldChar w:fldCharType="end"/>
                          </w:r>
                        </w:p>
                      </w:txbxContent>
                    </wps:txbx>
                    <wps:bodyPr wrap="none" lIns="0" tIns="0" rIns="0" bIns="0" upright="0">
                      <a:spAutoFit/>
                    </wps:bodyPr>
                  </wps:wsp>
                </a:graphicData>
              </a:graphic>
            </wp:anchor>
          </w:drawing>
        </mc:Choice>
        <mc:Fallback>
          <w:pict>
            <v:shape id="文本框 14344"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M6pebnPAAAABQEAAA8AAAAAAAAAAQAgAAAAIgAAAGRycy9kb3du&#10;cmV2LnhtbFBLAQIUABQAAAAIAIdO4kBA67VizwEAAJ8DAAAOAAAAAAAAAAEAIAAAAB4BAABkcnMv&#10;ZTJvRG9jLnhtbFBLBQYAAAAABgAGAFkBAABfBQAAAAA=&#10;">
              <v:fill on="f" focussize="0,0"/>
              <v:stroke on="f"/>
              <v:imagedata o:title=""/>
              <o:lock v:ext="edit" aspectratio="f"/>
              <v:textbox inset="0mm,0mm,0mm,0mm" style="mso-fit-shape-to-text:t;">
                <w:txbxContent>
                  <w:p w14:paraId="22D289BC">
                    <w:pPr>
                      <w:pStyle w:val="56"/>
                      <w:rPr>
                        <w:rStyle w:val="93"/>
                        <w:sz w:val="20"/>
                        <w:szCs w:val="20"/>
                      </w:rPr>
                    </w:pPr>
                    <w:r>
                      <w:rPr>
                        <w:sz w:val="20"/>
                        <w:szCs w:val="20"/>
                      </w:rPr>
                      <w:fldChar w:fldCharType="begin"/>
                    </w:r>
                    <w:r>
                      <w:rPr>
                        <w:rStyle w:val="93"/>
                        <w:sz w:val="20"/>
                        <w:szCs w:val="20"/>
                      </w:rPr>
                      <w:instrText xml:space="preserve">PAGE  </w:instrText>
                    </w:r>
                    <w:r>
                      <w:rPr>
                        <w:sz w:val="20"/>
                        <w:szCs w:val="20"/>
                      </w:rPr>
                      <w:fldChar w:fldCharType="separate"/>
                    </w:r>
                    <w:r>
                      <w:rPr>
                        <w:rStyle w:val="93"/>
                        <w:sz w:val="20"/>
                        <w:szCs w:val="20"/>
                      </w:rPr>
                      <w:t>490</w:t>
                    </w:r>
                    <w:r>
                      <w:rPr>
                        <w:sz w:val="20"/>
                        <w:szCs w:val="20"/>
                      </w:rP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8DA80C">
    <w:pPr>
      <w:pStyle w:val="56"/>
      <w:framePr w:wrap="around" w:vAnchor="text" w:hAnchor="margin" w:xAlign="center" w:y="1"/>
      <w:rPr>
        <w:rStyle w:val="93"/>
      </w:rPr>
    </w:pPr>
    <w:r>
      <w:fldChar w:fldCharType="begin"/>
    </w:r>
    <w:r>
      <w:rPr>
        <w:rStyle w:val="93"/>
      </w:rPr>
      <w:instrText xml:space="preserve">PAGE  </w:instrText>
    </w:r>
    <w:r>
      <w:fldChar w:fldCharType="separate"/>
    </w:r>
    <w:r>
      <w:rPr>
        <w:rStyle w:val="93"/>
      </w:rPr>
      <w:t>26</w:t>
    </w:r>
    <w:r>
      <w:fldChar w:fldCharType="end"/>
    </w:r>
  </w:p>
  <w:p w14:paraId="27D9FA96">
    <w:pPr>
      <w:pStyle w:val="5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FF50D1">
    <w:pPr>
      <w:pStyle w:val="56"/>
      <w:jc w:val="center"/>
      <w:rPr>
        <w:sz w:val="20"/>
        <w:szCs w:val="20"/>
      </w:rPr>
    </w:pPr>
    <w:r>
      <w:rPr>
        <w:sz w:val="20"/>
        <w:szCs w:val="20"/>
      </w:rPr>
      <w:fldChar w:fldCharType="begin"/>
    </w:r>
    <w:r>
      <w:rPr>
        <w:sz w:val="20"/>
        <w:szCs w:val="20"/>
      </w:rPr>
      <w:instrText xml:space="preserve"> PAGE   \* MERGEFORMAT </w:instrText>
    </w:r>
    <w:r>
      <w:rPr>
        <w:sz w:val="20"/>
        <w:szCs w:val="20"/>
      </w:rPr>
      <w:fldChar w:fldCharType="separate"/>
    </w:r>
    <w:r>
      <w:rPr>
        <w:sz w:val="20"/>
        <w:szCs w:val="20"/>
        <w:lang w:val="zh-CN"/>
      </w:rPr>
      <w:t>i</w:t>
    </w:r>
    <w:r>
      <w:rPr>
        <w:sz w:val="20"/>
        <w:szCs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F750CF">
    <w:pPr>
      <w:pStyle w:val="56"/>
      <w:jc w:val="center"/>
    </w:pPr>
    <w:r>
      <w:rPr>
        <w:sz w:val="20"/>
        <w:szCs w:val="20"/>
      </w:rPr>
      <w:fldChar w:fldCharType="begin"/>
    </w:r>
    <w:r>
      <w:rPr>
        <w:sz w:val="20"/>
        <w:szCs w:val="20"/>
      </w:rPr>
      <w:instrText xml:space="preserve"> PAGE   \* MERGEFORMAT </w:instrText>
    </w:r>
    <w:r>
      <w:rPr>
        <w:sz w:val="20"/>
        <w:szCs w:val="20"/>
      </w:rPr>
      <w:fldChar w:fldCharType="separate"/>
    </w:r>
    <w:r>
      <w:rPr>
        <w:sz w:val="20"/>
        <w:szCs w:val="20"/>
        <w:lang w:val="zh-CN"/>
      </w:rPr>
      <w:t>119</w:t>
    </w:r>
    <w:r>
      <w:rPr>
        <w:sz w:val="20"/>
        <w:szCs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25063B">
    <w:pPr>
      <w:pStyle w:val="56"/>
      <w:jc w:val="center"/>
      <w:rPr>
        <w:sz w:val="20"/>
        <w:szCs w:val="20"/>
      </w:rPr>
    </w:pPr>
    <w:r>
      <w:rPr>
        <w:sz w:val="20"/>
        <w:szCs w:val="20"/>
      </w:rPr>
      <w:fldChar w:fldCharType="begin"/>
    </w:r>
    <w:r>
      <w:rPr>
        <w:sz w:val="20"/>
        <w:szCs w:val="20"/>
      </w:rPr>
      <w:instrText xml:space="preserve"> PAGE   \* MERGEFORMAT </w:instrText>
    </w:r>
    <w:r>
      <w:rPr>
        <w:sz w:val="20"/>
        <w:szCs w:val="20"/>
      </w:rPr>
      <w:fldChar w:fldCharType="separate"/>
    </w:r>
    <w:r>
      <w:rPr>
        <w:sz w:val="20"/>
        <w:szCs w:val="20"/>
        <w:lang w:val="zh-CN"/>
      </w:rPr>
      <w:t>120</w:t>
    </w:r>
    <w:r>
      <w:rPr>
        <w:sz w:val="20"/>
        <w:szCs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FC34D9">
    <w:pPr>
      <w:spacing w:line="176" w:lineRule="auto"/>
      <w:jc w:val="center"/>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67" name="文本框 143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A32B429">
                          <w:pPr>
                            <w:pStyle w:val="56"/>
                          </w:pPr>
                          <w:r>
                            <w:fldChar w:fldCharType="begin"/>
                          </w:r>
                          <w:r>
                            <w:instrText xml:space="preserve"> PAGE  \* MERGEFORMAT </w:instrText>
                          </w:r>
                          <w:r>
                            <w:fldChar w:fldCharType="separate"/>
                          </w:r>
                          <w:r>
                            <w:t>ci</w:t>
                          </w:r>
                          <w:r>
                            <w:fldChar w:fldCharType="end"/>
                          </w:r>
                        </w:p>
                      </w:txbxContent>
                    </wps:txbx>
                    <wps:bodyPr wrap="none" lIns="0" tIns="0" rIns="0" bIns="0" upright="0">
                      <a:spAutoFit/>
                    </wps:bodyPr>
                  </wps:wsp>
                </a:graphicData>
              </a:graphic>
            </wp:anchor>
          </w:drawing>
        </mc:Choice>
        <mc:Fallback>
          <w:pict>
            <v:shape id="文本框 14337"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M6pebnPAAAABQEAAA8AAAAAAAAAAQAgAAAAIgAAAGRycy9kb3du&#10;cmV2LnhtbFBLAQIUABQAAAAIAIdO4kBEFkGVzwEAAJ8DAAAOAAAAAAAAAAEAIAAAAB4BAABkcnMv&#10;ZTJvRG9jLnhtbFBLBQYAAAAABgAGAFkBAABfBQAAAAA=&#10;">
              <v:fill on="f" focussize="0,0"/>
              <v:stroke on="f"/>
              <v:imagedata o:title=""/>
              <o:lock v:ext="edit" aspectratio="f"/>
              <v:textbox inset="0mm,0mm,0mm,0mm" style="mso-fit-shape-to-text:t;">
                <w:txbxContent>
                  <w:p w14:paraId="1A32B429">
                    <w:pPr>
                      <w:pStyle w:val="56"/>
                    </w:pPr>
                    <w:r>
                      <w:fldChar w:fldCharType="begin"/>
                    </w:r>
                    <w:r>
                      <w:instrText xml:space="preserve"> PAGE  \* MERGEFORMAT </w:instrText>
                    </w:r>
                    <w:r>
                      <w:fldChar w:fldCharType="separate"/>
                    </w:r>
                    <w:r>
                      <w:t>ci</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A8D3DD">
    <w:pPr>
      <w:jc w:val="center"/>
    </w:pPr>
    <w:r>
      <w:rPr>
        <w:sz w:val="2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68" name="文本框 143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BF27463">
                          <w:pPr>
                            <w:jc w:val="center"/>
                          </w:pPr>
                          <w:r>
                            <w:fldChar w:fldCharType="begin"/>
                          </w:r>
                          <w:r>
                            <w:instrText xml:space="preserve"> PAGE   \* MERGEFORMAT </w:instrText>
                          </w:r>
                          <w:r>
                            <w:fldChar w:fldCharType="separate"/>
                          </w:r>
                          <w:r>
                            <w:rPr>
                              <w:lang w:val="zh-CN"/>
                            </w:rPr>
                            <w:t>198</w:t>
                          </w:r>
                          <w:r>
                            <w:rPr>
                              <w:lang w:val="zh-CN"/>
                            </w:rPr>
                            <w:fldChar w:fldCharType="end"/>
                          </w:r>
                        </w:p>
                      </w:txbxContent>
                    </wps:txbx>
                    <wps:bodyPr wrap="none" lIns="0" tIns="0" rIns="0" bIns="0" upright="0">
                      <a:spAutoFit/>
                    </wps:bodyPr>
                  </wps:wsp>
                </a:graphicData>
              </a:graphic>
            </wp:anchor>
          </w:drawing>
        </mc:Choice>
        <mc:Fallback>
          <w:pict>
            <v:shape id="文本框 14338"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zql5uc8AAAAFAQAADwAAAAAAAAABACAAAAAiAAAAZHJzL2Rvd25y&#10;ZXYueG1sUEsBAhQAFAAAAAgAh07iQJtG/kvOAQAAnwMAAA4AAAAAAAAAAQAgAAAAHgEAAGRycy9l&#10;Mm9Eb2MueG1sUEsFBgAAAAAGAAYAWQEAAF4FAAAAAA==&#10;">
              <v:fill on="f" focussize="0,0"/>
              <v:stroke on="f"/>
              <v:imagedata o:title=""/>
              <o:lock v:ext="edit" aspectratio="f"/>
              <v:textbox inset="0mm,0mm,0mm,0mm" style="mso-fit-shape-to-text:t;">
                <w:txbxContent>
                  <w:p w14:paraId="6BF27463">
                    <w:pPr>
                      <w:jc w:val="center"/>
                    </w:pPr>
                    <w:r>
                      <w:fldChar w:fldCharType="begin"/>
                    </w:r>
                    <w:r>
                      <w:instrText xml:space="preserve"> PAGE   \* MERGEFORMAT </w:instrText>
                    </w:r>
                    <w:r>
                      <w:fldChar w:fldCharType="separate"/>
                    </w:r>
                    <w:r>
                      <w:rPr>
                        <w:lang w:val="zh-CN"/>
                      </w:rPr>
                      <w:t>198</w:t>
                    </w:r>
                    <w:r>
                      <w:rPr>
                        <w:lang w:val="zh-CN"/>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B866E3">
    <w:pPr>
      <w:pStyle w:val="56"/>
      <w:jc w:val="center"/>
      <w:rPr>
        <w:sz w:val="20"/>
        <w:szCs w:val="20"/>
      </w:rPr>
    </w:pPr>
    <w:r>
      <w:rPr>
        <w:sz w:val="20"/>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9" name="文本框 143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C9B2B02">
                          <w:pPr>
                            <w:pStyle w:val="56"/>
                            <w:jc w:val="center"/>
                          </w:pPr>
                          <w:r>
                            <w:rPr>
                              <w:sz w:val="20"/>
                              <w:szCs w:val="20"/>
                            </w:rPr>
                            <w:fldChar w:fldCharType="begin"/>
                          </w:r>
                          <w:r>
                            <w:rPr>
                              <w:sz w:val="20"/>
                              <w:szCs w:val="20"/>
                            </w:rPr>
                            <w:instrText xml:space="preserve"> PAGE   \* MERGEFORMAT </w:instrText>
                          </w:r>
                          <w:r>
                            <w:rPr>
                              <w:sz w:val="20"/>
                              <w:szCs w:val="20"/>
                            </w:rPr>
                            <w:fldChar w:fldCharType="separate"/>
                          </w:r>
                          <w:r>
                            <w:rPr>
                              <w:sz w:val="20"/>
                              <w:szCs w:val="20"/>
                              <w:lang w:val="zh-CN"/>
                            </w:rPr>
                            <w:t>381</w:t>
                          </w:r>
                          <w:r>
                            <w:rPr>
                              <w:sz w:val="20"/>
                              <w:szCs w:val="20"/>
                            </w:rPr>
                            <w:fldChar w:fldCharType="end"/>
                          </w:r>
                        </w:p>
                      </w:txbxContent>
                    </wps:txbx>
                    <wps:bodyPr wrap="none" lIns="0" tIns="0" rIns="0" bIns="0" upright="0">
                      <a:spAutoFit/>
                    </wps:bodyPr>
                  </wps:wsp>
                </a:graphicData>
              </a:graphic>
            </wp:anchor>
          </w:drawing>
        </mc:Choice>
        <mc:Fallback>
          <w:pict>
            <v:shape id="文本框 14339"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M6pebnPAAAABQEAAA8AAAAAAAAAAQAgAAAAIgAAAGRycy9kb3du&#10;cmV2LnhtbFBLAQIUABQAAAAIAIdO4kDq0LZczwEAAJ8DAAAOAAAAAAAAAAEAIAAAAB4BAABkcnMv&#10;ZTJvRG9jLnhtbFBLBQYAAAAABgAGAFkBAABfBQAAAAA=&#10;">
              <v:fill on="f" focussize="0,0"/>
              <v:stroke on="f"/>
              <v:imagedata o:title=""/>
              <o:lock v:ext="edit" aspectratio="f"/>
              <v:textbox inset="0mm,0mm,0mm,0mm" style="mso-fit-shape-to-text:t;">
                <w:txbxContent>
                  <w:p w14:paraId="3C9B2B02">
                    <w:pPr>
                      <w:pStyle w:val="56"/>
                      <w:jc w:val="center"/>
                    </w:pPr>
                    <w:r>
                      <w:rPr>
                        <w:sz w:val="20"/>
                        <w:szCs w:val="20"/>
                      </w:rPr>
                      <w:fldChar w:fldCharType="begin"/>
                    </w:r>
                    <w:r>
                      <w:rPr>
                        <w:sz w:val="20"/>
                        <w:szCs w:val="20"/>
                      </w:rPr>
                      <w:instrText xml:space="preserve"> PAGE   \* MERGEFORMAT </w:instrText>
                    </w:r>
                    <w:r>
                      <w:rPr>
                        <w:sz w:val="20"/>
                        <w:szCs w:val="20"/>
                      </w:rPr>
                      <w:fldChar w:fldCharType="separate"/>
                    </w:r>
                    <w:r>
                      <w:rPr>
                        <w:sz w:val="20"/>
                        <w:szCs w:val="20"/>
                        <w:lang w:val="zh-CN"/>
                      </w:rPr>
                      <w:t>381</w:t>
                    </w:r>
                    <w:r>
                      <w:rPr>
                        <w:sz w:val="20"/>
                        <w:szCs w:val="20"/>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51E78B">
    <w:pPr>
      <w:spacing w:line="176"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70" name="文本框 143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D5529CD">
                          <w:pPr>
                            <w:pStyle w:val="56"/>
                          </w:pPr>
                          <w:r>
                            <w:fldChar w:fldCharType="begin"/>
                          </w:r>
                          <w:r>
                            <w:instrText xml:space="preserve"> PAGE  \* MERGEFORMAT </w:instrText>
                          </w:r>
                          <w:r>
                            <w:fldChar w:fldCharType="separate"/>
                          </w:r>
                          <w:r>
                            <w:t>xxxviii</w:t>
                          </w:r>
                          <w:r>
                            <w:fldChar w:fldCharType="end"/>
                          </w:r>
                        </w:p>
                      </w:txbxContent>
                    </wps:txbx>
                    <wps:bodyPr wrap="none" lIns="0" tIns="0" rIns="0" bIns="0" upright="0">
                      <a:spAutoFit/>
                    </wps:bodyPr>
                  </wps:wsp>
                </a:graphicData>
              </a:graphic>
            </wp:anchor>
          </w:drawing>
        </mc:Choice>
        <mc:Fallback>
          <w:pict>
            <v:shape id="文本框 14340"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zql5uc8AAAAFAQAADwAAAAAAAAABACAAAAAiAAAAZHJzL2Rvd25y&#10;ZXYueG1sUEsBAhQAFAAAAAgAh07iQISylz/OAQAAnwMAAA4AAAAAAAAAAQAgAAAAHgEAAGRycy9l&#10;Mm9Eb2MueG1sUEsFBgAAAAAGAAYAWQEAAF4FAAAAAA==&#10;">
              <v:fill on="f" focussize="0,0"/>
              <v:stroke on="f"/>
              <v:imagedata o:title=""/>
              <o:lock v:ext="edit" aspectratio="f"/>
              <v:textbox inset="0mm,0mm,0mm,0mm" style="mso-fit-shape-to-text:t;">
                <w:txbxContent>
                  <w:p w14:paraId="1D5529CD">
                    <w:pPr>
                      <w:pStyle w:val="56"/>
                    </w:pPr>
                    <w:r>
                      <w:fldChar w:fldCharType="begin"/>
                    </w:r>
                    <w:r>
                      <w:instrText xml:space="preserve"> PAGE  \* MERGEFORMAT </w:instrText>
                    </w:r>
                    <w:r>
                      <w:fldChar w:fldCharType="separate"/>
                    </w:r>
                    <w:r>
                      <w:t>xxxviii</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42702C">
    <w:pPr>
      <w:spacing w:line="176"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71" name="文本框 143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7E37B29">
                          <w:pPr>
                            <w:pStyle w:val="56"/>
                          </w:pPr>
                          <w:r>
                            <w:fldChar w:fldCharType="begin"/>
                          </w:r>
                          <w:r>
                            <w:instrText xml:space="preserve"> PAGE  \* MERGEFORMAT </w:instrText>
                          </w:r>
                          <w:r>
                            <w:fldChar w:fldCharType="separate"/>
                          </w:r>
                          <w:r>
                            <w:t>liii</w:t>
                          </w:r>
                          <w:r>
                            <w:fldChar w:fldCharType="end"/>
                          </w:r>
                        </w:p>
                      </w:txbxContent>
                    </wps:txbx>
                    <wps:bodyPr wrap="none" lIns="0" tIns="0" rIns="0" bIns="0" upright="0">
                      <a:spAutoFit/>
                    </wps:bodyPr>
                  </wps:wsp>
                </a:graphicData>
              </a:graphic>
            </wp:anchor>
          </w:drawing>
        </mc:Choice>
        <mc:Fallback>
          <w:pict>
            <v:shape id="文本框 14341"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zql5uc8AAAAFAQAADwAAAAAAAAABACAAAAAiAAAAZHJzL2Rvd25y&#10;ZXYueG1sUEsBAhQAFAAAAAgAh07iQPUk3yjOAQAAnwMAAA4AAAAAAAAAAQAgAAAAHgEAAGRycy9l&#10;Mm9Eb2MueG1sUEsFBgAAAAAGAAYAWQEAAF4FAAAAAA==&#10;">
              <v:fill on="f" focussize="0,0"/>
              <v:stroke on="f"/>
              <v:imagedata o:title=""/>
              <o:lock v:ext="edit" aspectratio="f"/>
              <v:textbox inset="0mm,0mm,0mm,0mm" style="mso-fit-shape-to-text:t;">
                <w:txbxContent>
                  <w:p w14:paraId="37E37B29">
                    <w:pPr>
                      <w:pStyle w:val="56"/>
                    </w:pPr>
                    <w:r>
                      <w:fldChar w:fldCharType="begin"/>
                    </w:r>
                    <w:r>
                      <w:instrText xml:space="preserve"> PAGE  \* MERGEFORMAT </w:instrText>
                    </w:r>
                    <w:r>
                      <w:fldChar w:fldCharType="separate"/>
                    </w:r>
                    <w:r>
                      <w:t>liii</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A733AD">
    <w:pPr>
      <w:pStyle w:val="58"/>
    </w:pPr>
    <w:r>
      <w:rPr>
        <w:rFonts w:hint="eastAsia"/>
        <w:lang w:val="zh-CN"/>
      </w:rPr>
      <w:t>安徽楹聚环保科技有限公司</w:t>
    </w:r>
    <w:r>
      <w:rPr>
        <w:rFonts w:hint="eastAsia"/>
        <w:lang w:eastAsia="zh-CN"/>
      </w:rPr>
      <w:t>PET再生资源综合利用项目</w:t>
    </w:r>
    <w:r>
      <w:rPr>
        <w:rFonts w:hint="eastAsia"/>
        <w:lang w:val="zh-CN"/>
      </w:rPr>
      <w:t>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3853AC">
    <w:pPr>
      <w:pStyle w:val="58"/>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3E3575">
    <w:pPr>
      <w:pStyle w:val="58"/>
    </w:pPr>
    <w:r>
      <w:rPr>
        <w:rFonts w:hint="eastAsia"/>
        <w:lang w:val="zh-CN"/>
      </w:rPr>
      <w:t>安徽楹聚环保科技有限公司PET再生资源综合利用项目环境影响报告书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F38151"/>
    <w:multiLevelType w:val="singleLevel"/>
    <w:tmpl w:val="90F38151"/>
    <w:lvl w:ilvl="0" w:tentative="0">
      <w:start w:val="1"/>
      <w:numFmt w:val="decimal"/>
      <w:suff w:val="nothing"/>
      <w:lvlText w:val="%1、"/>
      <w:lvlJc w:val="left"/>
    </w:lvl>
  </w:abstractNum>
  <w:abstractNum w:abstractNumId="1">
    <w:nsid w:val="96D25B37"/>
    <w:multiLevelType w:val="singleLevel"/>
    <w:tmpl w:val="96D25B37"/>
    <w:lvl w:ilvl="0" w:tentative="0">
      <w:start w:val="1"/>
      <w:numFmt w:val="decimal"/>
      <w:suff w:val="nothing"/>
      <w:lvlText w:val="%1、"/>
      <w:lvlJc w:val="left"/>
    </w:lvl>
  </w:abstractNum>
  <w:abstractNum w:abstractNumId="2">
    <w:nsid w:val="D7517EDF"/>
    <w:multiLevelType w:val="singleLevel"/>
    <w:tmpl w:val="D7517EDF"/>
    <w:lvl w:ilvl="0" w:tentative="0">
      <w:start w:val="1"/>
      <w:numFmt w:val="decimal"/>
      <w:suff w:val="nothing"/>
      <w:lvlText w:val="%1、"/>
      <w:lvlJc w:val="left"/>
    </w:lvl>
  </w:abstractNum>
  <w:abstractNum w:abstractNumId="3">
    <w:nsid w:val="D9765931"/>
    <w:multiLevelType w:val="singleLevel"/>
    <w:tmpl w:val="D9765931"/>
    <w:lvl w:ilvl="0" w:tentative="0">
      <w:start w:val="1"/>
      <w:numFmt w:val="decimal"/>
      <w:suff w:val="nothing"/>
      <w:lvlText w:val="%1、"/>
      <w:lvlJc w:val="left"/>
    </w:lvl>
  </w:abstractNum>
  <w:abstractNum w:abstractNumId="4">
    <w:nsid w:val="E7775D42"/>
    <w:multiLevelType w:val="singleLevel"/>
    <w:tmpl w:val="E7775D42"/>
    <w:lvl w:ilvl="0" w:tentative="0">
      <w:start w:val="1"/>
      <w:numFmt w:val="decimal"/>
      <w:suff w:val="nothing"/>
      <w:lvlText w:val="%1、"/>
      <w:lvlJc w:val="left"/>
    </w:lvl>
  </w:abstractNum>
  <w:abstractNum w:abstractNumId="5">
    <w:nsid w:val="ECE57766"/>
    <w:multiLevelType w:val="singleLevel"/>
    <w:tmpl w:val="ECE57766"/>
    <w:lvl w:ilvl="0" w:tentative="0">
      <w:start w:val="1"/>
      <w:numFmt w:val="decimal"/>
      <w:suff w:val="nothing"/>
      <w:lvlText w:val="%1、"/>
      <w:lvlJc w:val="left"/>
    </w:lvl>
  </w:abstractNum>
  <w:abstractNum w:abstractNumId="6">
    <w:nsid w:val="EF0EDBBA"/>
    <w:multiLevelType w:val="singleLevel"/>
    <w:tmpl w:val="EF0EDBBA"/>
    <w:lvl w:ilvl="0" w:tentative="0">
      <w:start w:val="1"/>
      <w:numFmt w:val="decimal"/>
      <w:suff w:val="nothing"/>
      <w:lvlText w:val="%1、"/>
      <w:lvlJc w:val="left"/>
    </w:lvl>
  </w:abstractNum>
  <w:abstractNum w:abstractNumId="7">
    <w:nsid w:val="F0003BDC"/>
    <w:multiLevelType w:val="singleLevel"/>
    <w:tmpl w:val="F0003BDC"/>
    <w:lvl w:ilvl="0" w:tentative="0">
      <w:start w:val="1"/>
      <w:numFmt w:val="decimal"/>
      <w:suff w:val="nothing"/>
      <w:lvlText w:val="（%1）"/>
      <w:lvlJc w:val="left"/>
    </w:lvl>
  </w:abstractNum>
  <w:abstractNum w:abstractNumId="8">
    <w:nsid w:val="F5BA1363"/>
    <w:multiLevelType w:val="singleLevel"/>
    <w:tmpl w:val="F5BA1363"/>
    <w:lvl w:ilvl="0" w:tentative="0">
      <w:start w:val="1"/>
      <w:numFmt w:val="decimal"/>
      <w:suff w:val="nothing"/>
      <w:lvlText w:val="（%1）"/>
      <w:lvlJc w:val="left"/>
    </w:lvl>
  </w:abstractNum>
  <w:abstractNum w:abstractNumId="9">
    <w:nsid w:val="17097FA8"/>
    <w:multiLevelType w:val="singleLevel"/>
    <w:tmpl w:val="17097FA8"/>
    <w:lvl w:ilvl="0" w:tentative="0">
      <w:start w:val="1"/>
      <w:numFmt w:val="decimal"/>
      <w:suff w:val="nothing"/>
      <w:lvlText w:val="%1、"/>
      <w:lvlJc w:val="left"/>
    </w:lvl>
  </w:abstractNum>
  <w:abstractNum w:abstractNumId="10">
    <w:nsid w:val="20FD4386"/>
    <w:multiLevelType w:val="singleLevel"/>
    <w:tmpl w:val="20FD4386"/>
    <w:lvl w:ilvl="0" w:tentative="0">
      <w:start w:val="1"/>
      <w:numFmt w:val="decimal"/>
      <w:suff w:val="nothing"/>
      <w:lvlText w:val="%1、"/>
      <w:lvlJc w:val="left"/>
    </w:lvl>
  </w:abstractNum>
  <w:abstractNum w:abstractNumId="11">
    <w:nsid w:val="6CB502DD"/>
    <w:multiLevelType w:val="singleLevel"/>
    <w:tmpl w:val="6CB502DD"/>
    <w:lvl w:ilvl="0" w:tentative="0">
      <w:start w:val="2"/>
      <w:numFmt w:val="decimal"/>
      <w:suff w:val="nothing"/>
      <w:lvlText w:val="%1、"/>
      <w:lvlJc w:val="left"/>
    </w:lvl>
  </w:abstractNum>
  <w:abstractNum w:abstractNumId="12">
    <w:nsid w:val="7A22A7C7"/>
    <w:multiLevelType w:val="singleLevel"/>
    <w:tmpl w:val="7A22A7C7"/>
    <w:lvl w:ilvl="0" w:tentative="0">
      <w:start w:val="1"/>
      <w:numFmt w:val="decimal"/>
      <w:suff w:val="nothing"/>
      <w:lvlText w:val="（%1）"/>
      <w:lvlJc w:val="left"/>
    </w:lvl>
  </w:abstractNum>
  <w:num w:numId="1">
    <w:abstractNumId w:val="5"/>
  </w:num>
  <w:num w:numId="2">
    <w:abstractNumId w:val="2"/>
  </w:num>
  <w:num w:numId="3">
    <w:abstractNumId w:val="10"/>
  </w:num>
  <w:num w:numId="4">
    <w:abstractNumId w:val="9"/>
  </w:num>
  <w:num w:numId="5">
    <w:abstractNumId w:val="4"/>
  </w:num>
  <w:num w:numId="6">
    <w:abstractNumId w:val="0"/>
  </w:num>
  <w:num w:numId="7">
    <w:abstractNumId w:val="3"/>
  </w:num>
  <w:num w:numId="8">
    <w:abstractNumId w:val="6"/>
  </w:num>
  <w:num w:numId="9">
    <w:abstractNumId w:val="1"/>
  </w:num>
  <w:num w:numId="10">
    <w:abstractNumId w:val="12"/>
  </w:num>
  <w:num w:numId="11">
    <w:abstractNumId w:val="8"/>
  </w:num>
  <w:num w:numId="12">
    <w:abstractNumId w:val="7"/>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0"/>
  <w:bordersDoNotSurroundFooter w:val="0"/>
  <w:hideSpellingErrors/>
  <w:hideGrammaticalErrors/>
  <w:documentProtection w:enforcement="0"/>
  <w:defaultTabStop w:val="420"/>
  <w:drawingGridHorizontalSpacing w:val="98"/>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M3ZDIwYjdlMjgzZjk5OWFmMGJmZmNhMjBmODkzYjEifQ=="/>
  </w:docVars>
  <w:rsids>
    <w:rsidRoot w:val="00172A27"/>
    <w:rsid w:val="0000093A"/>
    <w:rsid w:val="00003BB5"/>
    <w:rsid w:val="000042C5"/>
    <w:rsid w:val="0000621B"/>
    <w:rsid w:val="00006723"/>
    <w:rsid w:val="0001516E"/>
    <w:rsid w:val="00016CC0"/>
    <w:rsid w:val="00022D53"/>
    <w:rsid w:val="000248CF"/>
    <w:rsid w:val="000249D8"/>
    <w:rsid w:val="00024CAE"/>
    <w:rsid w:val="00026546"/>
    <w:rsid w:val="00026E2D"/>
    <w:rsid w:val="0003051E"/>
    <w:rsid w:val="00031E2F"/>
    <w:rsid w:val="00034FD1"/>
    <w:rsid w:val="00037235"/>
    <w:rsid w:val="000401A1"/>
    <w:rsid w:val="00040AB2"/>
    <w:rsid w:val="00041C6C"/>
    <w:rsid w:val="000448CF"/>
    <w:rsid w:val="00044E7B"/>
    <w:rsid w:val="00044F69"/>
    <w:rsid w:val="000450C6"/>
    <w:rsid w:val="0004637A"/>
    <w:rsid w:val="00052857"/>
    <w:rsid w:val="0005356D"/>
    <w:rsid w:val="00054785"/>
    <w:rsid w:val="00056B79"/>
    <w:rsid w:val="000611D2"/>
    <w:rsid w:val="00063EAC"/>
    <w:rsid w:val="00066B5D"/>
    <w:rsid w:val="00072876"/>
    <w:rsid w:val="00073675"/>
    <w:rsid w:val="00074CA4"/>
    <w:rsid w:val="000763C4"/>
    <w:rsid w:val="00076631"/>
    <w:rsid w:val="00080051"/>
    <w:rsid w:val="000806FE"/>
    <w:rsid w:val="00081C6A"/>
    <w:rsid w:val="00081E4D"/>
    <w:rsid w:val="00086376"/>
    <w:rsid w:val="000900C4"/>
    <w:rsid w:val="0009348F"/>
    <w:rsid w:val="000A262E"/>
    <w:rsid w:val="000A6418"/>
    <w:rsid w:val="000B375E"/>
    <w:rsid w:val="000B4499"/>
    <w:rsid w:val="000B5D19"/>
    <w:rsid w:val="000B6F13"/>
    <w:rsid w:val="000B78C5"/>
    <w:rsid w:val="000C096B"/>
    <w:rsid w:val="000C188D"/>
    <w:rsid w:val="000C266E"/>
    <w:rsid w:val="000C37F9"/>
    <w:rsid w:val="000C6E4C"/>
    <w:rsid w:val="000D4223"/>
    <w:rsid w:val="000D4756"/>
    <w:rsid w:val="000D6309"/>
    <w:rsid w:val="000E231D"/>
    <w:rsid w:val="000E3551"/>
    <w:rsid w:val="000E45B0"/>
    <w:rsid w:val="000E4D5E"/>
    <w:rsid w:val="000E6ED2"/>
    <w:rsid w:val="000E7D6E"/>
    <w:rsid w:val="000F2DC5"/>
    <w:rsid w:val="000F3015"/>
    <w:rsid w:val="000F6CE6"/>
    <w:rsid w:val="00103E05"/>
    <w:rsid w:val="00106683"/>
    <w:rsid w:val="001119C3"/>
    <w:rsid w:val="00112C18"/>
    <w:rsid w:val="00117046"/>
    <w:rsid w:val="0011729A"/>
    <w:rsid w:val="00121022"/>
    <w:rsid w:val="0012265E"/>
    <w:rsid w:val="00124896"/>
    <w:rsid w:val="001269AB"/>
    <w:rsid w:val="00127C52"/>
    <w:rsid w:val="00127EFA"/>
    <w:rsid w:val="00131391"/>
    <w:rsid w:val="00137E2D"/>
    <w:rsid w:val="001423B4"/>
    <w:rsid w:val="0014289B"/>
    <w:rsid w:val="0014366A"/>
    <w:rsid w:val="0014578E"/>
    <w:rsid w:val="00147E38"/>
    <w:rsid w:val="001507C1"/>
    <w:rsid w:val="001508B3"/>
    <w:rsid w:val="001530AA"/>
    <w:rsid w:val="00155A99"/>
    <w:rsid w:val="00156751"/>
    <w:rsid w:val="00160363"/>
    <w:rsid w:val="001612C6"/>
    <w:rsid w:val="001664D8"/>
    <w:rsid w:val="00172C22"/>
    <w:rsid w:val="001746A5"/>
    <w:rsid w:val="00174EA7"/>
    <w:rsid w:val="0017552A"/>
    <w:rsid w:val="00177116"/>
    <w:rsid w:val="001826A2"/>
    <w:rsid w:val="0018502C"/>
    <w:rsid w:val="00186207"/>
    <w:rsid w:val="0018682E"/>
    <w:rsid w:val="00186E3A"/>
    <w:rsid w:val="001904A6"/>
    <w:rsid w:val="00190F4B"/>
    <w:rsid w:val="00191E96"/>
    <w:rsid w:val="00191F9D"/>
    <w:rsid w:val="00191FAC"/>
    <w:rsid w:val="001971CE"/>
    <w:rsid w:val="001978D3"/>
    <w:rsid w:val="001A6660"/>
    <w:rsid w:val="001B2B00"/>
    <w:rsid w:val="001B46C1"/>
    <w:rsid w:val="001B5A5F"/>
    <w:rsid w:val="001C17B7"/>
    <w:rsid w:val="001C2EAD"/>
    <w:rsid w:val="001C66E0"/>
    <w:rsid w:val="001C77DF"/>
    <w:rsid w:val="001D028B"/>
    <w:rsid w:val="001D1036"/>
    <w:rsid w:val="001D130C"/>
    <w:rsid w:val="001D1AA4"/>
    <w:rsid w:val="001E3D67"/>
    <w:rsid w:val="001E6D0E"/>
    <w:rsid w:val="001F334A"/>
    <w:rsid w:val="001F374D"/>
    <w:rsid w:val="001F4B7D"/>
    <w:rsid w:val="001F51A2"/>
    <w:rsid w:val="001F5F70"/>
    <w:rsid w:val="00201321"/>
    <w:rsid w:val="00201BBD"/>
    <w:rsid w:val="00202704"/>
    <w:rsid w:val="0020554C"/>
    <w:rsid w:val="002066F4"/>
    <w:rsid w:val="002116DB"/>
    <w:rsid w:val="00212C8E"/>
    <w:rsid w:val="002143B0"/>
    <w:rsid w:val="00217CA2"/>
    <w:rsid w:val="00223928"/>
    <w:rsid w:val="00230208"/>
    <w:rsid w:val="00230794"/>
    <w:rsid w:val="00232FD3"/>
    <w:rsid w:val="00234033"/>
    <w:rsid w:val="002343D1"/>
    <w:rsid w:val="00235A45"/>
    <w:rsid w:val="00236521"/>
    <w:rsid w:val="00243440"/>
    <w:rsid w:val="00246AF8"/>
    <w:rsid w:val="00247337"/>
    <w:rsid w:val="00247338"/>
    <w:rsid w:val="002539E8"/>
    <w:rsid w:val="00254E8A"/>
    <w:rsid w:val="00261B76"/>
    <w:rsid w:val="0026487C"/>
    <w:rsid w:val="002656E9"/>
    <w:rsid w:val="00266C24"/>
    <w:rsid w:val="00266DEF"/>
    <w:rsid w:val="00271DF3"/>
    <w:rsid w:val="00272981"/>
    <w:rsid w:val="00276C81"/>
    <w:rsid w:val="00281943"/>
    <w:rsid w:val="002821DF"/>
    <w:rsid w:val="00282649"/>
    <w:rsid w:val="00282ADC"/>
    <w:rsid w:val="00282E57"/>
    <w:rsid w:val="00284ACF"/>
    <w:rsid w:val="0029091C"/>
    <w:rsid w:val="00290BA8"/>
    <w:rsid w:val="0029102D"/>
    <w:rsid w:val="002916B7"/>
    <w:rsid w:val="002927BC"/>
    <w:rsid w:val="00294A9D"/>
    <w:rsid w:val="00297874"/>
    <w:rsid w:val="002A744F"/>
    <w:rsid w:val="002B0BB2"/>
    <w:rsid w:val="002B4D1A"/>
    <w:rsid w:val="002B5755"/>
    <w:rsid w:val="002B7A79"/>
    <w:rsid w:val="002C0B8C"/>
    <w:rsid w:val="002C1719"/>
    <w:rsid w:val="002C2BA5"/>
    <w:rsid w:val="002C37F9"/>
    <w:rsid w:val="002D29E3"/>
    <w:rsid w:val="002D2AB1"/>
    <w:rsid w:val="002D2F3A"/>
    <w:rsid w:val="002D31EB"/>
    <w:rsid w:val="002E154E"/>
    <w:rsid w:val="002E2831"/>
    <w:rsid w:val="002E4782"/>
    <w:rsid w:val="002E4C44"/>
    <w:rsid w:val="002E5C12"/>
    <w:rsid w:val="002E6F24"/>
    <w:rsid w:val="002F27F0"/>
    <w:rsid w:val="002F282C"/>
    <w:rsid w:val="002F5195"/>
    <w:rsid w:val="00304536"/>
    <w:rsid w:val="00305FC8"/>
    <w:rsid w:val="00310D75"/>
    <w:rsid w:val="0031204A"/>
    <w:rsid w:val="003125CE"/>
    <w:rsid w:val="00313953"/>
    <w:rsid w:val="00314EA9"/>
    <w:rsid w:val="003154C9"/>
    <w:rsid w:val="00320738"/>
    <w:rsid w:val="00323405"/>
    <w:rsid w:val="003252B7"/>
    <w:rsid w:val="003267E2"/>
    <w:rsid w:val="003303FB"/>
    <w:rsid w:val="0033059D"/>
    <w:rsid w:val="00335D81"/>
    <w:rsid w:val="00336754"/>
    <w:rsid w:val="00343A6A"/>
    <w:rsid w:val="00344CBD"/>
    <w:rsid w:val="00345879"/>
    <w:rsid w:val="003478D3"/>
    <w:rsid w:val="003507D4"/>
    <w:rsid w:val="003517E2"/>
    <w:rsid w:val="003533C4"/>
    <w:rsid w:val="003538D8"/>
    <w:rsid w:val="00355481"/>
    <w:rsid w:val="003566A3"/>
    <w:rsid w:val="003570DF"/>
    <w:rsid w:val="00363E77"/>
    <w:rsid w:val="003669E3"/>
    <w:rsid w:val="00367B4D"/>
    <w:rsid w:val="00370550"/>
    <w:rsid w:val="00373FCF"/>
    <w:rsid w:val="00374DB8"/>
    <w:rsid w:val="0037568F"/>
    <w:rsid w:val="00380696"/>
    <w:rsid w:val="00380DFF"/>
    <w:rsid w:val="00385233"/>
    <w:rsid w:val="00386B6A"/>
    <w:rsid w:val="00387575"/>
    <w:rsid w:val="00392F8A"/>
    <w:rsid w:val="00394ADB"/>
    <w:rsid w:val="0039515A"/>
    <w:rsid w:val="00395961"/>
    <w:rsid w:val="003A242E"/>
    <w:rsid w:val="003A5254"/>
    <w:rsid w:val="003A7A59"/>
    <w:rsid w:val="003B4426"/>
    <w:rsid w:val="003B7D33"/>
    <w:rsid w:val="003C265A"/>
    <w:rsid w:val="003C3127"/>
    <w:rsid w:val="003C49DB"/>
    <w:rsid w:val="003C6C31"/>
    <w:rsid w:val="003D2232"/>
    <w:rsid w:val="003D2639"/>
    <w:rsid w:val="003D3CE2"/>
    <w:rsid w:val="003E62A7"/>
    <w:rsid w:val="003F0FE6"/>
    <w:rsid w:val="003F45EE"/>
    <w:rsid w:val="004008D2"/>
    <w:rsid w:val="0040131F"/>
    <w:rsid w:val="00401DC1"/>
    <w:rsid w:val="00412FC7"/>
    <w:rsid w:val="00414D1A"/>
    <w:rsid w:val="00417A31"/>
    <w:rsid w:val="00417C60"/>
    <w:rsid w:val="00417CB2"/>
    <w:rsid w:val="00423F5C"/>
    <w:rsid w:val="00425C23"/>
    <w:rsid w:val="0042601B"/>
    <w:rsid w:val="0043337F"/>
    <w:rsid w:val="0043499D"/>
    <w:rsid w:val="00436FFE"/>
    <w:rsid w:val="00437E8C"/>
    <w:rsid w:val="0044160E"/>
    <w:rsid w:val="004418B6"/>
    <w:rsid w:val="00441BD4"/>
    <w:rsid w:val="00441DBA"/>
    <w:rsid w:val="00443266"/>
    <w:rsid w:val="004442DC"/>
    <w:rsid w:val="004453D3"/>
    <w:rsid w:val="00445FC4"/>
    <w:rsid w:val="004471A1"/>
    <w:rsid w:val="00447DFA"/>
    <w:rsid w:val="004517E8"/>
    <w:rsid w:val="00452338"/>
    <w:rsid w:val="004534ED"/>
    <w:rsid w:val="004537F7"/>
    <w:rsid w:val="00457313"/>
    <w:rsid w:val="0046243C"/>
    <w:rsid w:val="00463E52"/>
    <w:rsid w:val="00464B9C"/>
    <w:rsid w:val="00464E7E"/>
    <w:rsid w:val="00467AD2"/>
    <w:rsid w:val="004718E9"/>
    <w:rsid w:val="004738C2"/>
    <w:rsid w:val="00475830"/>
    <w:rsid w:val="004815E0"/>
    <w:rsid w:val="00492462"/>
    <w:rsid w:val="00493C81"/>
    <w:rsid w:val="004957B6"/>
    <w:rsid w:val="0049598D"/>
    <w:rsid w:val="0049774D"/>
    <w:rsid w:val="004A164B"/>
    <w:rsid w:val="004A4293"/>
    <w:rsid w:val="004A444B"/>
    <w:rsid w:val="004A50B0"/>
    <w:rsid w:val="004A57DE"/>
    <w:rsid w:val="004A586A"/>
    <w:rsid w:val="004A7D82"/>
    <w:rsid w:val="004B01BA"/>
    <w:rsid w:val="004B48CF"/>
    <w:rsid w:val="004B61ED"/>
    <w:rsid w:val="004B695C"/>
    <w:rsid w:val="004B708F"/>
    <w:rsid w:val="004C5B53"/>
    <w:rsid w:val="004D07FE"/>
    <w:rsid w:val="004D09BD"/>
    <w:rsid w:val="004D1747"/>
    <w:rsid w:val="004D2253"/>
    <w:rsid w:val="004D2DB1"/>
    <w:rsid w:val="004D4F39"/>
    <w:rsid w:val="004D6E75"/>
    <w:rsid w:val="004E367F"/>
    <w:rsid w:val="004E395D"/>
    <w:rsid w:val="004E49D0"/>
    <w:rsid w:val="004F3CFF"/>
    <w:rsid w:val="00500C4C"/>
    <w:rsid w:val="00501223"/>
    <w:rsid w:val="00501B7E"/>
    <w:rsid w:val="0050528E"/>
    <w:rsid w:val="00505BEF"/>
    <w:rsid w:val="00510A1C"/>
    <w:rsid w:val="00516A17"/>
    <w:rsid w:val="00521771"/>
    <w:rsid w:val="005240A6"/>
    <w:rsid w:val="00525644"/>
    <w:rsid w:val="0052589E"/>
    <w:rsid w:val="005262F6"/>
    <w:rsid w:val="005306F7"/>
    <w:rsid w:val="0053161F"/>
    <w:rsid w:val="005319B3"/>
    <w:rsid w:val="00535459"/>
    <w:rsid w:val="005424B9"/>
    <w:rsid w:val="00542590"/>
    <w:rsid w:val="00542BE5"/>
    <w:rsid w:val="00542D81"/>
    <w:rsid w:val="005443AB"/>
    <w:rsid w:val="005447CB"/>
    <w:rsid w:val="00544D46"/>
    <w:rsid w:val="00545CB2"/>
    <w:rsid w:val="0055276D"/>
    <w:rsid w:val="005539A0"/>
    <w:rsid w:val="00556504"/>
    <w:rsid w:val="005574C5"/>
    <w:rsid w:val="0055758E"/>
    <w:rsid w:val="00560041"/>
    <w:rsid w:val="005607EF"/>
    <w:rsid w:val="00561D74"/>
    <w:rsid w:val="00563E29"/>
    <w:rsid w:val="0056764C"/>
    <w:rsid w:val="005713E1"/>
    <w:rsid w:val="00577361"/>
    <w:rsid w:val="005819A8"/>
    <w:rsid w:val="00583425"/>
    <w:rsid w:val="0058660B"/>
    <w:rsid w:val="00590A17"/>
    <w:rsid w:val="00591005"/>
    <w:rsid w:val="00591027"/>
    <w:rsid w:val="0059229F"/>
    <w:rsid w:val="00592D83"/>
    <w:rsid w:val="00592E84"/>
    <w:rsid w:val="005935B8"/>
    <w:rsid w:val="00596C2A"/>
    <w:rsid w:val="0059703B"/>
    <w:rsid w:val="0059744F"/>
    <w:rsid w:val="005A21CE"/>
    <w:rsid w:val="005A3CE9"/>
    <w:rsid w:val="005B26D6"/>
    <w:rsid w:val="005B3E27"/>
    <w:rsid w:val="005B4BC6"/>
    <w:rsid w:val="005B5A07"/>
    <w:rsid w:val="005B5D66"/>
    <w:rsid w:val="005B66FB"/>
    <w:rsid w:val="005C2927"/>
    <w:rsid w:val="005C400B"/>
    <w:rsid w:val="005C58AC"/>
    <w:rsid w:val="005C68BB"/>
    <w:rsid w:val="005D0D3E"/>
    <w:rsid w:val="005D323C"/>
    <w:rsid w:val="005D3936"/>
    <w:rsid w:val="005D3AD0"/>
    <w:rsid w:val="005D4F60"/>
    <w:rsid w:val="005D671C"/>
    <w:rsid w:val="005E0C9E"/>
    <w:rsid w:val="005E3076"/>
    <w:rsid w:val="005E3D34"/>
    <w:rsid w:val="005E6982"/>
    <w:rsid w:val="005F2162"/>
    <w:rsid w:val="005F2D04"/>
    <w:rsid w:val="005F33E4"/>
    <w:rsid w:val="005F39C8"/>
    <w:rsid w:val="005F3A53"/>
    <w:rsid w:val="005F4EF2"/>
    <w:rsid w:val="005F578F"/>
    <w:rsid w:val="005F5C2F"/>
    <w:rsid w:val="0060148D"/>
    <w:rsid w:val="00606826"/>
    <w:rsid w:val="00612442"/>
    <w:rsid w:val="00614335"/>
    <w:rsid w:val="0061497B"/>
    <w:rsid w:val="00614E55"/>
    <w:rsid w:val="0061657A"/>
    <w:rsid w:val="0061664E"/>
    <w:rsid w:val="00622652"/>
    <w:rsid w:val="00624FC0"/>
    <w:rsid w:val="00624FFD"/>
    <w:rsid w:val="00635D6A"/>
    <w:rsid w:val="00636BE4"/>
    <w:rsid w:val="00636C24"/>
    <w:rsid w:val="0064159E"/>
    <w:rsid w:val="0064325D"/>
    <w:rsid w:val="0064448A"/>
    <w:rsid w:val="00645BCA"/>
    <w:rsid w:val="0064787A"/>
    <w:rsid w:val="00652F28"/>
    <w:rsid w:val="006553A0"/>
    <w:rsid w:val="006555D9"/>
    <w:rsid w:val="00663BE4"/>
    <w:rsid w:val="0066539B"/>
    <w:rsid w:val="0066619A"/>
    <w:rsid w:val="00673521"/>
    <w:rsid w:val="006753E6"/>
    <w:rsid w:val="006769D4"/>
    <w:rsid w:val="006829A8"/>
    <w:rsid w:val="00683319"/>
    <w:rsid w:val="00684B3D"/>
    <w:rsid w:val="006856C3"/>
    <w:rsid w:val="006857F0"/>
    <w:rsid w:val="00687F06"/>
    <w:rsid w:val="00690F96"/>
    <w:rsid w:val="00694BE0"/>
    <w:rsid w:val="006A6E2E"/>
    <w:rsid w:val="006A706E"/>
    <w:rsid w:val="006A7F78"/>
    <w:rsid w:val="006B2781"/>
    <w:rsid w:val="006B3E3E"/>
    <w:rsid w:val="006B788F"/>
    <w:rsid w:val="006C0143"/>
    <w:rsid w:val="006C392F"/>
    <w:rsid w:val="006C68DB"/>
    <w:rsid w:val="006D01A0"/>
    <w:rsid w:val="006D5501"/>
    <w:rsid w:val="006D7AAF"/>
    <w:rsid w:val="006E19A6"/>
    <w:rsid w:val="006E2382"/>
    <w:rsid w:val="006E5A41"/>
    <w:rsid w:val="006F1A0D"/>
    <w:rsid w:val="006F4C1A"/>
    <w:rsid w:val="006F6056"/>
    <w:rsid w:val="006F643C"/>
    <w:rsid w:val="006F6E29"/>
    <w:rsid w:val="0070765A"/>
    <w:rsid w:val="00717FDF"/>
    <w:rsid w:val="00720672"/>
    <w:rsid w:val="00722019"/>
    <w:rsid w:val="0072326F"/>
    <w:rsid w:val="00723900"/>
    <w:rsid w:val="007331B8"/>
    <w:rsid w:val="00733348"/>
    <w:rsid w:val="00733B8E"/>
    <w:rsid w:val="00737BF8"/>
    <w:rsid w:val="0074195A"/>
    <w:rsid w:val="00742427"/>
    <w:rsid w:val="00744C6F"/>
    <w:rsid w:val="00745A77"/>
    <w:rsid w:val="00746809"/>
    <w:rsid w:val="0075057E"/>
    <w:rsid w:val="00751624"/>
    <w:rsid w:val="00753DD5"/>
    <w:rsid w:val="00754BCB"/>
    <w:rsid w:val="007579EF"/>
    <w:rsid w:val="00757E65"/>
    <w:rsid w:val="0076042E"/>
    <w:rsid w:val="00761D5B"/>
    <w:rsid w:val="00764E75"/>
    <w:rsid w:val="00765478"/>
    <w:rsid w:val="00765B77"/>
    <w:rsid w:val="00767FEE"/>
    <w:rsid w:val="007705B8"/>
    <w:rsid w:val="00773FAE"/>
    <w:rsid w:val="007751DA"/>
    <w:rsid w:val="00782029"/>
    <w:rsid w:val="00785CB3"/>
    <w:rsid w:val="00785ED6"/>
    <w:rsid w:val="00790B5B"/>
    <w:rsid w:val="007917AB"/>
    <w:rsid w:val="00795502"/>
    <w:rsid w:val="007969E9"/>
    <w:rsid w:val="00797962"/>
    <w:rsid w:val="007A0376"/>
    <w:rsid w:val="007A1402"/>
    <w:rsid w:val="007A1B23"/>
    <w:rsid w:val="007A32B2"/>
    <w:rsid w:val="007A4666"/>
    <w:rsid w:val="007B2806"/>
    <w:rsid w:val="007B386C"/>
    <w:rsid w:val="007B5F8D"/>
    <w:rsid w:val="007C1988"/>
    <w:rsid w:val="007C3D5A"/>
    <w:rsid w:val="007C7FCF"/>
    <w:rsid w:val="007D3B64"/>
    <w:rsid w:val="007E287C"/>
    <w:rsid w:val="007E79CF"/>
    <w:rsid w:val="007F0BF6"/>
    <w:rsid w:val="007F216C"/>
    <w:rsid w:val="00800E5C"/>
    <w:rsid w:val="00802D4E"/>
    <w:rsid w:val="00804A68"/>
    <w:rsid w:val="00804AEC"/>
    <w:rsid w:val="008067B9"/>
    <w:rsid w:val="00807186"/>
    <w:rsid w:val="008079AC"/>
    <w:rsid w:val="008158E8"/>
    <w:rsid w:val="00816249"/>
    <w:rsid w:val="00816543"/>
    <w:rsid w:val="00816DE1"/>
    <w:rsid w:val="00823861"/>
    <w:rsid w:val="0083037A"/>
    <w:rsid w:val="0083095E"/>
    <w:rsid w:val="00833B93"/>
    <w:rsid w:val="00842A99"/>
    <w:rsid w:val="00844B9F"/>
    <w:rsid w:val="008458F0"/>
    <w:rsid w:val="00847000"/>
    <w:rsid w:val="00852BC1"/>
    <w:rsid w:val="00856B89"/>
    <w:rsid w:val="008578D0"/>
    <w:rsid w:val="008669E9"/>
    <w:rsid w:val="00867FCD"/>
    <w:rsid w:val="00872CF5"/>
    <w:rsid w:val="00872D80"/>
    <w:rsid w:val="008778B9"/>
    <w:rsid w:val="008811A5"/>
    <w:rsid w:val="008919AE"/>
    <w:rsid w:val="008958D6"/>
    <w:rsid w:val="00897F36"/>
    <w:rsid w:val="008A40F3"/>
    <w:rsid w:val="008A6E1B"/>
    <w:rsid w:val="008B51D2"/>
    <w:rsid w:val="008B708F"/>
    <w:rsid w:val="008C0329"/>
    <w:rsid w:val="008C0954"/>
    <w:rsid w:val="008C4054"/>
    <w:rsid w:val="008D127F"/>
    <w:rsid w:val="008D43AE"/>
    <w:rsid w:val="008D6698"/>
    <w:rsid w:val="008E0217"/>
    <w:rsid w:val="008E3B91"/>
    <w:rsid w:val="008E5477"/>
    <w:rsid w:val="008E79F2"/>
    <w:rsid w:val="008F045F"/>
    <w:rsid w:val="008F3F9B"/>
    <w:rsid w:val="008F4692"/>
    <w:rsid w:val="008F785A"/>
    <w:rsid w:val="00902BE8"/>
    <w:rsid w:val="00902D2D"/>
    <w:rsid w:val="00904AB4"/>
    <w:rsid w:val="00904E19"/>
    <w:rsid w:val="00907E80"/>
    <w:rsid w:val="00911F87"/>
    <w:rsid w:val="009127D7"/>
    <w:rsid w:val="00915602"/>
    <w:rsid w:val="00916484"/>
    <w:rsid w:val="00916736"/>
    <w:rsid w:val="009172A7"/>
    <w:rsid w:val="009239E7"/>
    <w:rsid w:val="0092544D"/>
    <w:rsid w:val="00926C2C"/>
    <w:rsid w:val="00927E3B"/>
    <w:rsid w:val="00931522"/>
    <w:rsid w:val="009327F1"/>
    <w:rsid w:val="00934003"/>
    <w:rsid w:val="00937E00"/>
    <w:rsid w:val="00940208"/>
    <w:rsid w:val="00943992"/>
    <w:rsid w:val="00943AB2"/>
    <w:rsid w:val="00947422"/>
    <w:rsid w:val="00951A83"/>
    <w:rsid w:val="00952273"/>
    <w:rsid w:val="00955635"/>
    <w:rsid w:val="00957D10"/>
    <w:rsid w:val="00962A8A"/>
    <w:rsid w:val="009642DD"/>
    <w:rsid w:val="009704E9"/>
    <w:rsid w:val="00970974"/>
    <w:rsid w:val="009720CC"/>
    <w:rsid w:val="00977463"/>
    <w:rsid w:val="0098293A"/>
    <w:rsid w:val="00982E36"/>
    <w:rsid w:val="00993989"/>
    <w:rsid w:val="00993EE1"/>
    <w:rsid w:val="00995446"/>
    <w:rsid w:val="009A07E9"/>
    <w:rsid w:val="009A270E"/>
    <w:rsid w:val="009A2972"/>
    <w:rsid w:val="009A371C"/>
    <w:rsid w:val="009A5C92"/>
    <w:rsid w:val="009A6EEB"/>
    <w:rsid w:val="009A709F"/>
    <w:rsid w:val="009A7605"/>
    <w:rsid w:val="009B2DBC"/>
    <w:rsid w:val="009B38FC"/>
    <w:rsid w:val="009B42F5"/>
    <w:rsid w:val="009B5789"/>
    <w:rsid w:val="009C0557"/>
    <w:rsid w:val="009C1191"/>
    <w:rsid w:val="009C17CF"/>
    <w:rsid w:val="009C3BA5"/>
    <w:rsid w:val="009C5C76"/>
    <w:rsid w:val="009D0745"/>
    <w:rsid w:val="009D187C"/>
    <w:rsid w:val="009D3E4D"/>
    <w:rsid w:val="009D5445"/>
    <w:rsid w:val="009D6567"/>
    <w:rsid w:val="009D76ED"/>
    <w:rsid w:val="009E0128"/>
    <w:rsid w:val="009E19F4"/>
    <w:rsid w:val="009E23F2"/>
    <w:rsid w:val="009E36D1"/>
    <w:rsid w:val="009E63B3"/>
    <w:rsid w:val="009F0523"/>
    <w:rsid w:val="009F14E6"/>
    <w:rsid w:val="009F7B7B"/>
    <w:rsid w:val="00A00122"/>
    <w:rsid w:val="00A02454"/>
    <w:rsid w:val="00A02E25"/>
    <w:rsid w:val="00A07268"/>
    <w:rsid w:val="00A07766"/>
    <w:rsid w:val="00A124B8"/>
    <w:rsid w:val="00A13E90"/>
    <w:rsid w:val="00A14987"/>
    <w:rsid w:val="00A15643"/>
    <w:rsid w:val="00A16525"/>
    <w:rsid w:val="00A17537"/>
    <w:rsid w:val="00A22700"/>
    <w:rsid w:val="00A238D7"/>
    <w:rsid w:val="00A300F4"/>
    <w:rsid w:val="00A344A6"/>
    <w:rsid w:val="00A34FD6"/>
    <w:rsid w:val="00A42D82"/>
    <w:rsid w:val="00A46256"/>
    <w:rsid w:val="00A47284"/>
    <w:rsid w:val="00A472EE"/>
    <w:rsid w:val="00A5130A"/>
    <w:rsid w:val="00A54984"/>
    <w:rsid w:val="00A54DC0"/>
    <w:rsid w:val="00A55149"/>
    <w:rsid w:val="00A56862"/>
    <w:rsid w:val="00A623CD"/>
    <w:rsid w:val="00A65846"/>
    <w:rsid w:val="00A66549"/>
    <w:rsid w:val="00A7356C"/>
    <w:rsid w:val="00A75D18"/>
    <w:rsid w:val="00A82EC4"/>
    <w:rsid w:val="00A82F91"/>
    <w:rsid w:val="00A8694D"/>
    <w:rsid w:val="00A95F16"/>
    <w:rsid w:val="00A96818"/>
    <w:rsid w:val="00A97FAA"/>
    <w:rsid w:val="00AA00B6"/>
    <w:rsid w:val="00AA4371"/>
    <w:rsid w:val="00AB0DCD"/>
    <w:rsid w:val="00AB3C2E"/>
    <w:rsid w:val="00AB4D1B"/>
    <w:rsid w:val="00AB51EF"/>
    <w:rsid w:val="00AC3C18"/>
    <w:rsid w:val="00AC49AC"/>
    <w:rsid w:val="00AD20EA"/>
    <w:rsid w:val="00AD3967"/>
    <w:rsid w:val="00AD4708"/>
    <w:rsid w:val="00AD76DB"/>
    <w:rsid w:val="00AE0637"/>
    <w:rsid w:val="00AE3A1D"/>
    <w:rsid w:val="00AE4ED5"/>
    <w:rsid w:val="00AE50AA"/>
    <w:rsid w:val="00AE53D6"/>
    <w:rsid w:val="00AF3052"/>
    <w:rsid w:val="00AF40D0"/>
    <w:rsid w:val="00AF4824"/>
    <w:rsid w:val="00B00920"/>
    <w:rsid w:val="00B01585"/>
    <w:rsid w:val="00B0325E"/>
    <w:rsid w:val="00B04BE0"/>
    <w:rsid w:val="00B11D07"/>
    <w:rsid w:val="00B127A4"/>
    <w:rsid w:val="00B16CA1"/>
    <w:rsid w:val="00B171DE"/>
    <w:rsid w:val="00B215AD"/>
    <w:rsid w:val="00B215E2"/>
    <w:rsid w:val="00B21F52"/>
    <w:rsid w:val="00B278FF"/>
    <w:rsid w:val="00B279BF"/>
    <w:rsid w:val="00B3106C"/>
    <w:rsid w:val="00B321E3"/>
    <w:rsid w:val="00B32C7B"/>
    <w:rsid w:val="00B35B23"/>
    <w:rsid w:val="00B3675E"/>
    <w:rsid w:val="00B42C6D"/>
    <w:rsid w:val="00B45AAE"/>
    <w:rsid w:val="00B54C9C"/>
    <w:rsid w:val="00B5598F"/>
    <w:rsid w:val="00B56884"/>
    <w:rsid w:val="00B60601"/>
    <w:rsid w:val="00B61A38"/>
    <w:rsid w:val="00B62942"/>
    <w:rsid w:val="00B642A0"/>
    <w:rsid w:val="00B6747F"/>
    <w:rsid w:val="00B83580"/>
    <w:rsid w:val="00B838A8"/>
    <w:rsid w:val="00B90355"/>
    <w:rsid w:val="00B904FA"/>
    <w:rsid w:val="00B90BF8"/>
    <w:rsid w:val="00B94A5F"/>
    <w:rsid w:val="00BA628E"/>
    <w:rsid w:val="00BB1DE4"/>
    <w:rsid w:val="00BC24A1"/>
    <w:rsid w:val="00BC353E"/>
    <w:rsid w:val="00BC52C0"/>
    <w:rsid w:val="00BD10D8"/>
    <w:rsid w:val="00BD2F99"/>
    <w:rsid w:val="00BD4206"/>
    <w:rsid w:val="00BD45A2"/>
    <w:rsid w:val="00BD4AEC"/>
    <w:rsid w:val="00BD4FB0"/>
    <w:rsid w:val="00BD646E"/>
    <w:rsid w:val="00BD7BDC"/>
    <w:rsid w:val="00BE1472"/>
    <w:rsid w:val="00BE5AE9"/>
    <w:rsid w:val="00BE6FA0"/>
    <w:rsid w:val="00BE747F"/>
    <w:rsid w:val="00BF0A48"/>
    <w:rsid w:val="00BF0F5C"/>
    <w:rsid w:val="00BF13DA"/>
    <w:rsid w:val="00BF566D"/>
    <w:rsid w:val="00BF6049"/>
    <w:rsid w:val="00BF7EA8"/>
    <w:rsid w:val="00C0007D"/>
    <w:rsid w:val="00C006ED"/>
    <w:rsid w:val="00C00969"/>
    <w:rsid w:val="00C01A62"/>
    <w:rsid w:val="00C036FE"/>
    <w:rsid w:val="00C04121"/>
    <w:rsid w:val="00C10EB6"/>
    <w:rsid w:val="00C2015A"/>
    <w:rsid w:val="00C246D6"/>
    <w:rsid w:val="00C25C0B"/>
    <w:rsid w:val="00C27F88"/>
    <w:rsid w:val="00C30D11"/>
    <w:rsid w:val="00C35565"/>
    <w:rsid w:val="00C37E71"/>
    <w:rsid w:val="00C40FA4"/>
    <w:rsid w:val="00C418AA"/>
    <w:rsid w:val="00C42221"/>
    <w:rsid w:val="00C42536"/>
    <w:rsid w:val="00C43853"/>
    <w:rsid w:val="00C44434"/>
    <w:rsid w:val="00C46408"/>
    <w:rsid w:val="00C4743C"/>
    <w:rsid w:val="00C4776D"/>
    <w:rsid w:val="00C5225C"/>
    <w:rsid w:val="00C52632"/>
    <w:rsid w:val="00C547CC"/>
    <w:rsid w:val="00C55F60"/>
    <w:rsid w:val="00C578AE"/>
    <w:rsid w:val="00C60B22"/>
    <w:rsid w:val="00C65660"/>
    <w:rsid w:val="00C72860"/>
    <w:rsid w:val="00C73747"/>
    <w:rsid w:val="00C73FFF"/>
    <w:rsid w:val="00C74C26"/>
    <w:rsid w:val="00C7547B"/>
    <w:rsid w:val="00C8134E"/>
    <w:rsid w:val="00C8326D"/>
    <w:rsid w:val="00C84FE2"/>
    <w:rsid w:val="00C86213"/>
    <w:rsid w:val="00C91B3E"/>
    <w:rsid w:val="00C92102"/>
    <w:rsid w:val="00C926E5"/>
    <w:rsid w:val="00C9500B"/>
    <w:rsid w:val="00CA0D3B"/>
    <w:rsid w:val="00CA52DD"/>
    <w:rsid w:val="00CA7F4E"/>
    <w:rsid w:val="00CB1D05"/>
    <w:rsid w:val="00CC0980"/>
    <w:rsid w:val="00CC58B8"/>
    <w:rsid w:val="00CC5E94"/>
    <w:rsid w:val="00CC6249"/>
    <w:rsid w:val="00CD0890"/>
    <w:rsid w:val="00CD352B"/>
    <w:rsid w:val="00CD73E9"/>
    <w:rsid w:val="00CE08C1"/>
    <w:rsid w:val="00CE420C"/>
    <w:rsid w:val="00CE6830"/>
    <w:rsid w:val="00CE76C9"/>
    <w:rsid w:val="00CE7D40"/>
    <w:rsid w:val="00CF50FF"/>
    <w:rsid w:val="00CF55D6"/>
    <w:rsid w:val="00CF5ECE"/>
    <w:rsid w:val="00D01A20"/>
    <w:rsid w:val="00D01EB4"/>
    <w:rsid w:val="00D06A8D"/>
    <w:rsid w:val="00D1360F"/>
    <w:rsid w:val="00D13A65"/>
    <w:rsid w:val="00D14AC9"/>
    <w:rsid w:val="00D14DF8"/>
    <w:rsid w:val="00D205AE"/>
    <w:rsid w:val="00D21164"/>
    <w:rsid w:val="00D23322"/>
    <w:rsid w:val="00D24780"/>
    <w:rsid w:val="00D24DC7"/>
    <w:rsid w:val="00D253DC"/>
    <w:rsid w:val="00D25B12"/>
    <w:rsid w:val="00D25F1E"/>
    <w:rsid w:val="00D26E42"/>
    <w:rsid w:val="00D26F70"/>
    <w:rsid w:val="00D33AD8"/>
    <w:rsid w:val="00D417FE"/>
    <w:rsid w:val="00D42BA0"/>
    <w:rsid w:val="00D44D75"/>
    <w:rsid w:val="00D47998"/>
    <w:rsid w:val="00D5113C"/>
    <w:rsid w:val="00D52E1C"/>
    <w:rsid w:val="00D54E4B"/>
    <w:rsid w:val="00D644D4"/>
    <w:rsid w:val="00D65DB3"/>
    <w:rsid w:val="00D7161A"/>
    <w:rsid w:val="00D72F03"/>
    <w:rsid w:val="00D74A1A"/>
    <w:rsid w:val="00D76907"/>
    <w:rsid w:val="00D81015"/>
    <w:rsid w:val="00D83B29"/>
    <w:rsid w:val="00D84C3C"/>
    <w:rsid w:val="00D84CD1"/>
    <w:rsid w:val="00D8726B"/>
    <w:rsid w:val="00D9031F"/>
    <w:rsid w:val="00D90637"/>
    <w:rsid w:val="00D90C9A"/>
    <w:rsid w:val="00D91605"/>
    <w:rsid w:val="00D95EE0"/>
    <w:rsid w:val="00D9636A"/>
    <w:rsid w:val="00DA0539"/>
    <w:rsid w:val="00DA1BA1"/>
    <w:rsid w:val="00DA3B4F"/>
    <w:rsid w:val="00DA4452"/>
    <w:rsid w:val="00DB2700"/>
    <w:rsid w:val="00DB71B2"/>
    <w:rsid w:val="00DC02ED"/>
    <w:rsid w:val="00DC4FB5"/>
    <w:rsid w:val="00DC613A"/>
    <w:rsid w:val="00DD30FC"/>
    <w:rsid w:val="00DD41C1"/>
    <w:rsid w:val="00DD5569"/>
    <w:rsid w:val="00DD645D"/>
    <w:rsid w:val="00DE1CE5"/>
    <w:rsid w:val="00DE44E4"/>
    <w:rsid w:val="00DF0A09"/>
    <w:rsid w:val="00DF3DF5"/>
    <w:rsid w:val="00DF4C34"/>
    <w:rsid w:val="00DF4C77"/>
    <w:rsid w:val="00DF5A17"/>
    <w:rsid w:val="00DF6DC5"/>
    <w:rsid w:val="00E004B3"/>
    <w:rsid w:val="00E065FA"/>
    <w:rsid w:val="00E07D5F"/>
    <w:rsid w:val="00E114E6"/>
    <w:rsid w:val="00E13F13"/>
    <w:rsid w:val="00E16613"/>
    <w:rsid w:val="00E21F22"/>
    <w:rsid w:val="00E23CE1"/>
    <w:rsid w:val="00E255B9"/>
    <w:rsid w:val="00E267C9"/>
    <w:rsid w:val="00E303C7"/>
    <w:rsid w:val="00E30701"/>
    <w:rsid w:val="00E31B26"/>
    <w:rsid w:val="00E329A6"/>
    <w:rsid w:val="00E33656"/>
    <w:rsid w:val="00E405CF"/>
    <w:rsid w:val="00E41BAE"/>
    <w:rsid w:val="00E42C01"/>
    <w:rsid w:val="00E449D4"/>
    <w:rsid w:val="00E47025"/>
    <w:rsid w:val="00E50EBB"/>
    <w:rsid w:val="00E53C9B"/>
    <w:rsid w:val="00E5448F"/>
    <w:rsid w:val="00E544AB"/>
    <w:rsid w:val="00E55D8F"/>
    <w:rsid w:val="00E55F9D"/>
    <w:rsid w:val="00E56E3E"/>
    <w:rsid w:val="00E61E60"/>
    <w:rsid w:val="00E65C1B"/>
    <w:rsid w:val="00E75708"/>
    <w:rsid w:val="00E81B3E"/>
    <w:rsid w:val="00E83128"/>
    <w:rsid w:val="00E83DCD"/>
    <w:rsid w:val="00E8574E"/>
    <w:rsid w:val="00E86BEC"/>
    <w:rsid w:val="00E90097"/>
    <w:rsid w:val="00E908CF"/>
    <w:rsid w:val="00E94FA6"/>
    <w:rsid w:val="00E958CE"/>
    <w:rsid w:val="00EA5920"/>
    <w:rsid w:val="00EA5C43"/>
    <w:rsid w:val="00EA650C"/>
    <w:rsid w:val="00EB08DF"/>
    <w:rsid w:val="00EB4CAE"/>
    <w:rsid w:val="00EB559B"/>
    <w:rsid w:val="00EB6AE6"/>
    <w:rsid w:val="00EB7A22"/>
    <w:rsid w:val="00EC011A"/>
    <w:rsid w:val="00EC035E"/>
    <w:rsid w:val="00EC082B"/>
    <w:rsid w:val="00EC13E9"/>
    <w:rsid w:val="00EC2753"/>
    <w:rsid w:val="00EC599D"/>
    <w:rsid w:val="00ED1605"/>
    <w:rsid w:val="00ED1BC1"/>
    <w:rsid w:val="00ED4617"/>
    <w:rsid w:val="00ED4D31"/>
    <w:rsid w:val="00ED705B"/>
    <w:rsid w:val="00EE29F5"/>
    <w:rsid w:val="00EE3B4E"/>
    <w:rsid w:val="00EE46CE"/>
    <w:rsid w:val="00EE7A04"/>
    <w:rsid w:val="00EE7ABE"/>
    <w:rsid w:val="00EF3227"/>
    <w:rsid w:val="00F06D20"/>
    <w:rsid w:val="00F1188B"/>
    <w:rsid w:val="00F130F3"/>
    <w:rsid w:val="00F13512"/>
    <w:rsid w:val="00F13BE5"/>
    <w:rsid w:val="00F145BC"/>
    <w:rsid w:val="00F15A42"/>
    <w:rsid w:val="00F1668D"/>
    <w:rsid w:val="00F2073D"/>
    <w:rsid w:val="00F20D5C"/>
    <w:rsid w:val="00F22478"/>
    <w:rsid w:val="00F24032"/>
    <w:rsid w:val="00F24552"/>
    <w:rsid w:val="00F26FAB"/>
    <w:rsid w:val="00F33AE1"/>
    <w:rsid w:val="00F345E8"/>
    <w:rsid w:val="00F35445"/>
    <w:rsid w:val="00F3568E"/>
    <w:rsid w:val="00F41EB3"/>
    <w:rsid w:val="00F42A97"/>
    <w:rsid w:val="00F42D74"/>
    <w:rsid w:val="00F44995"/>
    <w:rsid w:val="00F46699"/>
    <w:rsid w:val="00F4729C"/>
    <w:rsid w:val="00F50E50"/>
    <w:rsid w:val="00F53B5E"/>
    <w:rsid w:val="00F54B2F"/>
    <w:rsid w:val="00F63735"/>
    <w:rsid w:val="00F660E3"/>
    <w:rsid w:val="00F6669B"/>
    <w:rsid w:val="00F668E5"/>
    <w:rsid w:val="00F66CE6"/>
    <w:rsid w:val="00F7059C"/>
    <w:rsid w:val="00F72D05"/>
    <w:rsid w:val="00F73AF2"/>
    <w:rsid w:val="00F76CEC"/>
    <w:rsid w:val="00F80CF4"/>
    <w:rsid w:val="00F85BD4"/>
    <w:rsid w:val="00F91D4F"/>
    <w:rsid w:val="00F93D6A"/>
    <w:rsid w:val="00F93D76"/>
    <w:rsid w:val="00F9679B"/>
    <w:rsid w:val="00F96F03"/>
    <w:rsid w:val="00FA15A7"/>
    <w:rsid w:val="00FB0737"/>
    <w:rsid w:val="00FB08BD"/>
    <w:rsid w:val="00FB1006"/>
    <w:rsid w:val="00FB1F2E"/>
    <w:rsid w:val="00FB2552"/>
    <w:rsid w:val="00FB4701"/>
    <w:rsid w:val="00FC5AEC"/>
    <w:rsid w:val="00FD0200"/>
    <w:rsid w:val="00FD519A"/>
    <w:rsid w:val="00FD6058"/>
    <w:rsid w:val="00FD6651"/>
    <w:rsid w:val="00FD7762"/>
    <w:rsid w:val="00FE5DB1"/>
    <w:rsid w:val="00FF392A"/>
    <w:rsid w:val="00FF48AF"/>
    <w:rsid w:val="0102159D"/>
    <w:rsid w:val="011E7635"/>
    <w:rsid w:val="012D66CB"/>
    <w:rsid w:val="014852B3"/>
    <w:rsid w:val="014F219D"/>
    <w:rsid w:val="01536131"/>
    <w:rsid w:val="01822573"/>
    <w:rsid w:val="01DD59FB"/>
    <w:rsid w:val="01E925F2"/>
    <w:rsid w:val="02847B91"/>
    <w:rsid w:val="029B1831"/>
    <w:rsid w:val="03060F81"/>
    <w:rsid w:val="03251490"/>
    <w:rsid w:val="034C72DC"/>
    <w:rsid w:val="035418DD"/>
    <w:rsid w:val="03E35819"/>
    <w:rsid w:val="04710297"/>
    <w:rsid w:val="04727BC0"/>
    <w:rsid w:val="04966B99"/>
    <w:rsid w:val="051839E7"/>
    <w:rsid w:val="06834695"/>
    <w:rsid w:val="069C5FBF"/>
    <w:rsid w:val="06AE4223"/>
    <w:rsid w:val="0713206C"/>
    <w:rsid w:val="071C5AD0"/>
    <w:rsid w:val="08023DCB"/>
    <w:rsid w:val="081F6A2B"/>
    <w:rsid w:val="0844269E"/>
    <w:rsid w:val="084762C4"/>
    <w:rsid w:val="088F37C7"/>
    <w:rsid w:val="08BD39B5"/>
    <w:rsid w:val="09173EE8"/>
    <w:rsid w:val="09741BF2"/>
    <w:rsid w:val="09B96D4E"/>
    <w:rsid w:val="09CD27F9"/>
    <w:rsid w:val="09F71624"/>
    <w:rsid w:val="0A4E0284"/>
    <w:rsid w:val="0A9D666F"/>
    <w:rsid w:val="0ABB4734"/>
    <w:rsid w:val="0AC52FD3"/>
    <w:rsid w:val="0AF81B05"/>
    <w:rsid w:val="0B264B83"/>
    <w:rsid w:val="0B5221AF"/>
    <w:rsid w:val="0B980BE5"/>
    <w:rsid w:val="0BC30706"/>
    <w:rsid w:val="0BDE2A9B"/>
    <w:rsid w:val="0C6531BD"/>
    <w:rsid w:val="0C6E6D53"/>
    <w:rsid w:val="0CA03E20"/>
    <w:rsid w:val="0CE810CC"/>
    <w:rsid w:val="0D3F756A"/>
    <w:rsid w:val="0D4C0C55"/>
    <w:rsid w:val="0D7868C1"/>
    <w:rsid w:val="0D805053"/>
    <w:rsid w:val="0DE95727"/>
    <w:rsid w:val="0E076577"/>
    <w:rsid w:val="0E1F5458"/>
    <w:rsid w:val="0E240B4D"/>
    <w:rsid w:val="0E31744C"/>
    <w:rsid w:val="0E455054"/>
    <w:rsid w:val="0E5057A7"/>
    <w:rsid w:val="0E901994"/>
    <w:rsid w:val="0EB775D4"/>
    <w:rsid w:val="0F030974"/>
    <w:rsid w:val="10001A61"/>
    <w:rsid w:val="101741BD"/>
    <w:rsid w:val="103B7FFA"/>
    <w:rsid w:val="10687DDF"/>
    <w:rsid w:val="10765055"/>
    <w:rsid w:val="10A371A1"/>
    <w:rsid w:val="10AA5642"/>
    <w:rsid w:val="113943C9"/>
    <w:rsid w:val="11447845"/>
    <w:rsid w:val="11495E9F"/>
    <w:rsid w:val="11556C74"/>
    <w:rsid w:val="115C600E"/>
    <w:rsid w:val="117143B2"/>
    <w:rsid w:val="11D3293B"/>
    <w:rsid w:val="12046FD4"/>
    <w:rsid w:val="12071A36"/>
    <w:rsid w:val="122D02D9"/>
    <w:rsid w:val="127C6B6A"/>
    <w:rsid w:val="12A367ED"/>
    <w:rsid w:val="12AD31C8"/>
    <w:rsid w:val="12FC4178"/>
    <w:rsid w:val="130F32F3"/>
    <w:rsid w:val="132D4308"/>
    <w:rsid w:val="139648E1"/>
    <w:rsid w:val="13CC58CF"/>
    <w:rsid w:val="13F75F72"/>
    <w:rsid w:val="14257900"/>
    <w:rsid w:val="142E649C"/>
    <w:rsid w:val="14A66120"/>
    <w:rsid w:val="151D2886"/>
    <w:rsid w:val="154C4F1A"/>
    <w:rsid w:val="16842491"/>
    <w:rsid w:val="16B94831"/>
    <w:rsid w:val="16BF2BFA"/>
    <w:rsid w:val="170878B8"/>
    <w:rsid w:val="172A0FAC"/>
    <w:rsid w:val="17306E6C"/>
    <w:rsid w:val="17485BB5"/>
    <w:rsid w:val="177D585E"/>
    <w:rsid w:val="178C3CF3"/>
    <w:rsid w:val="1821268E"/>
    <w:rsid w:val="18AE6318"/>
    <w:rsid w:val="18BF3C55"/>
    <w:rsid w:val="1907592E"/>
    <w:rsid w:val="190A3949"/>
    <w:rsid w:val="190B0C48"/>
    <w:rsid w:val="19434886"/>
    <w:rsid w:val="19BE3F0C"/>
    <w:rsid w:val="19C24BC8"/>
    <w:rsid w:val="19CF1C75"/>
    <w:rsid w:val="19DE6C2B"/>
    <w:rsid w:val="1A1D0C33"/>
    <w:rsid w:val="1A1E600A"/>
    <w:rsid w:val="1A277D03"/>
    <w:rsid w:val="1A3C2084"/>
    <w:rsid w:val="1ACE7B06"/>
    <w:rsid w:val="1AD5150D"/>
    <w:rsid w:val="1AF10B7F"/>
    <w:rsid w:val="1AF95B35"/>
    <w:rsid w:val="1B086E06"/>
    <w:rsid w:val="1B1F09DB"/>
    <w:rsid w:val="1B3E70B3"/>
    <w:rsid w:val="1B572FBE"/>
    <w:rsid w:val="1B5C1C2F"/>
    <w:rsid w:val="1BA12039"/>
    <w:rsid w:val="1BC33A5C"/>
    <w:rsid w:val="1C5054AF"/>
    <w:rsid w:val="1C6568C1"/>
    <w:rsid w:val="1C9B5D51"/>
    <w:rsid w:val="1CA77ABB"/>
    <w:rsid w:val="1CD64E0A"/>
    <w:rsid w:val="1CD83537"/>
    <w:rsid w:val="1D3F35B6"/>
    <w:rsid w:val="1D5726AE"/>
    <w:rsid w:val="1D967A24"/>
    <w:rsid w:val="1DAE2D0C"/>
    <w:rsid w:val="1DC138A6"/>
    <w:rsid w:val="1DC35F95"/>
    <w:rsid w:val="1E0068A1"/>
    <w:rsid w:val="1E032835"/>
    <w:rsid w:val="1E115A42"/>
    <w:rsid w:val="1E470974"/>
    <w:rsid w:val="1E4F44E3"/>
    <w:rsid w:val="1E537319"/>
    <w:rsid w:val="1EFA3A95"/>
    <w:rsid w:val="1EFA59E6"/>
    <w:rsid w:val="1F0F7DEE"/>
    <w:rsid w:val="1F185E6D"/>
    <w:rsid w:val="1F3C0063"/>
    <w:rsid w:val="1F4A52E5"/>
    <w:rsid w:val="1F5642FC"/>
    <w:rsid w:val="1F606C16"/>
    <w:rsid w:val="1F63002C"/>
    <w:rsid w:val="1F7A6B27"/>
    <w:rsid w:val="1F9A5406"/>
    <w:rsid w:val="1F9E2ADD"/>
    <w:rsid w:val="1FFD4EC2"/>
    <w:rsid w:val="203C098B"/>
    <w:rsid w:val="205F3D25"/>
    <w:rsid w:val="207C5E1E"/>
    <w:rsid w:val="20D81D57"/>
    <w:rsid w:val="20EF6BBB"/>
    <w:rsid w:val="21927893"/>
    <w:rsid w:val="2197751D"/>
    <w:rsid w:val="21A25EC1"/>
    <w:rsid w:val="21B55A58"/>
    <w:rsid w:val="224F1BA5"/>
    <w:rsid w:val="22620A5A"/>
    <w:rsid w:val="22885A35"/>
    <w:rsid w:val="22F64717"/>
    <w:rsid w:val="23333275"/>
    <w:rsid w:val="233659EE"/>
    <w:rsid w:val="238241FC"/>
    <w:rsid w:val="23A14683"/>
    <w:rsid w:val="23EE53EE"/>
    <w:rsid w:val="244D5262"/>
    <w:rsid w:val="247E2C16"/>
    <w:rsid w:val="24E8008F"/>
    <w:rsid w:val="25853B30"/>
    <w:rsid w:val="25AE6A39"/>
    <w:rsid w:val="25B04D2A"/>
    <w:rsid w:val="25B763DF"/>
    <w:rsid w:val="25BE2B87"/>
    <w:rsid w:val="25CE64B1"/>
    <w:rsid w:val="25DC5E46"/>
    <w:rsid w:val="267728FE"/>
    <w:rsid w:val="269E30FB"/>
    <w:rsid w:val="26CC78B0"/>
    <w:rsid w:val="27606603"/>
    <w:rsid w:val="27644D1D"/>
    <w:rsid w:val="27E168E7"/>
    <w:rsid w:val="27EA0268"/>
    <w:rsid w:val="27F154AD"/>
    <w:rsid w:val="284718EC"/>
    <w:rsid w:val="28F65471"/>
    <w:rsid w:val="29170E8E"/>
    <w:rsid w:val="293C3FFC"/>
    <w:rsid w:val="293E7F8F"/>
    <w:rsid w:val="29496228"/>
    <w:rsid w:val="299D58EC"/>
    <w:rsid w:val="299F6AFE"/>
    <w:rsid w:val="29AE0266"/>
    <w:rsid w:val="2A0E0598"/>
    <w:rsid w:val="2A3D0E7D"/>
    <w:rsid w:val="2A663F30"/>
    <w:rsid w:val="2A742AF1"/>
    <w:rsid w:val="2B1157DF"/>
    <w:rsid w:val="2B766494"/>
    <w:rsid w:val="2BE710A1"/>
    <w:rsid w:val="2C2A71DF"/>
    <w:rsid w:val="2C8D1C48"/>
    <w:rsid w:val="2CBE62A5"/>
    <w:rsid w:val="2CEA52EC"/>
    <w:rsid w:val="2D12039F"/>
    <w:rsid w:val="2D441559"/>
    <w:rsid w:val="2D5C161A"/>
    <w:rsid w:val="2D5E35E4"/>
    <w:rsid w:val="2D8F5209"/>
    <w:rsid w:val="2D9F5148"/>
    <w:rsid w:val="2DB66F7C"/>
    <w:rsid w:val="2DCF0F92"/>
    <w:rsid w:val="2DEC59F1"/>
    <w:rsid w:val="2E337FB7"/>
    <w:rsid w:val="2E840E29"/>
    <w:rsid w:val="2EB10B9E"/>
    <w:rsid w:val="2EB353C4"/>
    <w:rsid w:val="2EC42AC5"/>
    <w:rsid w:val="2F581400"/>
    <w:rsid w:val="2F7E1D1C"/>
    <w:rsid w:val="2FAD0853"/>
    <w:rsid w:val="2FAE67A1"/>
    <w:rsid w:val="2FE51D9B"/>
    <w:rsid w:val="2FEC62C2"/>
    <w:rsid w:val="2FFB0744"/>
    <w:rsid w:val="3014442E"/>
    <w:rsid w:val="30544EA7"/>
    <w:rsid w:val="30A47B90"/>
    <w:rsid w:val="30D86B55"/>
    <w:rsid w:val="30DC4F4C"/>
    <w:rsid w:val="31210BB1"/>
    <w:rsid w:val="318F1D4C"/>
    <w:rsid w:val="31A17C21"/>
    <w:rsid w:val="31F2254D"/>
    <w:rsid w:val="321D596B"/>
    <w:rsid w:val="324F5BF1"/>
    <w:rsid w:val="3267118D"/>
    <w:rsid w:val="326E42CA"/>
    <w:rsid w:val="32814191"/>
    <w:rsid w:val="32987598"/>
    <w:rsid w:val="32CB5278"/>
    <w:rsid w:val="33022C64"/>
    <w:rsid w:val="33092677"/>
    <w:rsid w:val="33240E2C"/>
    <w:rsid w:val="33596D28"/>
    <w:rsid w:val="33857B1D"/>
    <w:rsid w:val="33A559E7"/>
    <w:rsid w:val="33DC1707"/>
    <w:rsid w:val="33EC194A"/>
    <w:rsid w:val="343213C2"/>
    <w:rsid w:val="34847806"/>
    <w:rsid w:val="34D935DE"/>
    <w:rsid w:val="34DA0A32"/>
    <w:rsid w:val="34E93C63"/>
    <w:rsid w:val="35221C6A"/>
    <w:rsid w:val="35780FBB"/>
    <w:rsid w:val="35973B37"/>
    <w:rsid w:val="35A13F7A"/>
    <w:rsid w:val="366F0610"/>
    <w:rsid w:val="36A22794"/>
    <w:rsid w:val="36CC5A63"/>
    <w:rsid w:val="36F22B3E"/>
    <w:rsid w:val="371D62BE"/>
    <w:rsid w:val="374C0952"/>
    <w:rsid w:val="37667C65"/>
    <w:rsid w:val="380551D6"/>
    <w:rsid w:val="380840B8"/>
    <w:rsid w:val="38482EC7"/>
    <w:rsid w:val="38EF24BC"/>
    <w:rsid w:val="392B4356"/>
    <w:rsid w:val="398E6FFF"/>
    <w:rsid w:val="39C24EFB"/>
    <w:rsid w:val="39E77058"/>
    <w:rsid w:val="3A2529A6"/>
    <w:rsid w:val="3A396F6B"/>
    <w:rsid w:val="3A7C154E"/>
    <w:rsid w:val="3AA54601"/>
    <w:rsid w:val="3AB504FA"/>
    <w:rsid w:val="3ABB6A50"/>
    <w:rsid w:val="3AD257FB"/>
    <w:rsid w:val="3AD3639A"/>
    <w:rsid w:val="3AF465A2"/>
    <w:rsid w:val="3B7566C9"/>
    <w:rsid w:val="3BD038FF"/>
    <w:rsid w:val="3BF12A5E"/>
    <w:rsid w:val="3BF910A8"/>
    <w:rsid w:val="3C60319D"/>
    <w:rsid w:val="3C8249BF"/>
    <w:rsid w:val="3CC33B2B"/>
    <w:rsid w:val="3D321D80"/>
    <w:rsid w:val="3D602530"/>
    <w:rsid w:val="3D892D7C"/>
    <w:rsid w:val="3DBF4698"/>
    <w:rsid w:val="3DD47DFE"/>
    <w:rsid w:val="3DF32FC8"/>
    <w:rsid w:val="3E101FAD"/>
    <w:rsid w:val="3E444130"/>
    <w:rsid w:val="3E9739EC"/>
    <w:rsid w:val="3EA132AC"/>
    <w:rsid w:val="3EB23790"/>
    <w:rsid w:val="3EB72B54"/>
    <w:rsid w:val="3ECF60F0"/>
    <w:rsid w:val="3EF5367D"/>
    <w:rsid w:val="3EF773F5"/>
    <w:rsid w:val="3EFB0C93"/>
    <w:rsid w:val="3F1955BD"/>
    <w:rsid w:val="3F5F3B8C"/>
    <w:rsid w:val="3FA97C9E"/>
    <w:rsid w:val="3FDB7A99"/>
    <w:rsid w:val="3FE069AA"/>
    <w:rsid w:val="40583EC3"/>
    <w:rsid w:val="409F15FF"/>
    <w:rsid w:val="40EF2A79"/>
    <w:rsid w:val="41083B3B"/>
    <w:rsid w:val="41126768"/>
    <w:rsid w:val="41485D02"/>
    <w:rsid w:val="4185518C"/>
    <w:rsid w:val="42005999"/>
    <w:rsid w:val="42097B6B"/>
    <w:rsid w:val="424830B0"/>
    <w:rsid w:val="424E557E"/>
    <w:rsid w:val="42D52BD6"/>
    <w:rsid w:val="42D55C9F"/>
    <w:rsid w:val="43433935"/>
    <w:rsid w:val="435C016E"/>
    <w:rsid w:val="43866F99"/>
    <w:rsid w:val="43CC70A2"/>
    <w:rsid w:val="43D45D88"/>
    <w:rsid w:val="43D51496"/>
    <w:rsid w:val="443D0569"/>
    <w:rsid w:val="444C3D3F"/>
    <w:rsid w:val="44D533DB"/>
    <w:rsid w:val="44D75CFE"/>
    <w:rsid w:val="44EC5239"/>
    <w:rsid w:val="4550160D"/>
    <w:rsid w:val="45603EB7"/>
    <w:rsid w:val="45694677"/>
    <w:rsid w:val="45795008"/>
    <w:rsid w:val="45886FF9"/>
    <w:rsid w:val="458E3FDD"/>
    <w:rsid w:val="45965BB9"/>
    <w:rsid w:val="45D45DCF"/>
    <w:rsid w:val="45D51A7B"/>
    <w:rsid w:val="46893028"/>
    <w:rsid w:val="46B1432D"/>
    <w:rsid w:val="47192C71"/>
    <w:rsid w:val="473F33F0"/>
    <w:rsid w:val="476E50DC"/>
    <w:rsid w:val="4791488A"/>
    <w:rsid w:val="4797283C"/>
    <w:rsid w:val="479F6FAB"/>
    <w:rsid w:val="47CA1B4A"/>
    <w:rsid w:val="481B6200"/>
    <w:rsid w:val="483376F0"/>
    <w:rsid w:val="48D55B3A"/>
    <w:rsid w:val="49042E3A"/>
    <w:rsid w:val="495E0F87"/>
    <w:rsid w:val="497A30FC"/>
    <w:rsid w:val="498764DA"/>
    <w:rsid w:val="49B410A5"/>
    <w:rsid w:val="49C52F0C"/>
    <w:rsid w:val="4A084BAC"/>
    <w:rsid w:val="4A1D48B6"/>
    <w:rsid w:val="4A4120EB"/>
    <w:rsid w:val="4ABD1525"/>
    <w:rsid w:val="4AC72C8D"/>
    <w:rsid w:val="4AD417E9"/>
    <w:rsid w:val="4AE50D33"/>
    <w:rsid w:val="4B294DDA"/>
    <w:rsid w:val="4BB01057"/>
    <w:rsid w:val="4BB70638"/>
    <w:rsid w:val="4BC468B1"/>
    <w:rsid w:val="4BE81D78"/>
    <w:rsid w:val="4C0970ED"/>
    <w:rsid w:val="4C243294"/>
    <w:rsid w:val="4C2B6930"/>
    <w:rsid w:val="4C3B51A0"/>
    <w:rsid w:val="4C4332C5"/>
    <w:rsid w:val="4C915AE9"/>
    <w:rsid w:val="4DE51EC7"/>
    <w:rsid w:val="4DF0398D"/>
    <w:rsid w:val="4E165AE9"/>
    <w:rsid w:val="4E2552AD"/>
    <w:rsid w:val="4E7C5AD8"/>
    <w:rsid w:val="4EA46ACB"/>
    <w:rsid w:val="4ED432AF"/>
    <w:rsid w:val="4EEA2AD2"/>
    <w:rsid w:val="4F4F2935"/>
    <w:rsid w:val="4F704C49"/>
    <w:rsid w:val="4F7336A7"/>
    <w:rsid w:val="4F7C19ED"/>
    <w:rsid w:val="4FC81BF6"/>
    <w:rsid w:val="4FF007B3"/>
    <w:rsid w:val="50535ECD"/>
    <w:rsid w:val="5060129E"/>
    <w:rsid w:val="50AD3DB7"/>
    <w:rsid w:val="50B37E70"/>
    <w:rsid w:val="50D650BC"/>
    <w:rsid w:val="50DD7840"/>
    <w:rsid w:val="51267A2C"/>
    <w:rsid w:val="51453FF0"/>
    <w:rsid w:val="51646B6C"/>
    <w:rsid w:val="51984A67"/>
    <w:rsid w:val="51BB7195"/>
    <w:rsid w:val="5221129C"/>
    <w:rsid w:val="52262073"/>
    <w:rsid w:val="5246001F"/>
    <w:rsid w:val="52BF15D6"/>
    <w:rsid w:val="52FE6B4C"/>
    <w:rsid w:val="53312A7E"/>
    <w:rsid w:val="53650979"/>
    <w:rsid w:val="538948CD"/>
    <w:rsid w:val="53A26E7F"/>
    <w:rsid w:val="53A276CC"/>
    <w:rsid w:val="53A476F3"/>
    <w:rsid w:val="53AA2830"/>
    <w:rsid w:val="53AC0356"/>
    <w:rsid w:val="53E47AF0"/>
    <w:rsid w:val="54065CB8"/>
    <w:rsid w:val="541D21E1"/>
    <w:rsid w:val="54260478"/>
    <w:rsid w:val="542E520F"/>
    <w:rsid w:val="54336CC9"/>
    <w:rsid w:val="54B24092"/>
    <w:rsid w:val="55477AC8"/>
    <w:rsid w:val="55567F3C"/>
    <w:rsid w:val="559A7000"/>
    <w:rsid w:val="55B00AB8"/>
    <w:rsid w:val="55C7591B"/>
    <w:rsid w:val="55D65B5E"/>
    <w:rsid w:val="55F33D67"/>
    <w:rsid w:val="561A3C9D"/>
    <w:rsid w:val="56233F5F"/>
    <w:rsid w:val="56386EFE"/>
    <w:rsid w:val="56AD44B8"/>
    <w:rsid w:val="57433750"/>
    <w:rsid w:val="578C5AC2"/>
    <w:rsid w:val="57AB06F3"/>
    <w:rsid w:val="58767185"/>
    <w:rsid w:val="58910F35"/>
    <w:rsid w:val="58A03E85"/>
    <w:rsid w:val="58DC348C"/>
    <w:rsid w:val="591C7D2C"/>
    <w:rsid w:val="59452184"/>
    <w:rsid w:val="59A73A9A"/>
    <w:rsid w:val="59DA4000"/>
    <w:rsid w:val="5A137381"/>
    <w:rsid w:val="5A145A8B"/>
    <w:rsid w:val="5A3612C1"/>
    <w:rsid w:val="5A4532B2"/>
    <w:rsid w:val="5A4A04A6"/>
    <w:rsid w:val="5AA12BDF"/>
    <w:rsid w:val="5AA1673B"/>
    <w:rsid w:val="5B8B2F47"/>
    <w:rsid w:val="5BA468D4"/>
    <w:rsid w:val="5BCE7A03"/>
    <w:rsid w:val="5C3C2791"/>
    <w:rsid w:val="5C5F065B"/>
    <w:rsid w:val="5C921CA0"/>
    <w:rsid w:val="5CAB1AF3"/>
    <w:rsid w:val="5CB52971"/>
    <w:rsid w:val="5CCF51F0"/>
    <w:rsid w:val="5CDE24A2"/>
    <w:rsid w:val="5D7719D5"/>
    <w:rsid w:val="5DBB3FB7"/>
    <w:rsid w:val="5DBF512A"/>
    <w:rsid w:val="5E1D7B0C"/>
    <w:rsid w:val="5E761C8C"/>
    <w:rsid w:val="5EBB1D95"/>
    <w:rsid w:val="5EE66E12"/>
    <w:rsid w:val="5F076D88"/>
    <w:rsid w:val="5F08322C"/>
    <w:rsid w:val="5F993E84"/>
    <w:rsid w:val="5FB05047"/>
    <w:rsid w:val="5FDB61BA"/>
    <w:rsid w:val="5FF3673B"/>
    <w:rsid w:val="60161739"/>
    <w:rsid w:val="60383FDA"/>
    <w:rsid w:val="606F1089"/>
    <w:rsid w:val="609D1752"/>
    <w:rsid w:val="60E412C2"/>
    <w:rsid w:val="61404326"/>
    <w:rsid w:val="6151093C"/>
    <w:rsid w:val="61510C2C"/>
    <w:rsid w:val="61686204"/>
    <w:rsid w:val="6182776A"/>
    <w:rsid w:val="61891CD7"/>
    <w:rsid w:val="61B16453"/>
    <w:rsid w:val="61F658B8"/>
    <w:rsid w:val="62137E26"/>
    <w:rsid w:val="62500A46"/>
    <w:rsid w:val="62583CB6"/>
    <w:rsid w:val="628A03FC"/>
    <w:rsid w:val="6299063F"/>
    <w:rsid w:val="62AC69AE"/>
    <w:rsid w:val="62D0444C"/>
    <w:rsid w:val="62D7284F"/>
    <w:rsid w:val="62D82483"/>
    <w:rsid w:val="63137E69"/>
    <w:rsid w:val="632C5010"/>
    <w:rsid w:val="632F4F3D"/>
    <w:rsid w:val="636278E8"/>
    <w:rsid w:val="64107193"/>
    <w:rsid w:val="642F3009"/>
    <w:rsid w:val="64C00105"/>
    <w:rsid w:val="64EA091A"/>
    <w:rsid w:val="65053D6A"/>
    <w:rsid w:val="650A67C2"/>
    <w:rsid w:val="655645C6"/>
    <w:rsid w:val="65CE6593"/>
    <w:rsid w:val="66693F66"/>
    <w:rsid w:val="666C3121"/>
    <w:rsid w:val="66A74720"/>
    <w:rsid w:val="66BC2B4E"/>
    <w:rsid w:val="66D111F3"/>
    <w:rsid w:val="66D25B39"/>
    <w:rsid w:val="67801DCE"/>
    <w:rsid w:val="67F307F2"/>
    <w:rsid w:val="6812667C"/>
    <w:rsid w:val="686553E0"/>
    <w:rsid w:val="69001CCB"/>
    <w:rsid w:val="69310FD8"/>
    <w:rsid w:val="69324EAF"/>
    <w:rsid w:val="69366BE8"/>
    <w:rsid w:val="69450BD9"/>
    <w:rsid w:val="69BA3375"/>
    <w:rsid w:val="6A330664"/>
    <w:rsid w:val="6A5C063B"/>
    <w:rsid w:val="6ACD532A"/>
    <w:rsid w:val="6AFA59F3"/>
    <w:rsid w:val="6B864EE6"/>
    <w:rsid w:val="6BF6265F"/>
    <w:rsid w:val="6C2C195B"/>
    <w:rsid w:val="6C3F4006"/>
    <w:rsid w:val="6C4362DE"/>
    <w:rsid w:val="6CB322FE"/>
    <w:rsid w:val="6CC60283"/>
    <w:rsid w:val="6CCE2A58"/>
    <w:rsid w:val="6D2D3681"/>
    <w:rsid w:val="6DF332FA"/>
    <w:rsid w:val="6E08349F"/>
    <w:rsid w:val="6E1B63AC"/>
    <w:rsid w:val="6E2551EB"/>
    <w:rsid w:val="6E2E60E0"/>
    <w:rsid w:val="6E65267E"/>
    <w:rsid w:val="6E753D0F"/>
    <w:rsid w:val="6E856008"/>
    <w:rsid w:val="6EC10D02"/>
    <w:rsid w:val="6EF06C9C"/>
    <w:rsid w:val="6EF90AB4"/>
    <w:rsid w:val="6F20011E"/>
    <w:rsid w:val="6F323155"/>
    <w:rsid w:val="6F4162E7"/>
    <w:rsid w:val="6F4F630E"/>
    <w:rsid w:val="6F6C5F58"/>
    <w:rsid w:val="70040B47"/>
    <w:rsid w:val="703B6CD7"/>
    <w:rsid w:val="70575A6A"/>
    <w:rsid w:val="70757FF6"/>
    <w:rsid w:val="711F1C19"/>
    <w:rsid w:val="714125CE"/>
    <w:rsid w:val="71862C3F"/>
    <w:rsid w:val="719C5A56"/>
    <w:rsid w:val="71AC1D09"/>
    <w:rsid w:val="71AD06B9"/>
    <w:rsid w:val="71D46F9E"/>
    <w:rsid w:val="71E333B4"/>
    <w:rsid w:val="71E804ED"/>
    <w:rsid w:val="723B701D"/>
    <w:rsid w:val="72413DE6"/>
    <w:rsid w:val="7251239D"/>
    <w:rsid w:val="72937EBC"/>
    <w:rsid w:val="72A17E94"/>
    <w:rsid w:val="72DC16C4"/>
    <w:rsid w:val="73125FD0"/>
    <w:rsid w:val="733E234E"/>
    <w:rsid w:val="734D44BC"/>
    <w:rsid w:val="73E94E79"/>
    <w:rsid w:val="74561EEC"/>
    <w:rsid w:val="745F3497"/>
    <w:rsid w:val="74C06A74"/>
    <w:rsid w:val="74DB6895"/>
    <w:rsid w:val="7504038C"/>
    <w:rsid w:val="7541494A"/>
    <w:rsid w:val="754B3A1B"/>
    <w:rsid w:val="754F7EE1"/>
    <w:rsid w:val="755A7479"/>
    <w:rsid w:val="75826D11"/>
    <w:rsid w:val="75956A44"/>
    <w:rsid w:val="75EB2B08"/>
    <w:rsid w:val="75EF5122"/>
    <w:rsid w:val="760F6445"/>
    <w:rsid w:val="76564426"/>
    <w:rsid w:val="76595CC4"/>
    <w:rsid w:val="76862CDD"/>
    <w:rsid w:val="76B33626"/>
    <w:rsid w:val="76C7776E"/>
    <w:rsid w:val="77204A34"/>
    <w:rsid w:val="77316C41"/>
    <w:rsid w:val="774911D3"/>
    <w:rsid w:val="77492F78"/>
    <w:rsid w:val="77BF249E"/>
    <w:rsid w:val="77C568A3"/>
    <w:rsid w:val="77E66B14"/>
    <w:rsid w:val="77EF4AF4"/>
    <w:rsid w:val="77F3067E"/>
    <w:rsid w:val="78180F6A"/>
    <w:rsid w:val="78236589"/>
    <w:rsid w:val="78322C70"/>
    <w:rsid w:val="785771FF"/>
    <w:rsid w:val="78DB50B6"/>
    <w:rsid w:val="78E905E0"/>
    <w:rsid w:val="78F36363"/>
    <w:rsid w:val="78F918AC"/>
    <w:rsid w:val="792B5C6B"/>
    <w:rsid w:val="7947274B"/>
    <w:rsid w:val="797807D6"/>
    <w:rsid w:val="798927D7"/>
    <w:rsid w:val="79915775"/>
    <w:rsid w:val="79CF4C95"/>
    <w:rsid w:val="7A1A213E"/>
    <w:rsid w:val="7A7778D7"/>
    <w:rsid w:val="7A99501E"/>
    <w:rsid w:val="7AA65250"/>
    <w:rsid w:val="7AD973D3"/>
    <w:rsid w:val="7B0459B3"/>
    <w:rsid w:val="7B2965AD"/>
    <w:rsid w:val="7B297438"/>
    <w:rsid w:val="7B3D05DA"/>
    <w:rsid w:val="7B5B2589"/>
    <w:rsid w:val="7B744A46"/>
    <w:rsid w:val="7BF33649"/>
    <w:rsid w:val="7C6929D9"/>
    <w:rsid w:val="7CB128BA"/>
    <w:rsid w:val="7CE209E7"/>
    <w:rsid w:val="7D1032D5"/>
    <w:rsid w:val="7D6713FE"/>
    <w:rsid w:val="7D6971CA"/>
    <w:rsid w:val="7DA1554A"/>
    <w:rsid w:val="7DE5284B"/>
    <w:rsid w:val="7E663674"/>
    <w:rsid w:val="7EC860DC"/>
    <w:rsid w:val="7EC955A1"/>
    <w:rsid w:val="7EDC636B"/>
    <w:rsid w:val="7F314A7F"/>
    <w:rsid w:val="7F587460"/>
    <w:rsid w:val="7FA33936"/>
    <w:rsid w:val="7FA77AA0"/>
    <w:rsid w:val="7FE902A5"/>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semiHidden="0" w:name="footnote text"/>
    <w:lsdException w:qFormat="1" w:uiPriority="0" w:semiHidden="0" w:name="annotation text"/>
    <w:lsdException w:qFormat="1" w:uiPriority="99" w:semiHidden="0" w:name="header"/>
    <w:lsdException w:qFormat="1" w:uiPriority="99" w:semiHidden="0" w:name="footer"/>
    <w:lsdException w:qFormat="1" w:unhideWhenUsed="0" w:uiPriority="0" w:semiHidden="0" w:name="index heading"/>
    <w:lsdException w:qFormat="1" w:unhideWhenUsed="0" w:uiPriority="0" w:semiHidden="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qFormat="1" w:unhideWhenUsed="0" w:uiPriority="99" w:semiHidden="0" w:name="Closing"/>
    <w:lsdException w:qFormat="1" w:unhideWhenUsed="0" w:uiPriority="99" w:semiHidden="0" w:name="Signature"/>
    <w:lsdException w:qFormat="1" w:uiPriority="1" w:name="Default Paragraph Font"/>
    <w:lsdException w:qFormat="1"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99" w:semiHidden="0" w:name="Message Header"/>
    <w:lsdException w:qFormat="1" w:unhideWhenUsed="0" w:uiPriority="11" w:semiHidden="0" w:name="Subtitle"/>
    <w:lsdException w:qFormat="1" w:unhideWhenUsed="0" w:uiPriority="0" w:semiHidden="0" w:name="Salutation"/>
    <w:lsdException w:qFormat="1" w:unhideWhenUsed="0" w:uiPriority="99" w:semiHidden="0" w:name="Date"/>
    <w:lsdException w:qFormat="1" w:unhideWhenUsed="0" w:uiPriority="0" w:semiHidden="0" w:name="Body Text First Indent"/>
    <w:lsdException w:qFormat="1" w:unhideWhenUsed="0" w:uiPriority="99" w:semiHidden="0" w:name="Body Text First Indent 2"/>
    <w:lsdException w:qFormat="1" w:unhideWhenUsed="0" w:uiPriority="99" w:semiHidden="0" w:name="Note Heading"/>
    <w:lsdException w:qFormat="1" w:unhideWhenUsed="0" w:uiPriority="99"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20" w:semiHidden="0" w:name="Emphasis"/>
    <w:lsdException w:qFormat="1" w:unhideWhenUsed="0" w:uiPriority="99" w:semiHidden="0" w:name="Document Map"/>
    <w:lsdException w:qFormat="1" w:unhideWhenUsed="0" w:uiPriority="0" w:semiHidden="0" w:name="Plain Text"/>
    <w:lsdException w:qFormat="1" w:unhideWhenUsed="0" w:uiPriority="99" w:semiHidden="0" w:name="E-mail Signature"/>
    <w:lsdException w:qFormat="1" w:unhideWhenUsed="0" w:uiPriority="99" w:semiHidden="0" w:name="Normal (Web)"/>
    <w:lsdException w:qFormat="1" w:unhideWhenUsed="0" w:uiPriority="0" w:semiHidden="0" w:name="HTML Acronym"/>
    <w:lsdException w:qFormat="1" w:unhideWhenUsed="0" w:uiPriority="99"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99"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spacing w:val="-2"/>
      <w:lang w:val="en-US" w:eastAsia="zh-CN" w:bidi="ar-SA"/>
    </w:rPr>
  </w:style>
  <w:style w:type="paragraph" w:styleId="3">
    <w:name w:val="heading 1"/>
    <w:basedOn w:val="1"/>
    <w:next w:val="1"/>
    <w:link w:val="108"/>
    <w:qFormat/>
    <w:uiPriority w:val="0"/>
    <w:pPr>
      <w:keepNext/>
      <w:keepLines/>
      <w:spacing w:before="340" w:after="330" w:line="578" w:lineRule="auto"/>
      <w:outlineLvl w:val="0"/>
    </w:pPr>
    <w:rPr>
      <w:b/>
      <w:bCs/>
      <w:spacing w:val="0"/>
      <w:kern w:val="44"/>
      <w:sz w:val="44"/>
      <w:szCs w:val="44"/>
    </w:rPr>
  </w:style>
  <w:style w:type="paragraph" w:styleId="4">
    <w:name w:val="heading 2"/>
    <w:basedOn w:val="1"/>
    <w:next w:val="1"/>
    <w:link w:val="109"/>
    <w:qFormat/>
    <w:uiPriority w:val="0"/>
    <w:pPr>
      <w:keepNext/>
      <w:keepLines/>
      <w:tabs>
        <w:tab w:val="left" w:pos="1427"/>
      </w:tabs>
      <w:adjustRightInd w:val="0"/>
      <w:snapToGrid w:val="0"/>
      <w:spacing w:beforeLines="50" w:afterLines="50" w:line="480" w:lineRule="exact"/>
      <w:jc w:val="left"/>
      <w:textAlignment w:val="baseline"/>
      <w:outlineLvl w:val="1"/>
    </w:pPr>
    <w:rPr>
      <w:b/>
      <w:sz w:val="28"/>
    </w:rPr>
  </w:style>
  <w:style w:type="paragraph" w:styleId="5">
    <w:name w:val="heading 3"/>
    <w:basedOn w:val="1"/>
    <w:next w:val="1"/>
    <w:link w:val="110"/>
    <w:qFormat/>
    <w:uiPriority w:val="0"/>
    <w:pPr>
      <w:keepNext/>
      <w:keepLines/>
      <w:tabs>
        <w:tab w:val="left" w:pos="720"/>
      </w:tabs>
      <w:adjustRightInd w:val="0"/>
      <w:spacing w:line="360" w:lineRule="auto"/>
      <w:ind w:left="200" w:hanging="200"/>
      <w:jc w:val="left"/>
      <w:textAlignment w:val="baseline"/>
      <w:outlineLvl w:val="2"/>
    </w:pPr>
    <w:rPr>
      <w:rFonts w:eastAsia="黑体"/>
      <w:b/>
      <w:color w:val="808080"/>
      <w:spacing w:val="8"/>
      <w:sz w:val="28"/>
    </w:rPr>
  </w:style>
  <w:style w:type="paragraph" w:styleId="6">
    <w:name w:val="heading 4"/>
    <w:basedOn w:val="1"/>
    <w:next w:val="1"/>
    <w:link w:val="111"/>
    <w:qFormat/>
    <w:uiPriority w:val="0"/>
    <w:pPr>
      <w:keepNext/>
      <w:keepLines/>
      <w:spacing w:before="280" w:after="290" w:line="376" w:lineRule="auto"/>
      <w:outlineLvl w:val="3"/>
    </w:pPr>
    <w:rPr>
      <w:rFonts w:ascii="Arial" w:hAnsi="Arial" w:eastAsia="黑体"/>
      <w:b/>
      <w:bCs/>
      <w:spacing w:val="0"/>
      <w:sz w:val="28"/>
      <w:szCs w:val="28"/>
    </w:rPr>
  </w:style>
  <w:style w:type="paragraph" w:styleId="7">
    <w:name w:val="heading 5"/>
    <w:basedOn w:val="1"/>
    <w:next w:val="1"/>
    <w:link w:val="112"/>
    <w:qFormat/>
    <w:uiPriority w:val="0"/>
    <w:pPr>
      <w:keepNext/>
      <w:keepLines/>
      <w:adjustRightInd w:val="0"/>
      <w:snapToGrid w:val="0"/>
      <w:spacing w:before="280" w:after="290" w:line="376" w:lineRule="auto"/>
      <w:ind w:firstLine="200" w:firstLineChars="200"/>
      <w:outlineLvl w:val="4"/>
    </w:pPr>
    <w:rPr>
      <w:b/>
      <w:spacing w:val="4"/>
      <w:sz w:val="28"/>
      <w:szCs w:val="24"/>
    </w:rPr>
  </w:style>
  <w:style w:type="paragraph" w:styleId="8">
    <w:name w:val="heading 6"/>
    <w:basedOn w:val="1"/>
    <w:next w:val="1"/>
    <w:link w:val="113"/>
    <w:qFormat/>
    <w:uiPriority w:val="0"/>
    <w:pPr>
      <w:keepNext/>
      <w:keepLines/>
      <w:adjustRightInd w:val="0"/>
      <w:snapToGrid w:val="0"/>
      <w:spacing w:before="240" w:after="64" w:line="320" w:lineRule="auto"/>
      <w:ind w:firstLine="200" w:firstLineChars="200"/>
      <w:outlineLvl w:val="5"/>
    </w:pPr>
    <w:rPr>
      <w:rFonts w:ascii="Arial" w:hAnsi="Arial" w:eastAsia="黑体"/>
      <w:b/>
      <w:spacing w:val="4"/>
      <w:sz w:val="24"/>
      <w:szCs w:val="24"/>
    </w:rPr>
  </w:style>
  <w:style w:type="paragraph" w:styleId="9">
    <w:name w:val="heading 7"/>
    <w:basedOn w:val="1"/>
    <w:next w:val="1"/>
    <w:link w:val="114"/>
    <w:qFormat/>
    <w:uiPriority w:val="0"/>
    <w:pPr>
      <w:keepNext/>
      <w:keepLines/>
      <w:adjustRightInd w:val="0"/>
      <w:snapToGrid w:val="0"/>
      <w:spacing w:before="240" w:after="64" w:line="320" w:lineRule="auto"/>
      <w:ind w:firstLine="200" w:firstLineChars="200"/>
      <w:outlineLvl w:val="6"/>
    </w:pPr>
    <w:rPr>
      <w:b/>
      <w:spacing w:val="4"/>
      <w:sz w:val="24"/>
      <w:szCs w:val="24"/>
    </w:rPr>
  </w:style>
  <w:style w:type="paragraph" w:styleId="10">
    <w:name w:val="heading 8"/>
    <w:basedOn w:val="1"/>
    <w:next w:val="1"/>
    <w:link w:val="115"/>
    <w:qFormat/>
    <w:uiPriority w:val="0"/>
    <w:pPr>
      <w:keepNext/>
      <w:keepLines/>
      <w:adjustRightInd w:val="0"/>
      <w:snapToGrid w:val="0"/>
      <w:spacing w:before="240" w:after="64" w:line="320" w:lineRule="auto"/>
      <w:ind w:firstLine="200" w:firstLineChars="200"/>
      <w:outlineLvl w:val="7"/>
    </w:pPr>
    <w:rPr>
      <w:rFonts w:ascii="Arial" w:hAnsi="Arial" w:eastAsia="黑体"/>
      <w:spacing w:val="4"/>
      <w:sz w:val="24"/>
      <w:szCs w:val="24"/>
    </w:rPr>
  </w:style>
  <w:style w:type="paragraph" w:styleId="11">
    <w:name w:val="heading 9"/>
    <w:basedOn w:val="1"/>
    <w:next w:val="1"/>
    <w:link w:val="116"/>
    <w:qFormat/>
    <w:uiPriority w:val="0"/>
    <w:pPr>
      <w:keepNext/>
      <w:keepLines/>
      <w:adjustRightInd w:val="0"/>
      <w:snapToGrid w:val="0"/>
      <w:spacing w:before="120" w:after="120" w:line="400" w:lineRule="atLeast"/>
      <w:ind w:firstLine="200" w:firstLineChars="200"/>
      <w:jc w:val="center"/>
      <w:outlineLvl w:val="8"/>
    </w:pPr>
    <w:rPr>
      <w:rFonts w:ascii="Arial" w:hAnsi="Arial" w:eastAsia="楷体_GB2312"/>
      <w:spacing w:val="4"/>
      <w:sz w:val="24"/>
      <w:szCs w:val="24"/>
    </w:rPr>
  </w:style>
  <w:style w:type="character" w:default="1" w:styleId="90">
    <w:name w:val="Default Paragraph Font"/>
    <w:semiHidden/>
    <w:unhideWhenUsed/>
    <w:qFormat/>
    <w:uiPriority w:val="1"/>
  </w:style>
  <w:style w:type="table" w:default="1" w:styleId="88">
    <w:name w:val="Normal Table"/>
    <w:semiHidden/>
    <w:unhideWhenUsed/>
    <w:qFormat/>
    <w:uiPriority w:val="99"/>
    <w:tblPr>
      <w:tblCellMar>
        <w:top w:w="0" w:type="dxa"/>
        <w:left w:w="108" w:type="dxa"/>
        <w:bottom w:w="0" w:type="dxa"/>
        <w:right w:w="108" w:type="dxa"/>
      </w:tblCellMar>
    </w:tblPr>
  </w:style>
  <w:style w:type="paragraph" w:styleId="2">
    <w:name w:val="macro"/>
    <w:link w:val="123"/>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styleId="12">
    <w:name w:val="List 3"/>
    <w:basedOn w:val="1"/>
    <w:qFormat/>
    <w:uiPriority w:val="0"/>
    <w:pPr>
      <w:ind w:left="100" w:leftChars="400" w:hanging="200" w:hangingChars="200"/>
    </w:pPr>
  </w:style>
  <w:style w:type="paragraph" w:styleId="13">
    <w:name w:val="toc 7"/>
    <w:basedOn w:val="1"/>
    <w:next w:val="1"/>
    <w:qFormat/>
    <w:uiPriority w:val="39"/>
    <w:pPr>
      <w:ind w:left="1260"/>
      <w:jc w:val="left"/>
    </w:pPr>
    <w:rPr>
      <w:sz w:val="18"/>
      <w:szCs w:val="18"/>
    </w:rPr>
  </w:style>
  <w:style w:type="paragraph" w:styleId="14">
    <w:name w:val="List Number 2"/>
    <w:basedOn w:val="1"/>
    <w:qFormat/>
    <w:uiPriority w:val="0"/>
    <w:pPr>
      <w:tabs>
        <w:tab w:val="left" w:pos="360"/>
      </w:tabs>
      <w:ind w:left="360" w:hanging="360"/>
    </w:pPr>
  </w:style>
  <w:style w:type="paragraph" w:styleId="15">
    <w:name w:val="table of authorities"/>
    <w:basedOn w:val="1"/>
    <w:next w:val="1"/>
    <w:qFormat/>
    <w:uiPriority w:val="0"/>
    <w:pPr>
      <w:ind w:left="420" w:leftChars="200"/>
    </w:pPr>
  </w:style>
  <w:style w:type="paragraph" w:styleId="16">
    <w:name w:val="Note Heading"/>
    <w:basedOn w:val="1"/>
    <w:next w:val="1"/>
    <w:link w:val="124"/>
    <w:qFormat/>
    <w:uiPriority w:val="99"/>
    <w:pPr>
      <w:jc w:val="center"/>
    </w:pPr>
    <w:rPr>
      <w:spacing w:val="0"/>
    </w:rPr>
  </w:style>
  <w:style w:type="paragraph" w:styleId="17">
    <w:name w:val="List Bullet 4"/>
    <w:basedOn w:val="1"/>
    <w:qFormat/>
    <w:uiPriority w:val="0"/>
    <w:pPr>
      <w:tabs>
        <w:tab w:val="left" w:pos="902"/>
      </w:tabs>
      <w:ind w:left="902" w:hanging="420"/>
    </w:pPr>
  </w:style>
  <w:style w:type="paragraph" w:styleId="18">
    <w:name w:val="index 8"/>
    <w:basedOn w:val="1"/>
    <w:next w:val="1"/>
    <w:qFormat/>
    <w:uiPriority w:val="0"/>
    <w:pPr>
      <w:ind w:left="1400" w:leftChars="1400"/>
    </w:pPr>
    <w:rPr>
      <w:sz w:val="24"/>
    </w:rPr>
  </w:style>
  <w:style w:type="paragraph" w:styleId="19">
    <w:name w:val="E-mail Signature"/>
    <w:basedOn w:val="1"/>
    <w:link w:val="125"/>
    <w:qFormat/>
    <w:uiPriority w:val="99"/>
    <w:rPr>
      <w:spacing w:val="0"/>
      <w:sz w:val="24"/>
    </w:rPr>
  </w:style>
  <w:style w:type="paragraph" w:styleId="20">
    <w:name w:val="List Number"/>
    <w:basedOn w:val="1"/>
    <w:qFormat/>
    <w:uiPriority w:val="0"/>
    <w:pPr>
      <w:tabs>
        <w:tab w:val="left" w:pos="1200"/>
      </w:tabs>
      <w:ind w:left="1200" w:hanging="720"/>
    </w:pPr>
  </w:style>
  <w:style w:type="paragraph" w:styleId="21">
    <w:name w:val="Normal Indent"/>
    <w:basedOn w:val="1"/>
    <w:link w:val="126"/>
    <w:qFormat/>
    <w:uiPriority w:val="0"/>
    <w:pPr>
      <w:ind w:firstLine="420" w:firstLineChars="200"/>
    </w:pPr>
    <w:rPr>
      <w:spacing w:val="0"/>
      <w:sz w:val="24"/>
    </w:rPr>
  </w:style>
  <w:style w:type="paragraph" w:styleId="22">
    <w:name w:val="caption"/>
    <w:basedOn w:val="1"/>
    <w:next w:val="1"/>
    <w:link w:val="127"/>
    <w:qFormat/>
    <w:uiPriority w:val="0"/>
    <w:pPr>
      <w:adjustRightInd w:val="0"/>
      <w:jc w:val="center"/>
      <w:textAlignment w:val="baseline"/>
    </w:pPr>
    <w:rPr>
      <w:rFonts w:ascii="黑体" w:hAnsi="黑体" w:eastAsia="黑体"/>
      <w:spacing w:val="0"/>
      <w:kern w:val="44"/>
      <w:szCs w:val="21"/>
    </w:rPr>
  </w:style>
  <w:style w:type="paragraph" w:styleId="23">
    <w:name w:val="index 5"/>
    <w:basedOn w:val="1"/>
    <w:next w:val="1"/>
    <w:qFormat/>
    <w:uiPriority w:val="0"/>
    <w:pPr>
      <w:ind w:left="800" w:leftChars="800"/>
    </w:pPr>
    <w:rPr>
      <w:sz w:val="24"/>
    </w:rPr>
  </w:style>
  <w:style w:type="paragraph" w:styleId="24">
    <w:name w:val="List Bullet"/>
    <w:basedOn w:val="1"/>
    <w:qFormat/>
    <w:uiPriority w:val="0"/>
    <w:pPr>
      <w:tabs>
        <w:tab w:val="left" w:pos="360"/>
      </w:tabs>
      <w:ind w:left="360" w:hanging="360" w:hangingChars="200"/>
    </w:pPr>
  </w:style>
  <w:style w:type="paragraph" w:styleId="25">
    <w:name w:val="envelope address"/>
    <w:basedOn w:val="1"/>
    <w:qFormat/>
    <w:uiPriority w:val="0"/>
    <w:pPr>
      <w:snapToGrid w:val="0"/>
      <w:ind w:left="100" w:leftChars="1400"/>
    </w:pPr>
    <w:rPr>
      <w:rFonts w:ascii="Arial" w:hAnsi="Arial" w:cs="Arial"/>
      <w:sz w:val="24"/>
    </w:rPr>
  </w:style>
  <w:style w:type="paragraph" w:styleId="26">
    <w:name w:val="Document Map"/>
    <w:basedOn w:val="1"/>
    <w:link w:val="128"/>
    <w:qFormat/>
    <w:uiPriority w:val="99"/>
    <w:pPr>
      <w:shd w:val="clear" w:color="auto" w:fill="000080"/>
    </w:pPr>
    <w:rPr>
      <w:spacing w:val="0"/>
      <w:szCs w:val="24"/>
    </w:rPr>
  </w:style>
  <w:style w:type="paragraph" w:styleId="27">
    <w:name w:val="toa heading"/>
    <w:basedOn w:val="1"/>
    <w:next w:val="1"/>
    <w:qFormat/>
    <w:uiPriority w:val="0"/>
    <w:pPr>
      <w:spacing w:before="120"/>
    </w:pPr>
    <w:rPr>
      <w:rFonts w:ascii="Arial" w:hAnsi="Arial" w:cs="Arial"/>
      <w:sz w:val="24"/>
    </w:rPr>
  </w:style>
  <w:style w:type="paragraph" w:styleId="28">
    <w:name w:val="annotation text"/>
    <w:basedOn w:val="1"/>
    <w:link w:val="119"/>
    <w:unhideWhenUsed/>
    <w:qFormat/>
    <w:uiPriority w:val="0"/>
    <w:pPr>
      <w:jc w:val="left"/>
    </w:pPr>
  </w:style>
  <w:style w:type="paragraph" w:styleId="29">
    <w:name w:val="index 6"/>
    <w:basedOn w:val="1"/>
    <w:next w:val="1"/>
    <w:qFormat/>
    <w:uiPriority w:val="0"/>
    <w:pPr>
      <w:ind w:left="1000" w:leftChars="1000"/>
    </w:pPr>
    <w:rPr>
      <w:sz w:val="24"/>
    </w:rPr>
  </w:style>
  <w:style w:type="paragraph" w:styleId="30">
    <w:name w:val="Salutation"/>
    <w:basedOn w:val="1"/>
    <w:next w:val="1"/>
    <w:link w:val="129"/>
    <w:qFormat/>
    <w:uiPriority w:val="0"/>
    <w:rPr>
      <w:spacing w:val="0"/>
      <w:sz w:val="24"/>
    </w:rPr>
  </w:style>
  <w:style w:type="paragraph" w:styleId="31">
    <w:name w:val="Body Text 3"/>
    <w:basedOn w:val="1"/>
    <w:link w:val="130"/>
    <w:qFormat/>
    <w:uiPriority w:val="0"/>
    <w:pPr>
      <w:spacing w:after="120"/>
    </w:pPr>
    <w:rPr>
      <w:spacing w:val="0"/>
      <w:sz w:val="16"/>
      <w:szCs w:val="16"/>
    </w:rPr>
  </w:style>
  <w:style w:type="paragraph" w:styleId="32">
    <w:name w:val="Closing"/>
    <w:basedOn w:val="1"/>
    <w:link w:val="131"/>
    <w:qFormat/>
    <w:uiPriority w:val="99"/>
    <w:pPr>
      <w:ind w:left="100" w:leftChars="2100"/>
    </w:pPr>
    <w:rPr>
      <w:spacing w:val="0"/>
      <w:sz w:val="24"/>
    </w:rPr>
  </w:style>
  <w:style w:type="paragraph" w:styleId="33">
    <w:name w:val="List Bullet 3"/>
    <w:basedOn w:val="1"/>
    <w:qFormat/>
    <w:uiPriority w:val="0"/>
    <w:pPr>
      <w:tabs>
        <w:tab w:val="left" w:pos="360"/>
      </w:tabs>
      <w:ind w:left="360" w:hanging="360"/>
    </w:pPr>
  </w:style>
  <w:style w:type="paragraph" w:styleId="34">
    <w:name w:val="Body Text"/>
    <w:basedOn w:val="1"/>
    <w:link w:val="121"/>
    <w:unhideWhenUsed/>
    <w:qFormat/>
    <w:uiPriority w:val="0"/>
    <w:pPr>
      <w:spacing w:after="120"/>
    </w:pPr>
  </w:style>
  <w:style w:type="paragraph" w:styleId="35">
    <w:name w:val="Body Text Indent"/>
    <w:basedOn w:val="1"/>
    <w:next w:val="36"/>
    <w:link w:val="132"/>
    <w:qFormat/>
    <w:uiPriority w:val="0"/>
    <w:pPr>
      <w:spacing w:after="120"/>
      <w:ind w:left="420" w:leftChars="200"/>
    </w:pPr>
    <w:rPr>
      <w:spacing w:val="0"/>
      <w:szCs w:val="24"/>
    </w:rPr>
  </w:style>
  <w:style w:type="paragraph" w:styleId="36">
    <w:name w:val="Body Text Indent 2"/>
    <w:basedOn w:val="1"/>
    <w:next w:val="37"/>
    <w:qFormat/>
    <w:uiPriority w:val="0"/>
    <w:pPr>
      <w:spacing w:before="156" w:line="400" w:lineRule="exact"/>
      <w:ind w:firstLine="480"/>
    </w:pPr>
    <w:rPr>
      <w:rFonts w:ascii="宋体" w:cs="Times New Roman"/>
      <w:szCs w:val="20"/>
    </w:rPr>
  </w:style>
  <w:style w:type="paragraph" w:styleId="37">
    <w:name w:val="Body Text First Indent 2"/>
    <w:basedOn w:val="35"/>
    <w:next w:val="1"/>
    <w:link w:val="139"/>
    <w:qFormat/>
    <w:uiPriority w:val="99"/>
    <w:pPr>
      <w:ind w:firstLine="420" w:firstLineChars="200"/>
    </w:pPr>
  </w:style>
  <w:style w:type="paragraph" w:styleId="38">
    <w:name w:val="List Number 3"/>
    <w:basedOn w:val="1"/>
    <w:qFormat/>
    <w:uiPriority w:val="0"/>
    <w:pPr>
      <w:tabs>
        <w:tab w:val="left" w:pos="360"/>
      </w:tabs>
      <w:ind w:left="360" w:hanging="360"/>
    </w:pPr>
  </w:style>
  <w:style w:type="paragraph" w:styleId="39">
    <w:name w:val="List 2"/>
    <w:basedOn w:val="1"/>
    <w:qFormat/>
    <w:uiPriority w:val="0"/>
    <w:pPr>
      <w:ind w:left="100" w:leftChars="200" w:hanging="200" w:hangingChars="200"/>
    </w:pPr>
  </w:style>
  <w:style w:type="paragraph" w:styleId="40">
    <w:name w:val="List Continue"/>
    <w:basedOn w:val="1"/>
    <w:qFormat/>
    <w:uiPriority w:val="0"/>
    <w:pPr>
      <w:spacing w:after="120"/>
      <w:ind w:left="420" w:leftChars="200"/>
    </w:pPr>
  </w:style>
  <w:style w:type="paragraph" w:styleId="41">
    <w:name w:val="Block Text"/>
    <w:basedOn w:val="1"/>
    <w:qFormat/>
    <w:uiPriority w:val="0"/>
    <w:pPr>
      <w:ind w:left="360" w:right="-153" w:rightChars="-73"/>
    </w:pPr>
    <w:rPr>
      <w:sz w:val="28"/>
    </w:rPr>
  </w:style>
  <w:style w:type="paragraph" w:styleId="42">
    <w:name w:val="List Bullet 2"/>
    <w:basedOn w:val="1"/>
    <w:qFormat/>
    <w:uiPriority w:val="0"/>
    <w:pPr>
      <w:tabs>
        <w:tab w:val="left" w:pos="360"/>
      </w:tabs>
      <w:ind w:left="360" w:hanging="360"/>
    </w:pPr>
  </w:style>
  <w:style w:type="paragraph" w:styleId="43">
    <w:name w:val="HTML Address"/>
    <w:basedOn w:val="1"/>
    <w:link w:val="133"/>
    <w:qFormat/>
    <w:uiPriority w:val="99"/>
    <w:rPr>
      <w:i/>
      <w:iCs/>
      <w:spacing w:val="0"/>
      <w:sz w:val="24"/>
    </w:rPr>
  </w:style>
  <w:style w:type="paragraph" w:styleId="44">
    <w:name w:val="index 4"/>
    <w:basedOn w:val="1"/>
    <w:next w:val="1"/>
    <w:qFormat/>
    <w:uiPriority w:val="0"/>
    <w:pPr>
      <w:ind w:left="600" w:leftChars="600"/>
    </w:pPr>
    <w:rPr>
      <w:sz w:val="24"/>
    </w:rPr>
  </w:style>
  <w:style w:type="paragraph" w:styleId="45">
    <w:name w:val="toc 5"/>
    <w:basedOn w:val="1"/>
    <w:next w:val="1"/>
    <w:qFormat/>
    <w:uiPriority w:val="39"/>
    <w:pPr>
      <w:ind w:left="840"/>
      <w:jc w:val="left"/>
    </w:pPr>
    <w:rPr>
      <w:sz w:val="18"/>
      <w:szCs w:val="18"/>
    </w:rPr>
  </w:style>
  <w:style w:type="paragraph" w:styleId="46">
    <w:name w:val="toc 3"/>
    <w:basedOn w:val="1"/>
    <w:next w:val="1"/>
    <w:qFormat/>
    <w:uiPriority w:val="39"/>
    <w:pPr>
      <w:ind w:left="420"/>
      <w:jc w:val="left"/>
    </w:pPr>
    <w:rPr>
      <w:i/>
      <w:iCs/>
    </w:rPr>
  </w:style>
  <w:style w:type="paragraph" w:styleId="47">
    <w:name w:val="Plain Text"/>
    <w:basedOn w:val="1"/>
    <w:link w:val="134"/>
    <w:qFormat/>
    <w:uiPriority w:val="0"/>
    <w:pPr>
      <w:snapToGrid w:val="0"/>
      <w:spacing w:line="320" w:lineRule="atLeast"/>
    </w:pPr>
    <w:rPr>
      <w:rFonts w:ascii="宋体" w:hAnsi="Courier New"/>
      <w:spacing w:val="0"/>
    </w:rPr>
  </w:style>
  <w:style w:type="paragraph" w:styleId="48">
    <w:name w:val="List Bullet 5"/>
    <w:basedOn w:val="1"/>
    <w:qFormat/>
    <w:uiPriority w:val="0"/>
    <w:pPr>
      <w:tabs>
        <w:tab w:val="left" w:pos="2040"/>
      </w:tabs>
      <w:ind w:left="2040" w:leftChars="800" w:hanging="360" w:hangingChars="200"/>
    </w:pPr>
  </w:style>
  <w:style w:type="paragraph" w:styleId="49">
    <w:name w:val="List Number 4"/>
    <w:basedOn w:val="1"/>
    <w:qFormat/>
    <w:uiPriority w:val="0"/>
    <w:pPr>
      <w:tabs>
        <w:tab w:val="left" w:pos="360"/>
      </w:tabs>
      <w:ind w:left="360" w:hanging="360"/>
    </w:pPr>
  </w:style>
  <w:style w:type="paragraph" w:styleId="50">
    <w:name w:val="toc 8"/>
    <w:basedOn w:val="1"/>
    <w:next w:val="1"/>
    <w:qFormat/>
    <w:uiPriority w:val="39"/>
    <w:pPr>
      <w:ind w:left="1470"/>
      <w:jc w:val="left"/>
    </w:pPr>
    <w:rPr>
      <w:sz w:val="18"/>
      <w:szCs w:val="18"/>
    </w:rPr>
  </w:style>
  <w:style w:type="paragraph" w:styleId="51">
    <w:name w:val="index 3"/>
    <w:basedOn w:val="1"/>
    <w:next w:val="1"/>
    <w:qFormat/>
    <w:uiPriority w:val="0"/>
    <w:pPr>
      <w:ind w:left="400" w:leftChars="400"/>
    </w:pPr>
    <w:rPr>
      <w:sz w:val="24"/>
    </w:rPr>
  </w:style>
  <w:style w:type="paragraph" w:styleId="52">
    <w:name w:val="Date"/>
    <w:basedOn w:val="1"/>
    <w:next w:val="1"/>
    <w:link w:val="135"/>
    <w:qFormat/>
    <w:uiPriority w:val="99"/>
    <w:pPr>
      <w:ind w:left="100" w:leftChars="2500"/>
    </w:pPr>
    <w:rPr>
      <w:spacing w:val="0"/>
      <w:szCs w:val="24"/>
    </w:rPr>
  </w:style>
  <w:style w:type="paragraph" w:styleId="53">
    <w:name w:val="endnote text"/>
    <w:basedOn w:val="1"/>
    <w:link w:val="136"/>
    <w:qFormat/>
    <w:uiPriority w:val="0"/>
    <w:pPr>
      <w:snapToGrid w:val="0"/>
      <w:jc w:val="left"/>
    </w:pPr>
    <w:rPr>
      <w:spacing w:val="0"/>
      <w:sz w:val="24"/>
    </w:rPr>
  </w:style>
  <w:style w:type="paragraph" w:styleId="54">
    <w:name w:val="List Continue 5"/>
    <w:basedOn w:val="1"/>
    <w:qFormat/>
    <w:uiPriority w:val="0"/>
    <w:pPr>
      <w:spacing w:after="120"/>
      <w:ind w:left="2100" w:leftChars="1000"/>
    </w:pPr>
    <w:rPr>
      <w:sz w:val="24"/>
    </w:rPr>
  </w:style>
  <w:style w:type="paragraph" w:styleId="55">
    <w:name w:val="Balloon Text"/>
    <w:basedOn w:val="1"/>
    <w:link w:val="137"/>
    <w:qFormat/>
    <w:uiPriority w:val="99"/>
    <w:rPr>
      <w:spacing w:val="0"/>
      <w:sz w:val="18"/>
      <w:szCs w:val="18"/>
    </w:rPr>
  </w:style>
  <w:style w:type="paragraph" w:styleId="56">
    <w:name w:val="footer"/>
    <w:basedOn w:val="1"/>
    <w:link w:val="118"/>
    <w:unhideWhenUsed/>
    <w:qFormat/>
    <w:uiPriority w:val="99"/>
    <w:pPr>
      <w:tabs>
        <w:tab w:val="center" w:pos="4153"/>
        <w:tab w:val="right" w:pos="8306"/>
      </w:tabs>
      <w:snapToGrid w:val="0"/>
      <w:jc w:val="left"/>
    </w:pPr>
    <w:rPr>
      <w:sz w:val="18"/>
      <w:szCs w:val="18"/>
    </w:rPr>
  </w:style>
  <w:style w:type="paragraph" w:styleId="57">
    <w:name w:val="envelope return"/>
    <w:basedOn w:val="1"/>
    <w:qFormat/>
    <w:uiPriority w:val="0"/>
    <w:pPr>
      <w:snapToGrid w:val="0"/>
    </w:pPr>
    <w:rPr>
      <w:rFonts w:ascii="Arial" w:hAnsi="Arial" w:cs="Arial"/>
      <w:sz w:val="24"/>
    </w:rPr>
  </w:style>
  <w:style w:type="paragraph" w:styleId="58">
    <w:name w:val="header"/>
    <w:basedOn w:val="1"/>
    <w:link w:val="117"/>
    <w:unhideWhenUsed/>
    <w:qFormat/>
    <w:uiPriority w:val="99"/>
    <w:pPr>
      <w:pBdr>
        <w:bottom w:val="single" w:color="auto" w:sz="6" w:space="1"/>
      </w:pBdr>
      <w:tabs>
        <w:tab w:val="center" w:pos="4153"/>
        <w:tab w:val="right" w:pos="8306"/>
      </w:tabs>
      <w:snapToGrid w:val="0"/>
      <w:jc w:val="center"/>
    </w:pPr>
    <w:rPr>
      <w:sz w:val="18"/>
      <w:szCs w:val="18"/>
    </w:rPr>
  </w:style>
  <w:style w:type="paragraph" w:styleId="59">
    <w:name w:val="Signature"/>
    <w:basedOn w:val="1"/>
    <w:link w:val="140"/>
    <w:qFormat/>
    <w:uiPriority w:val="99"/>
    <w:pPr>
      <w:ind w:left="100" w:leftChars="2100"/>
    </w:pPr>
    <w:rPr>
      <w:spacing w:val="0"/>
      <w:sz w:val="24"/>
    </w:rPr>
  </w:style>
  <w:style w:type="paragraph" w:styleId="60">
    <w:name w:val="toc 1"/>
    <w:basedOn w:val="1"/>
    <w:next w:val="1"/>
    <w:qFormat/>
    <w:uiPriority w:val="39"/>
    <w:pPr>
      <w:spacing w:before="120" w:after="120"/>
      <w:jc w:val="left"/>
    </w:pPr>
    <w:rPr>
      <w:b/>
      <w:bCs/>
      <w:caps/>
    </w:rPr>
  </w:style>
  <w:style w:type="paragraph" w:styleId="61">
    <w:name w:val="List Continue 4"/>
    <w:basedOn w:val="1"/>
    <w:qFormat/>
    <w:uiPriority w:val="0"/>
    <w:pPr>
      <w:spacing w:after="120"/>
      <w:ind w:left="1680" w:leftChars="800"/>
    </w:pPr>
    <w:rPr>
      <w:sz w:val="24"/>
    </w:rPr>
  </w:style>
  <w:style w:type="paragraph" w:styleId="62">
    <w:name w:val="toc 4"/>
    <w:basedOn w:val="1"/>
    <w:next w:val="1"/>
    <w:qFormat/>
    <w:uiPriority w:val="39"/>
    <w:pPr>
      <w:ind w:left="630"/>
      <w:jc w:val="left"/>
    </w:pPr>
    <w:rPr>
      <w:sz w:val="18"/>
      <w:szCs w:val="18"/>
    </w:rPr>
  </w:style>
  <w:style w:type="paragraph" w:styleId="63">
    <w:name w:val="index heading"/>
    <w:basedOn w:val="1"/>
    <w:next w:val="64"/>
    <w:qFormat/>
    <w:uiPriority w:val="0"/>
    <w:rPr>
      <w:rFonts w:ascii="Arial" w:hAnsi="Arial" w:cs="Arial"/>
      <w:b/>
      <w:bCs/>
      <w:sz w:val="24"/>
    </w:rPr>
  </w:style>
  <w:style w:type="paragraph" w:styleId="64">
    <w:name w:val="index 1"/>
    <w:basedOn w:val="1"/>
    <w:next w:val="1"/>
    <w:autoRedefine/>
    <w:unhideWhenUsed/>
    <w:qFormat/>
    <w:uiPriority w:val="0"/>
  </w:style>
  <w:style w:type="paragraph" w:styleId="65">
    <w:name w:val="Subtitle"/>
    <w:basedOn w:val="1"/>
    <w:link w:val="141"/>
    <w:qFormat/>
    <w:uiPriority w:val="11"/>
    <w:pPr>
      <w:spacing w:before="240" w:after="60" w:line="312" w:lineRule="auto"/>
      <w:jc w:val="center"/>
      <w:outlineLvl w:val="1"/>
    </w:pPr>
    <w:rPr>
      <w:rFonts w:ascii="Arial" w:hAnsi="Arial"/>
      <w:b/>
      <w:bCs/>
      <w:spacing w:val="0"/>
      <w:kern w:val="28"/>
      <w:sz w:val="32"/>
      <w:szCs w:val="32"/>
    </w:rPr>
  </w:style>
  <w:style w:type="paragraph" w:styleId="66">
    <w:name w:val="List Number 5"/>
    <w:basedOn w:val="1"/>
    <w:qFormat/>
    <w:uiPriority w:val="0"/>
    <w:pPr>
      <w:tabs>
        <w:tab w:val="left" w:pos="360"/>
      </w:tabs>
      <w:ind w:left="360" w:hanging="360"/>
    </w:pPr>
  </w:style>
  <w:style w:type="paragraph" w:styleId="67">
    <w:name w:val="List"/>
    <w:basedOn w:val="1"/>
    <w:qFormat/>
    <w:uiPriority w:val="0"/>
    <w:pPr>
      <w:ind w:left="200" w:hanging="200" w:hangingChars="200"/>
    </w:pPr>
  </w:style>
  <w:style w:type="paragraph" w:styleId="68">
    <w:name w:val="footnote text"/>
    <w:basedOn w:val="1"/>
    <w:link w:val="142"/>
    <w:qFormat/>
    <w:uiPriority w:val="0"/>
    <w:pPr>
      <w:snapToGrid w:val="0"/>
      <w:jc w:val="left"/>
    </w:pPr>
    <w:rPr>
      <w:spacing w:val="0"/>
      <w:sz w:val="18"/>
      <w:szCs w:val="18"/>
    </w:rPr>
  </w:style>
  <w:style w:type="paragraph" w:styleId="69">
    <w:name w:val="toc 6"/>
    <w:basedOn w:val="1"/>
    <w:next w:val="1"/>
    <w:qFormat/>
    <w:uiPriority w:val="39"/>
    <w:pPr>
      <w:ind w:left="1050"/>
      <w:jc w:val="left"/>
    </w:pPr>
    <w:rPr>
      <w:sz w:val="18"/>
      <w:szCs w:val="18"/>
    </w:rPr>
  </w:style>
  <w:style w:type="paragraph" w:styleId="70">
    <w:name w:val="List 5"/>
    <w:basedOn w:val="1"/>
    <w:qFormat/>
    <w:uiPriority w:val="0"/>
    <w:pPr>
      <w:ind w:left="100" w:leftChars="800" w:hanging="200" w:hangingChars="200"/>
    </w:pPr>
  </w:style>
  <w:style w:type="paragraph" w:styleId="71">
    <w:name w:val="Body Text Indent 3"/>
    <w:basedOn w:val="1"/>
    <w:link w:val="143"/>
    <w:qFormat/>
    <w:uiPriority w:val="0"/>
    <w:pPr>
      <w:spacing w:after="120"/>
      <w:ind w:left="420" w:leftChars="200"/>
    </w:pPr>
    <w:rPr>
      <w:spacing w:val="0"/>
      <w:sz w:val="16"/>
      <w:szCs w:val="16"/>
    </w:rPr>
  </w:style>
  <w:style w:type="paragraph" w:styleId="72">
    <w:name w:val="index 7"/>
    <w:basedOn w:val="1"/>
    <w:next w:val="1"/>
    <w:qFormat/>
    <w:uiPriority w:val="0"/>
    <w:pPr>
      <w:ind w:left="1200" w:leftChars="1200"/>
    </w:pPr>
    <w:rPr>
      <w:sz w:val="24"/>
    </w:rPr>
  </w:style>
  <w:style w:type="paragraph" w:styleId="73">
    <w:name w:val="index 9"/>
    <w:basedOn w:val="1"/>
    <w:next w:val="1"/>
    <w:qFormat/>
    <w:uiPriority w:val="0"/>
    <w:pPr>
      <w:ind w:left="1600" w:leftChars="1600"/>
    </w:pPr>
    <w:rPr>
      <w:sz w:val="24"/>
    </w:rPr>
  </w:style>
  <w:style w:type="paragraph" w:styleId="74">
    <w:name w:val="table of figures"/>
    <w:basedOn w:val="1"/>
    <w:next w:val="1"/>
    <w:qFormat/>
    <w:uiPriority w:val="0"/>
    <w:pPr>
      <w:widowControl/>
      <w:ind w:left="200" w:leftChars="200" w:hanging="200" w:hangingChars="200"/>
      <w:jc w:val="left"/>
    </w:pPr>
    <w:rPr>
      <w:rFonts w:ascii="宋体" w:hAnsi="宋体" w:cs="宋体"/>
      <w:sz w:val="24"/>
    </w:rPr>
  </w:style>
  <w:style w:type="paragraph" w:styleId="75">
    <w:name w:val="toc 2"/>
    <w:basedOn w:val="1"/>
    <w:next w:val="1"/>
    <w:qFormat/>
    <w:uiPriority w:val="39"/>
    <w:pPr>
      <w:tabs>
        <w:tab w:val="right" w:leader="dot" w:pos="8303"/>
      </w:tabs>
      <w:ind w:left="210"/>
      <w:jc w:val="left"/>
    </w:pPr>
    <w:rPr>
      <w:smallCaps/>
      <w:sz w:val="22"/>
      <w:szCs w:val="22"/>
    </w:rPr>
  </w:style>
  <w:style w:type="paragraph" w:styleId="76">
    <w:name w:val="toc 9"/>
    <w:basedOn w:val="1"/>
    <w:next w:val="1"/>
    <w:qFormat/>
    <w:uiPriority w:val="39"/>
    <w:pPr>
      <w:ind w:left="1680"/>
      <w:jc w:val="left"/>
    </w:pPr>
    <w:rPr>
      <w:sz w:val="18"/>
      <w:szCs w:val="18"/>
    </w:rPr>
  </w:style>
  <w:style w:type="paragraph" w:styleId="77">
    <w:name w:val="Body Text 2"/>
    <w:basedOn w:val="1"/>
    <w:link w:val="144"/>
    <w:qFormat/>
    <w:uiPriority w:val="99"/>
    <w:pPr>
      <w:spacing w:after="120" w:line="480" w:lineRule="auto"/>
    </w:pPr>
    <w:rPr>
      <w:spacing w:val="0"/>
      <w:szCs w:val="24"/>
    </w:rPr>
  </w:style>
  <w:style w:type="paragraph" w:styleId="78">
    <w:name w:val="List 4"/>
    <w:basedOn w:val="1"/>
    <w:qFormat/>
    <w:uiPriority w:val="0"/>
    <w:pPr>
      <w:ind w:left="100" w:leftChars="600" w:hanging="200" w:hangingChars="200"/>
    </w:pPr>
  </w:style>
  <w:style w:type="paragraph" w:styleId="79">
    <w:name w:val="List Continue 2"/>
    <w:basedOn w:val="1"/>
    <w:qFormat/>
    <w:uiPriority w:val="0"/>
    <w:pPr>
      <w:spacing w:after="120"/>
      <w:ind w:left="840" w:leftChars="400"/>
    </w:pPr>
  </w:style>
  <w:style w:type="paragraph" w:styleId="80">
    <w:name w:val="Message Header"/>
    <w:basedOn w:val="1"/>
    <w:link w:val="145"/>
    <w:qFormat/>
    <w:uiPriority w:val="99"/>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spacing w:val="0"/>
      <w:sz w:val="24"/>
      <w:szCs w:val="24"/>
    </w:rPr>
  </w:style>
  <w:style w:type="paragraph" w:styleId="81">
    <w:name w:val="HTML Preformatted"/>
    <w:basedOn w:val="1"/>
    <w:link w:val="146"/>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spacing w:val="0"/>
    </w:rPr>
  </w:style>
  <w:style w:type="paragraph" w:styleId="82">
    <w:name w:val="Normal (Web)"/>
    <w:basedOn w:val="1"/>
    <w:link w:val="147"/>
    <w:qFormat/>
    <w:uiPriority w:val="99"/>
    <w:rPr>
      <w:spacing w:val="0"/>
      <w:sz w:val="24"/>
      <w:szCs w:val="24"/>
    </w:rPr>
  </w:style>
  <w:style w:type="paragraph" w:styleId="83">
    <w:name w:val="List Continue 3"/>
    <w:basedOn w:val="1"/>
    <w:qFormat/>
    <w:uiPriority w:val="0"/>
    <w:pPr>
      <w:spacing w:after="120"/>
      <w:ind w:left="1260" w:leftChars="600"/>
    </w:pPr>
    <w:rPr>
      <w:sz w:val="24"/>
    </w:rPr>
  </w:style>
  <w:style w:type="paragraph" w:styleId="84">
    <w:name w:val="index 2"/>
    <w:basedOn w:val="1"/>
    <w:next w:val="1"/>
    <w:qFormat/>
    <w:uiPriority w:val="0"/>
    <w:pPr>
      <w:ind w:left="200" w:leftChars="200"/>
    </w:pPr>
    <w:rPr>
      <w:sz w:val="24"/>
    </w:rPr>
  </w:style>
  <w:style w:type="paragraph" w:styleId="85">
    <w:name w:val="Title"/>
    <w:basedOn w:val="1"/>
    <w:link w:val="149"/>
    <w:qFormat/>
    <w:uiPriority w:val="10"/>
    <w:pPr>
      <w:spacing w:before="240" w:after="240"/>
      <w:jc w:val="center"/>
      <w:outlineLvl w:val="0"/>
    </w:pPr>
    <w:rPr>
      <w:b/>
      <w:bCs/>
      <w:sz w:val="36"/>
      <w:szCs w:val="32"/>
    </w:rPr>
  </w:style>
  <w:style w:type="paragraph" w:styleId="86">
    <w:name w:val="annotation subject"/>
    <w:next w:val="28"/>
    <w:link w:val="120"/>
    <w:qFormat/>
    <w:uiPriority w:val="99"/>
    <w:rPr>
      <w:rFonts w:ascii="Times New Roman" w:hAnsi="Times New Roman" w:eastAsia="宋体" w:cs="Times New Roman"/>
      <w:b/>
      <w:bCs/>
      <w:spacing w:val="-2"/>
      <w:kern w:val="2"/>
      <w:sz w:val="21"/>
      <w:szCs w:val="24"/>
      <w:lang w:val="en-US" w:eastAsia="zh-CN" w:bidi="ar-SA"/>
    </w:rPr>
  </w:style>
  <w:style w:type="paragraph" w:styleId="87">
    <w:name w:val="Body Text First Indent"/>
    <w:basedOn w:val="34"/>
    <w:link w:val="122"/>
    <w:qFormat/>
    <w:uiPriority w:val="0"/>
    <w:pPr>
      <w:ind w:firstLine="420" w:firstLineChars="100"/>
    </w:pPr>
    <w:rPr>
      <w:rFonts w:ascii="Times New Roman" w:hAnsi="Times New Roman" w:eastAsia="宋体" w:cs="Times New Roman"/>
      <w:spacing w:val="-2"/>
      <w:kern w:val="2"/>
      <w:sz w:val="21"/>
      <w:szCs w:val="24"/>
      <w:lang w:val="en-US" w:eastAsia="zh-CN" w:bidi="ar-SA"/>
    </w:rPr>
  </w:style>
  <w:style w:type="table" w:styleId="89">
    <w:name w:val="Table Grid"/>
    <w:basedOn w:val="88"/>
    <w:qFormat/>
    <w:uiPriority w:val="3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91">
    <w:name w:val="Strong"/>
    <w:qFormat/>
    <w:uiPriority w:val="0"/>
    <w:rPr>
      <w:b/>
      <w:bCs/>
    </w:rPr>
  </w:style>
  <w:style w:type="character" w:styleId="92">
    <w:name w:val="endnote reference"/>
    <w:qFormat/>
    <w:uiPriority w:val="0"/>
    <w:rPr>
      <w:vertAlign w:val="superscript"/>
    </w:rPr>
  </w:style>
  <w:style w:type="character" w:styleId="93">
    <w:name w:val="page number"/>
    <w:basedOn w:val="90"/>
    <w:qFormat/>
    <w:uiPriority w:val="0"/>
  </w:style>
  <w:style w:type="character" w:styleId="94">
    <w:name w:val="FollowedHyperlink"/>
    <w:qFormat/>
    <w:uiPriority w:val="99"/>
    <w:rPr>
      <w:color w:val="333333"/>
      <w:u w:val="none"/>
    </w:rPr>
  </w:style>
  <w:style w:type="character" w:styleId="95">
    <w:name w:val="Emphasis"/>
    <w:qFormat/>
    <w:uiPriority w:val="20"/>
    <w:rPr>
      <w:i/>
      <w:iCs/>
    </w:rPr>
  </w:style>
  <w:style w:type="character" w:styleId="96">
    <w:name w:val="line number"/>
    <w:basedOn w:val="90"/>
    <w:qFormat/>
    <w:uiPriority w:val="0"/>
  </w:style>
  <w:style w:type="character" w:styleId="97">
    <w:name w:val="HTML Definition"/>
    <w:qFormat/>
    <w:uiPriority w:val="0"/>
    <w:rPr>
      <w:i/>
      <w:iCs/>
    </w:rPr>
  </w:style>
  <w:style w:type="character" w:styleId="98">
    <w:name w:val="HTML Typewriter"/>
    <w:qFormat/>
    <w:uiPriority w:val="0"/>
    <w:rPr>
      <w:rFonts w:ascii="Courier New" w:hAnsi="Courier New" w:cs="Courier New"/>
      <w:sz w:val="20"/>
      <w:szCs w:val="20"/>
    </w:rPr>
  </w:style>
  <w:style w:type="character" w:styleId="99">
    <w:name w:val="HTML Acronym"/>
    <w:basedOn w:val="90"/>
    <w:qFormat/>
    <w:uiPriority w:val="0"/>
  </w:style>
  <w:style w:type="character" w:styleId="100">
    <w:name w:val="HTML Variable"/>
    <w:qFormat/>
    <w:uiPriority w:val="0"/>
    <w:rPr>
      <w:i/>
      <w:iCs/>
    </w:rPr>
  </w:style>
  <w:style w:type="character" w:styleId="101">
    <w:name w:val="Hyperlink"/>
    <w:qFormat/>
    <w:uiPriority w:val="99"/>
    <w:rPr>
      <w:color w:val="333333"/>
      <w:u w:val="none"/>
    </w:rPr>
  </w:style>
  <w:style w:type="character" w:styleId="102">
    <w:name w:val="HTML Code"/>
    <w:qFormat/>
    <w:uiPriority w:val="0"/>
    <w:rPr>
      <w:rFonts w:ascii="Courier New" w:hAnsi="Courier New" w:cs="Courier New"/>
      <w:sz w:val="20"/>
      <w:szCs w:val="20"/>
    </w:rPr>
  </w:style>
  <w:style w:type="character" w:styleId="103">
    <w:name w:val="annotation reference"/>
    <w:qFormat/>
    <w:uiPriority w:val="0"/>
    <w:rPr>
      <w:sz w:val="21"/>
      <w:szCs w:val="21"/>
    </w:rPr>
  </w:style>
  <w:style w:type="character" w:styleId="104">
    <w:name w:val="HTML Cite"/>
    <w:qFormat/>
    <w:uiPriority w:val="0"/>
    <w:rPr>
      <w:i/>
      <w:iCs/>
    </w:rPr>
  </w:style>
  <w:style w:type="character" w:styleId="105">
    <w:name w:val="footnote reference"/>
    <w:qFormat/>
    <w:uiPriority w:val="0"/>
    <w:rPr>
      <w:vertAlign w:val="superscript"/>
    </w:rPr>
  </w:style>
  <w:style w:type="character" w:styleId="106">
    <w:name w:val="HTML Keyboard"/>
    <w:qFormat/>
    <w:uiPriority w:val="0"/>
    <w:rPr>
      <w:rFonts w:ascii="Courier New" w:hAnsi="Courier New" w:cs="Courier New"/>
      <w:sz w:val="20"/>
      <w:szCs w:val="20"/>
    </w:rPr>
  </w:style>
  <w:style w:type="character" w:styleId="107">
    <w:name w:val="HTML Sample"/>
    <w:qFormat/>
    <w:uiPriority w:val="0"/>
    <w:rPr>
      <w:rFonts w:ascii="Courier New" w:hAnsi="Courier New" w:cs="Courier New"/>
    </w:rPr>
  </w:style>
  <w:style w:type="character" w:customStyle="1" w:styleId="108">
    <w:name w:val="标题 1 Char"/>
    <w:basedOn w:val="90"/>
    <w:link w:val="3"/>
    <w:qFormat/>
    <w:uiPriority w:val="0"/>
    <w:rPr>
      <w:rFonts w:ascii="Times New Roman" w:hAnsi="Times New Roman" w:eastAsia="宋体" w:cs="Times New Roman"/>
      <w:b/>
      <w:bCs/>
      <w:kern w:val="44"/>
      <w:sz w:val="44"/>
      <w:szCs w:val="44"/>
    </w:rPr>
  </w:style>
  <w:style w:type="character" w:customStyle="1" w:styleId="109">
    <w:name w:val="标题 2 Char"/>
    <w:basedOn w:val="90"/>
    <w:link w:val="4"/>
    <w:qFormat/>
    <w:uiPriority w:val="0"/>
    <w:rPr>
      <w:rFonts w:ascii="Times New Roman" w:hAnsi="Times New Roman" w:eastAsia="宋体" w:cs="Times New Roman"/>
      <w:b/>
      <w:spacing w:val="-2"/>
      <w:kern w:val="0"/>
      <w:sz w:val="28"/>
      <w:szCs w:val="20"/>
    </w:rPr>
  </w:style>
  <w:style w:type="character" w:customStyle="1" w:styleId="110">
    <w:name w:val="标题 3 Char"/>
    <w:basedOn w:val="90"/>
    <w:link w:val="5"/>
    <w:qFormat/>
    <w:uiPriority w:val="0"/>
    <w:rPr>
      <w:rFonts w:ascii="Times New Roman" w:hAnsi="Times New Roman" w:eastAsia="黑体" w:cs="Times New Roman"/>
      <w:b/>
      <w:color w:val="808080"/>
      <w:spacing w:val="8"/>
      <w:kern w:val="0"/>
      <w:sz w:val="28"/>
      <w:szCs w:val="20"/>
    </w:rPr>
  </w:style>
  <w:style w:type="character" w:customStyle="1" w:styleId="111">
    <w:name w:val="标题 4 Char"/>
    <w:basedOn w:val="90"/>
    <w:link w:val="6"/>
    <w:qFormat/>
    <w:uiPriority w:val="0"/>
    <w:rPr>
      <w:rFonts w:ascii="Arial" w:hAnsi="Arial" w:eastAsia="黑体" w:cs="Times New Roman"/>
      <w:b/>
      <w:bCs/>
      <w:kern w:val="0"/>
      <w:sz w:val="28"/>
      <w:szCs w:val="28"/>
    </w:rPr>
  </w:style>
  <w:style w:type="character" w:customStyle="1" w:styleId="112">
    <w:name w:val="标题 5 Char"/>
    <w:basedOn w:val="90"/>
    <w:link w:val="7"/>
    <w:qFormat/>
    <w:uiPriority w:val="0"/>
    <w:rPr>
      <w:rFonts w:ascii="Times New Roman" w:hAnsi="Times New Roman" w:eastAsia="宋体" w:cs="Times New Roman"/>
      <w:b/>
      <w:spacing w:val="4"/>
      <w:kern w:val="0"/>
      <w:sz w:val="28"/>
      <w:szCs w:val="24"/>
    </w:rPr>
  </w:style>
  <w:style w:type="character" w:customStyle="1" w:styleId="113">
    <w:name w:val="标题 6 Char"/>
    <w:basedOn w:val="90"/>
    <w:link w:val="8"/>
    <w:qFormat/>
    <w:uiPriority w:val="0"/>
    <w:rPr>
      <w:rFonts w:ascii="Arial" w:hAnsi="Arial" w:eastAsia="黑体" w:cs="Times New Roman"/>
      <w:b/>
      <w:spacing w:val="4"/>
      <w:kern w:val="0"/>
      <w:sz w:val="24"/>
      <w:szCs w:val="24"/>
    </w:rPr>
  </w:style>
  <w:style w:type="character" w:customStyle="1" w:styleId="114">
    <w:name w:val="标题 7 Char"/>
    <w:basedOn w:val="90"/>
    <w:link w:val="9"/>
    <w:qFormat/>
    <w:uiPriority w:val="0"/>
    <w:rPr>
      <w:rFonts w:ascii="Times New Roman" w:hAnsi="Times New Roman" w:eastAsia="宋体" w:cs="Times New Roman"/>
      <w:b/>
      <w:spacing w:val="4"/>
      <w:kern w:val="0"/>
      <w:sz w:val="24"/>
      <w:szCs w:val="24"/>
    </w:rPr>
  </w:style>
  <w:style w:type="character" w:customStyle="1" w:styleId="115">
    <w:name w:val="标题 8 Char"/>
    <w:basedOn w:val="90"/>
    <w:link w:val="10"/>
    <w:qFormat/>
    <w:uiPriority w:val="0"/>
    <w:rPr>
      <w:rFonts w:ascii="Arial" w:hAnsi="Arial" w:eastAsia="黑体" w:cs="Times New Roman"/>
      <w:spacing w:val="4"/>
      <w:kern w:val="0"/>
      <w:sz w:val="24"/>
      <w:szCs w:val="24"/>
    </w:rPr>
  </w:style>
  <w:style w:type="character" w:customStyle="1" w:styleId="116">
    <w:name w:val="标题 9 Char"/>
    <w:basedOn w:val="90"/>
    <w:link w:val="11"/>
    <w:qFormat/>
    <w:uiPriority w:val="0"/>
    <w:rPr>
      <w:rFonts w:ascii="Arial" w:hAnsi="Arial" w:eastAsia="楷体_GB2312" w:cs="Times New Roman"/>
      <w:spacing w:val="4"/>
      <w:kern w:val="0"/>
      <w:sz w:val="24"/>
      <w:szCs w:val="24"/>
    </w:rPr>
  </w:style>
  <w:style w:type="character" w:customStyle="1" w:styleId="117">
    <w:name w:val="页眉 Char"/>
    <w:basedOn w:val="90"/>
    <w:link w:val="58"/>
    <w:qFormat/>
    <w:uiPriority w:val="99"/>
    <w:rPr>
      <w:rFonts w:ascii="Times New Roman" w:hAnsi="Times New Roman" w:eastAsia="宋体" w:cs="Times New Roman"/>
      <w:spacing w:val="-2"/>
      <w:kern w:val="0"/>
      <w:sz w:val="18"/>
      <w:szCs w:val="18"/>
    </w:rPr>
  </w:style>
  <w:style w:type="character" w:customStyle="1" w:styleId="118">
    <w:name w:val="页脚 Char"/>
    <w:basedOn w:val="90"/>
    <w:link w:val="56"/>
    <w:qFormat/>
    <w:uiPriority w:val="99"/>
    <w:rPr>
      <w:rFonts w:ascii="Times New Roman" w:hAnsi="Times New Roman" w:eastAsia="宋体" w:cs="Times New Roman"/>
      <w:spacing w:val="-2"/>
      <w:kern w:val="0"/>
      <w:sz w:val="18"/>
      <w:szCs w:val="18"/>
    </w:rPr>
  </w:style>
  <w:style w:type="character" w:customStyle="1" w:styleId="119">
    <w:name w:val="批注文字 Char"/>
    <w:basedOn w:val="90"/>
    <w:link w:val="28"/>
    <w:qFormat/>
    <w:uiPriority w:val="0"/>
    <w:rPr>
      <w:rFonts w:ascii="Times New Roman" w:hAnsi="Times New Roman" w:eastAsia="宋体" w:cs="Times New Roman"/>
      <w:spacing w:val="-2"/>
      <w:kern w:val="0"/>
      <w:sz w:val="20"/>
      <w:szCs w:val="20"/>
    </w:rPr>
  </w:style>
  <w:style w:type="character" w:customStyle="1" w:styleId="120">
    <w:name w:val="批注主题 Char"/>
    <w:basedOn w:val="119"/>
    <w:link w:val="86"/>
    <w:qFormat/>
    <w:uiPriority w:val="99"/>
    <w:rPr>
      <w:rFonts w:ascii="Times New Roman" w:hAnsi="Times New Roman" w:eastAsia="宋体" w:cs="Times New Roman"/>
      <w:b/>
      <w:bCs/>
      <w:spacing w:val="-2"/>
      <w:kern w:val="0"/>
      <w:sz w:val="20"/>
      <w:szCs w:val="24"/>
    </w:rPr>
  </w:style>
  <w:style w:type="character" w:customStyle="1" w:styleId="121">
    <w:name w:val="正文文本 Char"/>
    <w:basedOn w:val="90"/>
    <w:link w:val="34"/>
    <w:qFormat/>
    <w:uiPriority w:val="0"/>
    <w:rPr>
      <w:rFonts w:ascii="Times New Roman" w:hAnsi="Times New Roman" w:eastAsia="宋体" w:cs="Times New Roman"/>
      <w:spacing w:val="-2"/>
      <w:kern w:val="0"/>
      <w:sz w:val="20"/>
      <w:szCs w:val="20"/>
    </w:rPr>
  </w:style>
  <w:style w:type="character" w:customStyle="1" w:styleId="122">
    <w:name w:val="正文首行缩进 Char"/>
    <w:basedOn w:val="121"/>
    <w:link w:val="87"/>
    <w:qFormat/>
    <w:uiPriority w:val="0"/>
    <w:rPr>
      <w:rFonts w:ascii="Times New Roman" w:hAnsi="Times New Roman" w:eastAsia="宋体" w:cs="Times New Roman"/>
      <w:spacing w:val="-2"/>
      <w:kern w:val="0"/>
      <w:sz w:val="20"/>
      <w:szCs w:val="24"/>
    </w:rPr>
  </w:style>
  <w:style w:type="character" w:customStyle="1" w:styleId="123">
    <w:name w:val="宏文本 Char"/>
    <w:basedOn w:val="90"/>
    <w:link w:val="2"/>
    <w:qFormat/>
    <w:uiPriority w:val="0"/>
    <w:rPr>
      <w:rFonts w:ascii="Courier New" w:hAnsi="Courier New" w:eastAsia="宋体" w:cs="Courier New"/>
      <w:sz w:val="24"/>
      <w:szCs w:val="24"/>
    </w:rPr>
  </w:style>
  <w:style w:type="character" w:customStyle="1" w:styleId="124">
    <w:name w:val="注释标题 Char"/>
    <w:basedOn w:val="90"/>
    <w:link w:val="16"/>
    <w:qFormat/>
    <w:uiPriority w:val="99"/>
    <w:rPr>
      <w:rFonts w:ascii="Times New Roman" w:hAnsi="Times New Roman" w:eastAsia="宋体" w:cs="Times New Roman"/>
      <w:kern w:val="0"/>
      <w:sz w:val="20"/>
      <w:szCs w:val="20"/>
    </w:rPr>
  </w:style>
  <w:style w:type="character" w:customStyle="1" w:styleId="125">
    <w:name w:val="电子邮件签名 Char"/>
    <w:basedOn w:val="90"/>
    <w:link w:val="19"/>
    <w:qFormat/>
    <w:uiPriority w:val="99"/>
    <w:rPr>
      <w:rFonts w:ascii="Times New Roman" w:hAnsi="Times New Roman" w:eastAsia="宋体" w:cs="Times New Roman"/>
      <w:kern w:val="0"/>
      <w:sz w:val="24"/>
      <w:szCs w:val="20"/>
    </w:rPr>
  </w:style>
  <w:style w:type="character" w:customStyle="1" w:styleId="126">
    <w:name w:val="正文缩进 Char1"/>
    <w:link w:val="21"/>
    <w:qFormat/>
    <w:uiPriority w:val="0"/>
    <w:rPr>
      <w:rFonts w:ascii="Times New Roman" w:hAnsi="Times New Roman" w:eastAsia="宋体" w:cs="Times New Roman"/>
      <w:kern w:val="0"/>
      <w:sz w:val="24"/>
      <w:szCs w:val="20"/>
    </w:rPr>
  </w:style>
  <w:style w:type="character" w:customStyle="1" w:styleId="127">
    <w:name w:val="题注 Char"/>
    <w:link w:val="22"/>
    <w:qFormat/>
    <w:uiPriority w:val="0"/>
    <w:rPr>
      <w:rFonts w:ascii="黑体" w:hAnsi="黑体" w:eastAsia="黑体" w:cs="Times New Roman"/>
      <w:kern w:val="44"/>
      <w:sz w:val="20"/>
      <w:szCs w:val="21"/>
    </w:rPr>
  </w:style>
  <w:style w:type="character" w:customStyle="1" w:styleId="128">
    <w:name w:val="文档结构图 Char"/>
    <w:basedOn w:val="90"/>
    <w:link w:val="26"/>
    <w:qFormat/>
    <w:uiPriority w:val="99"/>
    <w:rPr>
      <w:rFonts w:ascii="Times New Roman" w:hAnsi="Times New Roman" w:eastAsia="宋体" w:cs="Times New Roman"/>
      <w:kern w:val="0"/>
      <w:sz w:val="20"/>
      <w:szCs w:val="24"/>
      <w:shd w:val="clear" w:color="auto" w:fill="000080"/>
    </w:rPr>
  </w:style>
  <w:style w:type="character" w:customStyle="1" w:styleId="129">
    <w:name w:val="称呼 Char"/>
    <w:basedOn w:val="90"/>
    <w:link w:val="30"/>
    <w:qFormat/>
    <w:uiPriority w:val="0"/>
    <w:rPr>
      <w:rFonts w:ascii="Times New Roman" w:hAnsi="Times New Roman" w:eastAsia="宋体" w:cs="Times New Roman"/>
      <w:kern w:val="0"/>
      <w:sz w:val="24"/>
      <w:szCs w:val="20"/>
    </w:rPr>
  </w:style>
  <w:style w:type="character" w:customStyle="1" w:styleId="130">
    <w:name w:val="正文文本 3 Char"/>
    <w:basedOn w:val="90"/>
    <w:link w:val="31"/>
    <w:qFormat/>
    <w:uiPriority w:val="0"/>
    <w:rPr>
      <w:rFonts w:ascii="Times New Roman" w:hAnsi="Times New Roman" w:eastAsia="宋体" w:cs="Times New Roman"/>
      <w:kern w:val="0"/>
      <w:sz w:val="16"/>
      <w:szCs w:val="16"/>
    </w:rPr>
  </w:style>
  <w:style w:type="character" w:customStyle="1" w:styleId="131">
    <w:name w:val="结束语 Char"/>
    <w:basedOn w:val="90"/>
    <w:link w:val="32"/>
    <w:qFormat/>
    <w:uiPriority w:val="99"/>
    <w:rPr>
      <w:rFonts w:ascii="Times New Roman" w:hAnsi="Times New Roman" w:eastAsia="宋体" w:cs="Times New Roman"/>
      <w:kern w:val="0"/>
      <w:sz w:val="24"/>
      <w:szCs w:val="20"/>
    </w:rPr>
  </w:style>
  <w:style w:type="character" w:customStyle="1" w:styleId="132">
    <w:name w:val="正文文本缩进 Char"/>
    <w:basedOn w:val="90"/>
    <w:link w:val="35"/>
    <w:qFormat/>
    <w:uiPriority w:val="0"/>
    <w:rPr>
      <w:rFonts w:ascii="Times New Roman" w:hAnsi="Times New Roman" w:eastAsia="宋体" w:cs="Times New Roman"/>
      <w:kern w:val="0"/>
      <w:sz w:val="20"/>
      <w:szCs w:val="24"/>
    </w:rPr>
  </w:style>
  <w:style w:type="character" w:customStyle="1" w:styleId="133">
    <w:name w:val="HTML 地址 Char"/>
    <w:basedOn w:val="90"/>
    <w:link w:val="43"/>
    <w:qFormat/>
    <w:uiPriority w:val="99"/>
    <w:rPr>
      <w:rFonts w:ascii="Times New Roman" w:hAnsi="Times New Roman" w:eastAsia="宋体" w:cs="Times New Roman"/>
      <w:i/>
      <w:iCs/>
      <w:kern w:val="0"/>
      <w:sz w:val="24"/>
      <w:szCs w:val="20"/>
    </w:rPr>
  </w:style>
  <w:style w:type="character" w:customStyle="1" w:styleId="134">
    <w:name w:val="纯文本 Char"/>
    <w:basedOn w:val="90"/>
    <w:link w:val="47"/>
    <w:qFormat/>
    <w:uiPriority w:val="0"/>
    <w:rPr>
      <w:rFonts w:ascii="宋体" w:hAnsi="Courier New" w:eastAsia="宋体" w:cs="Times New Roman"/>
      <w:kern w:val="0"/>
      <w:sz w:val="20"/>
      <w:szCs w:val="20"/>
    </w:rPr>
  </w:style>
  <w:style w:type="character" w:customStyle="1" w:styleId="135">
    <w:name w:val="日期 Char"/>
    <w:basedOn w:val="90"/>
    <w:link w:val="52"/>
    <w:qFormat/>
    <w:uiPriority w:val="99"/>
    <w:rPr>
      <w:rFonts w:ascii="Times New Roman" w:hAnsi="Times New Roman" w:eastAsia="宋体" w:cs="Times New Roman"/>
      <w:kern w:val="0"/>
      <w:sz w:val="20"/>
      <w:szCs w:val="24"/>
    </w:rPr>
  </w:style>
  <w:style w:type="character" w:customStyle="1" w:styleId="136">
    <w:name w:val="尾注文本 Char"/>
    <w:basedOn w:val="90"/>
    <w:link w:val="53"/>
    <w:qFormat/>
    <w:uiPriority w:val="0"/>
    <w:rPr>
      <w:rFonts w:ascii="Times New Roman" w:hAnsi="Times New Roman" w:eastAsia="宋体" w:cs="Times New Roman"/>
      <w:kern w:val="0"/>
      <w:sz w:val="24"/>
      <w:szCs w:val="20"/>
    </w:rPr>
  </w:style>
  <w:style w:type="character" w:customStyle="1" w:styleId="137">
    <w:name w:val="批注框文本 Char"/>
    <w:basedOn w:val="90"/>
    <w:link w:val="55"/>
    <w:qFormat/>
    <w:uiPriority w:val="99"/>
    <w:rPr>
      <w:rFonts w:ascii="Times New Roman" w:hAnsi="Times New Roman" w:eastAsia="宋体" w:cs="Times New Roman"/>
      <w:kern w:val="0"/>
      <w:sz w:val="18"/>
      <w:szCs w:val="18"/>
    </w:rPr>
  </w:style>
  <w:style w:type="character" w:customStyle="1" w:styleId="138">
    <w:name w:val="页脚 Char1"/>
    <w:qFormat/>
    <w:uiPriority w:val="0"/>
    <w:rPr>
      <w:rFonts w:ascii="Times New Roman" w:hAnsi="Times New Roman" w:eastAsia="宋体" w:cs="Times New Roman"/>
      <w:sz w:val="18"/>
      <w:szCs w:val="18"/>
    </w:rPr>
  </w:style>
  <w:style w:type="character" w:customStyle="1" w:styleId="139">
    <w:name w:val="正文首行缩进 2 Char"/>
    <w:basedOn w:val="132"/>
    <w:link w:val="37"/>
    <w:qFormat/>
    <w:uiPriority w:val="99"/>
    <w:rPr>
      <w:rFonts w:ascii="Times New Roman" w:hAnsi="Times New Roman" w:eastAsia="宋体" w:cs="Times New Roman"/>
      <w:kern w:val="0"/>
      <w:sz w:val="20"/>
      <w:szCs w:val="24"/>
    </w:rPr>
  </w:style>
  <w:style w:type="character" w:customStyle="1" w:styleId="140">
    <w:name w:val="签名 Char"/>
    <w:basedOn w:val="90"/>
    <w:link w:val="59"/>
    <w:qFormat/>
    <w:uiPriority w:val="99"/>
    <w:rPr>
      <w:rFonts w:ascii="Times New Roman" w:hAnsi="Times New Roman" w:eastAsia="宋体" w:cs="Times New Roman"/>
      <w:kern w:val="0"/>
      <w:sz w:val="24"/>
      <w:szCs w:val="20"/>
    </w:rPr>
  </w:style>
  <w:style w:type="character" w:customStyle="1" w:styleId="141">
    <w:name w:val="副标题 Char"/>
    <w:basedOn w:val="90"/>
    <w:link w:val="65"/>
    <w:qFormat/>
    <w:uiPriority w:val="11"/>
    <w:rPr>
      <w:rFonts w:ascii="Arial" w:hAnsi="Arial" w:eastAsia="宋体" w:cs="Times New Roman"/>
      <w:b/>
      <w:bCs/>
      <w:kern w:val="28"/>
      <w:sz w:val="32"/>
      <w:szCs w:val="32"/>
    </w:rPr>
  </w:style>
  <w:style w:type="character" w:customStyle="1" w:styleId="142">
    <w:name w:val="脚注文本 Char"/>
    <w:basedOn w:val="90"/>
    <w:link w:val="68"/>
    <w:qFormat/>
    <w:uiPriority w:val="0"/>
    <w:rPr>
      <w:rFonts w:ascii="Times New Roman" w:hAnsi="Times New Roman" w:eastAsia="宋体" w:cs="Times New Roman"/>
      <w:kern w:val="0"/>
      <w:sz w:val="18"/>
      <w:szCs w:val="18"/>
    </w:rPr>
  </w:style>
  <w:style w:type="character" w:customStyle="1" w:styleId="143">
    <w:name w:val="正文文本缩进 3 Char"/>
    <w:basedOn w:val="90"/>
    <w:link w:val="71"/>
    <w:qFormat/>
    <w:uiPriority w:val="0"/>
    <w:rPr>
      <w:rFonts w:ascii="Times New Roman" w:hAnsi="Times New Roman" w:eastAsia="宋体" w:cs="Times New Roman"/>
      <w:kern w:val="0"/>
      <w:sz w:val="16"/>
      <w:szCs w:val="16"/>
    </w:rPr>
  </w:style>
  <w:style w:type="character" w:customStyle="1" w:styleId="144">
    <w:name w:val="正文文本 2 Char"/>
    <w:basedOn w:val="90"/>
    <w:link w:val="77"/>
    <w:qFormat/>
    <w:uiPriority w:val="99"/>
    <w:rPr>
      <w:rFonts w:ascii="Times New Roman" w:hAnsi="Times New Roman" w:eastAsia="宋体" w:cs="Times New Roman"/>
      <w:kern w:val="0"/>
      <w:sz w:val="20"/>
      <w:szCs w:val="24"/>
    </w:rPr>
  </w:style>
  <w:style w:type="character" w:customStyle="1" w:styleId="145">
    <w:name w:val="信息标题 Char"/>
    <w:basedOn w:val="90"/>
    <w:link w:val="80"/>
    <w:qFormat/>
    <w:uiPriority w:val="99"/>
    <w:rPr>
      <w:rFonts w:ascii="Arial" w:hAnsi="Arial" w:eastAsia="宋体" w:cs="Times New Roman"/>
      <w:kern w:val="0"/>
      <w:sz w:val="24"/>
      <w:szCs w:val="24"/>
      <w:shd w:val="pct20" w:color="auto" w:fill="auto"/>
    </w:rPr>
  </w:style>
  <w:style w:type="character" w:customStyle="1" w:styleId="146">
    <w:name w:val="HTML 预设格式 Char"/>
    <w:basedOn w:val="90"/>
    <w:link w:val="81"/>
    <w:qFormat/>
    <w:uiPriority w:val="99"/>
    <w:rPr>
      <w:rFonts w:ascii="黑体" w:hAnsi="Courier New" w:eastAsia="黑体" w:cs="Times New Roman"/>
      <w:kern w:val="0"/>
      <w:sz w:val="20"/>
      <w:szCs w:val="20"/>
    </w:rPr>
  </w:style>
  <w:style w:type="character" w:customStyle="1" w:styleId="147">
    <w:name w:val="普通(网站) Char1"/>
    <w:link w:val="82"/>
    <w:qFormat/>
    <w:uiPriority w:val="99"/>
    <w:rPr>
      <w:rFonts w:ascii="Times New Roman" w:hAnsi="Times New Roman" w:eastAsia="宋体" w:cs="Times New Roman"/>
      <w:kern w:val="0"/>
      <w:sz w:val="24"/>
      <w:szCs w:val="24"/>
    </w:rPr>
  </w:style>
  <w:style w:type="character" w:customStyle="1" w:styleId="148">
    <w:name w:val="标题 Char"/>
    <w:basedOn w:val="90"/>
    <w:qFormat/>
    <w:uiPriority w:val="0"/>
    <w:rPr>
      <w:rFonts w:eastAsia="宋体" w:asciiTheme="majorHAnsi" w:hAnsiTheme="majorHAnsi" w:cstheme="majorBidi"/>
      <w:b/>
      <w:bCs/>
      <w:spacing w:val="-2"/>
      <w:kern w:val="0"/>
      <w:sz w:val="32"/>
      <w:szCs w:val="32"/>
    </w:rPr>
  </w:style>
  <w:style w:type="character" w:customStyle="1" w:styleId="149">
    <w:name w:val="标题 Char2"/>
    <w:link w:val="85"/>
    <w:qFormat/>
    <w:uiPriority w:val="10"/>
    <w:rPr>
      <w:rFonts w:ascii="Times New Roman" w:hAnsi="Times New Roman" w:eastAsia="宋体" w:cs="Times New Roman"/>
      <w:b/>
      <w:bCs/>
      <w:spacing w:val="-2"/>
      <w:kern w:val="0"/>
      <w:sz w:val="36"/>
      <w:szCs w:val="32"/>
    </w:rPr>
  </w:style>
  <w:style w:type="character" w:customStyle="1" w:styleId="150">
    <w:name w:val="结束语 Char1"/>
    <w:qFormat/>
    <w:uiPriority w:val="0"/>
    <w:rPr>
      <w:kern w:val="2"/>
      <w:sz w:val="21"/>
      <w:szCs w:val="24"/>
    </w:rPr>
  </w:style>
  <w:style w:type="character" w:customStyle="1" w:styleId="151">
    <w:name w:val="标题样式2 Char Char"/>
    <w:link w:val="152"/>
    <w:qFormat/>
    <w:uiPriority w:val="0"/>
    <w:rPr>
      <w:rFonts w:ascii="黑体" w:hAnsi="Arial" w:eastAsia="黑体"/>
      <w:b/>
      <w:bCs/>
      <w:sz w:val="28"/>
      <w:szCs w:val="28"/>
    </w:rPr>
  </w:style>
  <w:style w:type="paragraph" w:customStyle="1" w:styleId="152">
    <w:name w:val="标题样式2"/>
    <w:basedOn w:val="4"/>
    <w:link w:val="151"/>
    <w:qFormat/>
    <w:uiPriority w:val="0"/>
    <w:pPr>
      <w:tabs>
        <w:tab w:val="clear" w:pos="1427"/>
      </w:tabs>
      <w:adjustRightInd/>
      <w:jc w:val="both"/>
      <w:textAlignment w:val="auto"/>
    </w:pPr>
    <w:rPr>
      <w:rFonts w:ascii="黑体" w:hAnsi="Arial" w:eastAsia="黑体" w:cstheme="minorBidi"/>
      <w:bCs/>
      <w:spacing w:val="0"/>
      <w:kern w:val="2"/>
      <w:szCs w:val="28"/>
    </w:rPr>
  </w:style>
  <w:style w:type="character" w:customStyle="1" w:styleId="153">
    <w:name w:val="postbody1"/>
    <w:qFormat/>
    <w:uiPriority w:val="0"/>
    <w:rPr>
      <w:sz w:val="21"/>
    </w:rPr>
  </w:style>
  <w:style w:type="character" w:customStyle="1" w:styleId="154">
    <w:name w:val="表头1 Char Char"/>
    <w:link w:val="155"/>
    <w:qFormat/>
    <w:uiPriority w:val="0"/>
    <w:rPr>
      <w:rFonts w:ascii="黑体" w:hAnsi="Times" w:eastAsia="黑体"/>
      <w:color w:val="000000"/>
      <w:sz w:val="24"/>
      <w:szCs w:val="24"/>
    </w:rPr>
  </w:style>
  <w:style w:type="paragraph" w:customStyle="1" w:styleId="155">
    <w:name w:val="表头1"/>
    <w:basedOn w:val="35"/>
    <w:link w:val="154"/>
    <w:qFormat/>
    <w:uiPriority w:val="0"/>
    <w:pPr>
      <w:adjustRightInd w:val="0"/>
      <w:snapToGrid w:val="0"/>
      <w:spacing w:after="0"/>
      <w:ind w:left="0" w:leftChars="0"/>
      <w:jc w:val="center"/>
    </w:pPr>
    <w:rPr>
      <w:rFonts w:ascii="黑体" w:hAnsi="Times" w:eastAsia="黑体" w:cstheme="minorBidi"/>
      <w:color w:val="000000"/>
      <w:kern w:val="2"/>
      <w:sz w:val="24"/>
    </w:rPr>
  </w:style>
  <w:style w:type="character" w:customStyle="1" w:styleId="156">
    <w:name w:val="样式88888888888 Char"/>
    <w:qFormat/>
    <w:locked/>
    <w:uiPriority w:val="0"/>
    <w:rPr>
      <w:rFonts w:ascii="宋体" w:hAnsi="宋体"/>
      <w:bCs/>
      <w:szCs w:val="21"/>
    </w:rPr>
  </w:style>
  <w:style w:type="character" w:customStyle="1" w:styleId="157">
    <w:name w:val="main6"/>
    <w:basedOn w:val="90"/>
    <w:qFormat/>
    <w:uiPriority w:val="0"/>
  </w:style>
  <w:style w:type="character" w:customStyle="1" w:styleId="158">
    <w:name w:val="正文，zhna Char Char"/>
    <w:qFormat/>
    <w:uiPriority w:val="0"/>
    <w:rPr>
      <w:rFonts w:ascii="Times New Roman" w:hAnsi="Times New Roman"/>
      <w:kern w:val="2"/>
      <w:sz w:val="21"/>
    </w:rPr>
  </w:style>
  <w:style w:type="character" w:customStyle="1" w:styleId="159">
    <w:name w:val="HTML 代码11"/>
    <w:qFormat/>
    <w:uiPriority w:val="0"/>
    <w:rPr>
      <w:rFonts w:ascii="Courier New" w:hAnsi="Courier New" w:cs="Courier New"/>
      <w:sz w:val="20"/>
      <w:szCs w:val="20"/>
    </w:rPr>
  </w:style>
  <w:style w:type="character" w:customStyle="1" w:styleId="160">
    <w:name w:val="标题3（3） Char"/>
    <w:qFormat/>
    <w:locked/>
    <w:uiPriority w:val="0"/>
    <w:rPr>
      <w:rFonts w:ascii="Cambria" w:hAnsi="Cambria" w:eastAsia="楷体_GB2312"/>
      <w:b/>
      <w:bCs/>
      <w:sz w:val="30"/>
      <w:szCs w:val="30"/>
      <w:lang w:bidi="en-US"/>
    </w:rPr>
  </w:style>
  <w:style w:type="character" w:customStyle="1" w:styleId="161">
    <w:name w:val="图表名称 Char Char Char"/>
    <w:qFormat/>
    <w:uiPriority w:val="0"/>
    <w:rPr>
      <w:rFonts w:eastAsia="黑体"/>
      <w:b/>
      <w:bCs/>
      <w:kern w:val="2"/>
      <w:sz w:val="24"/>
      <w:szCs w:val="21"/>
      <w:lang w:val="en-US" w:eastAsia="zh-CN" w:bidi="ar-SA"/>
    </w:rPr>
  </w:style>
  <w:style w:type="character" w:customStyle="1" w:styleId="162">
    <w:name w:val="9 Char"/>
    <w:qFormat/>
    <w:locked/>
    <w:uiPriority w:val="0"/>
    <w:rPr>
      <w:sz w:val="24"/>
    </w:rPr>
  </w:style>
  <w:style w:type="character" w:customStyle="1" w:styleId="163">
    <w:name w:val="表注文字 Char Char"/>
    <w:link w:val="164"/>
    <w:qFormat/>
    <w:uiPriority w:val="0"/>
    <w:rPr>
      <w:rFonts w:eastAsia="楷体_GB2312"/>
      <w:szCs w:val="24"/>
    </w:rPr>
  </w:style>
  <w:style w:type="paragraph" w:customStyle="1" w:styleId="164">
    <w:name w:val="表注文字"/>
    <w:basedOn w:val="1"/>
    <w:link w:val="163"/>
    <w:qFormat/>
    <w:uiPriority w:val="0"/>
    <w:pPr>
      <w:ind w:firstLine="840" w:firstLineChars="400"/>
      <w:jc w:val="left"/>
    </w:pPr>
    <w:rPr>
      <w:rFonts w:eastAsia="楷体_GB2312" w:asciiTheme="minorHAnsi" w:hAnsiTheme="minorHAnsi" w:cstheme="minorBidi"/>
      <w:spacing w:val="0"/>
      <w:kern w:val="2"/>
      <w:sz w:val="21"/>
      <w:szCs w:val="24"/>
    </w:rPr>
  </w:style>
  <w:style w:type="character" w:customStyle="1" w:styleId="165">
    <w:name w:val="HTML 定义12"/>
    <w:qFormat/>
    <w:uiPriority w:val="0"/>
    <w:rPr>
      <w:i/>
      <w:iCs/>
    </w:rPr>
  </w:style>
  <w:style w:type="character" w:customStyle="1" w:styleId="166">
    <w:name w:val="7.3 Char"/>
    <w:qFormat/>
    <w:locked/>
    <w:uiPriority w:val="0"/>
    <w:rPr>
      <w:rFonts w:ascii="宋体" w:hAnsi="宋体" w:eastAsia="黑体"/>
      <w:b/>
      <w:bCs/>
      <w:color w:val="000000"/>
      <w:sz w:val="24"/>
      <w:szCs w:val="24"/>
    </w:rPr>
  </w:style>
  <w:style w:type="character" w:customStyle="1" w:styleId="167">
    <w:name w:val="样式7 Char"/>
    <w:qFormat/>
    <w:locked/>
    <w:uiPriority w:val="0"/>
    <w:rPr>
      <w:bCs/>
      <w:kern w:val="2"/>
      <w:sz w:val="21"/>
    </w:rPr>
  </w:style>
  <w:style w:type="character" w:customStyle="1" w:styleId="168">
    <w:name w:val="Char Char204"/>
    <w:qFormat/>
    <w:uiPriority w:val="0"/>
    <w:rPr>
      <w:rFonts w:eastAsia="宋体"/>
      <w:kern w:val="2"/>
      <w:sz w:val="24"/>
      <w:lang w:val="en-US" w:eastAsia="zh-CN" w:bidi="ar-SA"/>
    </w:rPr>
  </w:style>
  <w:style w:type="character" w:customStyle="1" w:styleId="169">
    <w:name w:val="样式 样式 z + Times New Roman + (西文) Times New Roman Char"/>
    <w:qFormat/>
    <w:locked/>
    <w:uiPriority w:val="0"/>
    <w:rPr>
      <w:position w:val="2"/>
      <w:sz w:val="24"/>
      <w:szCs w:val="24"/>
    </w:rPr>
  </w:style>
  <w:style w:type="character" w:customStyle="1" w:styleId="170">
    <w:name w:val="标题 1 Char Char Char Char Char Char Char Char1"/>
    <w:qFormat/>
    <w:uiPriority w:val="0"/>
    <w:rPr>
      <w:rFonts w:eastAsia="黑体"/>
      <w:b/>
      <w:kern w:val="44"/>
      <w:sz w:val="30"/>
      <w:lang w:val="en-US" w:eastAsia="zh-CN" w:bidi="ar-SA"/>
    </w:rPr>
  </w:style>
  <w:style w:type="character" w:customStyle="1" w:styleId="171">
    <w:name w:val="样式 样式 样式 宋体 首行缩进:  1.06 厘米 + 首行缩进:  2 字符 + 首行缩进:  2 字符 Char Char"/>
    <w:link w:val="172"/>
    <w:qFormat/>
    <w:uiPriority w:val="0"/>
    <w:rPr>
      <w:snapToGrid w:val="0"/>
      <w:sz w:val="24"/>
      <w:szCs w:val="24"/>
    </w:rPr>
  </w:style>
  <w:style w:type="paragraph" w:customStyle="1" w:styleId="172">
    <w:name w:val="样式 样式 样式 宋体 首行缩进:  1.06 厘米 + 首行缩进:  2 字符 + 首行缩进:  2 字符"/>
    <w:basedOn w:val="1"/>
    <w:link w:val="171"/>
    <w:qFormat/>
    <w:uiPriority w:val="0"/>
    <w:pPr>
      <w:spacing w:line="480" w:lineRule="exact"/>
      <w:ind w:firstLine="480" w:firstLineChars="200"/>
      <w:jc w:val="left"/>
    </w:pPr>
    <w:rPr>
      <w:rFonts w:asciiTheme="minorHAnsi" w:hAnsiTheme="minorHAnsi" w:eastAsiaTheme="minorEastAsia" w:cstheme="minorBidi"/>
      <w:snapToGrid w:val="0"/>
      <w:spacing w:val="0"/>
      <w:kern w:val="2"/>
      <w:sz w:val="24"/>
      <w:szCs w:val="24"/>
    </w:rPr>
  </w:style>
  <w:style w:type="character" w:customStyle="1" w:styleId="173">
    <w:name w:val="正文段－5，0 Char"/>
    <w:qFormat/>
    <w:locked/>
    <w:uiPriority w:val="0"/>
    <w:rPr>
      <w:rFonts w:ascii="宋体" w:hAnsi="宋体"/>
      <w:b/>
      <w:spacing w:val="4"/>
      <w:kern w:val="2"/>
      <w:sz w:val="24"/>
      <w:szCs w:val="24"/>
    </w:rPr>
  </w:style>
  <w:style w:type="character" w:customStyle="1" w:styleId="174">
    <w:name w:val="Char Char7"/>
    <w:qFormat/>
    <w:uiPriority w:val="0"/>
    <w:rPr>
      <w:rFonts w:ascii="宋体" w:hAnsi="宋体" w:eastAsia="宋体"/>
      <w:kern w:val="2"/>
      <w:sz w:val="21"/>
      <w:szCs w:val="24"/>
      <w:lang w:val="en-US" w:eastAsia="zh-CN" w:bidi="ar-SA"/>
    </w:rPr>
  </w:style>
  <w:style w:type="character" w:customStyle="1" w:styleId="175">
    <w:name w:val="标题 31"/>
    <w:qFormat/>
    <w:uiPriority w:val="0"/>
    <w:rPr>
      <w:rFonts w:eastAsia="宋体"/>
      <w:sz w:val="28"/>
      <w:lang w:val="en-US" w:eastAsia="zh-CN"/>
    </w:rPr>
  </w:style>
  <w:style w:type="character" w:customStyle="1" w:styleId="176">
    <w:name w:val="style291"/>
    <w:qFormat/>
    <w:uiPriority w:val="0"/>
    <w:rPr>
      <w:rFonts w:eastAsia="宋体" w:cs="宋体"/>
      <w:color w:val="335B64"/>
      <w:sz w:val="18"/>
      <w:szCs w:val="18"/>
      <w:lang w:val="en-US" w:eastAsia="zh-CN" w:bidi="ar-SA"/>
    </w:rPr>
  </w:style>
  <w:style w:type="character" w:customStyle="1" w:styleId="177">
    <w:name w:val="样式 样式 样式 样式 (符号) 宋体 13 磅 首行缩进:  2 字符 行距: 1.5 倍行距 + 首行缩进:  2 字符 +... Char Char"/>
    <w:link w:val="178"/>
    <w:qFormat/>
    <w:uiPriority w:val="0"/>
    <w:rPr>
      <w:rFonts w:ascii="宋体" w:hAnsi="宋体"/>
      <w:sz w:val="26"/>
    </w:rPr>
  </w:style>
  <w:style w:type="paragraph" w:customStyle="1" w:styleId="178">
    <w:name w:val="样式 样式 样式 样式 (符号) 宋体 13 磅 首行缩进:  2 字符 行距: 1.5 倍行距 + 首行缩进:  2 字符 +..."/>
    <w:basedOn w:val="1"/>
    <w:link w:val="177"/>
    <w:qFormat/>
    <w:uiPriority w:val="0"/>
    <w:pPr>
      <w:ind w:firstLine="563" w:firstLineChars="200"/>
    </w:pPr>
    <w:rPr>
      <w:rFonts w:ascii="宋体" w:hAnsi="宋体" w:eastAsiaTheme="minorEastAsia" w:cstheme="minorBidi"/>
      <w:spacing w:val="0"/>
      <w:kern w:val="2"/>
      <w:sz w:val="26"/>
      <w:szCs w:val="22"/>
    </w:rPr>
  </w:style>
  <w:style w:type="character" w:customStyle="1" w:styleId="179">
    <w:name w:val="正文文本 2 Char Char"/>
    <w:qFormat/>
    <w:uiPriority w:val="0"/>
    <w:rPr>
      <w:rFonts w:ascii="Arial" w:hAnsi="Arial" w:eastAsia="仿宋_GB2312"/>
      <w:kern w:val="2"/>
      <w:sz w:val="28"/>
      <w:lang w:val="en-US" w:eastAsia="zh-CN" w:bidi="ar-SA"/>
    </w:rPr>
  </w:style>
  <w:style w:type="character" w:customStyle="1" w:styleId="180">
    <w:name w:val="样式 正文首行缩进 + 黑体 四号 黑色 Char Char"/>
    <w:link w:val="181"/>
    <w:qFormat/>
    <w:uiPriority w:val="0"/>
    <w:rPr>
      <w:rFonts w:ascii="黑体" w:hAnsi="Arial" w:eastAsia="黑体"/>
      <w:color w:val="000000"/>
      <w:sz w:val="28"/>
    </w:rPr>
  </w:style>
  <w:style w:type="paragraph" w:customStyle="1" w:styleId="181">
    <w:name w:val="样式 正文首行缩进 + 黑体 四号 黑色"/>
    <w:basedOn w:val="1"/>
    <w:next w:val="1"/>
    <w:link w:val="180"/>
    <w:qFormat/>
    <w:uiPriority w:val="0"/>
    <w:pPr>
      <w:tabs>
        <w:tab w:val="left" w:pos="864"/>
        <w:tab w:val="left" w:pos="2514"/>
      </w:tabs>
      <w:spacing w:line="360" w:lineRule="auto"/>
      <w:ind w:left="864" w:right="-132" w:rightChars="-47" w:hanging="864"/>
      <w:outlineLvl w:val="3"/>
    </w:pPr>
    <w:rPr>
      <w:rFonts w:ascii="黑体" w:hAnsi="Arial" w:eastAsia="黑体" w:cstheme="minorBidi"/>
      <w:color w:val="000000"/>
      <w:spacing w:val="0"/>
      <w:kern w:val="2"/>
      <w:sz w:val="28"/>
      <w:szCs w:val="22"/>
    </w:rPr>
  </w:style>
  <w:style w:type="character" w:customStyle="1" w:styleId="182">
    <w:name w:val="19号令"/>
    <w:basedOn w:val="90"/>
    <w:qFormat/>
    <w:uiPriority w:val="0"/>
  </w:style>
  <w:style w:type="character" w:customStyle="1" w:styleId="183">
    <w:name w:val="5级 Char Char"/>
    <w:qFormat/>
    <w:uiPriority w:val="0"/>
    <w:rPr>
      <w:rFonts w:ascii="Arial" w:hAnsi="Arial" w:eastAsia="宋体" w:cs="Arial"/>
      <w:b/>
      <w:bCs/>
      <w:kern w:val="2"/>
      <w:sz w:val="32"/>
      <w:szCs w:val="32"/>
      <w:lang w:val="en-US" w:eastAsia="zh-CN" w:bidi="ar-SA"/>
    </w:rPr>
  </w:style>
  <w:style w:type="character" w:customStyle="1" w:styleId="184">
    <w:name w:val="表格 Char Char"/>
    <w:qFormat/>
    <w:uiPriority w:val="0"/>
    <w:rPr>
      <w:rFonts w:eastAsia="宋体"/>
      <w:snapToGrid w:val="0"/>
      <w:sz w:val="21"/>
      <w:szCs w:val="24"/>
      <w:lang w:val="en-US" w:eastAsia="zh-CN" w:bidi="ar-SA"/>
    </w:rPr>
  </w:style>
  <w:style w:type="character" w:customStyle="1" w:styleId="185">
    <w:name w:val="文档结构图 Char Char"/>
    <w:qFormat/>
    <w:uiPriority w:val="0"/>
    <w:rPr>
      <w:rFonts w:ascii="宋体" w:hAnsi="Times New Roman" w:eastAsia="宋体" w:cs="Times New Roman"/>
      <w:sz w:val="18"/>
      <w:szCs w:val="18"/>
    </w:rPr>
  </w:style>
  <w:style w:type="character" w:customStyle="1" w:styleId="186">
    <w:name w:val="海尔正文 Char Char Char"/>
    <w:qFormat/>
    <w:uiPriority w:val="0"/>
    <w:rPr>
      <w:rFonts w:ascii="宋体" w:hAnsi="宋体" w:eastAsia="宋体" w:cs="宋体"/>
      <w:kern w:val="2"/>
      <w:sz w:val="28"/>
      <w:lang w:val="en-US" w:eastAsia="zh-CN" w:bidi="ar-SA"/>
    </w:rPr>
  </w:style>
  <w:style w:type="character" w:customStyle="1" w:styleId="187">
    <w:name w:val="0031"/>
    <w:qFormat/>
    <w:uiPriority w:val="0"/>
    <w:rPr>
      <w:sz w:val="21"/>
      <w:szCs w:val="21"/>
    </w:rPr>
  </w:style>
  <w:style w:type="character" w:customStyle="1" w:styleId="188">
    <w:name w:val="Char Char39"/>
    <w:qFormat/>
    <w:uiPriority w:val="0"/>
    <w:rPr>
      <w:rFonts w:ascii="Times New Roman" w:hAnsi="Times New Roman" w:eastAsia="宋体" w:cs="Times New Roman"/>
      <w:b/>
      <w:bCs/>
      <w:kern w:val="2"/>
      <w:sz w:val="21"/>
      <w:szCs w:val="24"/>
      <w:lang w:val="en-US" w:eastAsia="zh-CN" w:bidi="ar-SA"/>
    </w:rPr>
  </w:style>
  <w:style w:type="character" w:customStyle="1" w:styleId="189">
    <w:name w:val="表文字居中 Char Char"/>
    <w:link w:val="190"/>
    <w:qFormat/>
    <w:uiPriority w:val="0"/>
    <w:rPr>
      <w:rFonts w:ascii="Arial" w:hAnsi="Arial" w:eastAsia="Times New Roman"/>
      <w:szCs w:val="24"/>
    </w:rPr>
  </w:style>
  <w:style w:type="paragraph" w:customStyle="1" w:styleId="190">
    <w:name w:val="表文字居中"/>
    <w:link w:val="189"/>
    <w:qFormat/>
    <w:uiPriority w:val="0"/>
    <w:pPr>
      <w:adjustRightInd w:val="0"/>
      <w:spacing w:line="360" w:lineRule="auto"/>
      <w:jc w:val="center"/>
    </w:pPr>
    <w:rPr>
      <w:rFonts w:ascii="Arial" w:hAnsi="Arial" w:eastAsia="Times New Roman" w:cstheme="minorBidi"/>
      <w:kern w:val="2"/>
      <w:sz w:val="21"/>
      <w:szCs w:val="24"/>
      <w:lang w:val="en-US" w:eastAsia="zh-CN" w:bidi="ar-SA"/>
    </w:rPr>
  </w:style>
  <w:style w:type="character" w:customStyle="1" w:styleId="191">
    <w:name w:val="33333 Char Char"/>
    <w:qFormat/>
    <w:uiPriority w:val="0"/>
    <w:rPr>
      <w:rFonts w:eastAsia="宋体"/>
      <w:b/>
      <w:bCs/>
      <w:kern w:val="2"/>
      <w:sz w:val="24"/>
      <w:szCs w:val="24"/>
      <w:lang w:val="en-US" w:eastAsia="zh-CN" w:bidi="ar-SA"/>
    </w:rPr>
  </w:style>
  <w:style w:type="character" w:customStyle="1" w:styleId="192">
    <w:name w:val="奇数页眉 Char1"/>
    <w:qFormat/>
    <w:uiPriority w:val="99"/>
    <w:rPr>
      <w:rFonts w:eastAsia="宋体"/>
      <w:kern w:val="2"/>
      <w:sz w:val="18"/>
      <w:szCs w:val="18"/>
      <w:lang w:val="en-US" w:eastAsia="zh-CN" w:bidi="ar-SA"/>
    </w:rPr>
  </w:style>
  <w:style w:type="character" w:customStyle="1" w:styleId="193">
    <w:name w:val="标题样式1 Char"/>
    <w:qFormat/>
    <w:locked/>
    <w:uiPriority w:val="0"/>
    <w:rPr>
      <w:rFonts w:ascii="黑体" w:hAnsi="黑体" w:eastAsia="黑体"/>
      <w:b/>
      <w:bCs/>
      <w:kern w:val="44"/>
      <w:sz w:val="28"/>
      <w:szCs w:val="28"/>
    </w:rPr>
  </w:style>
  <w:style w:type="character" w:customStyle="1" w:styleId="194">
    <w:name w:val="Char Char34"/>
    <w:qFormat/>
    <w:uiPriority w:val="0"/>
    <w:rPr>
      <w:rFonts w:eastAsia="宋体"/>
      <w:kern w:val="2"/>
      <w:sz w:val="24"/>
      <w:lang w:val="en-US" w:eastAsia="zh-CN" w:bidi="ar-SA"/>
    </w:rPr>
  </w:style>
  <w:style w:type="character" w:customStyle="1" w:styleId="195">
    <w:name w:val="正文格式 Char1"/>
    <w:qFormat/>
    <w:uiPriority w:val="0"/>
    <w:rPr>
      <w:rFonts w:ascii="宋体" w:eastAsia="宋体" w:cs="宋体"/>
      <w:kern w:val="2"/>
      <w:sz w:val="24"/>
      <w:szCs w:val="24"/>
      <w:lang w:val="en-US" w:eastAsia="zh-CN" w:bidi="ar-SA"/>
    </w:rPr>
  </w:style>
  <w:style w:type="character" w:customStyle="1" w:styleId="196">
    <w:name w:val="Char Char36"/>
    <w:qFormat/>
    <w:uiPriority w:val="0"/>
    <w:rPr>
      <w:rFonts w:eastAsia="宋体"/>
      <w:b/>
      <w:bCs/>
      <w:kern w:val="2"/>
      <w:sz w:val="21"/>
      <w:szCs w:val="24"/>
      <w:lang w:val="en-US" w:eastAsia="zh-CN" w:bidi="ar-SA"/>
    </w:rPr>
  </w:style>
  <w:style w:type="character" w:customStyle="1" w:styleId="197">
    <w:name w:val="标题32"/>
    <w:qFormat/>
    <w:uiPriority w:val="0"/>
    <w:rPr>
      <w:rFonts w:eastAsia="宋体" w:cs="宋体"/>
      <w:sz w:val="24"/>
      <w:szCs w:val="24"/>
      <w:lang w:val="en-US" w:eastAsia="zh-CN" w:bidi="ar-SA"/>
    </w:rPr>
  </w:style>
  <w:style w:type="character" w:customStyle="1" w:styleId="198">
    <w:name w:val="样式 标题 4 + 黑体 小四3 Char Char"/>
    <w:link w:val="199"/>
    <w:qFormat/>
    <w:uiPriority w:val="0"/>
    <w:rPr>
      <w:rFonts w:hAnsi="黑体" w:eastAsia="黑体"/>
      <w:b/>
      <w:bCs/>
      <w:sz w:val="24"/>
      <w:szCs w:val="28"/>
    </w:rPr>
  </w:style>
  <w:style w:type="paragraph" w:customStyle="1" w:styleId="199">
    <w:name w:val="样式 标题 4 + 黑体 小四3"/>
    <w:basedOn w:val="6"/>
    <w:link w:val="198"/>
    <w:qFormat/>
    <w:uiPriority w:val="0"/>
    <w:pPr>
      <w:keepNext w:val="0"/>
      <w:keepLines w:val="0"/>
      <w:adjustRightInd w:val="0"/>
      <w:snapToGrid w:val="0"/>
      <w:spacing w:before="0" w:after="0" w:line="480" w:lineRule="exact"/>
    </w:pPr>
    <w:rPr>
      <w:rFonts w:hAnsi="黑体" w:asciiTheme="minorHAnsi" w:cstheme="minorBidi"/>
      <w:kern w:val="2"/>
      <w:sz w:val="24"/>
    </w:rPr>
  </w:style>
  <w:style w:type="character" w:customStyle="1" w:styleId="200">
    <w:name w:val="标题 4 Char Char"/>
    <w:qFormat/>
    <w:uiPriority w:val="0"/>
    <w:rPr>
      <w:rFonts w:ascii="Arial" w:hAnsi="Arial" w:eastAsia="仿宋_GB2312"/>
      <w:b/>
      <w:spacing w:val="4"/>
      <w:kern w:val="2"/>
      <w:sz w:val="24"/>
      <w:lang w:val="en-US" w:eastAsia="zh-CN" w:bidi="ar-SA"/>
    </w:rPr>
  </w:style>
  <w:style w:type="character" w:customStyle="1" w:styleId="201">
    <w:name w:val="Char Char232"/>
    <w:qFormat/>
    <w:uiPriority w:val="0"/>
    <w:rPr>
      <w:rFonts w:ascii="宋体" w:hAnsi="Times New Roman" w:eastAsia="宋体" w:cs="Times New Roman"/>
      <w:color w:val="000000"/>
      <w:spacing w:val="4"/>
      <w:sz w:val="28"/>
      <w:szCs w:val="20"/>
    </w:rPr>
  </w:style>
  <w:style w:type="character" w:customStyle="1" w:styleId="202">
    <w:name w:val="wz"/>
    <w:basedOn w:val="90"/>
    <w:qFormat/>
    <w:uiPriority w:val="0"/>
  </w:style>
  <w:style w:type="character" w:customStyle="1" w:styleId="203">
    <w:name w:val="标题样式1 Char Char"/>
    <w:link w:val="204"/>
    <w:qFormat/>
    <w:uiPriority w:val="0"/>
    <w:rPr>
      <w:rFonts w:ascii="黑体" w:eastAsia="黑体"/>
      <w:b/>
      <w:kern w:val="44"/>
      <w:sz w:val="28"/>
    </w:rPr>
  </w:style>
  <w:style w:type="paragraph" w:customStyle="1" w:styleId="204">
    <w:name w:val="标题样式1"/>
    <w:basedOn w:val="3"/>
    <w:link w:val="203"/>
    <w:qFormat/>
    <w:uiPriority w:val="0"/>
    <w:pPr>
      <w:spacing w:before="0" w:after="0" w:line="360" w:lineRule="auto"/>
    </w:pPr>
    <w:rPr>
      <w:rFonts w:ascii="黑体" w:eastAsia="黑体" w:hAnsiTheme="minorHAnsi" w:cstheme="minorBidi"/>
      <w:bCs w:val="0"/>
      <w:sz w:val="28"/>
      <w:szCs w:val="22"/>
    </w:rPr>
  </w:style>
  <w:style w:type="character" w:customStyle="1" w:styleId="205">
    <w:name w:val="Char Char2"/>
    <w:qFormat/>
    <w:uiPriority w:val="0"/>
    <w:rPr>
      <w:rFonts w:eastAsia="宋体"/>
      <w:kern w:val="2"/>
      <w:sz w:val="18"/>
      <w:lang w:val="en-US" w:eastAsia="zh-CN" w:bidi="ar-SA"/>
    </w:rPr>
  </w:style>
  <w:style w:type="character" w:customStyle="1" w:styleId="206">
    <w:name w:val="样式41 Char Char Char"/>
    <w:qFormat/>
    <w:uiPriority w:val="0"/>
    <w:rPr>
      <w:rFonts w:ascii="黑体" w:eastAsia="黑体"/>
      <w:sz w:val="24"/>
      <w:szCs w:val="24"/>
      <w:lang w:val="en-US" w:eastAsia="zh-CN" w:bidi="ar-SA"/>
    </w:rPr>
  </w:style>
  <w:style w:type="character" w:customStyle="1" w:styleId="207">
    <w:name w:val="Char Char181"/>
    <w:qFormat/>
    <w:uiPriority w:val="0"/>
    <w:rPr>
      <w:rFonts w:eastAsia="宋体"/>
      <w:b/>
      <w:kern w:val="44"/>
      <w:sz w:val="44"/>
      <w:lang w:val="en-US" w:eastAsia="zh-CN" w:bidi="ar-SA"/>
    </w:rPr>
  </w:style>
  <w:style w:type="character" w:customStyle="1" w:styleId="208">
    <w:name w:val="表格标题新 Char"/>
    <w:qFormat/>
    <w:locked/>
    <w:uiPriority w:val="0"/>
    <w:rPr>
      <w:rFonts w:ascii="仿宋_GB2312" w:eastAsia="黑体"/>
      <w:b/>
      <w:snapToGrid w:val="0"/>
      <w:spacing w:val="4"/>
      <w:kern w:val="18"/>
      <w:szCs w:val="24"/>
    </w:rPr>
  </w:style>
  <w:style w:type="character" w:customStyle="1" w:styleId="209">
    <w:name w:val="表序数 Char"/>
    <w:qFormat/>
    <w:locked/>
    <w:uiPriority w:val="0"/>
    <w:rPr>
      <w:rFonts w:ascii="宋体" w:hAnsi="宋体"/>
      <w:color w:val="000000"/>
      <w:spacing w:val="-20"/>
      <w:sz w:val="24"/>
      <w:szCs w:val="21"/>
    </w:rPr>
  </w:style>
  <w:style w:type="character" w:customStyle="1" w:styleId="210">
    <w:name w:val="样式 宋体"/>
    <w:qFormat/>
    <w:uiPriority w:val="0"/>
    <w:rPr>
      <w:rFonts w:ascii="宋体" w:hAnsi="宋体"/>
      <w:sz w:val="24"/>
    </w:rPr>
  </w:style>
  <w:style w:type="character" w:customStyle="1" w:styleId="211">
    <w:name w:val="样式 正文缩进 + 首行缩进:  2 字符 Char Char"/>
    <w:link w:val="212"/>
    <w:qFormat/>
    <w:uiPriority w:val="0"/>
    <w:rPr>
      <w:sz w:val="28"/>
    </w:rPr>
  </w:style>
  <w:style w:type="paragraph" w:customStyle="1" w:styleId="212">
    <w:name w:val="样式 正文缩进 + 首行缩进:  2 字符"/>
    <w:basedOn w:val="21"/>
    <w:link w:val="211"/>
    <w:qFormat/>
    <w:uiPriority w:val="0"/>
    <w:pPr>
      <w:snapToGrid w:val="0"/>
      <w:spacing w:line="520" w:lineRule="atLeast"/>
      <w:ind w:firstLine="200"/>
    </w:pPr>
    <w:rPr>
      <w:rFonts w:asciiTheme="minorHAnsi" w:hAnsiTheme="minorHAnsi" w:eastAsiaTheme="minorEastAsia" w:cstheme="minorBidi"/>
      <w:kern w:val="2"/>
      <w:sz w:val="28"/>
      <w:szCs w:val="22"/>
    </w:rPr>
  </w:style>
  <w:style w:type="character" w:customStyle="1" w:styleId="213">
    <w:name w:val="font9 Char"/>
    <w:qFormat/>
    <w:locked/>
    <w:uiPriority w:val="0"/>
    <w:rPr>
      <w:rFonts w:ascii="宋体" w:hAnsi="宋体"/>
    </w:rPr>
  </w:style>
  <w:style w:type="character" w:customStyle="1" w:styleId="214">
    <w:name w:val="Char5 Char Char11"/>
    <w:qFormat/>
    <w:uiPriority w:val="0"/>
    <w:rPr>
      <w:rFonts w:eastAsia="宋体"/>
      <w:kern w:val="2"/>
      <w:sz w:val="18"/>
      <w:szCs w:val="18"/>
      <w:lang w:val="en-US" w:eastAsia="zh-CN" w:bidi="ar-SA"/>
    </w:rPr>
  </w:style>
  <w:style w:type="character" w:customStyle="1" w:styleId="215">
    <w:name w:val="Char Char Char Char Char Char Char Char Char Char Char Char Char Char2"/>
    <w:qFormat/>
    <w:uiPriority w:val="0"/>
    <w:rPr>
      <w:rFonts w:ascii="Times New Roman" w:hAnsi="Times New Roman" w:eastAsia="仿宋_GB2312" w:cs="Times New Roman"/>
      <w:snapToGrid w:val="0"/>
      <w:kern w:val="0"/>
      <w:sz w:val="28"/>
      <w:szCs w:val="20"/>
    </w:rPr>
  </w:style>
  <w:style w:type="character" w:customStyle="1" w:styleId="216">
    <w:name w:val="aspmaker1"/>
    <w:qFormat/>
    <w:uiPriority w:val="0"/>
    <w:rPr>
      <w:sz w:val="20"/>
    </w:rPr>
  </w:style>
  <w:style w:type="character" w:customStyle="1" w:styleId="217">
    <w:name w:val="样式 正文文本 + 首行缩进:  2 字符 Char Char"/>
    <w:link w:val="218"/>
    <w:qFormat/>
    <w:uiPriority w:val="0"/>
    <w:rPr>
      <w:rFonts w:eastAsia="宋体" w:cs="宋体"/>
      <w:sz w:val="24"/>
      <w:szCs w:val="24"/>
    </w:rPr>
  </w:style>
  <w:style w:type="paragraph" w:customStyle="1" w:styleId="218">
    <w:name w:val="样式 正文文本 + 首行缩进:  2 字符"/>
    <w:basedOn w:val="34"/>
    <w:link w:val="217"/>
    <w:qFormat/>
    <w:uiPriority w:val="0"/>
    <w:pPr>
      <w:adjustRightInd w:val="0"/>
      <w:snapToGrid w:val="0"/>
      <w:spacing w:before="120" w:after="0" w:line="300" w:lineRule="auto"/>
      <w:ind w:firstLine="200" w:firstLineChars="200"/>
      <w:textAlignment w:val="baseline"/>
    </w:pPr>
    <w:rPr>
      <w:rFonts w:cs="宋体" w:asciiTheme="minorHAnsi" w:hAnsiTheme="minorHAnsi"/>
      <w:spacing w:val="0"/>
      <w:kern w:val="2"/>
      <w:sz w:val="24"/>
      <w:szCs w:val="24"/>
    </w:rPr>
  </w:style>
  <w:style w:type="character" w:customStyle="1" w:styleId="219">
    <w:name w:val="ca-191"/>
    <w:qFormat/>
    <w:uiPriority w:val="0"/>
    <w:rPr>
      <w:rFonts w:hint="eastAsia" w:ascii="宋体" w:hAnsi="宋体" w:eastAsia="宋体"/>
      <w:sz w:val="24"/>
      <w:szCs w:val="24"/>
    </w:rPr>
  </w:style>
  <w:style w:type="character" w:customStyle="1" w:styleId="220">
    <w:name w:val="正文缩进 Char5"/>
    <w:qFormat/>
    <w:uiPriority w:val="0"/>
    <w:rPr>
      <w:rFonts w:ascii="宋体" w:hAnsi="宋体" w:eastAsia="宋体"/>
      <w:color w:val="000000"/>
      <w:kern w:val="2"/>
      <w:sz w:val="24"/>
      <w:szCs w:val="24"/>
      <w:lang w:val="en-US" w:eastAsia="zh-CN" w:bidi="ar-SA"/>
    </w:rPr>
  </w:style>
  <w:style w:type="character" w:customStyle="1" w:styleId="221">
    <w:name w:val="Char Char Char Char Char Char Char Char Char Char Char2"/>
    <w:link w:val="222"/>
    <w:qFormat/>
    <w:uiPriority w:val="0"/>
    <w:rPr>
      <w:rFonts w:ascii="宋体" w:hAnsi="宋体"/>
      <w:sz w:val="24"/>
      <w:szCs w:val="24"/>
    </w:rPr>
  </w:style>
  <w:style w:type="paragraph" w:customStyle="1" w:styleId="222">
    <w:name w:val="Char Char Char Char Char Char Char Char Char Char2"/>
    <w:basedOn w:val="1"/>
    <w:link w:val="221"/>
    <w:qFormat/>
    <w:uiPriority w:val="0"/>
    <w:pPr>
      <w:widowControl/>
      <w:spacing w:line="360" w:lineRule="auto"/>
      <w:ind w:firstLine="200" w:firstLineChars="200"/>
      <w:jc w:val="left"/>
    </w:pPr>
    <w:rPr>
      <w:rFonts w:ascii="宋体" w:hAnsi="宋体" w:eastAsiaTheme="minorEastAsia" w:cstheme="minorBidi"/>
      <w:spacing w:val="0"/>
      <w:kern w:val="2"/>
      <w:sz w:val="24"/>
      <w:szCs w:val="24"/>
    </w:rPr>
  </w:style>
  <w:style w:type="character" w:customStyle="1" w:styleId="223">
    <w:name w:val="正文文本 Char Char"/>
    <w:qFormat/>
    <w:uiPriority w:val="0"/>
    <w:rPr>
      <w:rFonts w:ascii="华文楷体" w:hAnsi="华文楷体" w:eastAsia="楷体_GB2312"/>
      <w:kern w:val="2"/>
      <w:sz w:val="32"/>
      <w:szCs w:val="32"/>
      <w:lang w:val="en-US" w:eastAsia="zh-CN" w:bidi="ar-SA"/>
    </w:rPr>
  </w:style>
  <w:style w:type="character" w:customStyle="1" w:styleId="224">
    <w:name w:val="页脚 Char Char"/>
    <w:qFormat/>
    <w:uiPriority w:val="0"/>
    <w:rPr>
      <w:rFonts w:eastAsia="宋体"/>
      <w:kern w:val="2"/>
      <w:sz w:val="18"/>
      <w:szCs w:val="24"/>
      <w:lang w:val="en-US" w:eastAsia="zh-CN" w:bidi="ar-SA"/>
    </w:rPr>
  </w:style>
  <w:style w:type="character" w:customStyle="1" w:styleId="225">
    <w:name w:val="标题 3 Char2"/>
    <w:qFormat/>
    <w:uiPriority w:val="0"/>
    <w:rPr>
      <w:rFonts w:eastAsia="宋体"/>
      <w:sz w:val="28"/>
      <w:lang w:val="en-US" w:eastAsia="zh-CN" w:bidi="ar-SA"/>
    </w:rPr>
  </w:style>
  <w:style w:type="character" w:customStyle="1" w:styleId="226">
    <w:name w:val="标5 Char"/>
    <w:qFormat/>
    <w:uiPriority w:val="0"/>
    <w:rPr>
      <w:rFonts w:ascii="Arial" w:hAnsi="Arial" w:eastAsia="宋体" w:cs="Arial"/>
      <w:kern w:val="2"/>
      <w:sz w:val="28"/>
      <w:szCs w:val="28"/>
      <w:lang w:val="en-US" w:eastAsia="zh-CN"/>
    </w:rPr>
  </w:style>
  <w:style w:type="character" w:customStyle="1" w:styleId="227">
    <w:name w:val="自定义正文 Char Char Char Char Char"/>
    <w:link w:val="228"/>
    <w:qFormat/>
    <w:uiPriority w:val="0"/>
    <w:rPr>
      <w:rFonts w:eastAsia="Times New Roman"/>
      <w:position w:val="-28"/>
      <w:sz w:val="28"/>
      <w:szCs w:val="28"/>
    </w:rPr>
  </w:style>
  <w:style w:type="paragraph" w:customStyle="1" w:styleId="228">
    <w:name w:val="自定义正文 Char Char"/>
    <w:link w:val="227"/>
    <w:qFormat/>
    <w:uiPriority w:val="0"/>
    <w:pPr>
      <w:widowControl w:val="0"/>
      <w:topLinePunct/>
      <w:adjustRightInd w:val="0"/>
      <w:snapToGrid w:val="0"/>
      <w:spacing w:line="360" w:lineRule="auto"/>
      <w:ind w:firstLine="510"/>
      <w:jc w:val="both"/>
    </w:pPr>
    <w:rPr>
      <w:rFonts w:eastAsia="Times New Roman" w:asciiTheme="minorHAnsi" w:hAnsiTheme="minorHAnsi" w:cstheme="minorBidi"/>
      <w:kern w:val="2"/>
      <w:position w:val="-28"/>
      <w:sz w:val="28"/>
      <w:szCs w:val="28"/>
      <w:lang w:val="en-US" w:eastAsia="zh-CN" w:bidi="ar-SA"/>
    </w:rPr>
  </w:style>
  <w:style w:type="character" w:customStyle="1" w:styleId="229">
    <w:name w:val="hcm文2 Char Char"/>
    <w:link w:val="230"/>
    <w:qFormat/>
    <w:uiPriority w:val="0"/>
    <w:rPr>
      <w:rFonts w:ascii="Times New Roman" w:hAnsi="Times New Roman" w:eastAsia="Times New Roman" w:cs="Times New Roman"/>
      <w:sz w:val="24"/>
      <w:szCs w:val="24"/>
    </w:rPr>
  </w:style>
  <w:style w:type="paragraph" w:customStyle="1" w:styleId="230">
    <w:name w:val="hcm文2"/>
    <w:basedOn w:val="231"/>
    <w:link w:val="229"/>
    <w:qFormat/>
    <w:uiPriority w:val="0"/>
    <w:pPr>
      <w:ind w:firstLine="200" w:firstLineChars="200"/>
    </w:pPr>
    <w:rPr>
      <w:kern w:val="2"/>
    </w:rPr>
  </w:style>
  <w:style w:type="paragraph" w:customStyle="1" w:styleId="231">
    <w:name w:val="hcm文"/>
    <w:link w:val="232"/>
    <w:qFormat/>
    <w:uiPriority w:val="0"/>
    <w:pPr>
      <w:adjustRightInd w:val="0"/>
      <w:snapToGrid w:val="0"/>
      <w:spacing w:line="360" w:lineRule="auto"/>
    </w:pPr>
    <w:rPr>
      <w:rFonts w:ascii="Times New Roman" w:hAnsi="Times New Roman" w:eastAsia="Times New Roman" w:cs="Times New Roman"/>
      <w:sz w:val="24"/>
      <w:szCs w:val="24"/>
      <w:lang w:val="en-US" w:eastAsia="zh-CN" w:bidi="ar-SA"/>
    </w:rPr>
  </w:style>
  <w:style w:type="character" w:customStyle="1" w:styleId="232">
    <w:name w:val="hcm文 Char Char"/>
    <w:link w:val="231"/>
    <w:qFormat/>
    <w:uiPriority w:val="0"/>
    <w:rPr>
      <w:rFonts w:ascii="Times New Roman" w:hAnsi="Times New Roman" w:eastAsia="Times New Roman" w:cs="Times New Roman"/>
      <w:kern w:val="0"/>
      <w:sz w:val="24"/>
      <w:szCs w:val="24"/>
    </w:rPr>
  </w:style>
  <w:style w:type="character" w:customStyle="1" w:styleId="233">
    <w:name w:val="px14"/>
    <w:basedOn w:val="90"/>
    <w:qFormat/>
    <w:uiPriority w:val="0"/>
  </w:style>
  <w:style w:type="character" w:customStyle="1" w:styleId="234">
    <w:name w:val="text-131"/>
    <w:qFormat/>
    <w:uiPriority w:val="0"/>
    <w:rPr>
      <w:rFonts w:hint="default" w:ascii="ˎ̥" w:hAnsi="ˎ̥"/>
      <w:color w:val="333333"/>
      <w:sz w:val="18"/>
      <w:szCs w:val="18"/>
    </w:rPr>
  </w:style>
  <w:style w:type="character" w:customStyle="1" w:styleId="235">
    <w:name w:val="mag_title11"/>
    <w:qFormat/>
    <w:uiPriority w:val="0"/>
    <w:rPr>
      <w:rFonts w:hint="default" w:ascii="Verdana" w:hAnsi="Verdana"/>
      <w:sz w:val="18"/>
      <w:szCs w:val="18"/>
    </w:rPr>
  </w:style>
  <w:style w:type="character" w:customStyle="1" w:styleId="236">
    <w:name w:val="样式1 Char Char"/>
    <w:link w:val="237"/>
    <w:qFormat/>
    <w:uiPriority w:val="0"/>
    <w:rPr>
      <w:rFonts w:ascii="宋体" w:hAnsi="宋体" w:cs="Arial"/>
      <w:sz w:val="32"/>
      <w:szCs w:val="32"/>
    </w:rPr>
  </w:style>
  <w:style w:type="paragraph" w:customStyle="1" w:styleId="237">
    <w:name w:val="样式1"/>
    <w:basedOn w:val="1"/>
    <w:link w:val="236"/>
    <w:qFormat/>
    <w:uiPriority w:val="0"/>
    <w:pPr>
      <w:widowControl/>
      <w:spacing w:line="500" w:lineRule="exact"/>
      <w:ind w:firstLine="482"/>
    </w:pPr>
    <w:rPr>
      <w:rFonts w:ascii="宋体" w:hAnsi="宋体" w:cs="Arial" w:eastAsiaTheme="minorEastAsia"/>
      <w:spacing w:val="0"/>
      <w:kern w:val="2"/>
      <w:sz w:val="32"/>
      <w:szCs w:val="32"/>
    </w:rPr>
  </w:style>
  <w:style w:type="character" w:customStyle="1" w:styleId="238">
    <w:name w:val="标准文本 首行缩进:2 字符 行距1.5倍 Char Char"/>
    <w:link w:val="239"/>
    <w:qFormat/>
    <w:uiPriority w:val="0"/>
    <w:rPr>
      <w:rFonts w:eastAsia="宋体"/>
      <w:sz w:val="24"/>
    </w:rPr>
  </w:style>
  <w:style w:type="paragraph" w:customStyle="1" w:styleId="239">
    <w:name w:val="标准文本 首行缩进:2 字符 行距1.5倍"/>
    <w:basedOn w:val="1"/>
    <w:link w:val="238"/>
    <w:qFormat/>
    <w:uiPriority w:val="0"/>
    <w:pPr>
      <w:adjustRightInd w:val="0"/>
      <w:snapToGrid w:val="0"/>
      <w:spacing w:line="360" w:lineRule="auto"/>
      <w:ind w:firstLine="200" w:firstLineChars="200"/>
      <w:textAlignment w:val="center"/>
    </w:pPr>
    <w:rPr>
      <w:rFonts w:asciiTheme="minorHAnsi" w:hAnsiTheme="minorHAnsi" w:cstheme="minorBidi"/>
      <w:spacing w:val="0"/>
      <w:kern w:val="2"/>
      <w:sz w:val="24"/>
      <w:szCs w:val="22"/>
    </w:rPr>
  </w:style>
  <w:style w:type="character" w:customStyle="1" w:styleId="240">
    <w:name w:val="正文样式 Char Char Char Char Char Char Char"/>
    <w:link w:val="241"/>
    <w:qFormat/>
    <w:uiPriority w:val="0"/>
    <w:rPr>
      <w:rFonts w:ascii="宋体" w:hAnsi="宋体" w:eastAsia="宋体"/>
      <w:color w:val="000000"/>
      <w:sz w:val="24"/>
    </w:rPr>
  </w:style>
  <w:style w:type="paragraph" w:customStyle="1" w:styleId="241">
    <w:name w:val="正文样式"/>
    <w:basedOn w:val="1"/>
    <w:link w:val="240"/>
    <w:qFormat/>
    <w:uiPriority w:val="0"/>
    <w:pPr>
      <w:spacing w:line="360" w:lineRule="auto"/>
      <w:ind w:firstLine="480" w:firstLineChars="200"/>
    </w:pPr>
    <w:rPr>
      <w:rFonts w:ascii="宋体" w:hAnsi="宋体" w:cstheme="minorBidi"/>
      <w:color w:val="000000"/>
      <w:spacing w:val="0"/>
      <w:kern w:val="2"/>
      <w:sz w:val="24"/>
      <w:szCs w:val="22"/>
    </w:rPr>
  </w:style>
  <w:style w:type="character" w:customStyle="1" w:styleId="242">
    <w:name w:val="Char Char172"/>
    <w:qFormat/>
    <w:uiPriority w:val="0"/>
    <w:rPr>
      <w:rFonts w:ascii="Arial" w:hAnsi="Arial" w:eastAsia="黑体"/>
      <w:kern w:val="2"/>
      <w:sz w:val="21"/>
      <w:szCs w:val="21"/>
      <w:lang w:val="en-US" w:eastAsia="zh-CN" w:bidi="ar-SA"/>
    </w:rPr>
  </w:style>
  <w:style w:type="character" w:customStyle="1" w:styleId="243">
    <w:name w:val="正文(首行缩进)宋旭峰 Char Char"/>
    <w:link w:val="244"/>
    <w:qFormat/>
    <w:uiPriority w:val="0"/>
    <w:rPr>
      <w:snapToGrid w:val="0"/>
      <w:sz w:val="24"/>
      <w:szCs w:val="24"/>
    </w:rPr>
  </w:style>
  <w:style w:type="paragraph" w:customStyle="1" w:styleId="244">
    <w:name w:val="正文(首行缩进)宋旭峰"/>
    <w:basedOn w:val="21"/>
    <w:link w:val="243"/>
    <w:qFormat/>
    <w:uiPriority w:val="0"/>
    <w:pPr>
      <w:spacing w:beforeLines="50" w:afterLines="50" w:line="360" w:lineRule="auto"/>
      <w:ind w:firstLine="440" w:firstLineChars="0"/>
      <w:contextualSpacing/>
    </w:pPr>
    <w:rPr>
      <w:rFonts w:asciiTheme="minorHAnsi" w:hAnsiTheme="minorHAnsi" w:eastAsiaTheme="minorEastAsia" w:cstheme="minorBidi"/>
      <w:snapToGrid w:val="0"/>
      <w:kern w:val="2"/>
      <w:szCs w:val="24"/>
    </w:rPr>
  </w:style>
  <w:style w:type="character" w:customStyle="1" w:styleId="245">
    <w:name w:val="脚注文本 Char1"/>
    <w:qFormat/>
    <w:uiPriority w:val="0"/>
    <w:rPr>
      <w:rFonts w:ascii="Times New Roman" w:hAnsi="Times New Roman" w:eastAsia="宋体" w:cs="Times New Roman"/>
      <w:sz w:val="18"/>
      <w:szCs w:val="18"/>
    </w:rPr>
  </w:style>
  <w:style w:type="character" w:customStyle="1" w:styleId="246">
    <w:name w:val="正文 Char Char"/>
    <w:qFormat/>
    <w:uiPriority w:val="0"/>
    <w:rPr>
      <w:rFonts w:eastAsia="宋体"/>
      <w:spacing w:val="22"/>
      <w:sz w:val="24"/>
      <w:szCs w:val="24"/>
      <w:lang w:val="en-US" w:eastAsia="zh-CN" w:bidi="ar-SA"/>
    </w:rPr>
  </w:style>
  <w:style w:type="character" w:customStyle="1" w:styleId="247">
    <w:name w:val="样式 首行缩进:  2 字符 Char Char Char Char Char Char"/>
    <w:link w:val="248"/>
    <w:qFormat/>
    <w:uiPriority w:val="0"/>
    <w:rPr>
      <w:rFonts w:eastAsia="宋体"/>
      <w:sz w:val="24"/>
    </w:rPr>
  </w:style>
  <w:style w:type="paragraph" w:customStyle="1" w:styleId="248">
    <w:name w:val="样式 首行缩进:  2 字符"/>
    <w:basedOn w:val="1"/>
    <w:link w:val="247"/>
    <w:qFormat/>
    <w:uiPriority w:val="0"/>
    <w:pPr>
      <w:spacing w:line="480" w:lineRule="exact"/>
      <w:ind w:firstLine="480" w:firstLineChars="200"/>
    </w:pPr>
    <w:rPr>
      <w:rFonts w:asciiTheme="minorHAnsi" w:hAnsiTheme="minorHAnsi" w:cstheme="minorBidi"/>
      <w:spacing w:val="0"/>
      <w:kern w:val="2"/>
      <w:sz w:val="24"/>
      <w:szCs w:val="22"/>
    </w:rPr>
  </w:style>
  <w:style w:type="character" w:customStyle="1" w:styleId="249">
    <w:name w:val="样式 (西文) 宋体 (中文) 仿宋_GB2312 黑色"/>
    <w:qFormat/>
    <w:uiPriority w:val="0"/>
    <w:rPr>
      <w:rFonts w:hint="default" w:ascii="Times New Roman" w:hAnsi="Times New Roman" w:eastAsia="仿宋_GB2312" w:cs="Courier New"/>
      <w:color w:val="000000"/>
      <w:kern w:val="2"/>
      <w:sz w:val="32"/>
      <w:szCs w:val="32"/>
      <w:lang w:val="en-US" w:eastAsia="zh-CN" w:bidi="ar-SA"/>
    </w:rPr>
  </w:style>
  <w:style w:type="character" w:customStyle="1" w:styleId="250">
    <w:name w:val="+正文 Char Char"/>
    <w:link w:val="251"/>
    <w:qFormat/>
    <w:uiPriority w:val="0"/>
    <w:rPr>
      <w:rFonts w:eastAsia="宋体"/>
      <w:sz w:val="24"/>
      <w:szCs w:val="28"/>
    </w:rPr>
  </w:style>
  <w:style w:type="paragraph" w:customStyle="1" w:styleId="251">
    <w:name w:val="+正文"/>
    <w:basedOn w:val="1"/>
    <w:link w:val="250"/>
    <w:qFormat/>
    <w:uiPriority w:val="0"/>
    <w:pPr>
      <w:spacing w:line="360" w:lineRule="auto"/>
      <w:ind w:firstLine="200" w:firstLineChars="200"/>
    </w:pPr>
    <w:rPr>
      <w:rFonts w:asciiTheme="minorHAnsi" w:hAnsiTheme="minorHAnsi" w:cstheme="minorBidi"/>
      <w:spacing w:val="0"/>
      <w:kern w:val="2"/>
      <w:sz w:val="24"/>
      <w:szCs w:val="28"/>
    </w:rPr>
  </w:style>
  <w:style w:type="character" w:customStyle="1" w:styleId="252">
    <w:name w:val="正文格式 Char2"/>
    <w:qFormat/>
    <w:uiPriority w:val="0"/>
    <w:rPr>
      <w:rFonts w:ascii="宋体" w:eastAsia="宋体" w:cs="宋体"/>
      <w:kern w:val="2"/>
      <w:sz w:val="24"/>
      <w:szCs w:val="24"/>
      <w:lang w:val="en-US" w:eastAsia="zh-CN" w:bidi="ar-SA"/>
    </w:rPr>
  </w:style>
  <w:style w:type="character" w:customStyle="1" w:styleId="253">
    <w:name w:val="Char Char221"/>
    <w:qFormat/>
    <w:uiPriority w:val="0"/>
    <w:rPr>
      <w:rFonts w:ascii="Times New Roman" w:hAnsi="Times New Roman" w:eastAsia="宋体" w:cs="Times New Roman"/>
      <w:color w:val="FF0000"/>
      <w:sz w:val="24"/>
      <w:szCs w:val="24"/>
    </w:rPr>
  </w:style>
  <w:style w:type="character" w:customStyle="1" w:styleId="254">
    <w:name w:val="文档结构图 Char2"/>
    <w:qFormat/>
    <w:uiPriority w:val="0"/>
    <w:rPr>
      <w:rFonts w:ascii="宋体" w:hAnsi="Times New Roman" w:eastAsia="宋体" w:cs="Times New Roman"/>
      <w:sz w:val="18"/>
      <w:szCs w:val="18"/>
    </w:rPr>
  </w:style>
  <w:style w:type="character" w:customStyle="1" w:styleId="255">
    <w:name w:val="样式1 Char1"/>
    <w:qFormat/>
    <w:uiPriority w:val="0"/>
    <w:rPr>
      <w:rFonts w:ascii="宋体" w:hAnsi="宋体" w:eastAsia="黑体"/>
      <w:bCs/>
      <w:kern w:val="2"/>
      <w:sz w:val="28"/>
      <w:szCs w:val="28"/>
    </w:rPr>
  </w:style>
  <w:style w:type="character" w:customStyle="1" w:styleId="256">
    <w:name w:val="批注文字 Char2"/>
    <w:qFormat/>
    <w:uiPriority w:val="0"/>
    <w:rPr>
      <w:kern w:val="2"/>
      <w:sz w:val="21"/>
      <w:szCs w:val="22"/>
    </w:rPr>
  </w:style>
  <w:style w:type="character" w:customStyle="1" w:styleId="257">
    <w:name w:val="普通 (Web) Char Char"/>
    <w:qFormat/>
    <w:uiPriority w:val="0"/>
    <w:rPr>
      <w:rFonts w:ascii="宋体" w:hAnsi="宋体" w:eastAsia="宋体"/>
      <w:sz w:val="24"/>
      <w:szCs w:val="24"/>
      <w:lang w:val="en-US" w:eastAsia="zh-CN" w:bidi="ar-SA"/>
    </w:rPr>
  </w:style>
  <w:style w:type="character" w:customStyle="1" w:styleId="258">
    <w:name w:val="样式 标题 1标题 1 Char标1第一章章一级标题，黑粗，三号，序号可研-标题 1PartH1H11H12... Char Char"/>
    <w:link w:val="259"/>
    <w:qFormat/>
    <w:uiPriority w:val="0"/>
    <w:rPr>
      <w:rFonts w:eastAsia="黑体" w:cs="宋体"/>
      <w:b/>
      <w:bCs/>
      <w:kern w:val="44"/>
      <w:sz w:val="36"/>
      <w:szCs w:val="36"/>
    </w:rPr>
  </w:style>
  <w:style w:type="paragraph" w:customStyle="1" w:styleId="259">
    <w:name w:val="样式 标题 1标题 1 Char标1第一章章一级标题，黑粗，三号，序号可研-标题 1PartH1H11H12..."/>
    <w:basedOn w:val="3"/>
    <w:link w:val="258"/>
    <w:qFormat/>
    <w:uiPriority w:val="0"/>
    <w:pPr>
      <w:keepNext w:val="0"/>
      <w:tabs>
        <w:tab w:val="left" w:pos="3765"/>
      </w:tabs>
      <w:spacing w:before="840" w:after="360" w:line="312" w:lineRule="auto"/>
      <w:ind w:left="3041" w:firstLine="4"/>
    </w:pPr>
    <w:rPr>
      <w:rFonts w:eastAsia="黑体" w:cs="宋体" w:asciiTheme="minorHAnsi" w:hAnsiTheme="minorHAnsi"/>
      <w:sz w:val="36"/>
      <w:szCs w:val="36"/>
    </w:rPr>
  </w:style>
  <w:style w:type="character" w:customStyle="1" w:styleId="260">
    <w:name w:val="样式 样式 样式 样式 宋体 首行缩进:  1.06 厘米 + 首行缩进:  2 字符 + 首行缩进:  2 字符 + 首行缩进... Char Char"/>
    <w:link w:val="261"/>
    <w:qFormat/>
    <w:uiPriority w:val="0"/>
    <w:rPr>
      <w:snapToGrid w:val="0"/>
      <w:sz w:val="24"/>
    </w:rPr>
  </w:style>
  <w:style w:type="paragraph" w:customStyle="1" w:styleId="261">
    <w:name w:val="样式 样式 样式 样式 宋体 首行缩进:  1.06 厘米 + 首行缩进:  2 字符 + 首行缩进:  2 字符 + 首行缩进..."/>
    <w:basedOn w:val="1"/>
    <w:link w:val="260"/>
    <w:qFormat/>
    <w:uiPriority w:val="0"/>
    <w:pPr>
      <w:spacing w:line="520" w:lineRule="exact"/>
      <w:ind w:firstLine="200" w:firstLineChars="200"/>
    </w:pPr>
    <w:rPr>
      <w:rFonts w:asciiTheme="minorHAnsi" w:hAnsiTheme="minorHAnsi" w:eastAsiaTheme="minorEastAsia" w:cstheme="minorBidi"/>
      <w:snapToGrid w:val="0"/>
      <w:spacing w:val="0"/>
      <w:kern w:val="2"/>
      <w:sz w:val="24"/>
      <w:szCs w:val="22"/>
    </w:rPr>
  </w:style>
  <w:style w:type="character" w:customStyle="1" w:styleId="262">
    <w:name w:val="style181"/>
    <w:qFormat/>
    <w:uiPriority w:val="0"/>
    <w:rPr>
      <w:sz w:val="24"/>
      <w:szCs w:val="24"/>
    </w:rPr>
  </w:style>
  <w:style w:type="character" w:customStyle="1" w:styleId="263">
    <w:name w:val="报告书正文 Char"/>
    <w:qFormat/>
    <w:locked/>
    <w:uiPriority w:val="0"/>
    <w:rPr>
      <w:kern w:val="2"/>
      <w:sz w:val="24"/>
      <w:szCs w:val="24"/>
    </w:rPr>
  </w:style>
  <w:style w:type="character" w:customStyle="1" w:styleId="264">
    <w:name w:val="标题3+ Char Char Char"/>
    <w:link w:val="265"/>
    <w:qFormat/>
    <w:uiPriority w:val="0"/>
    <w:rPr>
      <w:rFonts w:eastAsia="黑体"/>
      <w:bCs/>
      <w:sz w:val="28"/>
      <w:szCs w:val="32"/>
    </w:rPr>
  </w:style>
  <w:style w:type="paragraph" w:customStyle="1" w:styleId="265">
    <w:name w:val="标题3+ Char"/>
    <w:basedOn w:val="5"/>
    <w:link w:val="264"/>
    <w:qFormat/>
    <w:uiPriority w:val="0"/>
    <w:pPr>
      <w:tabs>
        <w:tab w:val="clear" w:pos="720"/>
      </w:tabs>
      <w:snapToGrid w:val="0"/>
      <w:spacing w:line="440" w:lineRule="exact"/>
      <w:ind w:left="0" w:firstLine="200" w:firstLineChars="200"/>
      <w:jc w:val="both"/>
      <w:textAlignment w:val="auto"/>
    </w:pPr>
    <w:rPr>
      <w:rFonts w:asciiTheme="minorHAnsi" w:hAnsiTheme="minorHAnsi" w:cstheme="minorBidi"/>
      <w:b w:val="0"/>
      <w:bCs/>
      <w:color w:val="auto"/>
      <w:spacing w:val="0"/>
      <w:kern w:val="2"/>
      <w:szCs w:val="32"/>
    </w:rPr>
  </w:style>
  <w:style w:type="character" w:customStyle="1" w:styleId="266">
    <w:name w:val="pt9"/>
    <w:basedOn w:val="90"/>
    <w:qFormat/>
    <w:uiPriority w:val="0"/>
  </w:style>
  <w:style w:type="character" w:customStyle="1" w:styleId="267">
    <w:name w:val="正文小四 首行缩进 Char"/>
    <w:qFormat/>
    <w:locked/>
    <w:uiPriority w:val="0"/>
    <w:rPr>
      <w:sz w:val="24"/>
      <w:szCs w:val="24"/>
    </w:rPr>
  </w:style>
  <w:style w:type="character" w:customStyle="1" w:styleId="268">
    <w:name w:val="图题注 Char4"/>
    <w:qFormat/>
    <w:uiPriority w:val="0"/>
    <w:rPr>
      <w:rFonts w:ascii="黑体" w:hAnsi="Arial" w:eastAsia="黑体" w:cs="宋体"/>
      <w:b/>
      <w:bCs/>
      <w:kern w:val="2"/>
      <w:sz w:val="24"/>
      <w:szCs w:val="24"/>
      <w:lang w:val="en-US" w:eastAsia="zh-CN" w:bidi="ar-SA"/>
    </w:rPr>
  </w:style>
  <w:style w:type="character" w:customStyle="1" w:styleId="269">
    <w:name w:val="燕山正文 Char1"/>
    <w:qFormat/>
    <w:uiPriority w:val="0"/>
    <w:rPr>
      <w:rFonts w:ascii="宋体" w:hAnsi="宋体" w:eastAsia="宋体"/>
      <w:color w:val="000000"/>
      <w:kern w:val="2"/>
      <w:sz w:val="28"/>
      <w:szCs w:val="28"/>
      <w:lang w:val="en-US" w:eastAsia="zh-CN" w:bidi="ar-SA"/>
    </w:rPr>
  </w:style>
  <w:style w:type="character" w:customStyle="1" w:styleId="270">
    <w:name w:val="p31"/>
    <w:qFormat/>
    <w:uiPriority w:val="0"/>
    <w:rPr>
      <w:rFonts w:hint="eastAsia" w:ascii="文鼎粗行楷简" w:eastAsia="文鼎粗行楷简"/>
      <w:color w:val="FF0000"/>
      <w:sz w:val="40"/>
      <w:szCs w:val="40"/>
    </w:rPr>
  </w:style>
  <w:style w:type="character" w:customStyle="1" w:styleId="271">
    <w:name w:val="正文样式 Char Char Char Char Char Char Char Char Char"/>
    <w:link w:val="272"/>
    <w:qFormat/>
    <w:uiPriority w:val="0"/>
    <w:rPr>
      <w:rFonts w:ascii="宋体" w:hAnsi="宋体" w:eastAsia="宋体"/>
      <w:color w:val="000000"/>
      <w:sz w:val="24"/>
    </w:rPr>
  </w:style>
  <w:style w:type="paragraph" w:customStyle="1" w:styleId="272">
    <w:name w:val="正文样式 Char Char Char Char Char"/>
    <w:basedOn w:val="1"/>
    <w:link w:val="271"/>
    <w:qFormat/>
    <w:uiPriority w:val="0"/>
    <w:pPr>
      <w:spacing w:line="360" w:lineRule="auto"/>
      <w:ind w:firstLine="480" w:firstLineChars="200"/>
    </w:pPr>
    <w:rPr>
      <w:rFonts w:ascii="宋体" w:hAnsi="宋体" w:cstheme="minorBidi"/>
      <w:color w:val="000000"/>
      <w:spacing w:val="0"/>
      <w:kern w:val="2"/>
      <w:sz w:val="24"/>
      <w:szCs w:val="22"/>
    </w:rPr>
  </w:style>
  <w:style w:type="character" w:customStyle="1" w:styleId="273">
    <w:name w:val="HTML 预设格式 Char1"/>
    <w:qFormat/>
    <w:uiPriority w:val="0"/>
    <w:rPr>
      <w:rFonts w:ascii="Courier New" w:hAnsi="Courier New" w:eastAsia="宋体" w:cs="Courier New"/>
      <w:sz w:val="20"/>
      <w:szCs w:val="20"/>
    </w:rPr>
  </w:style>
  <w:style w:type="character" w:customStyle="1" w:styleId="274">
    <w:name w:val="Char Char202"/>
    <w:qFormat/>
    <w:uiPriority w:val="0"/>
    <w:rPr>
      <w:rFonts w:hint="eastAsia" w:ascii="宋体" w:hAnsi="宋体" w:eastAsia="宋体"/>
      <w:kern w:val="2"/>
      <w:sz w:val="21"/>
      <w:szCs w:val="24"/>
      <w:lang w:val="en-US" w:eastAsia="zh-CN" w:bidi="ar-SA"/>
    </w:rPr>
  </w:style>
  <w:style w:type="character" w:customStyle="1" w:styleId="275">
    <w:name w:val="Char Char25"/>
    <w:qFormat/>
    <w:uiPriority w:val="0"/>
    <w:rPr>
      <w:rFonts w:eastAsia="宋体"/>
      <w:kern w:val="2"/>
      <w:sz w:val="24"/>
      <w:lang w:val="en-US" w:eastAsia="zh-CN" w:bidi="ar-SA"/>
    </w:rPr>
  </w:style>
  <w:style w:type="character" w:customStyle="1" w:styleId="276">
    <w:name w:val="Char Char11"/>
    <w:qFormat/>
    <w:uiPriority w:val="0"/>
    <w:rPr>
      <w:kern w:val="2"/>
      <w:sz w:val="24"/>
      <w:szCs w:val="24"/>
      <w:lang w:bidi="ar-SA"/>
    </w:rPr>
  </w:style>
  <w:style w:type="character" w:customStyle="1" w:styleId="277">
    <w:name w:val="样式 (中文) 仿宋体 小五"/>
    <w:qFormat/>
    <w:uiPriority w:val="0"/>
    <w:rPr>
      <w:rFonts w:eastAsia="宋体"/>
      <w:spacing w:val="0"/>
      <w:kern w:val="2"/>
      <w:sz w:val="18"/>
    </w:rPr>
  </w:style>
  <w:style w:type="character" w:customStyle="1" w:styleId="278">
    <w:name w:val="样式 样式 样式 宋体 首行缩进:  1.06 厘米 + 首行缩进:  2 字符 + 首行缩进:  2 字符 Char Char Char"/>
    <w:qFormat/>
    <w:uiPriority w:val="0"/>
    <w:rPr>
      <w:rFonts w:eastAsia="宋体" w:cs="宋体"/>
      <w:snapToGrid/>
      <w:sz w:val="24"/>
      <w:szCs w:val="24"/>
      <w:lang w:val="en-US" w:eastAsia="zh-CN" w:bidi="ar-SA"/>
    </w:rPr>
  </w:style>
  <w:style w:type="character" w:customStyle="1" w:styleId="279">
    <w:name w:val="unnamed111"/>
    <w:qFormat/>
    <w:uiPriority w:val="0"/>
    <w:rPr>
      <w:sz w:val="18"/>
      <w:szCs w:val="18"/>
    </w:rPr>
  </w:style>
  <w:style w:type="character" w:customStyle="1" w:styleId="280">
    <w:name w:val="HTML 定义1"/>
    <w:qFormat/>
    <w:uiPriority w:val="0"/>
    <w:rPr>
      <w:i/>
      <w:iCs/>
    </w:rPr>
  </w:style>
  <w:style w:type="character" w:customStyle="1" w:styleId="281">
    <w:name w:val="Char Char15"/>
    <w:qFormat/>
    <w:uiPriority w:val="0"/>
    <w:rPr>
      <w:rFonts w:ascii="宋体" w:hAnsi="Courier New" w:eastAsia="宋体" w:cs="Times New Roman"/>
      <w:snapToGrid w:val="0"/>
      <w:szCs w:val="21"/>
    </w:rPr>
  </w:style>
  <w:style w:type="character" w:customStyle="1" w:styleId="282">
    <w:name w:val="Char6 Char Char1"/>
    <w:qFormat/>
    <w:uiPriority w:val="0"/>
    <w:rPr>
      <w:rFonts w:eastAsia="宋体"/>
      <w:sz w:val="18"/>
      <w:lang w:val="en-US" w:eastAsia="zh-CN" w:bidi="ar-SA"/>
    </w:rPr>
  </w:style>
  <w:style w:type="character" w:customStyle="1" w:styleId="283">
    <w:name w:val="页码11"/>
    <w:qFormat/>
    <w:uiPriority w:val="0"/>
    <w:rPr>
      <w:rFonts w:ascii="Times New Roman" w:hAnsi="Times New Roman" w:eastAsia="宋体"/>
      <w:color w:val="auto"/>
      <w:sz w:val="21"/>
    </w:rPr>
  </w:style>
  <w:style w:type="character" w:customStyle="1" w:styleId="284">
    <w:name w:val="样式 标题 3 + (西文) Times New Roman (中文) 宋体 Char Char"/>
    <w:link w:val="285"/>
    <w:qFormat/>
    <w:uiPriority w:val="0"/>
    <w:rPr>
      <w:b/>
      <w:bCs/>
      <w:sz w:val="28"/>
    </w:rPr>
  </w:style>
  <w:style w:type="paragraph" w:customStyle="1" w:styleId="285">
    <w:name w:val="样式 标题 3 + (西文) Times New Roman (中文) 宋体"/>
    <w:basedOn w:val="5"/>
    <w:link w:val="284"/>
    <w:qFormat/>
    <w:uiPriority w:val="0"/>
    <w:pPr>
      <w:keepNext w:val="0"/>
      <w:keepLines w:val="0"/>
      <w:tabs>
        <w:tab w:val="left" w:pos="1560"/>
        <w:tab w:val="left" w:pos="1680"/>
        <w:tab w:val="clear" w:pos="720"/>
      </w:tabs>
      <w:adjustRightInd/>
      <w:spacing w:line="560" w:lineRule="atLeast"/>
      <w:ind w:left="851" w:hanging="284"/>
      <w:jc w:val="both"/>
      <w:textAlignment w:val="auto"/>
    </w:pPr>
    <w:rPr>
      <w:rFonts w:asciiTheme="minorHAnsi" w:hAnsiTheme="minorHAnsi" w:eastAsiaTheme="minorEastAsia" w:cstheme="minorBidi"/>
      <w:bCs/>
      <w:color w:val="auto"/>
      <w:spacing w:val="0"/>
      <w:kern w:val="2"/>
      <w:szCs w:val="22"/>
    </w:rPr>
  </w:style>
  <w:style w:type="character" w:customStyle="1" w:styleId="286">
    <w:name w:val="表格－正文 Char Char"/>
    <w:link w:val="287"/>
    <w:qFormat/>
    <w:uiPriority w:val="0"/>
    <w:rPr>
      <w:rFonts w:ascii="Calibri" w:hAnsi="Calibri" w:eastAsia="宋体"/>
    </w:rPr>
  </w:style>
  <w:style w:type="paragraph" w:customStyle="1" w:styleId="287">
    <w:name w:val="表格－正文"/>
    <w:basedOn w:val="1"/>
    <w:link w:val="286"/>
    <w:qFormat/>
    <w:uiPriority w:val="0"/>
    <w:pPr>
      <w:spacing w:line="300" w:lineRule="exact"/>
      <w:jc w:val="center"/>
    </w:pPr>
    <w:rPr>
      <w:rFonts w:ascii="Calibri" w:hAnsi="Calibri" w:cstheme="minorBidi"/>
      <w:spacing w:val="0"/>
      <w:kern w:val="2"/>
      <w:sz w:val="21"/>
      <w:szCs w:val="22"/>
    </w:rPr>
  </w:style>
  <w:style w:type="character" w:customStyle="1" w:styleId="288">
    <w:name w:val="正文样式 Char Char"/>
    <w:qFormat/>
    <w:locked/>
    <w:uiPriority w:val="0"/>
    <w:rPr>
      <w:rFonts w:ascii="宋体" w:hAnsi="宋体"/>
      <w:color w:val="000000"/>
      <w:kern w:val="2"/>
      <w:sz w:val="24"/>
      <w:szCs w:val="24"/>
    </w:rPr>
  </w:style>
  <w:style w:type="character" w:customStyle="1" w:styleId="289">
    <w:name w:val="Char Char205"/>
    <w:qFormat/>
    <w:uiPriority w:val="0"/>
    <w:rPr>
      <w:rFonts w:ascii="Arial" w:hAnsi="Arial" w:eastAsia="黑体"/>
      <w:b/>
      <w:bCs/>
      <w:kern w:val="2"/>
      <w:sz w:val="24"/>
      <w:szCs w:val="24"/>
      <w:lang w:val="en-US" w:eastAsia="zh-CN" w:bidi="ar-SA"/>
    </w:rPr>
  </w:style>
  <w:style w:type="character" w:customStyle="1" w:styleId="290">
    <w:name w:val="标题 6 Char2"/>
    <w:qFormat/>
    <w:uiPriority w:val="0"/>
    <w:rPr>
      <w:rFonts w:ascii="Cambria" w:hAnsi="Cambria" w:eastAsia="宋体" w:cs="Times New Roman"/>
      <w:b/>
      <w:bCs/>
      <w:kern w:val="2"/>
      <w:sz w:val="24"/>
      <w:szCs w:val="24"/>
    </w:rPr>
  </w:style>
  <w:style w:type="character" w:customStyle="1" w:styleId="291">
    <w:name w:val="正文（首行缩进） Char Char Char Char"/>
    <w:link w:val="292"/>
    <w:qFormat/>
    <w:uiPriority w:val="0"/>
    <w:rPr>
      <w:rFonts w:eastAsia="宋体"/>
      <w:snapToGrid w:val="0"/>
      <w:sz w:val="24"/>
    </w:rPr>
  </w:style>
  <w:style w:type="paragraph" w:customStyle="1" w:styleId="292">
    <w:name w:val="正文（首行缩进） Char"/>
    <w:basedOn w:val="1"/>
    <w:link w:val="291"/>
    <w:qFormat/>
    <w:uiPriority w:val="0"/>
    <w:pPr>
      <w:widowControl/>
      <w:overflowPunct w:val="0"/>
      <w:topLinePunct/>
      <w:autoSpaceDE w:val="0"/>
      <w:autoSpaceDN w:val="0"/>
      <w:adjustRightInd w:val="0"/>
      <w:snapToGrid w:val="0"/>
      <w:spacing w:line="360" w:lineRule="auto"/>
      <w:ind w:firstLine="480" w:firstLineChars="200"/>
      <w:textAlignment w:val="baseline"/>
    </w:pPr>
    <w:rPr>
      <w:rFonts w:asciiTheme="minorHAnsi" w:hAnsiTheme="minorHAnsi" w:cstheme="minorBidi"/>
      <w:snapToGrid w:val="0"/>
      <w:spacing w:val="0"/>
      <w:kern w:val="2"/>
      <w:sz w:val="24"/>
      <w:szCs w:val="22"/>
    </w:rPr>
  </w:style>
  <w:style w:type="character" w:customStyle="1" w:styleId="293">
    <w:name w:val="文本框五号 Char Char Char Char"/>
    <w:qFormat/>
    <w:uiPriority w:val="0"/>
    <w:rPr>
      <w:rFonts w:hint="eastAsia" w:ascii="宋体" w:hAnsi="宋体" w:eastAsia="仿宋_GB2312" w:cs="Courier New"/>
      <w:kern w:val="2"/>
      <w:sz w:val="21"/>
      <w:szCs w:val="21"/>
      <w:lang w:val="en-US" w:eastAsia="zh-CN" w:bidi="ar-SA"/>
    </w:rPr>
  </w:style>
  <w:style w:type="character" w:customStyle="1" w:styleId="294">
    <w:name w:val="表头 Char Char Char Char"/>
    <w:link w:val="295"/>
    <w:qFormat/>
    <w:uiPriority w:val="0"/>
    <w:rPr>
      <w:rFonts w:hAnsi="宋体"/>
      <w:kern w:val="24"/>
      <w:szCs w:val="21"/>
    </w:rPr>
  </w:style>
  <w:style w:type="paragraph" w:customStyle="1" w:styleId="295">
    <w:name w:val="表头"/>
    <w:basedOn w:val="1"/>
    <w:link w:val="294"/>
    <w:qFormat/>
    <w:uiPriority w:val="0"/>
    <w:pPr>
      <w:tabs>
        <w:tab w:val="left" w:pos="1021"/>
      </w:tabs>
      <w:spacing w:line="400" w:lineRule="exact"/>
      <w:jc w:val="center"/>
    </w:pPr>
    <w:rPr>
      <w:rFonts w:hAnsi="宋体" w:asciiTheme="minorHAnsi" w:eastAsiaTheme="minorEastAsia" w:cstheme="minorBidi"/>
      <w:spacing w:val="0"/>
      <w:kern w:val="24"/>
      <w:sz w:val="21"/>
      <w:szCs w:val="21"/>
    </w:rPr>
  </w:style>
  <w:style w:type="character" w:customStyle="1" w:styleId="296">
    <w:name w:val="批注框文本 Char Char Char Char"/>
    <w:qFormat/>
    <w:uiPriority w:val="0"/>
    <w:rPr>
      <w:rFonts w:ascii="Times New Roman" w:hAnsi="Times New Roman" w:eastAsia="宋体" w:cs="Times New Roman"/>
      <w:sz w:val="18"/>
      <w:szCs w:val="18"/>
    </w:rPr>
  </w:style>
  <w:style w:type="character" w:customStyle="1" w:styleId="297">
    <w:name w:val="标题3333 Char Char"/>
    <w:link w:val="298"/>
    <w:qFormat/>
    <w:uiPriority w:val="0"/>
    <w:rPr>
      <w:rFonts w:ascii="宋体" w:hAnsi="宋体" w:eastAsia="宋体"/>
      <w:b/>
      <w:sz w:val="24"/>
      <w:szCs w:val="24"/>
    </w:rPr>
  </w:style>
  <w:style w:type="paragraph" w:customStyle="1" w:styleId="298">
    <w:name w:val="标题3333"/>
    <w:basedOn w:val="1"/>
    <w:link w:val="297"/>
    <w:qFormat/>
    <w:uiPriority w:val="0"/>
    <w:pPr>
      <w:spacing w:line="520" w:lineRule="exact"/>
      <w:jc w:val="left"/>
    </w:pPr>
    <w:rPr>
      <w:rFonts w:ascii="宋体" w:hAnsi="宋体" w:cstheme="minorBidi"/>
      <w:b/>
      <w:spacing w:val="0"/>
      <w:kern w:val="2"/>
      <w:sz w:val="24"/>
      <w:szCs w:val="24"/>
    </w:rPr>
  </w:style>
  <w:style w:type="character" w:customStyle="1" w:styleId="299">
    <w:name w:val="样式 黑色"/>
    <w:qFormat/>
    <w:uiPriority w:val="0"/>
    <w:rPr>
      <w:rFonts w:eastAsia="宋体"/>
      <w:color w:val="000000"/>
      <w:sz w:val="24"/>
      <w:szCs w:val="24"/>
      <w:u w:val="none"/>
      <w:vertAlign w:val="baseline"/>
    </w:rPr>
  </w:style>
  <w:style w:type="character" w:customStyle="1" w:styleId="300">
    <w:name w:val="样式 首行缩进:  2 字符 Char Char Char Char Char"/>
    <w:qFormat/>
    <w:locked/>
    <w:uiPriority w:val="0"/>
    <w:rPr>
      <w:rFonts w:ascii="Arial" w:hAnsi="Arial" w:cs="Arial"/>
      <w:sz w:val="24"/>
    </w:rPr>
  </w:style>
  <w:style w:type="character" w:customStyle="1" w:styleId="301">
    <w:name w:val="标题9"/>
    <w:basedOn w:val="90"/>
    <w:qFormat/>
    <w:uiPriority w:val="0"/>
  </w:style>
  <w:style w:type="character" w:customStyle="1" w:styleId="302">
    <w:name w:val="样式 标题 4 + 左侧:  0 厘米 悬挂缩进: 8.64 字符 段前: 6 磅 段后: 6 磅 行距: 单倍行距 Char Char"/>
    <w:link w:val="303"/>
    <w:qFormat/>
    <w:uiPriority w:val="0"/>
    <w:rPr>
      <w:rFonts w:ascii="Arial" w:eastAsia="黑体" w:cs="宋体"/>
      <w:b/>
      <w:bCs/>
      <w:sz w:val="24"/>
    </w:rPr>
  </w:style>
  <w:style w:type="paragraph" w:customStyle="1" w:styleId="303">
    <w:name w:val="样式 标题 4 + 左侧:  0 厘米 悬挂缩进: 8.64 字符 段前: 6 磅 段后: 6 磅 行距: 单倍行距"/>
    <w:basedOn w:val="6"/>
    <w:link w:val="302"/>
    <w:qFormat/>
    <w:uiPriority w:val="0"/>
    <w:pPr>
      <w:keepNext w:val="0"/>
      <w:keepLines w:val="0"/>
      <w:spacing w:before="120" w:after="120" w:line="312" w:lineRule="auto"/>
    </w:pPr>
    <w:rPr>
      <w:rFonts w:cs="宋体" w:hAnsiTheme="minorHAnsi"/>
      <w:kern w:val="2"/>
      <w:sz w:val="24"/>
      <w:szCs w:val="22"/>
    </w:rPr>
  </w:style>
  <w:style w:type="character" w:customStyle="1" w:styleId="304">
    <w:name w:val="居中 Char"/>
    <w:link w:val="305"/>
    <w:qFormat/>
    <w:locked/>
    <w:uiPriority w:val="0"/>
    <w:rPr>
      <w:rFonts w:ascii="Times New Roman" w:hAnsi="Times New Roman" w:eastAsia="宋体" w:cs="Times New Roman"/>
      <w:kern w:val="0"/>
      <w:sz w:val="20"/>
      <w:szCs w:val="20"/>
    </w:rPr>
  </w:style>
  <w:style w:type="paragraph" w:customStyle="1" w:styleId="305">
    <w:name w:val="居中"/>
    <w:basedOn w:val="1"/>
    <w:link w:val="304"/>
    <w:qFormat/>
    <w:uiPriority w:val="0"/>
    <w:pPr>
      <w:spacing w:before="100" w:beforeAutospacing="1" w:after="100" w:afterAutospacing="1" w:line="360" w:lineRule="auto"/>
      <w:jc w:val="center"/>
    </w:pPr>
    <w:rPr>
      <w:spacing w:val="0"/>
    </w:rPr>
  </w:style>
  <w:style w:type="character" w:customStyle="1" w:styleId="306">
    <w:name w:val="正文首行缩进 2 Char2"/>
    <w:qFormat/>
    <w:uiPriority w:val="0"/>
    <w:rPr>
      <w:rFonts w:ascii="Times New Roman" w:hAnsi="Times New Roman" w:eastAsia="宋体" w:cs="Times New Roman"/>
      <w:szCs w:val="24"/>
    </w:rPr>
  </w:style>
  <w:style w:type="character" w:customStyle="1" w:styleId="307">
    <w:name w:val="吴用表格 Char Char Char"/>
    <w:link w:val="308"/>
    <w:qFormat/>
    <w:uiPriority w:val="0"/>
    <w:rPr>
      <w:rFonts w:ascii="Arial" w:hAnsi="Arial" w:eastAsia="宋体" w:cs="Arial"/>
      <w:szCs w:val="21"/>
    </w:rPr>
  </w:style>
  <w:style w:type="paragraph" w:customStyle="1" w:styleId="308">
    <w:name w:val="吴用表格"/>
    <w:basedOn w:val="1"/>
    <w:link w:val="307"/>
    <w:qFormat/>
    <w:uiPriority w:val="0"/>
    <w:pPr>
      <w:spacing w:line="320" w:lineRule="exact"/>
      <w:jc w:val="center"/>
    </w:pPr>
    <w:rPr>
      <w:rFonts w:ascii="Arial" w:hAnsi="Arial" w:cs="Arial"/>
      <w:spacing w:val="0"/>
      <w:kern w:val="2"/>
      <w:sz w:val="21"/>
      <w:szCs w:val="21"/>
    </w:rPr>
  </w:style>
  <w:style w:type="character" w:customStyle="1" w:styleId="309">
    <w:name w:val="样式 题注 + (西文) 宋体 Char"/>
    <w:qFormat/>
    <w:locked/>
    <w:uiPriority w:val="0"/>
    <w:rPr>
      <w:rFonts w:ascii="宋体" w:hAnsi="宋体"/>
      <w:color w:val="000000"/>
      <w:sz w:val="28"/>
      <w:szCs w:val="28"/>
      <w:lang w:val="zh-CN"/>
    </w:rPr>
  </w:style>
  <w:style w:type="character" w:customStyle="1" w:styleId="310">
    <w:name w:val="福建正文缩进 Char Char"/>
    <w:link w:val="311"/>
    <w:qFormat/>
    <w:uiPriority w:val="0"/>
    <w:rPr>
      <w:rFonts w:ascii="宋体" w:eastAsia="宋体"/>
      <w:b/>
      <w:sz w:val="24"/>
      <w:szCs w:val="24"/>
    </w:rPr>
  </w:style>
  <w:style w:type="paragraph" w:customStyle="1" w:styleId="311">
    <w:name w:val="福建正文缩进"/>
    <w:basedOn w:val="21"/>
    <w:link w:val="310"/>
    <w:qFormat/>
    <w:uiPriority w:val="0"/>
    <w:pPr>
      <w:adjustRightInd w:val="0"/>
      <w:snapToGrid w:val="0"/>
      <w:spacing w:line="360" w:lineRule="auto"/>
      <w:ind w:firstLine="539" w:firstLineChars="0"/>
    </w:pPr>
    <w:rPr>
      <w:rFonts w:ascii="宋体" w:hAnsiTheme="minorHAnsi" w:cstheme="minorBidi"/>
      <w:b/>
      <w:kern w:val="2"/>
      <w:szCs w:val="24"/>
    </w:rPr>
  </w:style>
  <w:style w:type="character" w:customStyle="1" w:styleId="312">
    <w:name w:val="样式 宋体 四号"/>
    <w:qFormat/>
    <w:uiPriority w:val="0"/>
    <w:rPr>
      <w:rFonts w:ascii="Times New Roman" w:hAnsi="Times New Roman"/>
      <w:kern w:val="20"/>
      <w:sz w:val="28"/>
    </w:rPr>
  </w:style>
  <w:style w:type="character" w:customStyle="1" w:styleId="313">
    <w:name w:val="上标"/>
    <w:qFormat/>
    <w:uiPriority w:val="0"/>
    <w:rPr>
      <w:rFonts w:ascii="Times New Roman" w:hAnsi="Times New Roman" w:eastAsia="宋体" w:cs="Times New Roman"/>
      <w:color w:val="auto"/>
      <w:kern w:val="1"/>
      <w:sz w:val="28"/>
      <w:szCs w:val="20"/>
      <w:vertAlign w:val="superscript"/>
      <w:lang w:val="en-US" w:eastAsia="ar-SA" w:bidi="ar-SA"/>
    </w:rPr>
  </w:style>
  <w:style w:type="character" w:customStyle="1" w:styleId="314">
    <w:name w:val="title1"/>
    <w:qFormat/>
    <w:uiPriority w:val="0"/>
  </w:style>
  <w:style w:type="character" w:customStyle="1" w:styleId="315">
    <w:name w:val="Char Char26"/>
    <w:qFormat/>
    <w:uiPriority w:val="0"/>
    <w:rPr>
      <w:rFonts w:ascii="Times New Roman" w:hAnsi="Times New Roman" w:eastAsia="宋体" w:cs="Times New Roman"/>
      <w:szCs w:val="24"/>
    </w:rPr>
  </w:style>
  <w:style w:type="character" w:customStyle="1" w:styleId="316">
    <w:name w:val="标题 2 Char Char Char Char Char Char Char Char Char Char Char Char Char Char Char Char Char Char Char Char Char Char Char Char"/>
    <w:qFormat/>
    <w:uiPriority w:val="0"/>
    <w:rPr>
      <w:rFonts w:ascii="Arial" w:hAnsi="Arial" w:eastAsia="黑体"/>
      <w:b/>
      <w:bCs/>
      <w:kern w:val="2"/>
      <w:sz w:val="32"/>
      <w:szCs w:val="32"/>
      <w:lang w:val="en-US" w:eastAsia="zh-CN" w:bidi="ar-SA"/>
    </w:rPr>
  </w:style>
  <w:style w:type="character" w:customStyle="1" w:styleId="317">
    <w:name w:val="cucd-0 Char"/>
    <w:qFormat/>
    <w:locked/>
    <w:uiPriority w:val="0"/>
    <w:rPr>
      <w:rFonts w:eastAsia="Times New Roman"/>
      <w:kern w:val="2"/>
      <w:sz w:val="24"/>
      <w:szCs w:val="24"/>
    </w:rPr>
  </w:style>
  <w:style w:type="character" w:customStyle="1" w:styleId="318">
    <w:name w:val="df1"/>
    <w:basedOn w:val="90"/>
    <w:qFormat/>
    <w:uiPriority w:val="0"/>
  </w:style>
  <w:style w:type="character" w:customStyle="1" w:styleId="319">
    <w:name w:val="小段黑字 Char Char"/>
    <w:link w:val="320"/>
    <w:qFormat/>
    <w:uiPriority w:val="0"/>
    <w:rPr>
      <w:rFonts w:ascii="楷体_GB2312" w:hAnsi="宋体" w:eastAsia="宋体"/>
      <w:b/>
      <w:bCs/>
      <w:sz w:val="24"/>
      <w:szCs w:val="24"/>
    </w:rPr>
  </w:style>
  <w:style w:type="paragraph" w:customStyle="1" w:styleId="320">
    <w:name w:val="小段黑字"/>
    <w:basedOn w:val="6"/>
    <w:link w:val="319"/>
    <w:qFormat/>
    <w:uiPriority w:val="0"/>
    <w:pPr>
      <w:keepLines w:val="0"/>
      <w:spacing w:beforeLines="30" w:afterLines="30" w:line="240" w:lineRule="auto"/>
    </w:pPr>
    <w:rPr>
      <w:rFonts w:ascii="楷体_GB2312" w:hAnsi="宋体" w:eastAsia="宋体" w:cstheme="minorBidi"/>
      <w:kern w:val="2"/>
      <w:sz w:val="24"/>
      <w:szCs w:val="24"/>
    </w:rPr>
  </w:style>
  <w:style w:type="character" w:customStyle="1" w:styleId="321">
    <w:name w:val="批注引用11"/>
    <w:qFormat/>
    <w:uiPriority w:val="0"/>
    <w:rPr>
      <w:sz w:val="21"/>
    </w:rPr>
  </w:style>
  <w:style w:type="character" w:customStyle="1" w:styleId="322">
    <w:name w:val="标题B Char Char"/>
    <w:link w:val="323"/>
    <w:qFormat/>
    <w:uiPriority w:val="0"/>
    <w:rPr>
      <w:rFonts w:ascii="宋体" w:hAnsi="宋体" w:eastAsia="宋体" w:cs="宋体"/>
      <w:b/>
      <w:bCs/>
      <w:sz w:val="28"/>
    </w:rPr>
  </w:style>
  <w:style w:type="paragraph" w:customStyle="1" w:styleId="323">
    <w:name w:val="标题B"/>
    <w:basedOn w:val="1"/>
    <w:next w:val="1"/>
    <w:link w:val="322"/>
    <w:qFormat/>
    <w:uiPriority w:val="0"/>
    <w:pPr>
      <w:spacing w:line="540" w:lineRule="exact"/>
    </w:pPr>
    <w:rPr>
      <w:rFonts w:ascii="宋体" w:hAnsi="宋体" w:cs="宋体"/>
      <w:b/>
      <w:bCs/>
      <w:spacing w:val="0"/>
      <w:kern w:val="2"/>
      <w:sz w:val="28"/>
      <w:szCs w:val="22"/>
    </w:rPr>
  </w:style>
  <w:style w:type="character" w:customStyle="1" w:styleId="324">
    <w:name w:val="标准文本 居中 单倍行距 Char Char Char"/>
    <w:qFormat/>
    <w:locked/>
    <w:uiPriority w:val="0"/>
    <w:rPr>
      <w:kern w:val="2"/>
      <w:sz w:val="24"/>
      <w:szCs w:val="24"/>
    </w:rPr>
  </w:style>
  <w:style w:type="character" w:customStyle="1" w:styleId="325">
    <w:name w:val="标题 1 Char Char"/>
    <w:qFormat/>
    <w:uiPriority w:val="0"/>
    <w:rPr>
      <w:rFonts w:eastAsia="宋体"/>
      <w:b/>
      <w:bCs/>
      <w:kern w:val="44"/>
      <w:sz w:val="44"/>
      <w:szCs w:val="44"/>
      <w:lang w:val="en-US" w:eastAsia="zh-CN" w:bidi="ar-SA"/>
    </w:rPr>
  </w:style>
  <w:style w:type="character" w:customStyle="1" w:styleId="326">
    <w:name w:val="HTML 代码1"/>
    <w:qFormat/>
    <w:uiPriority w:val="0"/>
    <w:rPr>
      <w:rFonts w:ascii="Courier New" w:hAnsi="Courier New" w:cs="Courier New"/>
      <w:sz w:val="20"/>
      <w:szCs w:val="20"/>
    </w:rPr>
  </w:style>
  <w:style w:type="character" w:customStyle="1" w:styleId="327">
    <w:name w:val="Default Char"/>
    <w:qFormat/>
    <w:locked/>
    <w:uiPriority w:val="0"/>
    <w:rPr>
      <w:rFonts w:ascii="宋体" w:hAnsi="宋体"/>
      <w:color w:val="000000"/>
      <w:sz w:val="24"/>
      <w:szCs w:val="24"/>
    </w:rPr>
  </w:style>
  <w:style w:type="character" w:customStyle="1" w:styleId="328">
    <w:name w:val="我的正文 Char Char"/>
    <w:link w:val="329"/>
    <w:qFormat/>
    <w:uiPriority w:val="0"/>
    <w:rPr>
      <w:rFonts w:eastAsia="宋体"/>
      <w:sz w:val="24"/>
      <w:szCs w:val="24"/>
    </w:rPr>
  </w:style>
  <w:style w:type="paragraph" w:customStyle="1" w:styleId="329">
    <w:name w:val="我的正文"/>
    <w:basedOn w:val="47"/>
    <w:link w:val="328"/>
    <w:qFormat/>
    <w:uiPriority w:val="0"/>
    <w:pPr>
      <w:spacing w:line="360" w:lineRule="auto"/>
      <w:ind w:firstLine="567"/>
    </w:pPr>
    <w:rPr>
      <w:rFonts w:asciiTheme="minorHAnsi" w:hAnsiTheme="minorHAnsi" w:cstheme="minorBidi"/>
      <w:kern w:val="2"/>
      <w:sz w:val="24"/>
      <w:szCs w:val="24"/>
    </w:rPr>
  </w:style>
  <w:style w:type="character" w:customStyle="1" w:styleId="330">
    <w:name w:val="正文格式111 Char Char"/>
    <w:link w:val="331"/>
    <w:qFormat/>
    <w:uiPriority w:val="0"/>
    <w:rPr>
      <w:rFonts w:ascii="宋体" w:hAnsi="宋体"/>
      <w:sz w:val="24"/>
      <w:szCs w:val="24"/>
    </w:rPr>
  </w:style>
  <w:style w:type="paragraph" w:customStyle="1" w:styleId="331">
    <w:name w:val="正文格式111"/>
    <w:basedOn w:val="1"/>
    <w:link w:val="330"/>
    <w:qFormat/>
    <w:uiPriority w:val="0"/>
    <w:pPr>
      <w:snapToGrid w:val="0"/>
      <w:spacing w:line="300" w:lineRule="auto"/>
      <w:ind w:firstLine="480" w:firstLineChars="200"/>
    </w:pPr>
    <w:rPr>
      <w:rFonts w:ascii="宋体" w:hAnsi="宋体" w:eastAsiaTheme="minorEastAsia" w:cstheme="minorBidi"/>
      <w:spacing w:val="0"/>
      <w:kern w:val="2"/>
      <w:sz w:val="24"/>
      <w:szCs w:val="24"/>
    </w:rPr>
  </w:style>
  <w:style w:type="character" w:customStyle="1" w:styleId="332">
    <w:name w:val="正文 居中 单倍行距 Char Char"/>
    <w:link w:val="333"/>
    <w:qFormat/>
    <w:uiPriority w:val="0"/>
    <w:rPr>
      <w:rFonts w:eastAsia="仿宋_GB2312"/>
      <w:color w:val="000000"/>
      <w:sz w:val="24"/>
    </w:rPr>
  </w:style>
  <w:style w:type="paragraph" w:customStyle="1" w:styleId="333">
    <w:name w:val="正文 居中 单倍行距"/>
    <w:basedOn w:val="16"/>
    <w:link w:val="332"/>
    <w:qFormat/>
    <w:uiPriority w:val="0"/>
    <w:pPr>
      <w:widowControl/>
      <w:autoSpaceDE w:val="0"/>
      <w:autoSpaceDN w:val="0"/>
    </w:pPr>
    <w:rPr>
      <w:rFonts w:eastAsia="仿宋_GB2312" w:asciiTheme="minorHAnsi" w:hAnsiTheme="minorHAnsi" w:cstheme="minorBidi"/>
      <w:color w:val="000000"/>
      <w:kern w:val="2"/>
      <w:sz w:val="24"/>
      <w:szCs w:val="22"/>
    </w:rPr>
  </w:style>
  <w:style w:type="character" w:customStyle="1" w:styleId="334">
    <w:name w:val="正文缩进 Char"/>
    <w:qFormat/>
    <w:uiPriority w:val="0"/>
    <w:rPr>
      <w:rFonts w:ascii="宋体" w:hAnsi="宋体" w:eastAsia="宋体"/>
      <w:kern w:val="2"/>
      <w:sz w:val="24"/>
      <w:lang w:val="en-US" w:eastAsia="zh-CN" w:bidi="ar-SA"/>
    </w:rPr>
  </w:style>
  <w:style w:type="character" w:customStyle="1" w:styleId="335">
    <w:name w:val="表格标题 Char1"/>
    <w:qFormat/>
    <w:uiPriority w:val="0"/>
    <w:rPr>
      <w:rFonts w:hint="default" w:ascii="Arial" w:hAnsi="Arial" w:eastAsia="仿宋_GB2312" w:cs="Arial"/>
      <w:b/>
      <w:sz w:val="24"/>
      <w:lang w:val="en-US" w:eastAsia="zh-CN" w:bidi="ar-SA"/>
    </w:rPr>
  </w:style>
  <w:style w:type="character" w:customStyle="1" w:styleId="336">
    <w:name w:val="text-21"/>
    <w:qFormat/>
    <w:uiPriority w:val="0"/>
    <w:rPr>
      <w:rFonts w:hint="default" w:ascii="??" w:hAnsi="??"/>
      <w:color w:val="000000"/>
      <w:sz w:val="21"/>
      <w:szCs w:val="21"/>
      <w:u w:val="none"/>
    </w:rPr>
  </w:style>
  <w:style w:type="character" w:customStyle="1" w:styleId="337">
    <w:name w:val="hcm文 Char"/>
    <w:qFormat/>
    <w:locked/>
    <w:uiPriority w:val="0"/>
    <w:rPr>
      <w:rFonts w:eastAsia="Times New Roman"/>
      <w:kern w:val="2"/>
      <w:sz w:val="24"/>
      <w:szCs w:val="24"/>
    </w:rPr>
  </w:style>
  <w:style w:type="character" w:customStyle="1" w:styleId="338">
    <w:name w:val="燕山正文 Char21"/>
    <w:qFormat/>
    <w:uiPriority w:val="0"/>
    <w:rPr>
      <w:rFonts w:ascii="宋体" w:hAnsi="宋体" w:eastAsia="宋体"/>
      <w:bCs/>
      <w:color w:val="000000"/>
      <w:kern w:val="2"/>
      <w:sz w:val="24"/>
      <w:szCs w:val="24"/>
      <w:lang w:val="en-US" w:eastAsia="zh-CN" w:bidi="ar-SA"/>
    </w:rPr>
  </w:style>
  <w:style w:type="character" w:customStyle="1" w:styleId="339">
    <w:name w:val="标题3333 Char"/>
    <w:qFormat/>
    <w:locked/>
    <w:uiPriority w:val="0"/>
    <w:rPr>
      <w:rFonts w:ascii="宋体" w:hAnsi="宋体"/>
      <w:b/>
      <w:kern w:val="2"/>
      <w:sz w:val="24"/>
      <w:szCs w:val="24"/>
    </w:rPr>
  </w:style>
  <w:style w:type="character" w:customStyle="1" w:styleId="340">
    <w:name w:val="标题8 Char"/>
    <w:qFormat/>
    <w:uiPriority w:val="0"/>
    <w:rPr>
      <w:rFonts w:ascii="Arial" w:hAnsi="Arial" w:eastAsia="黑体" w:cs="宋体"/>
      <w:b/>
      <w:bCs/>
      <w:sz w:val="24"/>
      <w:szCs w:val="24"/>
      <w:lang w:val="en-US" w:eastAsia="zh-CN" w:bidi="ar-SA"/>
    </w:rPr>
  </w:style>
  <w:style w:type="character" w:customStyle="1" w:styleId="341">
    <w:name w:val="表 Char Char Char"/>
    <w:qFormat/>
    <w:uiPriority w:val="0"/>
    <w:rPr>
      <w:rFonts w:ascii="Cambria" w:hAnsi="Cambria" w:eastAsia="宋体" w:cs="Times New Roman"/>
      <w:b/>
      <w:bCs/>
      <w:kern w:val="2"/>
      <w:sz w:val="28"/>
      <w:szCs w:val="28"/>
    </w:rPr>
  </w:style>
  <w:style w:type="character" w:customStyle="1" w:styleId="342">
    <w:name w:val="题注 Char Char1 Char Char Char Char C"/>
    <w:qFormat/>
    <w:uiPriority w:val="0"/>
    <w:rPr>
      <w:rFonts w:ascii="Arial" w:hAnsi="Arial" w:eastAsia="宋体" w:cs="Arial"/>
      <w:kern w:val="2"/>
      <w:sz w:val="24"/>
      <w:lang w:val="en-US" w:eastAsia="zh-CN" w:bidi="ar-SA"/>
    </w:rPr>
  </w:style>
  <w:style w:type="character" w:customStyle="1" w:styleId="343">
    <w:name w:val="样式 13 磅 加粗"/>
    <w:qFormat/>
    <w:uiPriority w:val="0"/>
    <w:rPr>
      <w:rFonts w:ascii="Times New Roman" w:hAnsi="Times New Roman"/>
      <w:b/>
      <w:bCs/>
      <w:sz w:val="26"/>
    </w:rPr>
  </w:style>
  <w:style w:type="character" w:customStyle="1" w:styleId="344">
    <w:name w:val="h31"/>
    <w:qFormat/>
    <w:uiPriority w:val="0"/>
    <w:rPr>
      <w:sz w:val="18"/>
    </w:rPr>
  </w:style>
  <w:style w:type="character" w:customStyle="1" w:styleId="345">
    <w:name w:val="hxtj3"/>
    <w:qFormat/>
    <w:uiPriority w:val="0"/>
    <w:rPr>
      <w:color w:val="000000"/>
      <w:sz w:val="18"/>
      <w:szCs w:val="18"/>
      <w:u w:val="none"/>
    </w:rPr>
  </w:style>
  <w:style w:type="character" w:customStyle="1" w:styleId="346">
    <w:name w:val="燕山正文 Char Char"/>
    <w:qFormat/>
    <w:uiPriority w:val="0"/>
    <w:rPr>
      <w:rFonts w:ascii="宋体" w:hAnsi="宋体" w:eastAsia="宋体"/>
      <w:color w:val="000000"/>
      <w:kern w:val="2"/>
      <w:sz w:val="24"/>
      <w:szCs w:val="24"/>
      <w:lang w:val="en-US" w:eastAsia="zh-CN" w:bidi="ar-SA"/>
    </w:rPr>
  </w:style>
  <w:style w:type="character" w:customStyle="1" w:styleId="347">
    <w:name w:val="bold1"/>
    <w:qFormat/>
    <w:uiPriority w:val="0"/>
    <w:rPr>
      <w:b/>
      <w:bCs/>
    </w:rPr>
  </w:style>
  <w:style w:type="character" w:customStyle="1" w:styleId="348">
    <w:name w:val="Char Char Char1 Char Char Char1 Char Char Char Char Char Char Char Char Char Char Char Char1 Char Char Char Char Char Char Char Char Char"/>
    <w:link w:val="349"/>
    <w:qFormat/>
    <w:uiPriority w:val="0"/>
    <w:rPr>
      <w:rFonts w:ascii="Arial" w:hAnsi="Arial"/>
      <w:b/>
      <w:sz w:val="24"/>
      <w:lang w:eastAsia="en-US"/>
    </w:rPr>
  </w:style>
  <w:style w:type="paragraph" w:customStyle="1" w:styleId="349">
    <w:name w:val="Char Char Char1 Char Char Char1 Char Char Char Char Char Char Char Char Char Char Char Char1 Char Char Char Char Char Char Char1"/>
    <w:basedOn w:val="1"/>
    <w:link w:val="348"/>
    <w:qFormat/>
    <w:uiPriority w:val="0"/>
    <w:pPr>
      <w:widowControl/>
      <w:spacing w:after="160" w:line="240" w:lineRule="exact"/>
      <w:jc w:val="left"/>
    </w:pPr>
    <w:rPr>
      <w:rFonts w:ascii="Arial" w:hAnsi="Arial" w:eastAsiaTheme="minorEastAsia" w:cstheme="minorBidi"/>
      <w:b/>
      <w:spacing w:val="0"/>
      <w:kern w:val="2"/>
      <w:sz w:val="24"/>
      <w:szCs w:val="22"/>
      <w:lang w:eastAsia="en-US"/>
    </w:rPr>
  </w:style>
  <w:style w:type="character" w:customStyle="1" w:styleId="350">
    <w:name w:val="font31"/>
    <w:qFormat/>
    <w:uiPriority w:val="0"/>
    <w:rPr>
      <w:rFonts w:hint="eastAsia" w:ascii="宋体" w:hAnsi="宋体" w:eastAsia="宋体" w:cs="宋体"/>
      <w:color w:val="000000"/>
      <w:sz w:val="20"/>
      <w:szCs w:val="20"/>
      <w:u w:val="none"/>
    </w:rPr>
  </w:style>
  <w:style w:type="character" w:customStyle="1" w:styleId="351">
    <w:name w:val="燕山正文 Char24"/>
    <w:qFormat/>
    <w:uiPriority w:val="0"/>
    <w:rPr>
      <w:rFonts w:ascii="宋体" w:hAnsi="宋体" w:eastAsia="宋体"/>
      <w:bCs/>
      <w:color w:val="000000"/>
      <w:kern w:val="2"/>
      <w:sz w:val="24"/>
      <w:szCs w:val="24"/>
      <w:lang w:val="en-US" w:eastAsia="zh-CN" w:bidi="ar-SA"/>
    </w:rPr>
  </w:style>
  <w:style w:type="character" w:customStyle="1" w:styleId="352">
    <w:name w:val="t_blue_011"/>
    <w:qFormat/>
    <w:uiPriority w:val="0"/>
    <w:rPr>
      <w:rFonts w:hint="default"/>
      <w:color w:val="4A81B5"/>
      <w:sz w:val="27"/>
      <w:szCs w:val="27"/>
    </w:rPr>
  </w:style>
  <w:style w:type="character" w:customStyle="1" w:styleId="353">
    <w:name w:val="1-正文 Char"/>
    <w:qFormat/>
    <w:locked/>
    <w:uiPriority w:val="0"/>
    <w:rPr>
      <w:sz w:val="24"/>
      <w:szCs w:val="24"/>
    </w:rPr>
  </w:style>
  <w:style w:type="character" w:customStyle="1" w:styleId="354">
    <w:name w:val="五级标题王 Char Char"/>
    <w:link w:val="355"/>
    <w:qFormat/>
    <w:uiPriority w:val="0"/>
    <w:rPr>
      <w:rFonts w:ascii="黑体" w:hAnsi="宋体" w:eastAsia="黑体"/>
      <w:bCs/>
      <w:snapToGrid w:val="0"/>
      <w:sz w:val="24"/>
      <w:szCs w:val="24"/>
    </w:rPr>
  </w:style>
  <w:style w:type="paragraph" w:customStyle="1" w:styleId="355">
    <w:name w:val="五级标题王"/>
    <w:basedOn w:val="5"/>
    <w:link w:val="354"/>
    <w:qFormat/>
    <w:uiPriority w:val="0"/>
    <w:pPr>
      <w:tabs>
        <w:tab w:val="left" w:pos="747"/>
        <w:tab w:val="clear" w:pos="720"/>
      </w:tabs>
      <w:snapToGrid w:val="0"/>
      <w:ind w:left="0" w:firstLine="0"/>
      <w:textAlignment w:val="auto"/>
      <w:outlineLvl w:val="4"/>
    </w:pPr>
    <w:rPr>
      <w:rFonts w:ascii="黑体" w:hAnsi="宋体" w:cstheme="minorBidi"/>
      <w:b w:val="0"/>
      <w:bCs/>
      <w:snapToGrid w:val="0"/>
      <w:color w:val="auto"/>
      <w:spacing w:val="0"/>
      <w:kern w:val="2"/>
      <w:sz w:val="24"/>
      <w:szCs w:val="24"/>
    </w:rPr>
  </w:style>
  <w:style w:type="character" w:customStyle="1" w:styleId="356">
    <w:name w:val="正文缩进2 Char Char Char"/>
    <w:link w:val="357"/>
    <w:qFormat/>
    <w:uiPriority w:val="0"/>
    <w:rPr>
      <w:kern w:val="28"/>
      <w:sz w:val="24"/>
    </w:rPr>
  </w:style>
  <w:style w:type="paragraph" w:customStyle="1" w:styleId="357">
    <w:name w:val="正文缩进21"/>
    <w:basedOn w:val="1"/>
    <w:link w:val="356"/>
    <w:qFormat/>
    <w:uiPriority w:val="0"/>
    <w:pPr>
      <w:adjustRightInd w:val="0"/>
      <w:spacing w:line="480" w:lineRule="exact"/>
    </w:pPr>
    <w:rPr>
      <w:rFonts w:asciiTheme="minorHAnsi" w:hAnsiTheme="minorHAnsi" w:eastAsiaTheme="minorEastAsia" w:cstheme="minorBidi"/>
      <w:spacing w:val="0"/>
      <w:kern w:val="28"/>
      <w:sz w:val="24"/>
      <w:szCs w:val="22"/>
    </w:rPr>
  </w:style>
  <w:style w:type="character" w:customStyle="1" w:styleId="358">
    <w:name w:val="页码1"/>
    <w:qFormat/>
    <w:uiPriority w:val="0"/>
    <w:rPr>
      <w:rFonts w:ascii="Times New Roman" w:hAnsi="Times New Roman" w:eastAsia="宋体"/>
      <w:color w:val="auto"/>
      <w:sz w:val="21"/>
    </w:rPr>
  </w:style>
  <w:style w:type="character" w:customStyle="1" w:styleId="359">
    <w:name w:val="正文首行缩进 2 + Times New Roman Char Char"/>
    <w:link w:val="360"/>
    <w:qFormat/>
    <w:uiPriority w:val="0"/>
    <w:rPr>
      <w:rFonts w:eastAsia="宋体"/>
      <w:color w:val="000000"/>
      <w:sz w:val="24"/>
    </w:rPr>
  </w:style>
  <w:style w:type="paragraph" w:customStyle="1" w:styleId="360">
    <w:name w:val="正文首行缩进 2 + Times New Roman"/>
    <w:basedOn w:val="1"/>
    <w:link w:val="359"/>
    <w:qFormat/>
    <w:uiPriority w:val="0"/>
    <w:pPr>
      <w:tabs>
        <w:tab w:val="left" w:pos="0"/>
        <w:tab w:val="left" w:pos="870"/>
        <w:tab w:val="left" w:pos="3150"/>
      </w:tabs>
      <w:autoSpaceDE w:val="0"/>
      <w:autoSpaceDN w:val="0"/>
      <w:spacing w:line="360" w:lineRule="auto"/>
      <w:ind w:firstLine="480" w:firstLineChars="200"/>
      <w:jc w:val="left"/>
    </w:pPr>
    <w:rPr>
      <w:rFonts w:asciiTheme="minorHAnsi" w:hAnsiTheme="minorHAnsi" w:cstheme="minorBidi"/>
      <w:color w:val="000000"/>
      <w:spacing w:val="0"/>
      <w:kern w:val="2"/>
      <w:sz w:val="24"/>
      <w:szCs w:val="22"/>
    </w:rPr>
  </w:style>
  <w:style w:type="character" w:customStyle="1" w:styleId="361">
    <w:name w:val="search_content1"/>
    <w:qFormat/>
    <w:uiPriority w:val="0"/>
    <w:rPr>
      <w:sz w:val="20"/>
      <w:szCs w:val="20"/>
    </w:rPr>
  </w:style>
  <w:style w:type="character" w:customStyle="1" w:styleId="362">
    <w:name w:val="样式 标题 2标题 2 Char + 四号 Char Char"/>
    <w:link w:val="363"/>
    <w:qFormat/>
    <w:uiPriority w:val="0"/>
    <w:rPr>
      <w:rFonts w:ascii="宋体" w:hAnsi="Arial" w:eastAsia="宋体"/>
      <w:sz w:val="24"/>
      <w:szCs w:val="24"/>
    </w:rPr>
  </w:style>
  <w:style w:type="paragraph" w:customStyle="1" w:styleId="363">
    <w:name w:val="样式 标题 2标题 2 Char + 四号"/>
    <w:basedOn w:val="4"/>
    <w:link w:val="362"/>
    <w:qFormat/>
    <w:uiPriority w:val="0"/>
    <w:pPr>
      <w:keepNext w:val="0"/>
      <w:keepLines w:val="0"/>
      <w:widowControl/>
      <w:tabs>
        <w:tab w:val="clear" w:pos="1427"/>
      </w:tabs>
      <w:spacing w:before="156" w:after="156"/>
      <w:jc w:val="both"/>
      <w:outlineLvl w:val="0"/>
    </w:pPr>
    <w:rPr>
      <w:rFonts w:ascii="宋体" w:hAnsi="Arial" w:cstheme="minorBidi"/>
      <w:b w:val="0"/>
      <w:spacing w:val="0"/>
      <w:kern w:val="2"/>
      <w:sz w:val="24"/>
      <w:szCs w:val="24"/>
    </w:rPr>
  </w:style>
  <w:style w:type="character" w:customStyle="1" w:styleId="364">
    <w:name w:val="Char Char9"/>
    <w:qFormat/>
    <w:uiPriority w:val="0"/>
    <w:rPr>
      <w:rFonts w:ascii="宋体" w:hAnsi="宋体" w:eastAsia="宋体"/>
      <w:sz w:val="24"/>
      <w:lang w:val="en-US" w:eastAsia="zh-CN" w:bidi="ar-SA"/>
    </w:rPr>
  </w:style>
  <w:style w:type="character" w:customStyle="1" w:styleId="365">
    <w:name w:val="燕山正文 Char Char Char"/>
    <w:qFormat/>
    <w:uiPriority w:val="0"/>
    <w:rPr>
      <w:rFonts w:ascii="宋体" w:hAnsi="宋体" w:eastAsia="宋体"/>
      <w:color w:val="000000"/>
      <w:sz w:val="28"/>
      <w:szCs w:val="28"/>
      <w:lang w:val="en-US" w:eastAsia="zh-CN" w:bidi="ar-SA"/>
    </w:rPr>
  </w:style>
  <w:style w:type="character" w:customStyle="1" w:styleId="366">
    <w:name w:val="表格图片标题 Char Char"/>
    <w:link w:val="367"/>
    <w:qFormat/>
    <w:uiPriority w:val="0"/>
    <w:rPr>
      <w:b/>
      <w:szCs w:val="24"/>
    </w:rPr>
  </w:style>
  <w:style w:type="paragraph" w:customStyle="1" w:styleId="367">
    <w:name w:val="表格图片标题"/>
    <w:basedOn w:val="1"/>
    <w:next w:val="1"/>
    <w:link w:val="366"/>
    <w:qFormat/>
    <w:uiPriority w:val="0"/>
    <w:pPr>
      <w:spacing w:line="400" w:lineRule="exact"/>
      <w:jc w:val="center"/>
    </w:pPr>
    <w:rPr>
      <w:rFonts w:asciiTheme="minorHAnsi" w:hAnsiTheme="minorHAnsi" w:eastAsiaTheme="minorEastAsia" w:cstheme="minorBidi"/>
      <w:b/>
      <w:spacing w:val="0"/>
      <w:kern w:val="2"/>
      <w:sz w:val="21"/>
      <w:szCs w:val="24"/>
    </w:rPr>
  </w:style>
  <w:style w:type="character" w:customStyle="1" w:styleId="368">
    <w:name w:val="福建正文缩进 Char2"/>
    <w:qFormat/>
    <w:uiPriority w:val="0"/>
    <w:rPr>
      <w:rFonts w:ascii="宋体" w:eastAsia="宋体"/>
      <w:sz w:val="24"/>
      <w:szCs w:val="24"/>
      <w:lang w:val="en-US" w:eastAsia="zh-CN" w:bidi="ar-SA"/>
    </w:rPr>
  </w:style>
  <w:style w:type="character" w:customStyle="1" w:styleId="369">
    <w:name w:val="目录66666666 Char"/>
    <w:qFormat/>
    <w:uiPriority w:val="0"/>
    <w:rPr>
      <w:rFonts w:ascii="宋体" w:hAnsi="宋体"/>
      <w:b/>
      <w:bCs/>
      <w:kern w:val="2"/>
      <w:sz w:val="30"/>
      <w:szCs w:val="30"/>
      <w:lang w:bidi="ar-SA"/>
    </w:rPr>
  </w:style>
  <w:style w:type="character" w:customStyle="1" w:styleId="370">
    <w:name w:val="表标题2.4 Char Char"/>
    <w:link w:val="371"/>
    <w:qFormat/>
    <w:uiPriority w:val="0"/>
    <w:rPr>
      <w:rFonts w:ascii="黑体" w:eastAsia="黑体"/>
      <w:b/>
      <w:spacing w:val="6"/>
      <w:sz w:val="24"/>
      <w:szCs w:val="24"/>
    </w:rPr>
  </w:style>
  <w:style w:type="paragraph" w:customStyle="1" w:styleId="371">
    <w:name w:val="表标题2.4"/>
    <w:basedOn w:val="1"/>
    <w:link w:val="370"/>
    <w:qFormat/>
    <w:uiPriority w:val="0"/>
    <w:pPr>
      <w:tabs>
        <w:tab w:val="center" w:pos="4060"/>
        <w:tab w:val="right" w:pos="8261"/>
      </w:tabs>
      <w:suppressAutoHyphens/>
      <w:adjustRightInd w:val="0"/>
      <w:spacing w:beforeLines="100" w:line="0" w:lineRule="atLeast"/>
    </w:pPr>
    <w:rPr>
      <w:rFonts w:ascii="黑体" w:eastAsia="黑体" w:hAnsiTheme="minorHAnsi" w:cstheme="minorBidi"/>
      <w:b/>
      <w:spacing w:val="6"/>
      <w:kern w:val="2"/>
      <w:sz w:val="24"/>
      <w:szCs w:val="24"/>
    </w:rPr>
  </w:style>
  <w:style w:type="character" w:customStyle="1" w:styleId="372">
    <w:name w:val="Char Char1811"/>
    <w:qFormat/>
    <w:uiPriority w:val="0"/>
    <w:rPr>
      <w:rFonts w:ascii="Times New Roman" w:hAnsi="Times New Roman" w:eastAsia="宋体" w:cs="Times New Roman"/>
      <w:szCs w:val="20"/>
    </w:rPr>
  </w:style>
  <w:style w:type="character" w:customStyle="1" w:styleId="373">
    <w:name w:val="wz_bt1"/>
    <w:basedOn w:val="90"/>
    <w:qFormat/>
    <w:uiPriority w:val="0"/>
  </w:style>
  <w:style w:type="character" w:customStyle="1" w:styleId="374">
    <w:name w:val="hcm2 Char"/>
    <w:qFormat/>
    <w:locked/>
    <w:uiPriority w:val="0"/>
    <w:rPr>
      <w:rFonts w:eastAsia="Times New Roman"/>
      <w:b/>
      <w:smallCaps/>
      <w:kern w:val="2"/>
      <w:sz w:val="24"/>
      <w:szCs w:val="24"/>
    </w:rPr>
  </w:style>
  <w:style w:type="character" w:customStyle="1" w:styleId="375">
    <w:name w:val="样式 样式 表格统一样式 + 仿宋_GB2312 + 宋体 Char Char"/>
    <w:link w:val="376"/>
    <w:qFormat/>
    <w:uiPriority w:val="0"/>
    <w:rPr>
      <w:rFonts w:ascii="Times New Roman" w:hAnsi="Times New Roman" w:eastAsia="宋体" w:cs="Times New Roman"/>
      <w:spacing w:val="-2"/>
      <w:kern w:val="0"/>
      <w:sz w:val="20"/>
      <w:szCs w:val="20"/>
    </w:rPr>
  </w:style>
  <w:style w:type="paragraph" w:customStyle="1" w:styleId="376">
    <w:name w:val="样式 样式 表格统一样式 + 仿宋_GB2312 + 宋体"/>
    <w:basedOn w:val="1"/>
    <w:link w:val="375"/>
    <w:qFormat/>
    <w:uiPriority w:val="0"/>
    <w:pPr>
      <w:widowControl/>
      <w:autoSpaceDE w:val="0"/>
      <w:autoSpaceDN w:val="0"/>
      <w:jc w:val="center"/>
    </w:pPr>
  </w:style>
  <w:style w:type="character" w:customStyle="1" w:styleId="377">
    <w:name w:val="正文A Char Char"/>
    <w:link w:val="378"/>
    <w:qFormat/>
    <w:uiPriority w:val="0"/>
    <w:rPr>
      <w:rFonts w:ascii="宋体" w:hAnsi="宋体" w:eastAsia="宋体" w:cs="宋体"/>
      <w:sz w:val="24"/>
    </w:rPr>
  </w:style>
  <w:style w:type="paragraph" w:customStyle="1" w:styleId="378">
    <w:name w:val="正文A"/>
    <w:basedOn w:val="1"/>
    <w:link w:val="377"/>
    <w:qFormat/>
    <w:uiPriority w:val="0"/>
    <w:pPr>
      <w:spacing w:line="540" w:lineRule="exact"/>
    </w:pPr>
    <w:rPr>
      <w:rFonts w:ascii="宋体" w:hAnsi="宋体" w:cs="宋体"/>
      <w:spacing w:val="0"/>
      <w:kern w:val="2"/>
      <w:sz w:val="24"/>
      <w:szCs w:val="22"/>
    </w:rPr>
  </w:style>
  <w:style w:type="character" w:customStyle="1" w:styleId="379">
    <w:name w:val="样式 题注 + 黑色 Char Char"/>
    <w:link w:val="380"/>
    <w:qFormat/>
    <w:uiPriority w:val="0"/>
    <w:rPr>
      <w:rFonts w:ascii="Arial" w:hAnsi="Arial"/>
      <w:b/>
      <w:color w:val="000000"/>
    </w:rPr>
  </w:style>
  <w:style w:type="paragraph" w:customStyle="1" w:styleId="380">
    <w:name w:val="样式 题注 + 黑色"/>
    <w:basedOn w:val="22"/>
    <w:link w:val="379"/>
    <w:qFormat/>
    <w:uiPriority w:val="0"/>
    <w:pPr>
      <w:adjustRightInd/>
      <w:spacing w:line="360" w:lineRule="auto"/>
      <w:textAlignment w:val="auto"/>
    </w:pPr>
    <w:rPr>
      <w:rFonts w:ascii="Arial" w:hAnsi="Arial" w:eastAsiaTheme="minorEastAsia" w:cstheme="minorBidi"/>
      <w:b/>
      <w:color w:val="000000"/>
      <w:kern w:val="2"/>
      <w:sz w:val="21"/>
      <w:szCs w:val="22"/>
    </w:rPr>
  </w:style>
  <w:style w:type="character" w:customStyle="1" w:styleId="381">
    <w:name w:val="自定义正文 Char1"/>
    <w:qFormat/>
    <w:uiPriority w:val="0"/>
    <w:rPr>
      <w:rFonts w:eastAsia="宋体"/>
      <w:spacing w:val="-2"/>
      <w:kern w:val="2"/>
      <w:sz w:val="28"/>
      <w:szCs w:val="24"/>
      <w:lang w:val="en-US" w:eastAsia="zh-CN" w:bidi="ar-SA"/>
    </w:rPr>
  </w:style>
  <w:style w:type="character" w:customStyle="1" w:styleId="382">
    <w:name w:val="文本条款 Char Char"/>
    <w:qFormat/>
    <w:uiPriority w:val="0"/>
    <w:rPr>
      <w:rFonts w:ascii="Times New Roman" w:hAnsi="Times New Roman" w:eastAsia="宋体"/>
      <w:sz w:val="21"/>
      <w:szCs w:val="22"/>
      <w:lang w:bidi="ar-SA"/>
    </w:rPr>
  </w:style>
  <w:style w:type="character" w:customStyle="1" w:styleId="383">
    <w:name w:val="正文XXX Char"/>
    <w:qFormat/>
    <w:locked/>
    <w:uiPriority w:val="0"/>
    <w:rPr>
      <w:rFonts w:ascii="Arial" w:hAnsi="Arial" w:cs="Arial"/>
      <w:color w:val="000000"/>
      <w:sz w:val="24"/>
    </w:rPr>
  </w:style>
  <w:style w:type="character" w:customStyle="1" w:styleId="384">
    <w:name w:val="标准文本 居中 单倍行距 Char Char Char Char Char Char"/>
    <w:link w:val="385"/>
    <w:qFormat/>
    <w:uiPriority w:val="0"/>
    <w:rPr>
      <w:sz w:val="24"/>
      <w:szCs w:val="24"/>
    </w:rPr>
  </w:style>
  <w:style w:type="paragraph" w:customStyle="1" w:styleId="385">
    <w:name w:val="标准文本 居中 单倍行距"/>
    <w:basedOn w:val="1"/>
    <w:link w:val="384"/>
    <w:qFormat/>
    <w:uiPriority w:val="0"/>
    <w:pPr>
      <w:keepNext/>
      <w:adjustRightInd w:val="0"/>
      <w:snapToGrid w:val="0"/>
      <w:jc w:val="center"/>
      <w:textAlignment w:val="center"/>
    </w:pPr>
    <w:rPr>
      <w:rFonts w:asciiTheme="minorHAnsi" w:hAnsiTheme="minorHAnsi" w:eastAsiaTheme="minorEastAsia" w:cstheme="minorBidi"/>
      <w:spacing w:val="0"/>
      <w:kern w:val="2"/>
      <w:sz w:val="24"/>
      <w:szCs w:val="24"/>
    </w:rPr>
  </w:style>
  <w:style w:type="character" w:customStyle="1" w:styleId="386">
    <w:name w:val="！我的正文 Char Char"/>
    <w:link w:val="387"/>
    <w:qFormat/>
    <w:uiPriority w:val="0"/>
    <w:rPr>
      <w:rFonts w:eastAsia="仿宋_GB2312"/>
      <w:iCs/>
      <w:color w:val="000000"/>
      <w:sz w:val="28"/>
      <w:szCs w:val="30"/>
    </w:rPr>
  </w:style>
  <w:style w:type="paragraph" w:customStyle="1" w:styleId="387">
    <w:name w:val="！我的正文"/>
    <w:link w:val="386"/>
    <w:qFormat/>
    <w:uiPriority w:val="0"/>
    <w:pPr>
      <w:widowControl w:val="0"/>
      <w:spacing w:line="540" w:lineRule="exact"/>
      <w:ind w:firstLine="200" w:firstLineChars="200"/>
      <w:jc w:val="both"/>
    </w:pPr>
    <w:rPr>
      <w:rFonts w:eastAsia="仿宋_GB2312" w:asciiTheme="minorHAnsi" w:hAnsiTheme="minorHAnsi" w:cstheme="minorBidi"/>
      <w:iCs/>
      <w:color w:val="000000"/>
      <w:kern w:val="2"/>
      <w:sz w:val="28"/>
      <w:szCs w:val="30"/>
      <w:lang w:val="en-US" w:eastAsia="zh-CN" w:bidi="ar-SA"/>
    </w:rPr>
  </w:style>
  <w:style w:type="character" w:customStyle="1" w:styleId="388">
    <w:name w:val="样式 正文首行缩进 + 四号 黑色 Char"/>
    <w:qFormat/>
    <w:locked/>
    <w:uiPriority w:val="0"/>
    <w:rPr>
      <w:rFonts w:ascii="宋体" w:hAnsi="宋体"/>
      <w:color w:val="000000"/>
      <w:sz w:val="28"/>
      <w:szCs w:val="24"/>
    </w:rPr>
  </w:style>
  <w:style w:type="character" w:customStyle="1" w:styleId="389">
    <w:name w:val="样式 表内5 + (符号) 宋体 两端对齐 行距: 单倍行距 Char"/>
    <w:qFormat/>
    <w:locked/>
    <w:uiPriority w:val="0"/>
    <w:rPr>
      <w:rFonts w:ascii="宋体" w:hAnsi="宋体"/>
    </w:rPr>
  </w:style>
  <w:style w:type="character" w:customStyle="1" w:styleId="390">
    <w:name w:val="Char Char191"/>
    <w:qFormat/>
    <w:uiPriority w:val="0"/>
    <w:rPr>
      <w:rFonts w:ascii="Times New Roman" w:hAnsi="Times New Roman" w:eastAsia="宋体" w:cs="Times New Roman"/>
      <w:sz w:val="24"/>
      <w:szCs w:val="24"/>
    </w:rPr>
  </w:style>
  <w:style w:type="character" w:customStyle="1" w:styleId="391">
    <w:name w:val="二级丹"/>
    <w:qFormat/>
    <w:uiPriority w:val="0"/>
    <w:rPr>
      <w:rFonts w:eastAsia="黑体"/>
      <w:b/>
      <w:bCs/>
      <w:sz w:val="30"/>
    </w:rPr>
  </w:style>
  <w:style w:type="character" w:customStyle="1" w:styleId="392">
    <w:name w:val="标题b Char Char"/>
    <w:link w:val="393"/>
    <w:qFormat/>
    <w:uiPriority w:val="0"/>
    <w:rPr>
      <w:rFonts w:ascii="楷体_GB2312" w:hAnsi="楷体_GB2312" w:eastAsia="楷体_GB2312"/>
      <w:b/>
      <w:sz w:val="30"/>
    </w:rPr>
  </w:style>
  <w:style w:type="paragraph" w:customStyle="1" w:styleId="393">
    <w:name w:val="标题b"/>
    <w:basedOn w:val="1"/>
    <w:next w:val="1"/>
    <w:link w:val="392"/>
    <w:qFormat/>
    <w:uiPriority w:val="0"/>
    <w:pPr>
      <w:spacing w:line="700" w:lineRule="exact"/>
    </w:pPr>
    <w:rPr>
      <w:rFonts w:ascii="楷体_GB2312" w:hAnsi="楷体_GB2312" w:eastAsia="楷体_GB2312" w:cstheme="minorBidi"/>
      <w:b/>
      <w:spacing w:val="0"/>
      <w:kern w:val="2"/>
      <w:sz w:val="30"/>
      <w:szCs w:val="22"/>
    </w:rPr>
  </w:style>
  <w:style w:type="character" w:customStyle="1" w:styleId="394">
    <w:name w:val="bh C"/>
    <w:qFormat/>
    <w:uiPriority w:val="0"/>
    <w:rPr>
      <w:rFonts w:eastAsia="宋体"/>
      <w:sz w:val="28"/>
      <w:lang w:val="en-US" w:eastAsia="zh-CN"/>
    </w:rPr>
  </w:style>
  <w:style w:type="character" w:customStyle="1" w:styleId="395">
    <w:name w:val="Char Char261"/>
    <w:qFormat/>
    <w:uiPriority w:val="0"/>
    <w:rPr>
      <w:rFonts w:eastAsia="宋体"/>
      <w:kern w:val="2"/>
      <w:sz w:val="21"/>
      <w:szCs w:val="24"/>
      <w:lang w:val="en-US" w:eastAsia="zh-CN" w:bidi="ar-SA"/>
    </w:rPr>
  </w:style>
  <w:style w:type="character" w:customStyle="1" w:styleId="396">
    <w:name w:val="！正文 Char"/>
    <w:qFormat/>
    <w:locked/>
    <w:uiPriority w:val="0"/>
    <w:rPr>
      <w:rFonts w:ascii="仿宋_GB2312" w:eastAsia="仿宋_GB2312"/>
      <w:color w:val="000000"/>
      <w:kern w:val="2"/>
      <w:sz w:val="28"/>
      <w:szCs w:val="30"/>
    </w:rPr>
  </w:style>
  <w:style w:type="character" w:customStyle="1" w:styleId="397">
    <w:name w:val="Char Char Char Char Char Char Char Char Char Char Char Char Char Char Char Char Char Char Char Cha Char1"/>
    <w:qFormat/>
    <w:uiPriority w:val="0"/>
    <w:rPr>
      <w:rFonts w:eastAsia="宋体"/>
      <w:kern w:val="2"/>
      <w:sz w:val="21"/>
      <w:lang w:val="en-US" w:eastAsia="zh-CN" w:bidi="ar-SA"/>
    </w:rPr>
  </w:style>
  <w:style w:type="character" w:customStyle="1" w:styleId="398">
    <w:name w:val="图题 Char6"/>
    <w:qFormat/>
    <w:uiPriority w:val="0"/>
    <w:rPr>
      <w:rFonts w:ascii="黑体" w:hAnsi="宋体" w:eastAsia="黑体" w:cs="宋体"/>
      <w:snapToGrid w:val="0"/>
      <w:color w:val="000000"/>
      <w:kern w:val="2"/>
      <w:sz w:val="24"/>
      <w:szCs w:val="24"/>
      <w:lang w:val="en-US" w:eastAsia="zh-CN" w:bidi="ar-SA"/>
    </w:rPr>
  </w:style>
  <w:style w:type="character" w:customStyle="1" w:styleId="399">
    <w:name w:val="行号1"/>
    <w:basedOn w:val="90"/>
    <w:qFormat/>
    <w:uiPriority w:val="0"/>
  </w:style>
  <w:style w:type="character" w:customStyle="1" w:styleId="400">
    <w:name w:val="表内5 Char1"/>
    <w:qFormat/>
    <w:uiPriority w:val="0"/>
    <w:rPr>
      <w:rFonts w:ascii="宋体" w:eastAsia="宋体"/>
      <w:color w:val="000000"/>
      <w:sz w:val="21"/>
      <w:szCs w:val="21"/>
      <w:lang w:val="en-US" w:eastAsia="zh-CN" w:bidi="ar-SA"/>
    </w:rPr>
  </w:style>
  <w:style w:type="character" w:customStyle="1" w:styleId="401">
    <w:name w:val="Char Char141"/>
    <w:qFormat/>
    <w:uiPriority w:val="0"/>
    <w:rPr>
      <w:rFonts w:eastAsia="宋体"/>
      <w:b/>
      <w:kern w:val="44"/>
      <w:sz w:val="28"/>
      <w:lang w:val="en-US" w:eastAsia="zh-CN" w:bidi="ar-SA"/>
    </w:rPr>
  </w:style>
  <w:style w:type="character" w:customStyle="1" w:styleId="402">
    <w:name w:val="MFS单位1 Char Char"/>
    <w:link w:val="403"/>
    <w:qFormat/>
    <w:uiPriority w:val="0"/>
    <w:rPr>
      <w:rFonts w:eastAsia="楷体_GB2312"/>
      <w:sz w:val="18"/>
    </w:rPr>
  </w:style>
  <w:style w:type="paragraph" w:customStyle="1" w:styleId="403">
    <w:name w:val="MFS单位1"/>
    <w:basedOn w:val="404"/>
    <w:link w:val="402"/>
    <w:qFormat/>
    <w:uiPriority w:val="0"/>
    <w:pPr>
      <w:tabs>
        <w:tab w:val="left" w:pos="1200"/>
      </w:tabs>
    </w:pPr>
    <w:rPr>
      <w:rFonts w:eastAsia="楷体_GB2312" w:asciiTheme="minorHAnsi" w:hAnsiTheme="minorHAnsi" w:cstheme="minorBidi"/>
      <w:spacing w:val="0"/>
      <w:kern w:val="2"/>
      <w:szCs w:val="22"/>
    </w:rPr>
  </w:style>
  <w:style w:type="paragraph" w:customStyle="1" w:styleId="404">
    <w:name w:val="MFS单位"/>
    <w:basedOn w:val="1"/>
    <w:qFormat/>
    <w:uiPriority w:val="0"/>
    <w:pPr>
      <w:tabs>
        <w:tab w:val="left" w:pos="1200"/>
      </w:tabs>
      <w:jc w:val="right"/>
    </w:pPr>
    <w:rPr>
      <w:rFonts w:eastAsia="Times New Roman"/>
      <w:sz w:val="18"/>
    </w:rPr>
  </w:style>
  <w:style w:type="character" w:customStyle="1" w:styleId="405">
    <w:name w:val="正文(首行缩进) Char Char"/>
    <w:link w:val="406"/>
    <w:qFormat/>
    <w:uiPriority w:val="0"/>
    <w:rPr>
      <w:rFonts w:eastAsia="宋体"/>
      <w:kern w:val="24"/>
      <w:sz w:val="24"/>
    </w:rPr>
  </w:style>
  <w:style w:type="paragraph" w:customStyle="1" w:styleId="406">
    <w:name w:val="正文(首行缩进)"/>
    <w:basedOn w:val="1"/>
    <w:link w:val="405"/>
    <w:qFormat/>
    <w:uiPriority w:val="0"/>
    <w:pPr>
      <w:spacing w:line="360" w:lineRule="auto"/>
      <w:ind w:firstLine="420"/>
    </w:pPr>
    <w:rPr>
      <w:rFonts w:asciiTheme="minorHAnsi" w:hAnsiTheme="minorHAnsi" w:cstheme="minorBidi"/>
      <w:spacing w:val="0"/>
      <w:kern w:val="24"/>
      <w:sz w:val="24"/>
      <w:szCs w:val="22"/>
    </w:rPr>
  </w:style>
  <w:style w:type="character" w:customStyle="1" w:styleId="407">
    <w:name w:val="Char Char111"/>
    <w:qFormat/>
    <w:uiPriority w:val="0"/>
    <w:rPr>
      <w:rFonts w:hint="eastAsia" w:ascii="宋体" w:hAnsi="宋体" w:eastAsia="宋体"/>
      <w:kern w:val="2"/>
      <w:sz w:val="18"/>
      <w:szCs w:val="18"/>
      <w:lang w:val="en-US" w:eastAsia="zh-CN"/>
    </w:rPr>
  </w:style>
  <w:style w:type="character" w:customStyle="1" w:styleId="408">
    <w:name w:val="样式 (西文) 仿宋_GB2312 (中文) 仿宋_GB2312 Char Char"/>
    <w:qFormat/>
    <w:uiPriority w:val="0"/>
    <w:rPr>
      <w:rFonts w:ascii="仿宋_GB2312" w:eastAsia="仿宋_GB2312"/>
      <w:kern w:val="2"/>
      <w:sz w:val="28"/>
      <w:szCs w:val="30"/>
      <w:lang w:val="en-US" w:eastAsia="zh-CN" w:bidi="ar-SA"/>
    </w:rPr>
  </w:style>
  <w:style w:type="character" w:customStyle="1" w:styleId="409">
    <w:name w:val="MFS标题2 Char Char"/>
    <w:link w:val="410"/>
    <w:qFormat/>
    <w:uiPriority w:val="0"/>
    <w:rPr>
      <w:rFonts w:eastAsia="黑体"/>
      <w:b/>
      <w:sz w:val="32"/>
    </w:rPr>
  </w:style>
  <w:style w:type="paragraph" w:customStyle="1" w:styleId="410">
    <w:name w:val="MFS标题2"/>
    <w:basedOn w:val="4"/>
    <w:link w:val="409"/>
    <w:qFormat/>
    <w:uiPriority w:val="0"/>
    <w:pPr>
      <w:tabs>
        <w:tab w:val="clear" w:pos="1427"/>
      </w:tabs>
      <w:adjustRightInd/>
      <w:spacing w:beforeLines="20" w:line="416" w:lineRule="auto"/>
      <w:jc w:val="both"/>
      <w:textAlignment w:val="auto"/>
    </w:pPr>
    <w:rPr>
      <w:rFonts w:eastAsia="黑体" w:asciiTheme="minorHAnsi" w:hAnsiTheme="minorHAnsi" w:cstheme="minorBidi"/>
      <w:spacing w:val="0"/>
      <w:kern w:val="2"/>
      <w:sz w:val="32"/>
      <w:szCs w:val="22"/>
    </w:rPr>
  </w:style>
  <w:style w:type="character" w:customStyle="1" w:styleId="411">
    <w:name w:val="lh22px"/>
    <w:qFormat/>
    <w:uiPriority w:val="0"/>
  </w:style>
  <w:style w:type="character" w:customStyle="1" w:styleId="412">
    <w:name w:val="font9 Char Char"/>
    <w:link w:val="413"/>
    <w:qFormat/>
    <w:uiPriority w:val="0"/>
    <w:rPr>
      <w:rFonts w:ascii="宋体" w:hAnsi="宋体" w:eastAsia="宋体"/>
      <w:sz w:val="16"/>
      <w:szCs w:val="16"/>
    </w:rPr>
  </w:style>
  <w:style w:type="paragraph" w:customStyle="1" w:styleId="413">
    <w:name w:val="font9"/>
    <w:basedOn w:val="1"/>
    <w:link w:val="412"/>
    <w:qFormat/>
    <w:uiPriority w:val="0"/>
    <w:pPr>
      <w:widowControl/>
      <w:spacing w:before="100" w:beforeAutospacing="1" w:after="100" w:afterAutospacing="1"/>
      <w:jc w:val="left"/>
    </w:pPr>
    <w:rPr>
      <w:rFonts w:ascii="宋体" w:hAnsi="宋体" w:cstheme="minorBidi"/>
      <w:spacing w:val="0"/>
      <w:kern w:val="2"/>
      <w:sz w:val="16"/>
      <w:szCs w:val="16"/>
    </w:rPr>
  </w:style>
  <w:style w:type="character" w:customStyle="1" w:styleId="414">
    <w:name w:val="表头1 Char"/>
    <w:qFormat/>
    <w:locked/>
    <w:uiPriority w:val="0"/>
    <w:rPr>
      <w:rFonts w:ascii="黑体" w:hAnsi="黑体" w:eastAsia="黑体"/>
      <w:sz w:val="21"/>
      <w:szCs w:val="28"/>
    </w:rPr>
  </w:style>
  <w:style w:type="character" w:customStyle="1" w:styleId="415">
    <w:name w:val="javascript1"/>
    <w:qFormat/>
    <w:uiPriority w:val="0"/>
    <w:rPr>
      <w:rFonts w:hint="default" w:ascii="Tahoma" w:hAnsi="Tahoma" w:cs="Tahoma"/>
      <w:sz w:val="18"/>
      <w:szCs w:val="18"/>
    </w:rPr>
  </w:style>
  <w:style w:type="character" w:customStyle="1" w:styleId="416">
    <w:name w:val="标题1"/>
    <w:basedOn w:val="90"/>
    <w:qFormat/>
    <w:uiPriority w:val="0"/>
  </w:style>
  <w:style w:type="character" w:customStyle="1" w:styleId="417">
    <w:name w:val="标题 1 Char1 Char1"/>
    <w:qFormat/>
    <w:uiPriority w:val="0"/>
    <w:rPr>
      <w:rFonts w:ascii="Arial" w:hAnsi="Arial" w:eastAsia="宋体" w:cs="Arial"/>
      <w:bCs/>
      <w:kern w:val="2"/>
      <w:sz w:val="32"/>
      <w:szCs w:val="32"/>
      <w:lang w:val="en-US" w:eastAsia="zh-CN" w:bidi="ar-SA"/>
    </w:rPr>
  </w:style>
  <w:style w:type="character" w:customStyle="1" w:styleId="418">
    <w:name w:val="表4.1 Char Char"/>
    <w:link w:val="419"/>
    <w:qFormat/>
    <w:uiPriority w:val="0"/>
    <w:rPr>
      <w:rFonts w:ascii="黑体" w:eastAsia="黑体"/>
      <w:b/>
      <w:sz w:val="24"/>
      <w:szCs w:val="26"/>
    </w:rPr>
  </w:style>
  <w:style w:type="paragraph" w:customStyle="1" w:styleId="419">
    <w:name w:val="表4.1"/>
    <w:basedOn w:val="1"/>
    <w:link w:val="418"/>
    <w:qFormat/>
    <w:uiPriority w:val="0"/>
    <w:pPr>
      <w:tabs>
        <w:tab w:val="left" w:pos="1080"/>
        <w:tab w:val="center" w:pos="4060"/>
        <w:tab w:val="right" w:pos="8261"/>
      </w:tabs>
      <w:suppressAutoHyphens/>
      <w:adjustRightInd w:val="0"/>
      <w:spacing w:before="240" w:line="0" w:lineRule="atLeast"/>
      <w:ind w:left="420" w:hanging="420"/>
    </w:pPr>
    <w:rPr>
      <w:rFonts w:ascii="黑体" w:eastAsia="黑体" w:hAnsiTheme="minorHAnsi" w:cstheme="minorBidi"/>
      <w:b/>
      <w:spacing w:val="0"/>
      <w:kern w:val="2"/>
      <w:sz w:val="24"/>
      <w:szCs w:val="26"/>
    </w:rPr>
  </w:style>
  <w:style w:type="character" w:customStyle="1" w:styleId="420">
    <w:name w:val="Char Char24"/>
    <w:qFormat/>
    <w:uiPriority w:val="0"/>
    <w:rPr>
      <w:rFonts w:ascii="Times New Roman" w:hAnsi="Times New Roman" w:eastAsia="宋体" w:cs="Times New Roman"/>
      <w:sz w:val="18"/>
      <w:szCs w:val="18"/>
    </w:rPr>
  </w:style>
  <w:style w:type="character" w:customStyle="1" w:styleId="421">
    <w:name w:val="Char Char132"/>
    <w:qFormat/>
    <w:uiPriority w:val="0"/>
    <w:rPr>
      <w:rFonts w:ascii="Times New Roman" w:hAnsi="Times New Roman" w:eastAsia="宋体" w:cs="Times New Roman"/>
      <w:szCs w:val="24"/>
      <w:shd w:val="clear" w:color="auto" w:fill="000080"/>
    </w:rPr>
  </w:style>
  <w:style w:type="character" w:customStyle="1" w:styleId="422">
    <w:name w:val="Char Char212"/>
    <w:qFormat/>
    <w:uiPriority w:val="0"/>
    <w:rPr>
      <w:rFonts w:eastAsia="宋体"/>
      <w:kern w:val="2"/>
      <w:sz w:val="16"/>
      <w:szCs w:val="16"/>
      <w:lang w:val="en-US" w:eastAsia="zh-CN" w:bidi="ar-SA"/>
    </w:rPr>
  </w:style>
  <w:style w:type="character" w:customStyle="1" w:styleId="423">
    <w:name w:val="正文文本11"/>
    <w:qFormat/>
    <w:uiPriority w:val="0"/>
    <w:rPr>
      <w:rFonts w:eastAsia="宋体"/>
      <w:kern w:val="2"/>
      <w:sz w:val="21"/>
      <w:szCs w:val="24"/>
      <w:lang w:val="en-US" w:eastAsia="zh-CN" w:bidi="ar-SA"/>
    </w:rPr>
  </w:style>
  <w:style w:type="character" w:customStyle="1" w:styleId="424">
    <w:name w:val="td21"/>
    <w:qFormat/>
    <w:uiPriority w:val="0"/>
    <w:rPr>
      <w:sz w:val="21"/>
      <w:szCs w:val="21"/>
      <w:u w:val="none"/>
    </w:rPr>
  </w:style>
  <w:style w:type="character" w:customStyle="1" w:styleId="425">
    <w:name w:val="中文报告书样式 Char1"/>
    <w:link w:val="426"/>
    <w:qFormat/>
    <w:uiPriority w:val="0"/>
    <w:rPr>
      <w:rFonts w:ascii="宋体" w:hAnsi="宋体" w:eastAsia="宋体"/>
      <w:kern w:val="24"/>
      <w:sz w:val="24"/>
    </w:rPr>
  </w:style>
  <w:style w:type="paragraph" w:customStyle="1" w:styleId="426">
    <w:name w:val="中文报告书样式"/>
    <w:basedOn w:val="1"/>
    <w:link w:val="425"/>
    <w:qFormat/>
    <w:uiPriority w:val="0"/>
    <w:pPr>
      <w:adjustRightInd w:val="0"/>
      <w:spacing w:line="480" w:lineRule="atLeast"/>
      <w:ind w:firstLine="482"/>
      <w:textAlignment w:val="baseline"/>
    </w:pPr>
    <w:rPr>
      <w:rFonts w:ascii="宋体" w:hAnsi="宋体" w:cstheme="minorBidi"/>
      <w:spacing w:val="0"/>
      <w:kern w:val="24"/>
      <w:sz w:val="24"/>
      <w:szCs w:val="22"/>
    </w:rPr>
  </w:style>
  <w:style w:type="character" w:customStyle="1" w:styleId="427">
    <w:name w:val="正文文本缩进 2 Char2"/>
    <w:qFormat/>
    <w:uiPriority w:val="0"/>
    <w:rPr>
      <w:rFonts w:ascii="Times New Roman" w:hAnsi="Times New Roman" w:eastAsia="宋体" w:cs="Times New Roman"/>
      <w:szCs w:val="24"/>
    </w:rPr>
  </w:style>
  <w:style w:type="character" w:customStyle="1" w:styleId="428">
    <w:name w:val="普通文字 Char Char Char Char Char C Char Char Char Char Char Char Char"/>
    <w:qFormat/>
    <w:uiPriority w:val="0"/>
    <w:rPr>
      <w:rFonts w:hint="eastAsia" w:ascii="宋体" w:hAnsi="Courier New" w:eastAsia="宋体" w:cs="宋体"/>
      <w:kern w:val="2"/>
      <w:sz w:val="28"/>
      <w:szCs w:val="24"/>
      <w:lang w:val="en-US" w:eastAsia="zh-CN" w:bidi="ar-SA"/>
    </w:rPr>
  </w:style>
  <w:style w:type="character" w:customStyle="1" w:styleId="429">
    <w:name w:val="征文格式 Char Char Char Char"/>
    <w:qFormat/>
    <w:uiPriority w:val="0"/>
    <w:rPr>
      <w:rFonts w:ascii="宋体" w:hAnsi="宋体" w:eastAsia="宋体" w:cs="宋体"/>
      <w:kern w:val="2"/>
      <w:sz w:val="24"/>
      <w:szCs w:val="24"/>
      <w:lang w:val="en-US" w:eastAsia="zh-CN"/>
    </w:rPr>
  </w:style>
  <w:style w:type="character" w:customStyle="1" w:styleId="430">
    <w:name w:val="b2 Char2"/>
    <w:qFormat/>
    <w:uiPriority w:val="0"/>
    <w:rPr>
      <w:rFonts w:ascii="宋体" w:hAnsi="宋体" w:eastAsia="宋体"/>
      <w:b/>
      <w:sz w:val="24"/>
      <w:lang w:val="en-US" w:eastAsia="zh-CN" w:bidi="ar-SA"/>
    </w:rPr>
  </w:style>
  <w:style w:type="character" w:customStyle="1" w:styleId="431">
    <w:name w:val="dxj正文 Char Char"/>
    <w:link w:val="432"/>
    <w:qFormat/>
    <w:uiPriority w:val="0"/>
    <w:rPr>
      <w:sz w:val="24"/>
      <w:szCs w:val="24"/>
    </w:rPr>
  </w:style>
  <w:style w:type="paragraph" w:customStyle="1" w:styleId="432">
    <w:name w:val="dxj正文"/>
    <w:basedOn w:val="1"/>
    <w:link w:val="431"/>
    <w:qFormat/>
    <w:uiPriority w:val="0"/>
    <w:pPr>
      <w:spacing w:line="360" w:lineRule="auto"/>
      <w:ind w:firstLine="200" w:firstLineChars="200"/>
    </w:pPr>
    <w:rPr>
      <w:rFonts w:asciiTheme="minorHAnsi" w:hAnsiTheme="minorHAnsi" w:eastAsiaTheme="minorEastAsia" w:cstheme="minorBidi"/>
      <w:spacing w:val="0"/>
      <w:kern w:val="2"/>
      <w:sz w:val="24"/>
      <w:szCs w:val="24"/>
    </w:rPr>
  </w:style>
  <w:style w:type="character" w:customStyle="1" w:styleId="433">
    <w:name w:val="正文1 Char Char Char"/>
    <w:qFormat/>
    <w:uiPriority w:val="0"/>
    <w:rPr>
      <w:rFonts w:eastAsia="宋体"/>
      <w:kern w:val="2"/>
      <w:sz w:val="24"/>
      <w:szCs w:val="24"/>
      <w:lang w:val="en-US" w:eastAsia="zh-CN"/>
    </w:rPr>
  </w:style>
  <w:style w:type="character" w:customStyle="1" w:styleId="434">
    <w:name w:val="样式 首行缩进:  2 字符 Char"/>
    <w:qFormat/>
    <w:locked/>
    <w:uiPriority w:val="0"/>
    <w:rPr>
      <w:sz w:val="24"/>
    </w:rPr>
  </w:style>
  <w:style w:type="character" w:customStyle="1" w:styleId="435">
    <w:name w:val="表头 Char1"/>
    <w:qFormat/>
    <w:uiPriority w:val="0"/>
    <w:rPr>
      <w:rFonts w:ascii="黑体" w:eastAsia="黑体"/>
      <w:bCs/>
      <w:kern w:val="2"/>
      <w:sz w:val="24"/>
      <w:szCs w:val="24"/>
      <w:lang w:val="en-US" w:eastAsia="zh-CN" w:bidi="ar-SA"/>
    </w:rPr>
  </w:style>
  <w:style w:type="character" w:customStyle="1" w:styleId="436">
    <w:name w:val="正文（左悬挂） Char Char"/>
    <w:link w:val="437"/>
    <w:qFormat/>
    <w:uiPriority w:val="0"/>
    <w:rPr>
      <w:rFonts w:ascii="宋体" w:hAnsi="宋体"/>
      <w:snapToGrid w:val="0"/>
      <w:sz w:val="24"/>
      <w:szCs w:val="24"/>
    </w:rPr>
  </w:style>
  <w:style w:type="paragraph" w:customStyle="1" w:styleId="437">
    <w:name w:val="正文（左悬挂）"/>
    <w:basedOn w:val="1"/>
    <w:next w:val="1"/>
    <w:link w:val="436"/>
    <w:qFormat/>
    <w:uiPriority w:val="0"/>
    <w:pPr>
      <w:spacing w:line="360" w:lineRule="auto"/>
      <w:ind w:firstLine="468" w:firstLineChars="195"/>
    </w:pPr>
    <w:rPr>
      <w:rFonts w:ascii="宋体" w:hAnsi="宋体" w:eastAsiaTheme="minorEastAsia" w:cstheme="minorBidi"/>
      <w:snapToGrid w:val="0"/>
      <w:spacing w:val="0"/>
      <w:kern w:val="2"/>
      <w:sz w:val="24"/>
      <w:szCs w:val="24"/>
    </w:rPr>
  </w:style>
  <w:style w:type="character" w:customStyle="1" w:styleId="438">
    <w:name w:val="p91"/>
    <w:qFormat/>
    <w:uiPriority w:val="0"/>
    <w:rPr>
      <w:color w:val="2B2428"/>
      <w:sz w:val="18"/>
      <w:szCs w:val="18"/>
    </w:rPr>
  </w:style>
  <w:style w:type="character" w:customStyle="1" w:styleId="439">
    <w:name w:val="表中文字 Char Char"/>
    <w:qFormat/>
    <w:uiPriority w:val="0"/>
    <w:rPr>
      <w:rFonts w:ascii="Arial" w:hAnsi="Arial" w:eastAsia="楷体_GB2312"/>
      <w:kern w:val="2"/>
      <w:sz w:val="21"/>
      <w:szCs w:val="21"/>
      <w:shd w:val="clear" w:color="auto" w:fill="FFFFFF"/>
      <w:lang w:val="en-US" w:eastAsia="zh-CN" w:bidi="ar-SA"/>
    </w:rPr>
  </w:style>
  <w:style w:type="character" w:customStyle="1" w:styleId="440">
    <w:name w:val="陈正文 Char"/>
    <w:link w:val="441"/>
    <w:qFormat/>
    <w:locked/>
    <w:uiPriority w:val="0"/>
    <w:rPr>
      <w:rFonts w:ascii="宋体" w:hAnsi="宋体"/>
      <w:sz w:val="24"/>
      <w:szCs w:val="24"/>
    </w:rPr>
  </w:style>
  <w:style w:type="paragraph" w:customStyle="1" w:styleId="441">
    <w:name w:val="陈正文"/>
    <w:basedOn w:val="1"/>
    <w:next w:val="1"/>
    <w:link w:val="440"/>
    <w:qFormat/>
    <w:uiPriority w:val="0"/>
    <w:pPr>
      <w:spacing w:line="480" w:lineRule="exact"/>
      <w:ind w:firstLine="480" w:firstLineChars="200"/>
    </w:pPr>
    <w:rPr>
      <w:rFonts w:ascii="宋体" w:hAnsi="宋体" w:eastAsiaTheme="minorEastAsia" w:cstheme="minorBidi"/>
      <w:spacing w:val="0"/>
      <w:kern w:val="2"/>
      <w:sz w:val="24"/>
      <w:szCs w:val="24"/>
    </w:rPr>
  </w:style>
  <w:style w:type="character" w:customStyle="1" w:styleId="442">
    <w:name w:val="缩 Char"/>
    <w:qFormat/>
    <w:uiPriority w:val="0"/>
    <w:rPr>
      <w:rFonts w:ascii="宋体"/>
      <w:sz w:val="24"/>
    </w:rPr>
  </w:style>
  <w:style w:type="character" w:customStyle="1" w:styleId="443">
    <w:name w:val="t_tag"/>
    <w:basedOn w:val="90"/>
    <w:qFormat/>
    <w:uiPriority w:val="0"/>
  </w:style>
  <w:style w:type="character" w:customStyle="1" w:styleId="444">
    <w:name w:val="项标题(1) Char1"/>
    <w:qFormat/>
    <w:uiPriority w:val="0"/>
    <w:rPr>
      <w:rFonts w:hint="eastAsia" w:ascii="宋体" w:hAnsi="宋体" w:eastAsia="宋体" w:cs="宋体"/>
      <w:b/>
      <w:kern w:val="2"/>
      <w:sz w:val="24"/>
      <w:szCs w:val="24"/>
      <w:lang w:val="en-US" w:eastAsia="zh-CN" w:bidi="ar-SA"/>
    </w:rPr>
  </w:style>
  <w:style w:type="character" w:customStyle="1" w:styleId="445">
    <w:name w:val="正文文本缩进 2 Char"/>
    <w:qFormat/>
    <w:uiPriority w:val="99"/>
    <w:rPr>
      <w:rFonts w:ascii="长城黑体" w:eastAsia="长城黑体"/>
      <w:kern w:val="2"/>
      <w:sz w:val="28"/>
      <w:szCs w:val="24"/>
      <w:lang w:val="en-US" w:eastAsia="zh-CN" w:bidi="ar-SA"/>
    </w:rPr>
  </w:style>
  <w:style w:type="character" w:customStyle="1" w:styleId="446">
    <w:name w:val="33333 Char"/>
    <w:qFormat/>
    <w:uiPriority w:val="0"/>
    <w:rPr>
      <w:b/>
      <w:bCs/>
      <w:sz w:val="24"/>
      <w:szCs w:val="24"/>
      <w:lang w:bidi="ar-SA"/>
    </w:rPr>
  </w:style>
  <w:style w:type="character" w:customStyle="1" w:styleId="447">
    <w:name w:val="图题注 Char1"/>
    <w:qFormat/>
    <w:uiPriority w:val="0"/>
    <w:rPr>
      <w:rFonts w:ascii="黑体" w:hAnsi="Arial" w:eastAsia="黑体" w:cs="宋体"/>
      <w:b/>
      <w:bCs/>
      <w:kern w:val="2"/>
      <w:sz w:val="24"/>
      <w:szCs w:val="24"/>
      <w:lang w:val="en-US" w:eastAsia="zh-CN" w:bidi="ar-SA"/>
    </w:rPr>
  </w:style>
  <w:style w:type="character" w:customStyle="1" w:styleId="448">
    <w:name w:val="正文文本最新 Char Char Char1 Char Char Char Char Char Char Char Char Char"/>
    <w:qFormat/>
    <w:uiPriority w:val="0"/>
    <w:rPr>
      <w:rFonts w:eastAsia="宋体"/>
      <w:b/>
      <w:bCs/>
      <w:kern w:val="2"/>
      <w:sz w:val="28"/>
      <w:szCs w:val="24"/>
      <w:lang w:val="en-US" w:eastAsia="zh-CN" w:bidi="ar-SA"/>
    </w:rPr>
  </w:style>
  <w:style w:type="character" w:customStyle="1" w:styleId="449">
    <w:name w:val="apple-style-span"/>
    <w:basedOn w:val="90"/>
    <w:qFormat/>
    <w:uiPriority w:val="0"/>
  </w:style>
  <w:style w:type="character" w:customStyle="1" w:styleId="450">
    <w:name w:val="HTML 变量12"/>
    <w:qFormat/>
    <w:uiPriority w:val="0"/>
    <w:rPr>
      <w:i/>
      <w:iCs/>
    </w:rPr>
  </w:style>
  <w:style w:type="character" w:customStyle="1" w:styleId="451">
    <w:name w:val="标题 1 Char1 Char"/>
    <w:qFormat/>
    <w:uiPriority w:val="0"/>
    <w:rPr>
      <w:rFonts w:ascii="宋体" w:hAnsi="宋体"/>
      <w:b/>
      <w:kern w:val="44"/>
      <w:sz w:val="44"/>
      <w:szCs w:val="30"/>
    </w:rPr>
  </w:style>
  <w:style w:type="character" w:customStyle="1" w:styleId="452">
    <w:name w:val="样式88888888888 Char Char"/>
    <w:link w:val="453"/>
    <w:qFormat/>
    <w:uiPriority w:val="0"/>
    <w:rPr>
      <w:rFonts w:ascii="宋体" w:hAnsi="宋体" w:eastAsia="宋体"/>
      <w:bCs/>
      <w:szCs w:val="21"/>
    </w:rPr>
  </w:style>
  <w:style w:type="paragraph" w:customStyle="1" w:styleId="453">
    <w:name w:val="样式88888888888"/>
    <w:basedOn w:val="1"/>
    <w:link w:val="452"/>
    <w:qFormat/>
    <w:uiPriority w:val="0"/>
    <w:pPr>
      <w:adjustRightInd w:val="0"/>
      <w:jc w:val="center"/>
      <w:textAlignment w:val="baseline"/>
    </w:pPr>
    <w:rPr>
      <w:rFonts w:ascii="宋体" w:hAnsi="宋体" w:cstheme="minorBidi"/>
      <w:bCs/>
      <w:spacing w:val="0"/>
      <w:kern w:val="2"/>
      <w:sz w:val="21"/>
      <w:szCs w:val="21"/>
    </w:rPr>
  </w:style>
  <w:style w:type="character" w:customStyle="1" w:styleId="454">
    <w:name w:val="表内5 Char3"/>
    <w:qFormat/>
    <w:uiPriority w:val="0"/>
    <w:rPr>
      <w:rFonts w:ascii="宋体" w:eastAsia="宋体"/>
      <w:color w:val="000000"/>
      <w:kern w:val="2"/>
      <w:sz w:val="21"/>
      <w:szCs w:val="21"/>
      <w:lang w:val="en-US" w:eastAsia="zh-CN" w:bidi="ar-SA"/>
    </w:rPr>
  </w:style>
  <w:style w:type="character" w:customStyle="1" w:styleId="455">
    <w:name w:val="HTML 变量11"/>
    <w:qFormat/>
    <w:uiPriority w:val="0"/>
    <w:rPr>
      <w:i/>
      <w:iCs/>
    </w:rPr>
  </w:style>
  <w:style w:type="character" w:customStyle="1" w:styleId="456">
    <w:name w:val="表头王 Char Char"/>
    <w:link w:val="457"/>
    <w:qFormat/>
    <w:uiPriority w:val="0"/>
    <w:rPr>
      <w:rFonts w:ascii="黑体" w:hAnsi="宋体" w:eastAsia="黑体"/>
      <w:b/>
      <w:color w:val="000000"/>
      <w:spacing w:val="10"/>
      <w:sz w:val="24"/>
      <w:szCs w:val="24"/>
    </w:rPr>
  </w:style>
  <w:style w:type="paragraph" w:customStyle="1" w:styleId="457">
    <w:name w:val="表头王"/>
    <w:basedOn w:val="1"/>
    <w:link w:val="456"/>
    <w:qFormat/>
    <w:uiPriority w:val="0"/>
    <w:pPr>
      <w:adjustRightInd w:val="0"/>
      <w:snapToGrid w:val="0"/>
      <w:spacing w:line="360" w:lineRule="auto"/>
      <w:jc w:val="center"/>
    </w:pPr>
    <w:rPr>
      <w:rFonts w:ascii="黑体" w:hAnsi="宋体" w:eastAsia="黑体" w:cstheme="minorBidi"/>
      <w:b/>
      <w:color w:val="000000"/>
      <w:spacing w:val="10"/>
      <w:kern w:val="2"/>
      <w:sz w:val="24"/>
      <w:szCs w:val="24"/>
    </w:rPr>
  </w:style>
  <w:style w:type="character" w:customStyle="1" w:styleId="458">
    <w:name w:val="正文2 Char Char Char"/>
    <w:link w:val="459"/>
    <w:qFormat/>
    <w:uiPriority w:val="0"/>
    <w:rPr>
      <w:rFonts w:ascii="楷体_GB2312" w:eastAsia="楷体_GB2312"/>
      <w:sz w:val="28"/>
    </w:rPr>
  </w:style>
  <w:style w:type="paragraph" w:customStyle="1" w:styleId="459">
    <w:name w:val="正文2"/>
    <w:basedOn w:val="1"/>
    <w:link w:val="458"/>
    <w:qFormat/>
    <w:uiPriority w:val="0"/>
    <w:pPr>
      <w:spacing w:line="360" w:lineRule="auto"/>
      <w:ind w:firstLine="480" w:firstLineChars="200"/>
    </w:pPr>
    <w:rPr>
      <w:rFonts w:ascii="楷体_GB2312" w:eastAsia="楷体_GB2312" w:hAnsiTheme="minorHAnsi" w:cstheme="minorBidi"/>
      <w:spacing w:val="0"/>
      <w:kern w:val="2"/>
      <w:sz w:val="28"/>
      <w:szCs w:val="22"/>
    </w:rPr>
  </w:style>
  <w:style w:type="character" w:customStyle="1" w:styleId="460">
    <w:name w:val="正文BBB Char Char"/>
    <w:link w:val="461"/>
    <w:qFormat/>
    <w:uiPriority w:val="0"/>
    <w:rPr>
      <w:rFonts w:ascii="宋体" w:hAnsi="宋体"/>
      <w:sz w:val="24"/>
    </w:rPr>
  </w:style>
  <w:style w:type="paragraph" w:customStyle="1" w:styleId="461">
    <w:name w:val="正文BBB"/>
    <w:basedOn w:val="1"/>
    <w:link w:val="460"/>
    <w:qFormat/>
    <w:uiPriority w:val="0"/>
    <w:pPr>
      <w:spacing w:line="500" w:lineRule="exact"/>
    </w:pPr>
    <w:rPr>
      <w:rFonts w:ascii="宋体" w:hAnsi="宋体" w:eastAsiaTheme="minorEastAsia" w:cstheme="minorBidi"/>
      <w:spacing w:val="0"/>
      <w:kern w:val="2"/>
      <w:sz w:val="24"/>
      <w:szCs w:val="22"/>
    </w:rPr>
  </w:style>
  <w:style w:type="character" w:customStyle="1" w:styleId="462">
    <w:name w:val="new"/>
    <w:qFormat/>
    <w:uiPriority w:val="0"/>
  </w:style>
  <w:style w:type="character" w:customStyle="1" w:styleId="463">
    <w:name w:val="Char Char61"/>
    <w:qFormat/>
    <w:uiPriority w:val="0"/>
    <w:rPr>
      <w:rFonts w:ascii="宋体" w:hAnsi="宋体" w:eastAsia="宋体"/>
      <w:kern w:val="2"/>
      <w:sz w:val="24"/>
      <w:szCs w:val="28"/>
      <w:lang w:val="en-US" w:eastAsia="zh-CN" w:bidi="ar-SA"/>
    </w:rPr>
  </w:style>
  <w:style w:type="character" w:customStyle="1" w:styleId="464">
    <w:name w:val="样式 标题 3 + (符号) 宋体 Char Char"/>
    <w:link w:val="465"/>
    <w:qFormat/>
    <w:uiPriority w:val="0"/>
    <w:rPr>
      <w:rFonts w:eastAsia="宋体"/>
      <w:b/>
      <w:bCs/>
      <w:sz w:val="24"/>
      <w:szCs w:val="32"/>
    </w:rPr>
  </w:style>
  <w:style w:type="paragraph" w:customStyle="1" w:styleId="465">
    <w:name w:val="样式 标题 3 + (符号) 宋体"/>
    <w:basedOn w:val="5"/>
    <w:link w:val="464"/>
    <w:qFormat/>
    <w:uiPriority w:val="0"/>
    <w:pPr>
      <w:tabs>
        <w:tab w:val="clear" w:pos="720"/>
      </w:tabs>
      <w:adjustRightInd/>
      <w:spacing w:line="500" w:lineRule="exact"/>
      <w:ind w:left="0" w:firstLine="480" w:firstLineChars="200"/>
      <w:jc w:val="both"/>
      <w:textAlignment w:val="auto"/>
    </w:pPr>
    <w:rPr>
      <w:rFonts w:eastAsia="宋体" w:asciiTheme="minorHAnsi" w:hAnsiTheme="minorHAnsi" w:cstheme="minorBidi"/>
      <w:bCs/>
      <w:color w:val="auto"/>
      <w:spacing w:val="0"/>
      <w:kern w:val="2"/>
      <w:sz w:val="24"/>
      <w:szCs w:val="32"/>
    </w:rPr>
  </w:style>
  <w:style w:type="character" w:customStyle="1" w:styleId="466">
    <w:name w:val="表格右"/>
    <w:qFormat/>
    <w:uiPriority w:val="0"/>
    <w:rPr>
      <w:rFonts w:ascii="宋体" w:hAnsi="宋体" w:eastAsia="宋体"/>
      <w:color w:val="000080"/>
      <w:kern w:val="2"/>
      <w:sz w:val="18"/>
      <w:lang w:val="en-US" w:eastAsia="zh-CN"/>
    </w:rPr>
  </w:style>
  <w:style w:type="character" w:customStyle="1" w:styleId="467">
    <w:name w:val="fs"/>
    <w:qFormat/>
    <w:uiPriority w:val="0"/>
    <w:rPr>
      <w:rFonts w:ascii="华文中宋" w:hAnsi="华文中宋" w:eastAsia="华文中宋"/>
      <w:b/>
      <w:spacing w:val="10"/>
      <w:kern w:val="2"/>
      <w:sz w:val="28"/>
      <w:lang w:val="en-US" w:eastAsia="zh-CN" w:bidi="ar-SA"/>
    </w:rPr>
  </w:style>
  <w:style w:type="character" w:customStyle="1" w:styleId="468">
    <w:name w:val="正文文字缩进 Char Char"/>
    <w:qFormat/>
    <w:uiPriority w:val="0"/>
    <w:rPr>
      <w:rFonts w:ascii="宋体" w:hAnsi="宋体" w:eastAsia="宋体"/>
      <w:kern w:val="2"/>
      <w:sz w:val="24"/>
      <w:szCs w:val="24"/>
      <w:lang w:val="en-US" w:eastAsia="zh-CN" w:bidi="ar-SA"/>
    </w:rPr>
  </w:style>
  <w:style w:type="character" w:customStyle="1" w:styleId="469">
    <w:name w:val="标题样式2 Char"/>
    <w:qFormat/>
    <w:locked/>
    <w:uiPriority w:val="0"/>
    <w:rPr>
      <w:rFonts w:ascii="黑体" w:hAnsi="Arial" w:eastAsia="黑体"/>
      <w:b/>
      <w:bCs/>
      <w:kern w:val="2"/>
      <w:sz w:val="28"/>
      <w:szCs w:val="28"/>
    </w:rPr>
  </w:style>
  <w:style w:type="character" w:customStyle="1" w:styleId="470">
    <w:name w:val="样式 标题 2 + (西文) Times New Roman Char"/>
    <w:qFormat/>
    <w:uiPriority w:val="0"/>
    <w:rPr>
      <w:rFonts w:hint="default" w:ascii="Arial" w:hAnsi="Arial" w:eastAsia="黑体" w:cs="宋体"/>
      <w:b/>
      <w:bCs/>
      <w:kern w:val="2"/>
      <w:sz w:val="30"/>
      <w:szCs w:val="32"/>
      <w:lang w:val="en-US" w:eastAsia="zh-CN" w:bidi="ar-SA"/>
    </w:rPr>
  </w:style>
  <w:style w:type="character" w:customStyle="1" w:styleId="471">
    <w:name w:val="样式 样式 标题 2 + 段前: 1 行 段后: 1 行 + 非加粗 Char Char"/>
    <w:link w:val="472"/>
    <w:qFormat/>
    <w:uiPriority w:val="0"/>
    <w:rPr>
      <w:rFonts w:eastAsia="黑体"/>
      <w:sz w:val="28"/>
    </w:rPr>
  </w:style>
  <w:style w:type="paragraph" w:customStyle="1" w:styleId="472">
    <w:name w:val="样式 样式 标题 2 + 段前: 1 行 段后: 1 行 + 非加粗"/>
    <w:basedOn w:val="473"/>
    <w:link w:val="471"/>
    <w:qFormat/>
    <w:uiPriority w:val="0"/>
    <w:pPr/>
    <w:rPr>
      <w:rFonts w:asciiTheme="minorHAnsi" w:hAnsiTheme="minorHAnsi" w:cstheme="minorBidi"/>
      <w:bCs w:val="0"/>
      <w:kern w:val="2"/>
      <w:szCs w:val="22"/>
    </w:rPr>
  </w:style>
  <w:style w:type="paragraph" w:customStyle="1" w:styleId="473">
    <w:name w:val="样式 标题 2 + 段前: 1 行 段后: 1 行"/>
    <w:basedOn w:val="4"/>
    <w:link w:val="474"/>
    <w:qFormat/>
    <w:uiPriority w:val="0"/>
    <w:pPr>
      <w:tabs>
        <w:tab w:val="clear" w:pos="1427"/>
      </w:tabs>
      <w:adjustRightInd/>
      <w:spacing w:before="156" w:after="156" w:line="500" w:lineRule="exact"/>
      <w:jc w:val="both"/>
      <w:textAlignment w:val="auto"/>
    </w:pPr>
    <w:rPr>
      <w:rFonts w:eastAsia="黑体"/>
      <w:b w:val="0"/>
      <w:bCs/>
      <w:spacing w:val="0"/>
    </w:rPr>
  </w:style>
  <w:style w:type="character" w:customStyle="1" w:styleId="474">
    <w:name w:val="样式 标题 2 + 段前: 1 行 段后: 1 行 Char Char"/>
    <w:link w:val="473"/>
    <w:qFormat/>
    <w:uiPriority w:val="0"/>
    <w:rPr>
      <w:rFonts w:ascii="Times New Roman" w:hAnsi="Times New Roman" w:eastAsia="黑体" w:cs="Times New Roman"/>
      <w:bCs/>
      <w:kern w:val="0"/>
      <w:sz w:val="28"/>
      <w:szCs w:val="20"/>
    </w:rPr>
  </w:style>
  <w:style w:type="character" w:customStyle="1" w:styleId="475">
    <w:name w:val="样式 标题 2 + (西文) 宋体 四号 非加粗 Char Char Char Char Char"/>
    <w:qFormat/>
    <w:uiPriority w:val="0"/>
    <w:rPr>
      <w:rFonts w:ascii="Arial" w:hAnsi="Arial" w:eastAsia="黑体"/>
      <w:b/>
      <w:bCs/>
      <w:kern w:val="2"/>
      <w:sz w:val="28"/>
      <w:szCs w:val="32"/>
      <w:lang w:val="en-US" w:eastAsia="zh-CN" w:bidi="ar-SA"/>
    </w:rPr>
  </w:style>
  <w:style w:type="character" w:customStyle="1" w:styleId="476">
    <w:name w:val="f14 lh15"/>
    <w:basedOn w:val="90"/>
    <w:qFormat/>
    <w:uiPriority w:val="0"/>
  </w:style>
  <w:style w:type="character" w:customStyle="1" w:styleId="477">
    <w:name w:val="样式 题注 + (西文) 宋体 Char Char"/>
    <w:link w:val="478"/>
    <w:qFormat/>
    <w:uiPriority w:val="0"/>
    <w:rPr>
      <w:rFonts w:ascii="宋体" w:hAnsi="宋体" w:eastAsia="宋体" w:cs="宋体"/>
      <w:color w:val="000000"/>
      <w:sz w:val="28"/>
      <w:szCs w:val="28"/>
      <w:lang w:val="zh-CN"/>
    </w:rPr>
  </w:style>
  <w:style w:type="paragraph" w:customStyle="1" w:styleId="478">
    <w:name w:val="样式 题注 + (西文) 宋体"/>
    <w:basedOn w:val="22"/>
    <w:link w:val="477"/>
    <w:qFormat/>
    <w:uiPriority w:val="0"/>
    <w:pPr>
      <w:keepNext/>
      <w:tabs>
        <w:tab w:val="left" w:pos="1727"/>
        <w:tab w:val="left" w:pos="1884"/>
      </w:tabs>
      <w:adjustRightInd/>
      <w:spacing w:line="360" w:lineRule="auto"/>
      <w:textAlignment w:val="auto"/>
      <w:outlineLvl w:val="0"/>
    </w:pPr>
    <w:rPr>
      <w:rFonts w:ascii="宋体" w:hAnsi="宋体" w:eastAsia="宋体" w:cs="宋体"/>
      <w:color w:val="000000"/>
      <w:kern w:val="2"/>
      <w:sz w:val="28"/>
      <w:szCs w:val="28"/>
      <w:lang w:val="zh-CN"/>
    </w:rPr>
  </w:style>
  <w:style w:type="character" w:customStyle="1" w:styleId="479">
    <w:name w:val="普通(网站) Char"/>
    <w:qFormat/>
    <w:uiPriority w:val="99"/>
    <w:rPr>
      <w:rFonts w:ascii="宋体" w:hAnsi="宋体" w:eastAsia="宋体" w:cs="宋体"/>
      <w:b/>
      <w:bCs/>
      <w:color w:val="FFFFFF"/>
      <w:sz w:val="24"/>
      <w:szCs w:val="24"/>
      <w:lang w:val="en-US" w:eastAsia="zh-CN" w:bidi="ar-SA"/>
    </w:rPr>
  </w:style>
  <w:style w:type="character" w:customStyle="1" w:styleId="480">
    <w:name w:val="表13.9 Char Char"/>
    <w:link w:val="481"/>
    <w:qFormat/>
    <w:uiPriority w:val="0"/>
    <w:rPr>
      <w:rFonts w:ascii="黑体" w:eastAsia="黑体"/>
      <w:b/>
      <w:sz w:val="24"/>
      <w:szCs w:val="24"/>
    </w:rPr>
  </w:style>
  <w:style w:type="paragraph" w:customStyle="1" w:styleId="481">
    <w:name w:val="表13.9"/>
    <w:basedOn w:val="1"/>
    <w:link w:val="480"/>
    <w:qFormat/>
    <w:uiPriority w:val="0"/>
    <w:pPr>
      <w:tabs>
        <w:tab w:val="left" w:pos="4080"/>
        <w:tab w:val="right" w:pos="8261"/>
      </w:tabs>
      <w:suppressAutoHyphens/>
      <w:adjustRightInd w:val="0"/>
      <w:spacing w:before="240" w:line="0" w:lineRule="atLeast"/>
    </w:pPr>
    <w:rPr>
      <w:rFonts w:ascii="黑体" w:eastAsia="黑体" w:hAnsiTheme="minorHAnsi" w:cstheme="minorBidi"/>
      <w:b/>
      <w:spacing w:val="0"/>
      <w:kern w:val="2"/>
      <w:sz w:val="24"/>
      <w:szCs w:val="24"/>
    </w:rPr>
  </w:style>
  <w:style w:type="character" w:customStyle="1" w:styleId="482">
    <w:name w:val="纯文本2 Char"/>
    <w:qFormat/>
    <w:uiPriority w:val="0"/>
    <w:rPr>
      <w:rFonts w:ascii="宋体" w:eastAsia="宋体"/>
      <w:kern w:val="2"/>
      <w:sz w:val="21"/>
      <w:lang w:val="en-US" w:eastAsia="zh-CN" w:bidi="ar-SA"/>
    </w:rPr>
  </w:style>
  <w:style w:type="character" w:customStyle="1" w:styleId="483">
    <w:name w:val="表5.6 Char Char"/>
    <w:link w:val="484"/>
    <w:qFormat/>
    <w:uiPriority w:val="0"/>
    <w:rPr>
      <w:rFonts w:ascii="黑体" w:eastAsia="黑体"/>
      <w:b/>
      <w:bCs/>
      <w:color w:val="FF0000"/>
      <w:sz w:val="24"/>
      <w:szCs w:val="24"/>
    </w:rPr>
  </w:style>
  <w:style w:type="paragraph" w:customStyle="1" w:styleId="484">
    <w:name w:val="表5.6"/>
    <w:basedOn w:val="485"/>
    <w:link w:val="483"/>
    <w:qFormat/>
    <w:uiPriority w:val="0"/>
    <w:pPr>
      <w:tabs>
        <w:tab w:val="left" w:pos="360"/>
        <w:tab w:val="left" w:pos="780"/>
        <w:tab w:val="left" w:pos="1080"/>
        <w:tab w:val="center" w:pos="4060"/>
        <w:tab w:val="right" w:pos="8261"/>
      </w:tabs>
      <w:ind w:hanging="360"/>
    </w:pPr>
    <w:rPr>
      <w:rFonts w:hAnsiTheme="minorHAnsi" w:cstheme="minorBidi"/>
      <w:bCs/>
      <w:color w:val="FF0000"/>
      <w:kern w:val="2"/>
      <w:szCs w:val="24"/>
    </w:rPr>
  </w:style>
  <w:style w:type="paragraph" w:customStyle="1" w:styleId="485">
    <w:name w:val="表2.1"/>
    <w:basedOn w:val="1"/>
    <w:link w:val="486"/>
    <w:qFormat/>
    <w:uiPriority w:val="0"/>
    <w:pPr>
      <w:tabs>
        <w:tab w:val="left" w:pos="1080"/>
        <w:tab w:val="center" w:pos="4060"/>
        <w:tab w:val="right" w:pos="8261"/>
      </w:tabs>
      <w:suppressAutoHyphens/>
      <w:adjustRightInd w:val="0"/>
      <w:spacing w:before="240" w:line="0" w:lineRule="atLeast"/>
      <w:ind w:left="420" w:hanging="420"/>
    </w:pPr>
    <w:rPr>
      <w:rFonts w:ascii="黑体" w:eastAsia="黑体"/>
      <w:b/>
      <w:spacing w:val="0"/>
      <w:sz w:val="24"/>
      <w:szCs w:val="26"/>
    </w:rPr>
  </w:style>
  <w:style w:type="character" w:customStyle="1" w:styleId="486">
    <w:name w:val="表2.1 Char Char"/>
    <w:link w:val="485"/>
    <w:qFormat/>
    <w:uiPriority w:val="0"/>
    <w:rPr>
      <w:rFonts w:ascii="黑体" w:hAnsi="Times New Roman" w:eastAsia="黑体" w:cs="Times New Roman"/>
      <w:b/>
      <w:kern w:val="0"/>
      <w:sz w:val="24"/>
      <w:szCs w:val="26"/>
    </w:rPr>
  </w:style>
  <w:style w:type="character" w:customStyle="1" w:styleId="487">
    <w:name w:val="五号表格 Char Char"/>
    <w:link w:val="488"/>
    <w:qFormat/>
    <w:uiPriority w:val="0"/>
    <w:rPr>
      <w:rFonts w:ascii="宋体" w:hAnsi="宋体" w:eastAsia="Times New Roman"/>
      <w:color w:val="000000"/>
      <w:szCs w:val="24"/>
      <w:lang w:val="en-GB"/>
    </w:rPr>
  </w:style>
  <w:style w:type="paragraph" w:customStyle="1" w:styleId="488">
    <w:name w:val="五号表格"/>
    <w:link w:val="487"/>
    <w:qFormat/>
    <w:uiPriority w:val="0"/>
    <w:pPr>
      <w:widowControl w:val="0"/>
      <w:jc w:val="center"/>
    </w:pPr>
    <w:rPr>
      <w:rFonts w:ascii="宋体" w:hAnsi="宋体" w:eastAsia="Times New Roman" w:cstheme="minorBidi"/>
      <w:color w:val="000000"/>
      <w:kern w:val="2"/>
      <w:sz w:val="21"/>
      <w:szCs w:val="24"/>
      <w:lang w:val="en-GB" w:eastAsia="zh-CN" w:bidi="ar-SA"/>
    </w:rPr>
  </w:style>
  <w:style w:type="character" w:customStyle="1" w:styleId="489">
    <w:name w:val="可研报告正文 Char Char"/>
    <w:link w:val="490"/>
    <w:qFormat/>
    <w:uiPriority w:val="0"/>
    <w:rPr>
      <w:sz w:val="24"/>
      <w:szCs w:val="24"/>
    </w:rPr>
  </w:style>
  <w:style w:type="paragraph" w:customStyle="1" w:styleId="490">
    <w:name w:val="可研报告正文"/>
    <w:basedOn w:val="1"/>
    <w:link w:val="489"/>
    <w:qFormat/>
    <w:uiPriority w:val="0"/>
    <w:pPr>
      <w:tabs>
        <w:tab w:val="left" w:pos="5880"/>
      </w:tabs>
      <w:spacing w:beforeLines="50" w:line="440" w:lineRule="exact"/>
      <w:ind w:left="425" w:firstLine="482"/>
    </w:pPr>
    <w:rPr>
      <w:rFonts w:asciiTheme="minorHAnsi" w:hAnsiTheme="minorHAnsi" w:eastAsiaTheme="minorEastAsia" w:cstheme="minorBidi"/>
      <w:spacing w:val="0"/>
      <w:kern w:val="2"/>
      <w:sz w:val="24"/>
      <w:szCs w:val="24"/>
    </w:rPr>
  </w:style>
  <w:style w:type="character" w:customStyle="1" w:styleId="491">
    <w:name w:val="样式11 Char Char"/>
    <w:link w:val="492"/>
    <w:qFormat/>
    <w:uiPriority w:val="0"/>
    <w:rPr>
      <w:rFonts w:ascii="仿宋_GB2312" w:hAnsi="Courier New" w:eastAsia="仿宋_GB2312"/>
      <w:b/>
      <w:sz w:val="28"/>
    </w:rPr>
  </w:style>
  <w:style w:type="paragraph" w:customStyle="1" w:styleId="492">
    <w:name w:val="样式11"/>
    <w:basedOn w:val="1"/>
    <w:link w:val="491"/>
    <w:qFormat/>
    <w:uiPriority w:val="0"/>
    <w:pPr>
      <w:adjustRightInd w:val="0"/>
      <w:snapToGrid w:val="0"/>
      <w:spacing w:line="300" w:lineRule="auto"/>
      <w:jc w:val="center"/>
      <w:textAlignment w:val="baseline"/>
    </w:pPr>
    <w:rPr>
      <w:rFonts w:ascii="仿宋_GB2312" w:hAnsi="Courier New" w:eastAsia="仿宋_GB2312" w:cstheme="minorBidi"/>
      <w:b/>
      <w:spacing w:val="0"/>
      <w:kern w:val="2"/>
      <w:sz w:val="28"/>
      <w:szCs w:val="22"/>
    </w:rPr>
  </w:style>
  <w:style w:type="character" w:customStyle="1" w:styleId="493">
    <w:name w:val="MTDisplayEquation Char Char"/>
    <w:link w:val="494"/>
    <w:qFormat/>
    <w:uiPriority w:val="0"/>
    <w:rPr>
      <w:snapToGrid w:val="0"/>
      <w:sz w:val="24"/>
      <w:szCs w:val="24"/>
    </w:rPr>
  </w:style>
  <w:style w:type="paragraph" w:customStyle="1" w:styleId="494">
    <w:name w:val="MTDisplayEquation"/>
    <w:basedOn w:val="495"/>
    <w:next w:val="1"/>
    <w:link w:val="493"/>
    <w:qFormat/>
    <w:uiPriority w:val="0"/>
    <w:pPr>
      <w:tabs>
        <w:tab w:val="center" w:pos="4160"/>
        <w:tab w:val="right" w:pos="8300"/>
      </w:tabs>
    </w:pPr>
    <w:rPr>
      <w:rFonts w:asciiTheme="minorHAnsi" w:hAnsiTheme="minorHAnsi" w:eastAsiaTheme="minorEastAsia" w:cstheme="minorBidi"/>
      <w:kern w:val="2"/>
    </w:rPr>
  </w:style>
  <w:style w:type="paragraph" w:customStyle="1" w:styleId="495">
    <w:name w:val="1正文段落"/>
    <w:basedOn w:val="1"/>
    <w:link w:val="496"/>
    <w:qFormat/>
    <w:uiPriority w:val="0"/>
    <w:pPr>
      <w:spacing w:line="360" w:lineRule="auto"/>
      <w:ind w:firstLine="480" w:firstLineChars="200"/>
      <w:jc w:val="left"/>
    </w:pPr>
    <w:rPr>
      <w:snapToGrid w:val="0"/>
      <w:spacing w:val="0"/>
      <w:sz w:val="24"/>
      <w:szCs w:val="24"/>
    </w:rPr>
  </w:style>
  <w:style w:type="character" w:customStyle="1" w:styleId="496">
    <w:name w:val="1正文段落 Char Char"/>
    <w:link w:val="495"/>
    <w:qFormat/>
    <w:uiPriority w:val="0"/>
    <w:rPr>
      <w:rFonts w:ascii="Times New Roman" w:hAnsi="Times New Roman" w:eastAsia="宋体" w:cs="Times New Roman"/>
      <w:snapToGrid w:val="0"/>
      <w:kern w:val="0"/>
      <w:sz w:val="24"/>
      <w:szCs w:val="24"/>
    </w:rPr>
  </w:style>
  <w:style w:type="character" w:customStyle="1" w:styleId="497">
    <w:name w:val="样式2 Char Char Char"/>
    <w:qFormat/>
    <w:uiPriority w:val="0"/>
    <w:rPr>
      <w:rFonts w:hint="eastAsia" w:ascii="宋体" w:hAnsi="宋体" w:eastAsia="宋体"/>
      <w:kern w:val="2"/>
      <w:sz w:val="24"/>
      <w:szCs w:val="24"/>
      <w:lang w:val="en-US" w:eastAsia="zh-CN" w:bidi="ar-SA"/>
    </w:rPr>
  </w:style>
  <w:style w:type="character" w:customStyle="1" w:styleId="498">
    <w:name w:val="样式 首行缩进 Char Char Char + 自定义颜色(RGB(00160)) Char"/>
    <w:qFormat/>
    <w:locked/>
    <w:uiPriority w:val="0"/>
    <w:rPr>
      <w:rFonts w:ascii="宋体" w:hAnsi="宋体"/>
      <w:sz w:val="24"/>
      <w:szCs w:val="24"/>
    </w:rPr>
  </w:style>
  <w:style w:type="character" w:customStyle="1" w:styleId="499">
    <w:name w:val="wz1"/>
    <w:basedOn w:val="90"/>
    <w:qFormat/>
    <w:uiPriority w:val="0"/>
  </w:style>
  <w:style w:type="character" w:customStyle="1" w:styleId="500">
    <w:name w:val="正文2 Char Char Char Char"/>
    <w:qFormat/>
    <w:uiPriority w:val="0"/>
    <w:rPr>
      <w:rFonts w:ascii="楷体_GB2312" w:eastAsia="楷体_GB2312" w:cs="宋体"/>
      <w:kern w:val="2"/>
      <w:sz w:val="28"/>
      <w:lang w:val="en-US" w:eastAsia="zh-CN" w:bidi="ar-SA"/>
    </w:rPr>
  </w:style>
  <w:style w:type="character" w:customStyle="1" w:styleId="501">
    <w:name w:val="r Char Char"/>
    <w:qFormat/>
    <w:locked/>
    <w:uiPriority w:val="0"/>
    <w:rPr>
      <w:rFonts w:ascii="Century" w:hAnsi="Century" w:eastAsia="幼圆"/>
      <w:sz w:val="24"/>
    </w:rPr>
  </w:style>
  <w:style w:type="character" w:customStyle="1" w:styleId="502">
    <w:name w:val="cucd-4 Char Char"/>
    <w:link w:val="503"/>
    <w:qFormat/>
    <w:uiPriority w:val="0"/>
    <w:rPr>
      <w:rFonts w:eastAsia="Times New Roman"/>
      <w:b/>
      <w:sz w:val="24"/>
      <w:szCs w:val="24"/>
    </w:rPr>
  </w:style>
  <w:style w:type="paragraph" w:customStyle="1" w:styleId="503">
    <w:name w:val="cucd-4"/>
    <w:next w:val="504"/>
    <w:link w:val="502"/>
    <w:qFormat/>
    <w:uiPriority w:val="0"/>
    <w:pPr>
      <w:tabs>
        <w:tab w:val="left" w:pos="851"/>
        <w:tab w:val="left" w:pos="2847"/>
      </w:tabs>
      <w:spacing w:line="360" w:lineRule="auto"/>
      <w:ind w:left="1395" w:hanging="708"/>
      <w:outlineLvl w:val="3"/>
    </w:pPr>
    <w:rPr>
      <w:rFonts w:eastAsia="Times New Roman" w:asciiTheme="minorHAnsi" w:hAnsiTheme="minorHAnsi" w:cstheme="minorBidi"/>
      <w:b/>
      <w:kern w:val="2"/>
      <w:sz w:val="24"/>
      <w:szCs w:val="24"/>
      <w:lang w:val="en-US" w:eastAsia="zh-CN" w:bidi="ar-SA"/>
    </w:rPr>
  </w:style>
  <w:style w:type="paragraph" w:customStyle="1" w:styleId="504">
    <w:name w:val="cucd-0"/>
    <w:link w:val="505"/>
    <w:qFormat/>
    <w:uiPriority w:val="0"/>
    <w:pPr>
      <w:spacing w:line="360" w:lineRule="auto"/>
      <w:ind w:firstLine="480" w:firstLineChars="200"/>
    </w:pPr>
    <w:rPr>
      <w:rFonts w:ascii="Times New Roman" w:hAnsi="Times New Roman" w:eastAsia="Times New Roman" w:cs="Times New Roman"/>
      <w:sz w:val="24"/>
      <w:szCs w:val="24"/>
      <w:lang w:val="en-US" w:eastAsia="zh-CN" w:bidi="ar-SA"/>
    </w:rPr>
  </w:style>
  <w:style w:type="character" w:customStyle="1" w:styleId="505">
    <w:name w:val="cucd-0 Char Char"/>
    <w:link w:val="504"/>
    <w:qFormat/>
    <w:uiPriority w:val="0"/>
    <w:rPr>
      <w:rFonts w:ascii="Times New Roman" w:hAnsi="Times New Roman" w:eastAsia="Times New Roman" w:cs="Times New Roman"/>
      <w:kern w:val="0"/>
      <w:sz w:val="24"/>
      <w:szCs w:val="24"/>
    </w:rPr>
  </w:style>
  <w:style w:type="character" w:customStyle="1" w:styleId="506">
    <w:name w:val="Char Char91"/>
    <w:qFormat/>
    <w:uiPriority w:val="0"/>
    <w:rPr>
      <w:rFonts w:ascii="Arial" w:hAnsi="Arial" w:eastAsia="黑体"/>
      <w:b/>
      <w:sz w:val="28"/>
      <w:lang w:val="en-US" w:eastAsia="zh-CN" w:bidi="ar-SA"/>
    </w:rPr>
  </w:style>
  <w:style w:type="character" w:customStyle="1" w:styleId="507">
    <w:name w:val="Char Char28"/>
    <w:qFormat/>
    <w:uiPriority w:val="0"/>
    <w:rPr>
      <w:kern w:val="2"/>
      <w:sz w:val="21"/>
      <w:szCs w:val="22"/>
      <w:shd w:val="clear" w:color="auto" w:fill="000080"/>
    </w:rPr>
  </w:style>
  <w:style w:type="character" w:customStyle="1" w:styleId="508">
    <w:name w:val="标题 Char4"/>
    <w:qFormat/>
    <w:uiPriority w:val="0"/>
    <w:rPr>
      <w:rFonts w:ascii="Cambria" w:hAnsi="Cambria" w:eastAsia="宋体" w:cs="Times New Roman"/>
      <w:b/>
      <w:bCs/>
      <w:sz w:val="32"/>
      <w:szCs w:val="32"/>
    </w:rPr>
  </w:style>
  <w:style w:type="character" w:customStyle="1" w:styleId="509">
    <w:name w:val="HTML 打字机12"/>
    <w:qFormat/>
    <w:uiPriority w:val="0"/>
    <w:rPr>
      <w:rFonts w:ascii="Courier New" w:hAnsi="Courier New" w:cs="Courier New"/>
      <w:sz w:val="20"/>
      <w:szCs w:val="20"/>
    </w:rPr>
  </w:style>
  <w:style w:type="character" w:customStyle="1" w:styleId="510">
    <w:name w:val="样式 图形标题 + (西文) 宋体 (中文) 宋体 小四 加粗 Char Char"/>
    <w:qFormat/>
    <w:uiPriority w:val="0"/>
    <w:rPr>
      <w:rFonts w:ascii="黑体" w:hAnsi="黑体" w:eastAsia="黑体"/>
      <w:bCs/>
      <w:spacing w:val="10"/>
      <w:kern w:val="2"/>
      <w:sz w:val="24"/>
      <w:szCs w:val="24"/>
      <w:lang w:val="en-US" w:eastAsia="zh-CN" w:bidi="ar-SA"/>
    </w:rPr>
  </w:style>
  <w:style w:type="character" w:customStyle="1" w:styleId="511">
    <w:name w:val="lineheight1501"/>
    <w:basedOn w:val="90"/>
    <w:qFormat/>
    <w:uiPriority w:val="0"/>
  </w:style>
  <w:style w:type="character" w:customStyle="1" w:styleId="512">
    <w:name w:val="正文小四 Char"/>
    <w:qFormat/>
    <w:locked/>
    <w:uiPriority w:val="0"/>
    <w:rPr>
      <w:kern w:val="2"/>
      <w:sz w:val="24"/>
    </w:rPr>
  </w:style>
  <w:style w:type="character" w:customStyle="1" w:styleId="513">
    <w:name w:val="文章正文格式 Char Char"/>
    <w:link w:val="514"/>
    <w:qFormat/>
    <w:uiPriority w:val="0"/>
    <w:rPr>
      <w:rFonts w:ascii="宋体" w:eastAsia="宋体"/>
      <w:spacing w:val="8"/>
      <w:sz w:val="24"/>
    </w:rPr>
  </w:style>
  <w:style w:type="paragraph" w:customStyle="1" w:styleId="514">
    <w:name w:val="文章正文格式"/>
    <w:basedOn w:val="1"/>
    <w:link w:val="513"/>
    <w:qFormat/>
    <w:uiPriority w:val="0"/>
    <w:pPr>
      <w:snapToGrid w:val="0"/>
      <w:spacing w:line="360" w:lineRule="auto"/>
      <w:ind w:firstLine="200" w:firstLineChars="200"/>
    </w:pPr>
    <w:rPr>
      <w:rFonts w:ascii="宋体" w:hAnsiTheme="minorHAnsi" w:cstheme="minorBidi"/>
      <w:spacing w:val="8"/>
      <w:kern w:val="2"/>
      <w:sz w:val="24"/>
      <w:szCs w:val="22"/>
    </w:rPr>
  </w:style>
  <w:style w:type="character" w:customStyle="1" w:styleId="515">
    <w:name w:val="grame"/>
    <w:basedOn w:val="90"/>
    <w:qFormat/>
    <w:uiPriority w:val="0"/>
  </w:style>
  <w:style w:type="character" w:customStyle="1" w:styleId="516">
    <w:name w:val="cs14"/>
    <w:basedOn w:val="90"/>
    <w:qFormat/>
    <w:uiPriority w:val="0"/>
  </w:style>
  <w:style w:type="character" w:customStyle="1" w:styleId="517">
    <w:name w:val="正文文本1 Char1 Char Char Char Char Char Char Char Char Char"/>
    <w:qFormat/>
    <w:uiPriority w:val="0"/>
    <w:rPr>
      <w:rFonts w:eastAsia="宋体"/>
      <w:kern w:val="2"/>
      <w:sz w:val="21"/>
      <w:szCs w:val="24"/>
      <w:lang w:val="en-US" w:eastAsia="zh-CN" w:bidi="ar-SA"/>
    </w:rPr>
  </w:style>
  <w:style w:type="character" w:customStyle="1" w:styleId="518">
    <w:name w:val="正文文本 2 Char2"/>
    <w:qFormat/>
    <w:uiPriority w:val="0"/>
    <w:rPr>
      <w:kern w:val="2"/>
      <w:sz w:val="21"/>
      <w:szCs w:val="22"/>
    </w:rPr>
  </w:style>
  <w:style w:type="character" w:customStyle="1" w:styleId="519">
    <w:name w:val="Char Char23"/>
    <w:qFormat/>
    <w:uiPriority w:val="0"/>
    <w:rPr>
      <w:rFonts w:eastAsia="宋体"/>
      <w:b/>
      <w:bCs/>
      <w:kern w:val="2"/>
      <w:sz w:val="32"/>
      <w:szCs w:val="32"/>
      <w:lang w:val="en-US" w:eastAsia="zh-CN" w:bidi="ar-SA"/>
    </w:rPr>
  </w:style>
  <w:style w:type="character" w:customStyle="1" w:styleId="520">
    <w:name w:val="表 Char1"/>
    <w:link w:val="521"/>
    <w:qFormat/>
    <w:uiPriority w:val="0"/>
    <w:rPr>
      <w:rFonts w:eastAsia="仿宋_GB2312" w:cs="仿宋_GB2312"/>
      <w:szCs w:val="21"/>
    </w:rPr>
  </w:style>
  <w:style w:type="paragraph" w:customStyle="1" w:styleId="521">
    <w:name w:val="表"/>
    <w:basedOn w:val="1"/>
    <w:link w:val="520"/>
    <w:qFormat/>
    <w:uiPriority w:val="0"/>
    <w:pPr>
      <w:autoSpaceDE w:val="0"/>
      <w:autoSpaceDN w:val="0"/>
      <w:adjustRightInd w:val="0"/>
      <w:spacing w:line="360" w:lineRule="exact"/>
      <w:jc w:val="center"/>
      <w:textAlignment w:val="bottom"/>
    </w:pPr>
    <w:rPr>
      <w:rFonts w:eastAsia="仿宋_GB2312" w:cs="仿宋_GB2312" w:asciiTheme="minorHAnsi" w:hAnsiTheme="minorHAnsi"/>
      <w:spacing w:val="0"/>
      <w:kern w:val="2"/>
      <w:sz w:val="21"/>
      <w:szCs w:val="21"/>
    </w:rPr>
  </w:style>
  <w:style w:type="character" w:customStyle="1" w:styleId="522">
    <w:name w:val="报告 Char Char"/>
    <w:link w:val="523"/>
    <w:qFormat/>
    <w:uiPriority w:val="0"/>
    <w:rPr>
      <w:rFonts w:eastAsia="宋体"/>
      <w:sz w:val="24"/>
    </w:rPr>
  </w:style>
  <w:style w:type="paragraph" w:customStyle="1" w:styleId="523">
    <w:name w:val="报告"/>
    <w:basedOn w:val="1"/>
    <w:link w:val="522"/>
    <w:qFormat/>
    <w:uiPriority w:val="0"/>
    <w:pPr>
      <w:adjustRightInd w:val="0"/>
      <w:spacing w:line="360" w:lineRule="auto"/>
      <w:ind w:firstLine="505"/>
      <w:textAlignment w:val="center"/>
    </w:pPr>
    <w:rPr>
      <w:rFonts w:asciiTheme="minorHAnsi" w:hAnsiTheme="minorHAnsi" w:cstheme="minorBidi"/>
      <w:spacing w:val="0"/>
      <w:kern w:val="2"/>
      <w:sz w:val="24"/>
      <w:szCs w:val="22"/>
    </w:rPr>
  </w:style>
  <w:style w:type="character" w:customStyle="1" w:styleId="524">
    <w:name w:val="text1"/>
    <w:qFormat/>
    <w:uiPriority w:val="0"/>
    <w:rPr>
      <w:sz w:val="21"/>
      <w:szCs w:val="21"/>
    </w:rPr>
  </w:style>
  <w:style w:type="character" w:customStyle="1" w:styleId="525">
    <w:name w:val="Char17"/>
    <w:qFormat/>
    <w:uiPriority w:val="0"/>
    <w:rPr>
      <w:rFonts w:ascii="方正大标宋简体" w:hAnsi="宋体" w:eastAsia="方正大标宋简体" w:cs="宋体"/>
      <w:b/>
      <w:bCs/>
      <w:kern w:val="44"/>
      <w:sz w:val="30"/>
      <w:szCs w:val="44"/>
      <w:lang w:val="en-US" w:eastAsia="zh-CN" w:bidi="ar-SA"/>
    </w:rPr>
  </w:style>
  <w:style w:type="character" w:customStyle="1" w:styleId="526">
    <w:name w:val="标准文本 居中 单倍行距 Char Char Char Char"/>
    <w:link w:val="527"/>
    <w:qFormat/>
    <w:uiPriority w:val="0"/>
    <w:rPr>
      <w:rFonts w:eastAsia="宋体"/>
      <w:sz w:val="24"/>
    </w:rPr>
  </w:style>
  <w:style w:type="paragraph" w:customStyle="1" w:styleId="527">
    <w:name w:val="标准文本 居中 单倍行距 Char Char"/>
    <w:basedOn w:val="1"/>
    <w:link w:val="526"/>
    <w:qFormat/>
    <w:uiPriority w:val="0"/>
    <w:pPr>
      <w:adjustRightInd w:val="0"/>
      <w:snapToGrid w:val="0"/>
      <w:jc w:val="center"/>
      <w:textAlignment w:val="center"/>
    </w:pPr>
    <w:rPr>
      <w:rFonts w:asciiTheme="minorHAnsi" w:hAnsiTheme="minorHAnsi" w:cstheme="minorBidi"/>
      <w:spacing w:val="0"/>
      <w:kern w:val="2"/>
      <w:sz w:val="24"/>
      <w:szCs w:val="22"/>
    </w:rPr>
  </w:style>
  <w:style w:type="character" w:customStyle="1" w:styleId="528">
    <w:name w:val="标题 5 Char Char Char Char"/>
    <w:qFormat/>
    <w:uiPriority w:val="0"/>
    <w:rPr>
      <w:b/>
      <w:bCs/>
      <w:kern w:val="2"/>
      <w:sz w:val="28"/>
      <w:szCs w:val="28"/>
    </w:rPr>
  </w:style>
  <w:style w:type="character" w:customStyle="1" w:styleId="529">
    <w:name w:val="正文文字缩进 3 Char"/>
    <w:qFormat/>
    <w:uiPriority w:val="0"/>
    <w:rPr>
      <w:rFonts w:eastAsia="宋体"/>
      <w:kern w:val="2"/>
      <w:sz w:val="21"/>
      <w:szCs w:val="24"/>
      <w:lang w:val="en-US" w:eastAsia="zh-CN" w:bidi="ar-SA"/>
    </w:rPr>
  </w:style>
  <w:style w:type="character" w:customStyle="1" w:styleId="530">
    <w:name w:val="标题 4 Char6"/>
    <w:qFormat/>
    <w:uiPriority w:val="0"/>
    <w:rPr>
      <w:rFonts w:ascii="Arial" w:hAnsi="Arial" w:eastAsia="黑体" w:cs="Times New Roman"/>
      <w:b/>
      <w:bCs/>
      <w:sz w:val="28"/>
      <w:szCs w:val="28"/>
    </w:rPr>
  </w:style>
  <w:style w:type="character" w:customStyle="1" w:styleId="531">
    <w:name w:val="标准段落文字 Char Char"/>
    <w:link w:val="532"/>
    <w:qFormat/>
    <w:uiPriority w:val="0"/>
    <w:rPr>
      <w:sz w:val="24"/>
    </w:rPr>
  </w:style>
  <w:style w:type="paragraph" w:customStyle="1" w:styleId="532">
    <w:name w:val="标准段落文字"/>
    <w:basedOn w:val="1"/>
    <w:link w:val="531"/>
    <w:qFormat/>
    <w:uiPriority w:val="0"/>
    <w:pPr>
      <w:spacing w:line="360" w:lineRule="auto"/>
      <w:ind w:firstLine="480" w:firstLineChars="200"/>
    </w:pPr>
    <w:rPr>
      <w:rFonts w:asciiTheme="minorHAnsi" w:hAnsiTheme="minorHAnsi" w:eastAsiaTheme="minorEastAsia" w:cstheme="minorBidi"/>
      <w:spacing w:val="0"/>
      <w:kern w:val="2"/>
      <w:sz w:val="24"/>
      <w:szCs w:val="22"/>
    </w:rPr>
  </w:style>
  <w:style w:type="character" w:customStyle="1" w:styleId="533">
    <w:name w:val="样式 正文首行缩进 + 首行缩进:  2 字符1 Char"/>
    <w:qFormat/>
    <w:locked/>
    <w:uiPriority w:val="0"/>
    <w:rPr>
      <w:rFonts w:ascii="宋体" w:hAnsi="宋体"/>
      <w:sz w:val="28"/>
    </w:rPr>
  </w:style>
  <w:style w:type="character" w:customStyle="1" w:styleId="534">
    <w:name w:val="样式 (西文) 仿宋_GB2312 (中文) 仿宋_GB2312 Char"/>
    <w:qFormat/>
    <w:locked/>
    <w:uiPriority w:val="0"/>
    <w:rPr>
      <w:rFonts w:ascii="仿宋_GB2312" w:eastAsia="仿宋_GB2312"/>
      <w:sz w:val="28"/>
      <w:szCs w:val="30"/>
    </w:rPr>
  </w:style>
  <w:style w:type="character" w:customStyle="1" w:styleId="535">
    <w:name w:val="style21"/>
    <w:qFormat/>
    <w:uiPriority w:val="0"/>
    <w:rPr>
      <w:color w:val="000000"/>
    </w:rPr>
  </w:style>
  <w:style w:type="character" w:customStyle="1" w:styleId="536">
    <w:name w:val="Char Char Char Char Char Char Char Char Char Char Char Char3"/>
    <w:qFormat/>
    <w:uiPriority w:val="0"/>
    <w:rPr>
      <w:rFonts w:eastAsia="宋体"/>
      <w:kern w:val="2"/>
      <w:sz w:val="21"/>
      <w:szCs w:val="24"/>
      <w:lang w:val="en-US" w:eastAsia="zh-CN" w:bidi="ar-SA"/>
    </w:rPr>
  </w:style>
  <w:style w:type="character" w:customStyle="1" w:styleId="537">
    <w:name w:val="3号标题 Char Char"/>
    <w:link w:val="538"/>
    <w:qFormat/>
    <w:uiPriority w:val="0"/>
    <w:rPr>
      <w:rFonts w:eastAsia="宋体"/>
      <w:sz w:val="24"/>
      <w:szCs w:val="24"/>
    </w:rPr>
  </w:style>
  <w:style w:type="paragraph" w:customStyle="1" w:styleId="538">
    <w:name w:val="3号标题"/>
    <w:basedOn w:val="495"/>
    <w:link w:val="537"/>
    <w:qFormat/>
    <w:uiPriority w:val="0"/>
    <w:rPr>
      <w:rFonts w:asciiTheme="minorHAnsi" w:hAnsiTheme="minorHAnsi" w:cstheme="minorBidi"/>
      <w:snapToGrid/>
      <w:kern w:val="2"/>
    </w:rPr>
  </w:style>
  <w:style w:type="character" w:customStyle="1" w:styleId="539">
    <w:name w:val="燕山正文 Char22"/>
    <w:qFormat/>
    <w:uiPriority w:val="0"/>
    <w:rPr>
      <w:rFonts w:ascii="宋体" w:hAnsi="宋体" w:eastAsia="宋体"/>
      <w:bCs/>
      <w:color w:val="000000"/>
      <w:kern w:val="2"/>
      <w:sz w:val="24"/>
      <w:szCs w:val="24"/>
      <w:lang w:val="en-US" w:eastAsia="zh-CN" w:bidi="ar-SA"/>
    </w:rPr>
  </w:style>
  <w:style w:type="character" w:customStyle="1" w:styleId="540">
    <w:name w:val="样式 (中文) 仿宋_GB2312 Char"/>
    <w:qFormat/>
    <w:locked/>
    <w:uiPriority w:val="0"/>
    <w:rPr>
      <w:rFonts w:ascii="仿宋_GB2312" w:eastAsia="仿宋_GB2312"/>
      <w:snapToGrid w:val="0"/>
      <w:sz w:val="24"/>
    </w:rPr>
  </w:style>
  <w:style w:type="character" w:customStyle="1" w:styleId="541">
    <w:name w:val="Char Char211"/>
    <w:qFormat/>
    <w:uiPriority w:val="0"/>
    <w:rPr>
      <w:rFonts w:ascii="Times New Roman" w:hAnsi="Times New Roman" w:eastAsia="宋体" w:cs="Times New Roman"/>
      <w:sz w:val="16"/>
      <w:szCs w:val="16"/>
    </w:rPr>
  </w:style>
  <w:style w:type="character" w:customStyle="1" w:styleId="542">
    <w:name w:val="正文文本（4） Char"/>
    <w:qFormat/>
    <w:locked/>
    <w:uiPriority w:val="0"/>
    <w:rPr>
      <w:snapToGrid w:val="0"/>
      <w:sz w:val="24"/>
      <w:szCs w:val="24"/>
    </w:rPr>
  </w:style>
  <w:style w:type="character" w:customStyle="1" w:styleId="543">
    <w:name w:val="样式 表标题2.4 + 居中 段前: 1 行 Char Char"/>
    <w:link w:val="544"/>
    <w:qFormat/>
    <w:uiPriority w:val="0"/>
    <w:rPr>
      <w:rFonts w:ascii="黑体" w:eastAsia="黑体" w:cs="宋体"/>
      <w:b/>
      <w:bCs/>
      <w:spacing w:val="6"/>
      <w:sz w:val="24"/>
      <w:szCs w:val="24"/>
    </w:rPr>
  </w:style>
  <w:style w:type="paragraph" w:customStyle="1" w:styleId="544">
    <w:name w:val="样式 表标题2.4 + 居中 段前: 1 行"/>
    <w:link w:val="543"/>
    <w:qFormat/>
    <w:uiPriority w:val="0"/>
    <w:pPr>
      <w:tabs>
        <w:tab w:val="center" w:pos="4060"/>
        <w:tab w:val="right" w:pos="8261"/>
      </w:tabs>
      <w:jc w:val="center"/>
    </w:pPr>
    <w:rPr>
      <w:rFonts w:ascii="黑体" w:eastAsia="黑体" w:cs="宋体" w:hAnsiTheme="minorHAnsi"/>
      <w:b/>
      <w:bCs/>
      <w:spacing w:val="6"/>
      <w:kern w:val="2"/>
      <w:sz w:val="24"/>
      <w:szCs w:val="24"/>
      <w:lang w:val="en-US" w:eastAsia="zh-CN" w:bidi="ar-SA"/>
    </w:rPr>
  </w:style>
  <w:style w:type="character" w:customStyle="1" w:styleId="545">
    <w:name w:val="标题A Char"/>
    <w:qFormat/>
    <w:locked/>
    <w:uiPriority w:val="0"/>
    <w:rPr>
      <w:rFonts w:ascii="宋体" w:hAnsi="宋体"/>
      <w:b/>
      <w:kern w:val="2"/>
      <w:sz w:val="32"/>
    </w:rPr>
  </w:style>
  <w:style w:type="character" w:customStyle="1" w:styleId="546">
    <w:name w:val="33333333333333333333 Char"/>
    <w:qFormat/>
    <w:locked/>
    <w:uiPriority w:val="0"/>
    <w:rPr>
      <w:szCs w:val="21"/>
    </w:rPr>
  </w:style>
  <w:style w:type="character" w:customStyle="1" w:styleId="547">
    <w:name w:val="e Char Char Char"/>
    <w:qFormat/>
    <w:uiPriority w:val="0"/>
    <w:rPr>
      <w:rFonts w:ascii="DotumChe" w:hAnsi="DotumChe" w:eastAsia="黑体" w:cs="宋体"/>
      <w:sz w:val="28"/>
      <w:szCs w:val="30"/>
      <w:lang w:val="en-US" w:eastAsia="zh-CN"/>
    </w:rPr>
  </w:style>
  <w:style w:type="character" w:customStyle="1" w:styleId="548">
    <w:name w:val="标题 1 Char1"/>
    <w:qFormat/>
    <w:locked/>
    <w:uiPriority w:val="0"/>
    <w:rPr>
      <w:b/>
      <w:bCs/>
      <w:kern w:val="44"/>
      <w:sz w:val="44"/>
      <w:szCs w:val="44"/>
    </w:rPr>
  </w:style>
  <w:style w:type="character" w:customStyle="1" w:styleId="549">
    <w:name w:val="unnamednews1"/>
    <w:qFormat/>
    <w:uiPriority w:val="0"/>
    <w:rPr>
      <w:rFonts w:hint="default"/>
      <w:color w:val="000000"/>
      <w:sz w:val="28"/>
      <w:szCs w:val="28"/>
      <w:u w:val="none"/>
    </w:rPr>
  </w:style>
  <w:style w:type="character" w:customStyle="1" w:styleId="550">
    <w:name w:val="样式 表内小5 + 黑体 加粗 倾斜 下划线 Char2"/>
    <w:qFormat/>
    <w:uiPriority w:val="0"/>
    <w:rPr>
      <w:rFonts w:ascii="黑体" w:hAnsi="黑体" w:eastAsia="黑体"/>
      <w:b/>
      <w:bCs/>
      <w:i/>
      <w:iCs/>
      <w:kern w:val="2"/>
      <w:sz w:val="18"/>
      <w:szCs w:val="24"/>
      <w:u w:val="single"/>
      <w:lang w:val="en-US" w:eastAsia="zh-CN" w:bidi="ar-SA"/>
    </w:rPr>
  </w:style>
  <w:style w:type="character" w:customStyle="1" w:styleId="551">
    <w:name w:val="纯文本2"/>
    <w:qFormat/>
    <w:uiPriority w:val="0"/>
    <w:rPr>
      <w:rFonts w:ascii="宋体" w:hAnsi="Courier New" w:eastAsia="宋体" w:cs="Courier New"/>
      <w:kern w:val="2"/>
      <w:sz w:val="21"/>
      <w:szCs w:val="21"/>
      <w:lang w:val="en-US" w:eastAsia="zh-CN" w:bidi="ar-SA"/>
    </w:rPr>
  </w:style>
  <w:style w:type="character" w:customStyle="1" w:styleId="552">
    <w:name w:val="访问过的超链接11"/>
    <w:qFormat/>
    <w:uiPriority w:val="0"/>
    <w:rPr>
      <w:color w:val="800080"/>
      <w:u w:val="single"/>
    </w:rPr>
  </w:style>
  <w:style w:type="character" w:customStyle="1" w:styleId="553">
    <w:name w:val="奇数页眉 Char Char"/>
    <w:qFormat/>
    <w:uiPriority w:val="0"/>
    <w:rPr>
      <w:rFonts w:ascii="Times New Roman" w:hAnsi="Times New Roman" w:eastAsia="宋体" w:cs="Times New Roman"/>
      <w:sz w:val="18"/>
      <w:szCs w:val="18"/>
    </w:rPr>
  </w:style>
  <w:style w:type="character" w:customStyle="1" w:styleId="554">
    <w:name w:val="wenben1"/>
    <w:qFormat/>
    <w:uiPriority w:val="0"/>
    <w:rPr>
      <w:color w:val="33FF00"/>
      <w:sz w:val="21"/>
      <w:szCs w:val="21"/>
    </w:rPr>
  </w:style>
  <w:style w:type="character" w:customStyle="1" w:styleId="555">
    <w:name w:val="样式表 Char"/>
    <w:qFormat/>
    <w:locked/>
    <w:uiPriority w:val="0"/>
    <w:rPr>
      <w:rFonts w:ascii="黑体" w:hAnsi="黑体" w:eastAsia="黑体"/>
      <w:color w:val="000000"/>
      <w:spacing w:val="8"/>
      <w:sz w:val="24"/>
      <w:szCs w:val="24"/>
    </w:rPr>
  </w:style>
  <w:style w:type="character" w:customStyle="1" w:styleId="556">
    <w:name w:val="HTML 键盘11"/>
    <w:qFormat/>
    <w:uiPriority w:val="0"/>
    <w:rPr>
      <w:rFonts w:ascii="Courier New" w:hAnsi="Courier New" w:cs="Courier New"/>
      <w:sz w:val="20"/>
      <w:szCs w:val="20"/>
    </w:rPr>
  </w:style>
  <w:style w:type="character" w:customStyle="1" w:styleId="557">
    <w:name w:val="文本匡小五号 Char Char Char"/>
    <w:qFormat/>
    <w:uiPriority w:val="0"/>
    <w:rPr>
      <w:rFonts w:hint="eastAsia" w:ascii="宋体" w:hAnsi="宋体" w:eastAsia="仿宋_GB2312" w:cs="Courier New"/>
      <w:kern w:val="2"/>
      <w:sz w:val="18"/>
      <w:szCs w:val="24"/>
      <w:lang w:val="en-US" w:eastAsia="zh-CN" w:bidi="ar-SA"/>
    </w:rPr>
  </w:style>
  <w:style w:type="character" w:customStyle="1" w:styleId="558">
    <w:name w:val="标题 （3） Char Char"/>
    <w:qFormat/>
    <w:uiPriority w:val="0"/>
    <w:rPr>
      <w:rFonts w:eastAsia="宋体"/>
      <w:b/>
      <w:kern w:val="2"/>
      <w:sz w:val="24"/>
      <w:szCs w:val="24"/>
      <w:lang w:val="en-US" w:eastAsia="zh-CN" w:bidi="ar-SA"/>
    </w:rPr>
  </w:style>
  <w:style w:type="character" w:customStyle="1" w:styleId="559">
    <w:name w:val="Char Char4"/>
    <w:qFormat/>
    <w:uiPriority w:val="0"/>
    <w:rPr>
      <w:rFonts w:ascii="宋体" w:hAnsi="Courier New" w:eastAsia="宋体" w:cs="Courier New"/>
      <w:kern w:val="2"/>
      <w:sz w:val="21"/>
      <w:szCs w:val="21"/>
      <w:lang w:val="en-US" w:eastAsia="zh-CN" w:bidi="ar-SA"/>
    </w:rPr>
  </w:style>
  <w:style w:type="character" w:customStyle="1" w:styleId="560">
    <w:name w:val="小段黑字 Char"/>
    <w:qFormat/>
    <w:locked/>
    <w:uiPriority w:val="0"/>
    <w:rPr>
      <w:rFonts w:ascii="楷体_GB2312" w:hAnsi="宋体" w:eastAsia="楷体_GB2312"/>
      <w:b/>
      <w:bCs/>
      <w:kern w:val="2"/>
      <w:sz w:val="24"/>
      <w:szCs w:val="24"/>
    </w:rPr>
  </w:style>
  <w:style w:type="character" w:customStyle="1" w:styleId="561">
    <w:name w:val="表格内文字 Char1"/>
    <w:qFormat/>
    <w:uiPriority w:val="0"/>
    <w:rPr>
      <w:rFonts w:eastAsia="宋体"/>
      <w:snapToGrid w:val="0"/>
      <w:sz w:val="24"/>
      <w:lang w:val="en-US" w:eastAsia="zh-CN" w:bidi="ar-SA"/>
    </w:rPr>
  </w:style>
  <w:style w:type="character" w:customStyle="1" w:styleId="562">
    <w:name w:val="小四正文 Char Char"/>
    <w:link w:val="563"/>
    <w:qFormat/>
    <w:uiPriority w:val="0"/>
    <w:rPr>
      <w:color w:val="000000"/>
      <w:spacing w:val="8"/>
      <w:sz w:val="24"/>
      <w:szCs w:val="24"/>
      <w:lang w:val="en-GB"/>
    </w:rPr>
  </w:style>
  <w:style w:type="paragraph" w:customStyle="1" w:styleId="563">
    <w:name w:val="小四正文"/>
    <w:link w:val="562"/>
    <w:qFormat/>
    <w:uiPriority w:val="0"/>
    <w:pPr>
      <w:widowControl w:val="0"/>
      <w:snapToGrid w:val="0"/>
      <w:spacing w:line="360" w:lineRule="auto"/>
      <w:ind w:firstLine="200" w:firstLineChars="200"/>
      <w:jc w:val="both"/>
    </w:pPr>
    <w:rPr>
      <w:rFonts w:asciiTheme="minorHAnsi" w:hAnsiTheme="minorHAnsi" w:eastAsiaTheme="minorEastAsia" w:cstheme="minorBidi"/>
      <w:color w:val="000000"/>
      <w:spacing w:val="8"/>
      <w:kern w:val="2"/>
      <w:sz w:val="24"/>
      <w:szCs w:val="24"/>
      <w:lang w:val="en-GB" w:eastAsia="zh-CN" w:bidi="ar-SA"/>
    </w:rPr>
  </w:style>
  <w:style w:type="character" w:customStyle="1" w:styleId="564">
    <w:name w:val="9dpi1"/>
    <w:qFormat/>
    <w:uiPriority w:val="0"/>
    <w:rPr>
      <w:spacing w:val="30"/>
      <w:sz w:val="18"/>
      <w:szCs w:val="18"/>
    </w:rPr>
  </w:style>
  <w:style w:type="character" w:customStyle="1" w:styleId="565">
    <w:name w:val="word"/>
    <w:basedOn w:val="90"/>
    <w:qFormat/>
    <w:uiPriority w:val="0"/>
  </w:style>
  <w:style w:type="character" w:customStyle="1" w:styleId="566">
    <w:name w:val="9 Char Char"/>
    <w:link w:val="567"/>
    <w:qFormat/>
    <w:uiPriority w:val="0"/>
    <w:rPr>
      <w:sz w:val="24"/>
    </w:rPr>
  </w:style>
  <w:style w:type="paragraph" w:customStyle="1" w:styleId="567">
    <w:name w:val="9"/>
    <w:basedOn w:val="1"/>
    <w:link w:val="566"/>
    <w:qFormat/>
    <w:uiPriority w:val="0"/>
    <w:pPr>
      <w:spacing w:beforeLines="20" w:afterLines="20" w:line="360" w:lineRule="auto"/>
      <w:ind w:firstLine="540" w:firstLineChars="225"/>
    </w:pPr>
    <w:rPr>
      <w:rFonts w:asciiTheme="minorHAnsi" w:hAnsiTheme="minorHAnsi" w:eastAsiaTheme="minorEastAsia" w:cstheme="minorBidi"/>
      <w:spacing w:val="0"/>
      <w:kern w:val="2"/>
      <w:sz w:val="24"/>
      <w:szCs w:val="22"/>
    </w:rPr>
  </w:style>
  <w:style w:type="character" w:customStyle="1" w:styleId="568">
    <w:name w:val="正文文本缩进 3 Char2"/>
    <w:qFormat/>
    <w:uiPriority w:val="0"/>
    <w:rPr>
      <w:rFonts w:ascii="Times New Roman" w:hAnsi="Times New Roman" w:eastAsia="宋体" w:cs="Times New Roman"/>
      <w:sz w:val="16"/>
      <w:szCs w:val="16"/>
    </w:rPr>
  </w:style>
  <w:style w:type="character" w:customStyle="1" w:styleId="569">
    <w:name w:val="Char Char30"/>
    <w:qFormat/>
    <w:uiPriority w:val="0"/>
    <w:rPr>
      <w:rFonts w:eastAsia="宋体"/>
      <w:kern w:val="2"/>
      <w:sz w:val="24"/>
      <w:szCs w:val="24"/>
      <w:lang w:val="en-US" w:eastAsia="zh-CN" w:bidi="ar-SA"/>
    </w:rPr>
  </w:style>
  <w:style w:type="character" w:customStyle="1" w:styleId="570">
    <w:name w:val="访问过的超链接12"/>
    <w:qFormat/>
    <w:uiPriority w:val="0"/>
    <w:rPr>
      <w:color w:val="800080"/>
      <w:u w:val="single"/>
    </w:rPr>
  </w:style>
  <w:style w:type="character" w:customStyle="1" w:styleId="571">
    <w:name w:val="Comment Text Char"/>
    <w:qFormat/>
    <w:uiPriority w:val="0"/>
    <w:rPr>
      <w:rFonts w:hint="default" w:ascii="Times New Roman" w:hAnsi="Times New Roman" w:cs="Times New Roman"/>
      <w:kern w:val="2"/>
      <w:sz w:val="21"/>
    </w:rPr>
  </w:style>
  <w:style w:type="character" w:customStyle="1" w:styleId="572">
    <w:name w:val="Char5 Char Char"/>
    <w:qFormat/>
    <w:uiPriority w:val="0"/>
    <w:rPr>
      <w:rFonts w:eastAsia="宋体"/>
      <w:kern w:val="2"/>
      <w:sz w:val="18"/>
      <w:lang w:val="en-US" w:eastAsia="zh-CN" w:bidi="ar-SA"/>
    </w:rPr>
  </w:style>
  <w:style w:type="character" w:customStyle="1" w:styleId="573">
    <w:name w:val="HTML 键盘1"/>
    <w:qFormat/>
    <w:uiPriority w:val="0"/>
    <w:rPr>
      <w:rFonts w:ascii="Courier New" w:hAnsi="Courier New" w:cs="Courier New"/>
      <w:sz w:val="20"/>
      <w:szCs w:val="20"/>
    </w:rPr>
  </w:style>
  <w:style w:type="character" w:customStyle="1" w:styleId="574">
    <w:name w:val="标题 6 Char1"/>
    <w:qFormat/>
    <w:uiPriority w:val="0"/>
    <w:rPr>
      <w:rFonts w:ascii="Arial" w:hAnsi="Arial" w:eastAsia="黑体" w:cs="Times New Roman"/>
      <w:b/>
      <w:bCs/>
      <w:sz w:val="24"/>
      <w:szCs w:val="24"/>
    </w:rPr>
  </w:style>
  <w:style w:type="character" w:customStyle="1" w:styleId="575">
    <w:name w:val="批注引用12"/>
    <w:qFormat/>
    <w:uiPriority w:val="0"/>
    <w:rPr>
      <w:sz w:val="21"/>
    </w:rPr>
  </w:style>
  <w:style w:type="character" w:customStyle="1" w:styleId="576">
    <w:name w:val="141"/>
    <w:qFormat/>
    <w:uiPriority w:val="0"/>
    <w:rPr>
      <w:sz w:val="21"/>
      <w:szCs w:val="21"/>
    </w:rPr>
  </w:style>
  <w:style w:type="character" w:customStyle="1" w:styleId="577">
    <w:name w:val="Char Char222"/>
    <w:qFormat/>
    <w:uiPriority w:val="0"/>
    <w:rPr>
      <w:rFonts w:eastAsia="宋体"/>
      <w:kern w:val="2"/>
      <w:sz w:val="21"/>
      <w:szCs w:val="24"/>
      <w:lang w:val="en-US" w:eastAsia="zh-CN" w:bidi="ar-SA"/>
    </w:rPr>
  </w:style>
  <w:style w:type="character" w:customStyle="1" w:styleId="578">
    <w:name w:val="text_edit editable-title"/>
    <w:qFormat/>
    <w:uiPriority w:val="0"/>
    <w:rPr>
      <w:rFonts w:hint="default" w:ascii="Tahoma" w:hAnsi="Tahoma" w:cs="Tahoma"/>
      <w:sz w:val="24"/>
    </w:rPr>
  </w:style>
  <w:style w:type="character" w:customStyle="1" w:styleId="579">
    <w:name w:val="style29"/>
    <w:basedOn w:val="90"/>
    <w:qFormat/>
    <w:uiPriority w:val="0"/>
  </w:style>
  <w:style w:type="character" w:customStyle="1" w:styleId="580">
    <w:name w:val="表格四号 Char Char"/>
    <w:link w:val="581"/>
    <w:qFormat/>
    <w:uiPriority w:val="0"/>
    <w:rPr>
      <w:rFonts w:ascii="宋体" w:hAnsi="宋体"/>
      <w:snapToGrid w:val="0"/>
      <w:sz w:val="28"/>
      <w:szCs w:val="28"/>
    </w:rPr>
  </w:style>
  <w:style w:type="paragraph" w:customStyle="1" w:styleId="581">
    <w:name w:val="表格四号"/>
    <w:basedOn w:val="1"/>
    <w:link w:val="580"/>
    <w:qFormat/>
    <w:uiPriority w:val="0"/>
    <w:pPr>
      <w:adjustRightInd w:val="0"/>
      <w:snapToGrid w:val="0"/>
      <w:jc w:val="center"/>
    </w:pPr>
    <w:rPr>
      <w:rFonts w:ascii="宋体" w:hAnsi="宋体" w:eastAsiaTheme="minorEastAsia" w:cstheme="minorBidi"/>
      <w:snapToGrid w:val="0"/>
      <w:spacing w:val="0"/>
      <w:kern w:val="2"/>
      <w:sz w:val="28"/>
      <w:szCs w:val="28"/>
    </w:rPr>
  </w:style>
  <w:style w:type="character" w:customStyle="1" w:styleId="582">
    <w:name w:val="m_37"/>
    <w:qFormat/>
    <w:uiPriority w:val="0"/>
  </w:style>
  <w:style w:type="character" w:customStyle="1" w:styleId="583">
    <w:name w:val="日期 Char2"/>
    <w:qFormat/>
    <w:uiPriority w:val="0"/>
    <w:rPr>
      <w:rFonts w:eastAsia="宋体"/>
      <w:sz w:val="24"/>
      <w:szCs w:val="24"/>
    </w:rPr>
  </w:style>
  <w:style w:type="character" w:customStyle="1" w:styleId="584">
    <w:name w:val="MFS正文 Char Char Char Char Char Char"/>
    <w:qFormat/>
    <w:uiPriority w:val="0"/>
    <w:rPr>
      <w:rFonts w:eastAsia="宋体"/>
      <w:kern w:val="2"/>
      <w:sz w:val="24"/>
      <w:szCs w:val="24"/>
      <w:lang w:val="en-US" w:eastAsia="zh-CN"/>
    </w:rPr>
  </w:style>
  <w:style w:type="character" w:customStyle="1" w:styleId="585">
    <w:name w:val="样式7 Char Char"/>
    <w:link w:val="586"/>
    <w:qFormat/>
    <w:uiPriority w:val="0"/>
    <w:rPr>
      <w:rFonts w:eastAsia="宋体" w:cs="宋体"/>
      <w:color w:val="000000"/>
      <w:sz w:val="24"/>
      <w:szCs w:val="24"/>
    </w:rPr>
  </w:style>
  <w:style w:type="paragraph" w:customStyle="1" w:styleId="586">
    <w:name w:val="样式7"/>
    <w:basedOn w:val="1"/>
    <w:link w:val="585"/>
    <w:qFormat/>
    <w:uiPriority w:val="0"/>
    <w:pPr>
      <w:tabs>
        <w:tab w:val="left" w:pos="320"/>
        <w:tab w:val="center" w:pos="709"/>
      </w:tabs>
      <w:adjustRightInd w:val="0"/>
      <w:spacing w:line="320" w:lineRule="exact"/>
      <w:jc w:val="center"/>
      <w:textAlignment w:val="baseline"/>
    </w:pPr>
    <w:rPr>
      <w:rFonts w:cs="宋体" w:asciiTheme="minorHAnsi" w:hAnsiTheme="minorHAnsi"/>
      <w:color w:val="000000"/>
      <w:spacing w:val="0"/>
      <w:kern w:val="2"/>
      <w:sz w:val="24"/>
      <w:szCs w:val="24"/>
    </w:rPr>
  </w:style>
  <w:style w:type="character" w:customStyle="1" w:styleId="587">
    <w:name w:val="图题 Char11"/>
    <w:qFormat/>
    <w:uiPriority w:val="0"/>
    <w:rPr>
      <w:rFonts w:ascii="方正大标宋简体" w:hAnsi="宋体" w:eastAsia="方正大标宋简体" w:cs="宋体"/>
      <w:kern w:val="2"/>
      <w:sz w:val="24"/>
      <w:szCs w:val="24"/>
      <w:lang w:val="en-US" w:eastAsia="zh-CN" w:bidi="ar-SA"/>
    </w:rPr>
  </w:style>
  <w:style w:type="character" w:customStyle="1" w:styleId="588">
    <w:name w:val="表格小四 Char Char"/>
    <w:link w:val="589"/>
    <w:qFormat/>
    <w:uiPriority w:val="0"/>
    <w:rPr>
      <w:rFonts w:eastAsia="仿宋_GB2312"/>
      <w:spacing w:val="-10"/>
      <w:szCs w:val="24"/>
    </w:rPr>
  </w:style>
  <w:style w:type="paragraph" w:customStyle="1" w:styleId="589">
    <w:name w:val="表格小四"/>
    <w:basedOn w:val="1"/>
    <w:link w:val="588"/>
    <w:qFormat/>
    <w:uiPriority w:val="0"/>
    <w:pPr>
      <w:snapToGrid w:val="0"/>
      <w:jc w:val="center"/>
    </w:pPr>
    <w:rPr>
      <w:rFonts w:eastAsia="仿宋_GB2312" w:asciiTheme="minorHAnsi" w:hAnsiTheme="minorHAnsi" w:cstheme="minorBidi"/>
      <w:spacing w:val="-10"/>
      <w:kern w:val="2"/>
      <w:sz w:val="21"/>
      <w:szCs w:val="24"/>
    </w:rPr>
  </w:style>
  <w:style w:type="character" w:customStyle="1" w:styleId="590">
    <w:name w:val="样式 首行缩进:  2 字符 Char Char Char Char Char Char Char"/>
    <w:link w:val="591"/>
    <w:qFormat/>
    <w:uiPriority w:val="0"/>
    <w:rPr>
      <w:rFonts w:ascii="Arial" w:hAnsi="Arial" w:eastAsia="宋体"/>
      <w:sz w:val="24"/>
    </w:rPr>
  </w:style>
  <w:style w:type="paragraph" w:customStyle="1" w:styleId="591">
    <w:name w:val="样式 首行缩进:  2 字符 Char Char Char Char"/>
    <w:basedOn w:val="1"/>
    <w:link w:val="590"/>
    <w:qFormat/>
    <w:uiPriority w:val="0"/>
    <w:pPr>
      <w:spacing w:line="480" w:lineRule="exact"/>
      <w:ind w:firstLine="480" w:firstLineChars="200"/>
    </w:pPr>
    <w:rPr>
      <w:rFonts w:ascii="Arial" w:hAnsi="Arial" w:cstheme="minorBidi"/>
      <w:spacing w:val="0"/>
      <w:kern w:val="2"/>
      <w:sz w:val="24"/>
      <w:szCs w:val="22"/>
    </w:rPr>
  </w:style>
  <w:style w:type="character" w:customStyle="1" w:styleId="592">
    <w:name w:val="样式 标题 2节 + Times New Roman Char Char"/>
    <w:link w:val="593"/>
    <w:qFormat/>
    <w:uiPriority w:val="0"/>
    <w:rPr>
      <w:rFonts w:eastAsia="黑体"/>
      <w:bCs/>
      <w:sz w:val="32"/>
      <w:szCs w:val="32"/>
    </w:rPr>
  </w:style>
  <w:style w:type="paragraph" w:customStyle="1" w:styleId="593">
    <w:name w:val="样式 标题 2节 + Times New Roman"/>
    <w:basedOn w:val="4"/>
    <w:link w:val="592"/>
    <w:qFormat/>
    <w:uiPriority w:val="0"/>
    <w:pPr>
      <w:tabs>
        <w:tab w:val="clear" w:pos="1427"/>
      </w:tabs>
      <w:adjustRightInd/>
      <w:jc w:val="both"/>
      <w:textAlignment w:val="auto"/>
    </w:pPr>
    <w:rPr>
      <w:rFonts w:eastAsia="黑体" w:asciiTheme="minorHAnsi" w:hAnsiTheme="minorHAnsi" w:cstheme="minorBidi"/>
      <w:b w:val="0"/>
      <w:bCs/>
      <w:spacing w:val="0"/>
      <w:kern w:val="2"/>
      <w:sz w:val="32"/>
      <w:szCs w:val="32"/>
    </w:rPr>
  </w:style>
  <w:style w:type="character" w:customStyle="1" w:styleId="594">
    <w:name w:val="样式 (西文) 仿宋_GB2312 (中文) 仿宋_GB2312 黑色 Char Char"/>
    <w:qFormat/>
    <w:uiPriority w:val="0"/>
    <w:rPr>
      <w:rFonts w:ascii="仿宋_GB2312" w:eastAsia="仿宋_GB2312"/>
      <w:color w:val="000000"/>
      <w:kern w:val="2"/>
      <w:sz w:val="28"/>
      <w:szCs w:val="24"/>
      <w:lang w:val="en-US" w:eastAsia="zh-CN" w:bidi="ar-SA"/>
    </w:rPr>
  </w:style>
  <w:style w:type="character" w:customStyle="1" w:styleId="595">
    <w:name w:val="行号11"/>
    <w:qFormat/>
    <w:uiPriority w:val="0"/>
  </w:style>
  <w:style w:type="character" w:customStyle="1" w:styleId="596">
    <w:name w:val="样式 表格11 + 居中 Char Char"/>
    <w:link w:val="597"/>
    <w:qFormat/>
    <w:uiPriority w:val="0"/>
    <w:rPr>
      <w:rFonts w:ascii="Calibri" w:hAnsi="Calibri" w:eastAsia="宋体" w:cs="Times New Roman"/>
    </w:rPr>
  </w:style>
  <w:style w:type="paragraph" w:customStyle="1" w:styleId="597">
    <w:name w:val="样式 表格11 + 居中"/>
    <w:basedOn w:val="598"/>
    <w:link w:val="596"/>
    <w:qFormat/>
    <w:uiPriority w:val="0"/>
    <w:rPr>
      <w:rFonts w:ascii="Calibri" w:hAnsi="Calibri"/>
      <w:kern w:val="2"/>
      <w:sz w:val="21"/>
      <w:szCs w:val="22"/>
    </w:rPr>
  </w:style>
  <w:style w:type="paragraph" w:customStyle="1" w:styleId="598">
    <w:name w:val="表格11"/>
    <w:basedOn w:val="1"/>
    <w:link w:val="599"/>
    <w:qFormat/>
    <w:uiPriority w:val="0"/>
    <w:pPr>
      <w:adjustRightInd w:val="0"/>
      <w:snapToGrid w:val="0"/>
      <w:jc w:val="center"/>
    </w:pPr>
    <w:rPr>
      <w:spacing w:val="0"/>
      <w:szCs w:val="21"/>
    </w:rPr>
  </w:style>
  <w:style w:type="character" w:customStyle="1" w:styleId="599">
    <w:name w:val="表格11 Char Char"/>
    <w:link w:val="598"/>
    <w:qFormat/>
    <w:uiPriority w:val="0"/>
    <w:rPr>
      <w:rFonts w:ascii="Times New Roman" w:hAnsi="Times New Roman" w:eastAsia="宋体" w:cs="Times New Roman"/>
      <w:kern w:val="0"/>
      <w:sz w:val="20"/>
      <w:szCs w:val="21"/>
    </w:rPr>
  </w:style>
  <w:style w:type="character" w:customStyle="1" w:styleId="600">
    <w:name w:val="height"/>
    <w:basedOn w:val="90"/>
    <w:qFormat/>
    <w:uiPriority w:val="0"/>
  </w:style>
  <w:style w:type="character" w:customStyle="1" w:styleId="601">
    <w:name w:val="平－项目 Char Char"/>
    <w:link w:val="602"/>
    <w:qFormat/>
    <w:uiPriority w:val="0"/>
    <w:rPr>
      <w:rFonts w:ascii="华文楷体" w:hAnsi="华文楷体" w:eastAsia="华文楷体"/>
      <w:sz w:val="28"/>
      <w:szCs w:val="28"/>
    </w:rPr>
  </w:style>
  <w:style w:type="paragraph" w:customStyle="1" w:styleId="602">
    <w:name w:val="平－项目"/>
    <w:basedOn w:val="1"/>
    <w:next w:val="1"/>
    <w:link w:val="601"/>
    <w:qFormat/>
    <w:uiPriority w:val="0"/>
    <w:pPr>
      <w:spacing w:line="500" w:lineRule="exact"/>
      <w:ind w:firstLine="200" w:firstLineChars="200"/>
    </w:pPr>
    <w:rPr>
      <w:rFonts w:ascii="华文楷体" w:hAnsi="华文楷体" w:eastAsia="华文楷体" w:cstheme="minorBidi"/>
      <w:spacing w:val="0"/>
      <w:kern w:val="2"/>
      <w:sz w:val="28"/>
      <w:szCs w:val="28"/>
    </w:rPr>
  </w:style>
  <w:style w:type="character" w:customStyle="1" w:styleId="603">
    <w:name w:val="text81"/>
    <w:qFormat/>
    <w:uiPriority w:val="0"/>
    <w:rPr>
      <w:rFonts w:hint="default" w:ascii="Verdana" w:hAnsi="Verdana"/>
      <w:color w:val="487BB4"/>
      <w:sz w:val="17"/>
      <w:szCs w:val="17"/>
      <w:u w:val="none"/>
    </w:rPr>
  </w:style>
  <w:style w:type="character" w:customStyle="1" w:styleId="604">
    <w:name w:val="陈光的正文 Char"/>
    <w:qFormat/>
    <w:locked/>
    <w:uiPriority w:val="0"/>
    <w:rPr>
      <w:kern w:val="2"/>
      <w:sz w:val="28"/>
    </w:rPr>
  </w:style>
  <w:style w:type="character" w:customStyle="1" w:styleId="605">
    <w:name w:val="生物质发电正文 Char"/>
    <w:qFormat/>
    <w:locked/>
    <w:uiPriority w:val="0"/>
    <w:rPr>
      <w:rFonts w:ascii="宋体" w:hAnsi="宋体"/>
      <w:bCs/>
      <w:sz w:val="24"/>
      <w:szCs w:val="24"/>
    </w:rPr>
  </w:style>
  <w:style w:type="character" w:customStyle="1" w:styleId="606">
    <w:name w:val="海尔正文 Char1"/>
    <w:link w:val="607"/>
    <w:qFormat/>
    <w:uiPriority w:val="0"/>
    <w:rPr>
      <w:rFonts w:ascii="宋体" w:hAnsi="宋体" w:eastAsia="宋体" w:cs="宋体"/>
      <w:sz w:val="28"/>
    </w:rPr>
  </w:style>
  <w:style w:type="paragraph" w:customStyle="1" w:styleId="607">
    <w:name w:val="海尔正文"/>
    <w:basedOn w:val="1"/>
    <w:link w:val="606"/>
    <w:qFormat/>
    <w:uiPriority w:val="0"/>
    <w:pPr>
      <w:spacing w:line="360" w:lineRule="auto"/>
      <w:ind w:firstLine="560" w:firstLineChars="200"/>
    </w:pPr>
    <w:rPr>
      <w:rFonts w:ascii="宋体" w:hAnsi="宋体" w:cs="宋体"/>
      <w:spacing w:val="0"/>
      <w:kern w:val="2"/>
      <w:sz w:val="28"/>
      <w:szCs w:val="22"/>
    </w:rPr>
  </w:style>
  <w:style w:type="character" w:customStyle="1" w:styleId="608">
    <w:name w:val="标题7"/>
    <w:basedOn w:val="90"/>
    <w:qFormat/>
    <w:uiPriority w:val="0"/>
  </w:style>
  <w:style w:type="character" w:customStyle="1" w:styleId="609">
    <w:name w:val="标题 3 Char1 Char Char"/>
    <w:qFormat/>
    <w:uiPriority w:val="0"/>
    <w:rPr>
      <w:rFonts w:ascii="方正大标宋简体" w:eastAsia="方正大标宋简体"/>
      <w:bCs/>
      <w:sz w:val="28"/>
      <w:szCs w:val="28"/>
      <w:lang w:val="en-US" w:eastAsia="zh-CN" w:bidi="ar-SA"/>
    </w:rPr>
  </w:style>
  <w:style w:type="character" w:customStyle="1" w:styleId="610">
    <w:name w:val="keyword1"/>
    <w:qFormat/>
    <w:uiPriority w:val="0"/>
    <w:rPr>
      <w:rFonts w:eastAsia="宋体" w:cs="宋体"/>
      <w:color w:val="FF0000"/>
      <w:sz w:val="24"/>
      <w:szCs w:val="24"/>
      <w:lang w:val="en-US" w:eastAsia="zh-CN" w:bidi="ar-SA"/>
    </w:rPr>
  </w:style>
  <w:style w:type="character" w:customStyle="1" w:styleId="611">
    <w:name w:val="标题B Char"/>
    <w:qFormat/>
    <w:locked/>
    <w:uiPriority w:val="0"/>
    <w:rPr>
      <w:rFonts w:ascii="宋体" w:hAnsi="宋体"/>
      <w:b/>
      <w:kern w:val="2"/>
      <w:sz w:val="28"/>
    </w:rPr>
  </w:style>
  <w:style w:type="character" w:customStyle="1" w:styleId="612">
    <w:name w:val="MFS单位4 Char Char"/>
    <w:link w:val="613"/>
    <w:qFormat/>
    <w:uiPriority w:val="0"/>
    <w:rPr>
      <w:rFonts w:eastAsia="楷体_GB2312"/>
      <w:sz w:val="18"/>
    </w:rPr>
  </w:style>
  <w:style w:type="paragraph" w:customStyle="1" w:styleId="613">
    <w:name w:val="MFS单位4"/>
    <w:basedOn w:val="404"/>
    <w:link w:val="612"/>
    <w:qFormat/>
    <w:uiPriority w:val="0"/>
    <w:pPr>
      <w:tabs>
        <w:tab w:val="left" w:pos="735"/>
        <w:tab w:val="clear" w:pos="1200"/>
      </w:tabs>
    </w:pPr>
    <w:rPr>
      <w:rFonts w:eastAsia="楷体_GB2312" w:asciiTheme="minorHAnsi" w:hAnsiTheme="minorHAnsi" w:cstheme="minorBidi"/>
      <w:spacing w:val="0"/>
      <w:kern w:val="2"/>
      <w:szCs w:val="22"/>
    </w:rPr>
  </w:style>
  <w:style w:type="character" w:customStyle="1" w:styleId="614">
    <w:name w:val="样式 五号 居中 Char Char"/>
    <w:link w:val="615"/>
    <w:qFormat/>
    <w:uiPriority w:val="0"/>
    <w:rPr>
      <w:rFonts w:ascii="宋体" w:hAnsi="宋体"/>
    </w:rPr>
  </w:style>
  <w:style w:type="paragraph" w:customStyle="1" w:styleId="615">
    <w:name w:val="样式 五号 居中"/>
    <w:basedOn w:val="1"/>
    <w:link w:val="614"/>
    <w:qFormat/>
    <w:uiPriority w:val="0"/>
    <w:pPr>
      <w:jc w:val="center"/>
    </w:pPr>
    <w:rPr>
      <w:rFonts w:ascii="宋体" w:hAnsi="宋体" w:eastAsiaTheme="minorEastAsia" w:cstheme="minorBidi"/>
      <w:spacing w:val="0"/>
      <w:kern w:val="2"/>
      <w:sz w:val="21"/>
      <w:szCs w:val="22"/>
    </w:rPr>
  </w:style>
  <w:style w:type="character" w:customStyle="1" w:styleId="616">
    <w:name w:val="HTML 引文12"/>
    <w:qFormat/>
    <w:uiPriority w:val="0"/>
    <w:rPr>
      <w:i/>
      <w:iCs/>
    </w:rPr>
  </w:style>
  <w:style w:type="character" w:customStyle="1" w:styleId="617">
    <w:name w:val="tj望江正文 Char Char Char"/>
    <w:link w:val="618"/>
    <w:qFormat/>
    <w:uiPriority w:val="0"/>
    <w:rPr>
      <w:rFonts w:ascii="华文细黑" w:hAnsi="华文细黑" w:eastAsia="华文细黑"/>
    </w:rPr>
  </w:style>
  <w:style w:type="paragraph" w:customStyle="1" w:styleId="618">
    <w:name w:val="tj望江正文 Char"/>
    <w:basedOn w:val="1"/>
    <w:link w:val="617"/>
    <w:qFormat/>
    <w:uiPriority w:val="0"/>
    <w:pPr>
      <w:spacing w:line="440" w:lineRule="exact"/>
      <w:ind w:firstLine="420" w:firstLineChars="200"/>
    </w:pPr>
    <w:rPr>
      <w:rFonts w:ascii="华文细黑" w:hAnsi="华文细黑" w:eastAsia="华文细黑" w:cstheme="minorBidi"/>
      <w:spacing w:val="0"/>
      <w:kern w:val="2"/>
      <w:sz w:val="21"/>
      <w:szCs w:val="22"/>
    </w:rPr>
  </w:style>
  <w:style w:type="character" w:customStyle="1" w:styleId="619">
    <w:name w:val="benghangjianju361"/>
    <w:qFormat/>
    <w:uiPriority w:val="0"/>
    <w:rPr>
      <w:sz w:val="21"/>
      <w:szCs w:val="21"/>
    </w:rPr>
  </w:style>
  <w:style w:type="character" w:customStyle="1" w:styleId="620">
    <w:name w:val="style11"/>
    <w:qFormat/>
    <w:uiPriority w:val="0"/>
    <w:rPr>
      <w:rFonts w:eastAsia="宋体"/>
      <w:color w:val="000000"/>
      <w:kern w:val="2"/>
      <w:sz w:val="21"/>
      <w:szCs w:val="24"/>
      <w:lang w:val="en-US" w:eastAsia="zh-CN" w:bidi="ar-SA"/>
    </w:rPr>
  </w:style>
  <w:style w:type="character" w:customStyle="1" w:styleId="621">
    <w:name w:val="Char Char121"/>
    <w:qFormat/>
    <w:uiPriority w:val="0"/>
    <w:rPr>
      <w:rFonts w:eastAsia="宋体"/>
      <w:kern w:val="2"/>
      <w:sz w:val="18"/>
      <w:szCs w:val="18"/>
      <w:lang w:val="en-US" w:eastAsia="zh-CN" w:bidi="ar-SA"/>
    </w:rPr>
  </w:style>
  <w:style w:type="character" w:customStyle="1" w:styleId="622">
    <w:name w:val="样式 题注 + 仿宋_GB2312 四号 加粗 Char"/>
    <w:qFormat/>
    <w:uiPriority w:val="0"/>
    <w:rPr>
      <w:rFonts w:ascii="仿宋_GB2312" w:hAnsi="仿宋_GB2312" w:eastAsia="仿宋_GB2312"/>
      <w:b/>
      <w:bCs/>
      <w:sz w:val="28"/>
    </w:rPr>
  </w:style>
  <w:style w:type="character" w:customStyle="1" w:styleId="623">
    <w:name w:val="称呼 Char1"/>
    <w:qFormat/>
    <w:uiPriority w:val="0"/>
    <w:rPr>
      <w:rFonts w:ascii="Times New Roman" w:hAnsi="Times New Roman" w:eastAsia="宋体" w:cs="Times New Roman"/>
      <w:szCs w:val="24"/>
    </w:rPr>
  </w:style>
  <w:style w:type="character" w:customStyle="1" w:styleId="624">
    <w:name w:val="style81"/>
    <w:qFormat/>
    <w:uiPriority w:val="0"/>
    <w:rPr>
      <w:rFonts w:hint="eastAsia" w:ascii="宋体" w:hAnsi="宋体" w:eastAsia="黑体" w:cs="宋体"/>
      <w:kern w:val="2"/>
      <w:sz w:val="24"/>
      <w:szCs w:val="24"/>
      <w:lang w:val="en-US" w:eastAsia="zh-CN" w:bidi="ar-SA"/>
    </w:rPr>
  </w:style>
  <w:style w:type="character" w:customStyle="1" w:styleId="625">
    <w:name w:val="表标题2.4 Char"/>
    <w:qFormat/>
    <w:locked/>
    <w:uiPriority w:val="0"/>
    <w:rPr>
      <w:rFonts w:ascii="黑体" w:hAnsi="黑体" w:eastAsia="黑体"/>
      <w:b/>
      <w:spacing w:val="6"/>
      <w:sz w:val="24"/>
      <w:szCs w:val="24"/>
    </w:rPr>
  </w:style>
  <w:style w:type="character" w:customStyle="1" w:styleId="626">
    <w:name w:val="22222 Char Char"/>
    <w:link w:val="627"/>
    <w:qFormat/>
    <w:uiPriority w:val="0"/>
    <w:rPr>
      <w:rFonts w:ascii="Arial" w:hAnsi="Arial" w:eastAsia="宋体"/>
      <w:b/>
      <w:bCs/>
      <w:color w:val="000000"/>
      <w:sz w:val="28"/>
      <w:szCs w:val="32"/>
    </w:rPr>
  </w:style>
  <w:style w:type="paragraph" w:customStyle="1" w:styleId="627">
    <w:name w:val="22222"/>
    <w:basedOn w:val="1"/>
    <w:link w:val="626"/>
    <w:qFormat/>
    <w:uiPriority w:val="0"/>
    <w:pPr>
      <w:spacing w:beforeLines="100" w:line="360" w:lineRule="auto"/>
      <w:jc w:val="left"/>
      <w:outlineLvl w:val="1"/>
    </w:pPr>
    <w:rPr>
      <w:rFonts w:ascii="Arial" w:hAnsi="Arial" w:cstheme="minorBidi"/>
      <w:b/>
      <w:bCs/>
      <w:color w:val="000000"/>
      <w:spacing w:val="0"/>
      <w:kern w:val="2"/>
      <w:sz w:val="28"/>
      <w:szCs w:val="32"/>
    </w:rPr>
  </w:style>
  <w:style w:type="character" w:customStyle="1" w:styleId="628">
    <w:name w:val="text61"/>
    <w:qFormat/>
    <w:uiPriority w:val="0"/>
    <w:rPr>
      <w:color w:val="487BB4"/>
      <w:sz w:val="18"/>
      <w:szCs w:val="18"/>
      <w:u w:val="none"/>
    </w:rPr>
  </w:style>
  <w:style w:type="character" w:customStyle="1" w:styleId="629">
    <w:name w:val="标题3（3） Char Char"/>
    <w:link w:val="630"/>
    <w:qFormat/>
    <w:uiPriority w:val="0"/>
    <w:rPr>
      <w:rFonts w:ascii="Cambria" w:hAnsi="Cambria" w:eastAsia="楷体_GB2312"/>
      <w:b/>
      <w:bCs/>
      <w:sz w:val="30"/>
      <w:szCs w:val="30"/>
      <w:lang w:bidi="en-US"/>
    </w:rPr>
  </w:style>
  <w:style w:type="paragraph" w:customStyle="1" w:styleId="630">
    <w:name w:val="标题3（3）"/>
    <w:basedOn w:val="5"/>
    <w:link w:val="629"/>
    <w:qFormat/>
    <w:uiPriority w:val="0"/>
    <w:pPr>
      <w:keepLines w:val="0"/>
      <w:widowControl/>
      <w:snapToGrid w:val="0"/>
      <w:spacing w:before="120" w:after="120"/>
      <w:ind w:left="720" w:hanging="720"/>
      <w:jc w:val="both"/>
      <w:textAlignment w:val="auto"/>
    </w:pPr>
    <w:rPr>
      <w:rFonts w:ascii="Cambria" w:hAnsi="Cambria" w:eastAsia="楷体_GB2312" w:cstheme="minorBidi"/>
      <w:bCs/>
      <w:color w:val="auto"/>
      <w:spacing w:val="0"/>
      <w:kern w:val="2"/>
      <w:sz w:val="30"/>
      <w:szCs w:val="30"/>
      <w:lang w:bidi="en-US"/>
    </w:rPr>
  </w:style>
  <w:style w:type="character" w:customStyle="1" w:styleId="631">
    <w:name w:val="正文格式 Char Char"/>
    <w:link w:val="632"/>
    <w:qFormat/>
    <w:uiPriority w:val="0"/>
    <w:rPr>
      <w:rFonts w:ascii="宋体" w:hAnsi="宋体" w:eastAsia="宋体" w:cs="宋体"/>
      <w:b/>
      <w:spacing w:val="4"/>
      <w:sz w:val="24"/>
      <w:szCs w:val="24"/>
    </w:rPr>
  </w:style>
  <w:style w:type="paragraph" w:customStyle="1" w:styleId="632">
    <w:name w:val="正文格式"/>
    <w:basedOn w:val="1"/>
    <w:link w:val="631"/>
    <w:qFormat/>
    <w:uiPriority w:val="0"/>
    <w:pPr>
      <w:spacing w:line="360" w:lineRule="auto"/>
      <w:ind w:firstLine="527" w:firstLineChars="200"/>
    </w:pPr>
    <w:rPr>
      <w:rFonts w:ascii="宋体" w:hAnsi="宋体" w:cs="宋体"/>
      <w:b/>
      <w:spacing w:val="4"/>
      <w:kern w:val="2"/>
      <w:sz w:val="24"/>
      <w:szCs w:val="24"/>
    </w:rPr>
  </w:style>
  <w:style w:type="character" w:customStyle="1" w:styleId="633">
    <w:name w:val="e Char Char"/>
    <w:qFormat/>
    <w:uiPriority w:val="0"/>
    <w:rPr>
      <w:rFonts w:ascii="DotumChe" w:hAnsi="DotumChe" w:eastAsia="黑体" w:cs="宋体"/>
      <w:sz w:val="28"/>
      <w:szCs w:val="30"/>
      <w:lang w:val="en-US" w:eastAsia="zh-CN" w:bidi="ar-SA"/>
    </w:rPr>
  </w:style>
  <w:style w:type="character" w:customStyle="1" w:styleId="634">
    <w:name w:val="表格内文字 Char Char"/>
    <w:link w:val="635"/>
    <w:qFormat/>
    <w:uiPriority w:val="0"/>
    <w:rPr>
      <w:spacing w:val="6"/>
      <w:sz w:val="24"/>
    </w:rPr>
  </w:style>
  <w:style w:type="paragraph" w:customStyle="1" w:styleId="635">
    <w:name w:val="表格内文字"/>
    <w:basedOn w:val="1"/>
    <w:link w:val="634"/>
    <w:qFormat/>
    <w:uiPriority w:val="0"/>
    <w:pPr>
      <w:tabs>
        <w:tab w:val="left" w:pos="0"/>
      </w:tabs>
      <w:adjustRightInd w:val="0"/>
      <w:snapToGrid w:val="0"/>
      <w:jc w:val="center"/>
    </w:pPr>
    <w:rPr>
      <w:rFonts w:asciiTheme="minorHAnsi" w:hAnsiTheme="minorHAnsi" w:eastAsiaTheme="minorEastAsia" w:cstheme="minorBidi"/>
      <w:spacing w:val="6"/>
      <w:kern w:val="2"/>
      <w:sz w:val="24"/>
      <w:szCs w:val="22"/>
    </w:rPr>
  </w:style>
  <w:style w:type="character" w:customStyle="1" w:styleId="636">
    <w:name w:val="正文文字 2 Char Char"/>
    <w:qFormat/>
    <w:uiPriority w:val="0"/>
    <w:rPr>
      <w:rFonts w:ascii="Times New Roman" w:hAnsi="Times New Roman" w:eastAsia="楷体_GB2312" w:cs="Times New Roman"/>
      <w:sz w:val="28"/>
      <w:szCs w:val="20"/>
    </w:rPr>
  </w:style>
  <w:style w:type="character" w:customStyle="1" w:styleId="637">
    <w:name w:val="访问过的超链接13"/>
    <w:qFormat/>
    <w:uiPriority w:val="0"/>
    <w:rPr>
      <w:color w:val="800080"/>
      <w:u w:val="single"/>
    </w:rPr>
  </w:style>
  <w:style w:type="character" w:customStyle="1" w:styleId="638">
    <w:name w:val="样式 标题 41.1.1.1标题 4.1.1.1.1标题 4 Char款1.1.1.1 Char标4段1.1.1...3 Char"/>
    <w:qFormat/>
    <w:locked/>
    <w:uiPriority w:val="0"/>
    <w:rPr>
      <w:rFonts w:ascii="Arial" w:hAnsi="Arial" w:eastAsia="黑体" w:cs="Arial"/>
      <w:b/>
      <w:bCs/>
      <w:color w:val="000000"/>
      <w:sz w:val="24"/>
      <w:szCs w:val="24"/>
    </w:rPr>
  </w:style>
  <w:style w:type="character" w:customStyle="1" w:styleId="639">
    <w:name w:val="标题1.1.1.1.1 Char3"/>
    <w:qFormat/>
    <w:uiPriority w:val="0"/>
    <w:rPr>
      <w:rFonts w:eastAsia="宋体"/>
      <w:b/>
      <w:bCs/>
      <w:kern w:val="2"/>
      <w:sz w:val="28"/>
      <w:szCs w:val="28"/>
      <w:lang w:val="en-US" w:eastAsia="zh-CN" w:bidi="ar-SA"/>
    </w:rPr>
  </w:style>
  <w:style w:type="character" w:customStyle="1" w:styleId="640">
    <w:name w:val="Default Char Char"/>
    <w:link w:val="641"/>
    <w:qFormat/>
    <w:uiPriority w:val="0"/>
    <w:rPr>
      <w:rFonts w:ascii="宋体" w:cs="宋体"/>
      <w:color w:val="000000"/>
      <w:sz w:val="24"/>
      <w:szCs w:val="24"/>
    </w:rPr>
  </w:style>
  <w:style w:type="paragraph" w:customStyle="1" w:styleId="641">
    <w:name w:val="Default"/>
    <w:link w:val="640"/>
    <w:qFormat/>
    <w:uiPriority w:val="0"/>
    <w:pPr>
      <w:widowControl w:val="0"/>
      <w:autoSpaceDE w:val="0"/>
      <w:autoSpaceDN w:val="0"/>
      <w:adjustRightInd w:val="0"/>
    </w:pPr>
    <w:rPr>
      <w:rFonts w:ascii="宋体" w:cs="宋体" w:hAnsiTheme="minorHAnsi" w:eastAsiaTheme="minorEastAsia"/>
      <w:color w:val="000000"/>
      <w:kern w:val="2"/>
      <w:sz w:val="24"/>
      <w:szCs w:val="24"/>
      <w:lang w:val="en-US" w:eastAsia="zh-CN" w:bidi="ar-SA"/>
    </w:rPr>
  </w:style>
  <w:style w:type="character" w:customStyle="1" w:styleId="642">
    <w:name w:val="f915"/>
    <w:basedOn w:val="90"/>
    <w:qFormat/>
    <w:uiPriority w:val="0"/>
  </w:style>
  <w:style w:type="character" w:customStyle="1" w:styleId="643">
    <w:name w:val="题注1 Char Char"/>
    <w:qFormat/>
    <w:uiPriority w:val="0"/>
    <w:rPr>
      <w:rFonts w:eastAsia="宋体"/>
      <w:kern w:val="2"/>
      <w:sz w:val="21"/>
      <w:szCs w:val="24"/>
      <w:lang w:val="en-US" w:eastAsia="zh-CN" w:bidi="ar-SA"/>
    </w:rPr>
  </w:style>
  <w:style w:type="character" w:customStyle="1" w:styleId="644">
    <w:name w:val="样式 仿宋_GB2312 小四2"/>
    <w:qFormat/>
    <w:uiPriority w:val="0"/>
    <w:rPr>
      <w:rFonts w:hint="default" w:ascii="Times New Roman" w:hAnsi="Times New Roman" w:eastAsia="仿宋_GB2312" w:cs="Courier New"/>
      <w:kern w:val="2"/>
      <w:sz w:val="24"/>
      <w:szCs w:val="24"/>
      <w:lang w:val="en-US" w:eastAsia="zh-CN" w:bidi="ar-SA"/>
    </w:rPr>
  </w:style>
  <w:style w:type="character" w:customStyle="1" w:styleId="645">
    <w:name w:val="表内5 Char2"/>
    <w:qFormat/>
    <w:uiPriority w:val="0"/>
    <w:rPr>
      <w:rFonts w:ascii="宋体" w:hAnsi="宋体" w:eastAsia="宋体" w:cs="宋体"/>
      <w:kern w:val="2"/>
      <w:sz w:val="21"/>
      <w:lang w:val="en-US" w:eastAsia="zh-CN" w:bidi="ar-SA"/>
    </w:rPr>
  </w:style>
  <w:style w:type="character" w:customStyle="1" w:styleId="646">
    <w:name w:val="正文AAA Char Char"/>
    <w:link w:val="647"/>
    <w:qFormat/>
    <w:uiPriority w:val="0"/>
    <w:rPr>
      <w:rFonts w:ascii="宋体" w:hAnsi="宋体" w:eastAsia="宋体" w:cs="宋体"/>
      <w:sz w:val="24"/>
    </w:rPr>
  </w:style>
  <w:style w:type="paragraph" w:customStyle="1" w:styleId="647">
    <w:name w:val="正文AAA"/>
    <w:basedOn w:val="1"/>
    <w:link w:val="646"/>
    <w:qFormat/>
    <w:uiPriority w:val="0"/>
    <w:pPr>
      <w:spacing w:line="500" w:lineRule="exact"/>
      <w:ind w:firstLine="480" w:firstLineChars="200"/>
    </w:pPr>
    <w:rPr>
      <w:rFonts w:ascii="宋体" w:hAnsi="宋体" w:cs="宋体"/>
      <w:spacing w:val="0"/>
      <w:kern w:val="2"/>
      <w:sz w:val="24"/>
      <w:szCs w:val="22"/>
    </w:rPr>
  </w:style>
  <w:style w:type="character" w:customStyle="1" w:styleId="648">
    <w:name w:val="表格标题新 Char Char"/>
    <w:link w:val="649"/>
    <w:qFormat/>
    <w:uiPriority w:val="0"/>
    <w:rPr>
      <w:rFonts w:ascii="仿宋_GB2312" w:eastAsia="黑体"/>
      <w:b/>
      <w:snapToGrid w:val="0"/>
      <w:spacing w:val="4"/>
      <w:szCs w:val="24"/>
    </w:rPr>
  </w:style>
  <w:style w:type="paragraph" w:customStyle="1" w:styleId="649">
    <w:name w:val="表格标题新"/>
    <w:link w:val="648"/>
    <w:qFormat/>
    <w:uiPriority w:val="0"/>
    <w:pPr>
      <w:tabs>
        <w:tab w:val="left" w:pos="0"/>
      </w:tabs>
      <w:spacing w:beforeLines="50"/>
      <w:ind w:firstLine="562"/>
    </w:pPr>
    <w:rPr>
      <w:rFonts w:ascii="仿宋_GB2312" w:eastAsia="黑体" w:hAnsiTheme="minorHAnsi" w:cstheme="minorBidi"/>
      <w:b/>
      <w:snapToGrid w:val="0"/>
      <w:spacing w:val="4"/>
      <w:kern w:val="2"/>
      <w:sz w:val="21"/>
      <w:szCs w:val="24"/>
      <w:lang w:val="en-US" w:eastAsia="zh-CN" w:bidi="ar-SA"/>
    </w:rPr>
  </w:style>
  <w:style w:type="character" w:customStyle="1" w:styleId="650">
    <w:name w:val="普通文字 Char Char1"/>
    <w:qFormat/>
    <w:uiPriority w:val="0"/>
    <w:rPr>
      <w:rFonts w:ascii="宋体" w:hAnsi="Courier New" w:eastAsia="宋体" w:cs="Courier New"/>
      <w:kern w:val="2"/>
      <w:sz w:val="21"/>
      <w:szCs w:val="21"/>
      <w:lang w:val="en-US" w:eastAsia="zh-CN" w:bidi="ar-SA"/>
    </w:rPr>
  </w:style>
  <w:style w:type="character" w:customStyle="1" w:styleId="651">
    <w:name w:val="签名 Char2"/>
    <w:qFormat/>
    <w:uiPriority w:val="0"/>
    <w:rPr>
      <w:rFonts w:eastAsia="宋体"/>
      <w:kern w:val="2"/>
      <w:sz w:val="21"/>
      <w:szCs w:val="24"/>
      <w:lang w:val="en-US" w:eastAsia="zh-CN" w:bidi="ar-SA"/>
    </w:rPr>
  </w:style>
  <w:style w:type="character" w:customStyle="1" w:styleId="652">
    <w:name w:val="表格文本 五号 居中 单倍行距 Char Char Char Char Char"/>
    <w:link w:val="653"/>
    <w:qFormat/>
    <w:uiPriority w:val="0"/>
    <w:rPr>
      <w:rFonts w:ascii="黑体" w:eastAsia="黑体"/>
      <w:sz w:val="28"/>
      <w:szCs w:val="28"/>
    </w:rPr>
  </w:style>
  <w:style w:type="paragraph" w:customStyle="1" w:styleId="653">
    <w:name w:val="表格文本 五号 居中 单倍行距"/>
    <w:basedOn w:val="1"/>
    <w:link w:val="652"/>
    <w:qFormat/>
    <w:uiPriority w:val="0"/>
    <w:pPr>
      <w:spacing w:line="480" w:lineRule="exact"/>
    </w:pPr>
    <w:rPr>
      <w:rFonts w:ascii="黑体" w:eastAsia="黑体" w:hAnsiTheme="minorHAnsi" w:cstheme="minorBidi"/>
      <w:spacing w:val="0"/>
      <w:kern w:val="2"/>
      <w:sz w:val="28"/>
      <w:szCs w:val="28"/>
    </w:rPr>
  </w:style>
  <w:style w:type="character" w:customStyle="1" w:styleId="654">
    <w:name w:val="样式 样式 小段标题 + 首行缩进:  2 字符 段前: 0.5 行 段后: 0.5 行 + 首行缩进:  0.85 厘米 段... Char Char"/>
    <w:link w:val="655"/>
    <w:qFormat/>
    <w:uiPriority w:val="0"/>
    <w:rPr>
      <w:rFonts w:eastAsia="宋体" w:cs="宋体"/>
      <w:sz w:val="24"/>
    </w:rPr>
  </w:style>
  <w:style w:type="paragraph" w:customStyle="1" w:styleId="655">
    <w:name w:val="样式 样式 小段标题 + 首行缩进:  2 字符 段前: 0.5 行 段后: 0.5 行 + 首行缩进:  0.85 厘米 段..."/>
    <w:basedOn w:val="1"/>
    <w:link w:val="654"/>
    <w:qFormat/>
    <w:uiPriority w:val="0"/>
    <w:pPr>
      <w:spacing w:beforeLines="70"/>
    </w:pPr>
    <w:rPr>
      <w:rFonts w:cs="宋体" w:asciiTheme="minorHAnsi" w:hAnsiTheme="minorHAnsi"/>
      <w:spacing w:val="0"/>
      <w:kern w:val="2"/>
      <w:sz w:val="24"/>
      <w:szCs w:val="22"/>
    </w:rPr>
  </w:style>
  <w:style w:type="character" w:customStyle="1" w:styleId="656">
    <w:name w:val="style3"/>
    <w:basedOn w:val="90"/>
    <w:qFormat/>
    <w:uiPriority w:val="0"/>
  </w:style>
  <w:style w:type="character" w:customStyle="1" w:styleId="657">
    <w:name w:val="正文缩进：2字符 Char Char"/>
    <w:link w:val="658"/>
    <w:qFormat/>
    <w:uiPriority w:val="0"/>
    <w:rPr>
      <w:rFonts w:ascii="宋体" w:hAnsi="宋体" w:eastAsia="宋体"/>
      <w:sz w:val="28"/>
    </w:rPr>
  </w:style>
  <w:style w:type="paragraph" w:customStyle="1" w:styleId="658">
    <w:name w:val="正文缩进：2字符"/>
    <w:basedOn w:val="1"/>
    <w:link w:val="657"/>
    <w:qFormat/>
    <w:uiPriority w:val="0"/>
    <w:pPr>
      <w:spacing w:line="360" w:lineRule="auto"/>
      <w:ind w:firstLine="560" w:firstLineChars="200"/>
    </w:pPr>
    <w:rPr>
      <w:rFonts w:ascii="宋体" w:hAnsi="宋体" w:cstheme="minorBidi"/>
      <w:spacing w:val="0"/>
      <w:kern w:val="2"/>
      <w:sz w:val="28"/>
      <w:szCs w:val="22"/>
    </w:rPr>
  </w:style>
  <w:style w:type="character" w:customStyle="1" w:styleId="659">
    <w:name w:val="规划正文样式 Char Char"/>
    <w:qFormat/>
    <w:uiPriority w:val="0"/>
    <w:rPr>
      <w:rFonts w:eastAsia="宋体"/>
      <w:kern w:val="2"/>
      <w:sz w:val="24"/>
      <w:szCs w:val="24"/>
      <w:lang w:val="en-US" w:eastAsia="zh-CN" w:bidi="ar-SA"/>
    </w:rPr>
  </w:style>
  <w:style w:type="character" w:customStyle="1" w:styleId="660">
    <w:name w:val="17"/>
    <w:qFormat/>
    <w:uiPriority w:val="0"/>
    <w:rPr>
      <w:rFonts w:hint="default" w:ascii="Times New Roman" w:hAnsi="Times New Roman" w:cs="Times New Roman"/>
      <w:color w:val="0000FF"/>
      <w:sz w:val="20"/>
      <w:szCs w:val="20"/>
      <w:u w:val="single"/>
    </w:rPr>
  </w:style>
  <w:style w:type="character" w:customStyle="1" w:styleId="661">
    <w:name w:val="表名 Char Char"/>
    <w:link w:val="662"/>
    <w:qFormat/>
    <w:uiPriority w:val="0"/>
    <w:rPr>
      <w:rFonts w:eastAsia="宋体"/>
      <w:b/>
      <w:szCs w:val="24"/>
    </w:rPr>
  </w:style>
  <w:style w:type="paragraph" w:customStyle="1" w:styleId="662">
    <w:name w:val="表名"/>
    <w:basedOn w:val="1"/>
    <w:link w:val="661"/>
    <w:qFormat/>
    <w:uiPriority w:val="0"/>
    <w:pPr>
      <w:keepNext/>
      <w:spacing w:before="120"/>
      <w:jc w:val="center"/>
    </w:pPr>
    <w:rPr>
      <w:rFonts w:asciiTheme="minorHAnsi" w:hAnsiTheme="minorHAnsi" w:cstheme="minorBidi"/>
      <w:b/>
      <w:spacing w:val="0"/>
      <w:kern w:val="2"/>
      <w:sz w:val="21"/>
      <w:szCs w:val="24"/>
    </w:rPr>
  </w:style>
  <w:style w:type="character" w:customStyle="1" w:styleId="663">
    <w:name w:val="Char Char2411"/>
    <w:qFormat/>
    <w:uiPriority w:val="0"/>
    <w:rPr>
      <w:rFonts w:eastAsia="宋体"/>
      <w:b/>
      <w:bCs/>
      <w:kern w:val="44"/>
      <w:sz w:val="44"/>
      <w:szCs w:val="44"/>
      <w:lang w:val="en-US" w:eastAsia="zh-CN" w:bidi="ar-SA"/>
    </w:rPr>
  </w:style>
  <w:style w:type="character" w:customStyle="1" w:styleId="664">
    <w:name w:val="样式 标题 4 + 黑体 小四3 Char"/>
    <w:qFormat/>
    <w:locked/>
    <w:uiPriority w:val="0"/>
    <w:rPr>
      <w:rFonts w:ascii="黑体" w:hAnsi="黑体" w:eastAsia="黑体"/>
      <w:b/>
      <w:bCs/>
      <w:sz w:val="24"/>
      <w:szCs w:val="28"/>
    </w:rPr>
  </w:style>
  <w:style w:type="character" w:customStyle="1" w:styleId="665">
    <w:name w:val="日期 Char4"/>
    <w:qFormat/>
    <w:uiPriority w:val="99"/>
    <w:rPr>
      <w:rFonts w:ascii="Times New Roman" w:hAnsi="Times New Roman" w:eastAsia="宋体" w:cs="Times New Roman"/>
      <w:szCs w:val="24"/>
    </w:rPr>
  </w:style>
  <w:style w:type="character" w:customStyle="1" w:styleId="666">
    <w:name w:val="称呼 Char2"/>
    <w:qFormat/>
    <w:uiPriority w:val="0"/>
    <w:rPr>
      <w:rFonts w:eastAsia="宋体"/>
      <w:kern w:val="2"/>
      <w:sz w:val="21"/>
      <w:szCs w:val="24"/>
      <w:lang w:val="en-US" w:eastAsia="zh-CN" w:bidi="ar-SA"/>
    </w:rPr>
  </w:style>
  <w:style w:type="character" w:customStyle="1" w:styleId="667">
    <w:name w:val="2号标题 Char Char"/>
    <w:qFormat/>
    <w:uiPriority w:val="0"/>
    <w:rPr>
      <w:rFonts w:ascii="Arial" w:hAnsi="Arial" w:eastAsia="宋体"/>
      <w:b/>
      <w:bCs/>
      <w:kern w:val="2"/>
      <w:sz w:val="28"/>
      <w:szCs w:val="32"/>
      <w:lang w:val="en-US" w:eastAsia="zh-CN" w:bidi="ar-SA"/>
    </w:rPr>
  </w:style>
  <w:style w:type="character" w:customStyle="1" w:styleId="668">
    <w:name w:val="text11"/>
    <w:qFormat/>
    <w:uiPriority w:val="0"/>
    <w:rPr>
      <w:rFonts w:hint="eastAsia" w:ascii="宋体" w:hAnsi="宋体" w:eastAsia="宋体"/>
      <w:color w:val="008000"/>
      <w:sz w:val="24"/>
      <w:szCs w:val="24"/>
    </w:rPr>
  </w:style>
  <w:style w:type="character" w:customStyle="1" w:styleId="669">
    <w:name w:val="model11"/>
    <w:qFormat/>
    <w:uiPriority w:val="0"/>
    <w:rPr>
      <w:rFonts w:hint="eastAsia" w:ascii="宋体" w:hAnsi="宋体" w:eastAsia="宋体"/>
      <w:sz w:val="18"/>
      <w:szCs w:val="18"/>
      <w:u w:val="none"/>
    </w:rPr>
  </w:style>
  <w:style w:type="character" w:customStyle="1" w:styleId="670">
    <w:name w:val="题注 Char Char"/>
    <w:qFormat/>
    <w:uiPriority w:val="0"/>
    <w:rPr>
      <w:rFonts w:ascii="Arial" w:hAnsi="Arial" w:eastAsia="黑体" w:cs="Arial"/>
      <w:kern w:val="2"/>
      <w:lang w:val="en-US" w:eastAsia="zh-CN" w:bidi="ar-SA"/>
    </w:rPr>
  </w:style>
  <w:style w:type="character" w:customStyle="1" w:styleId="671">
    <w:name w:val="Char Char1511"/>
    <w:qFormat/>
    <w:uiPriority w:val="0"/>
    <w:rPr>
      <w:rFonts w:ascii="宋体" w:hAnsi="宋体" w:eastAsia="宋体"/>
      <w:kern w:val="2"/>
      <w:sz w:val="18"/>
      <w:szCs w:val="18"/>
      <w:lang w:val="en-US" w:eastAsia="zh-CN" w:bidi="ar-SA"/>
    </w:rPr>
  </w:style>
  <w:style w:type="character" w:customStyle="1" w:styleId="672">
    <w:name w:val="宁联正文 Char Char Char"/>
    <w:qFormat/>
    <w:uiPriority w:val="0"/>
    <w:rPr>
      <w:rFonts w:eastAsia="仿宋_GB2312"/>
      <w:kern w:val="2"/>
      <w:sz w:val="28"/>
      <w:szCs w:val="28"/>
      <w:lang w:val="en-US" w:eastAsia="zh-CN" w:bidi="ar-SA"/>
    </w:rPr>
  </w:style>
  <w:style w:type="character" w:customStyle="1" w:styleId="673">
    <w:name w:val="注释标题 Char2"/>
    <w:qFormat/>
    <w:uiPriority w:val="0"/>
    <w:rPr>
      <w:rFonts w:ascii="Times New Roman" w:hAnsi="Times New Roman" w:eastAsia="宋体" w:cs="Times New Roman"/>
      <w:szCs w:val="24"/>
    </w:rPr>
  </w:style>
  <w:style w:type="character" w:customStyle="1" w:styleId="674">
    <w:name w:val="新正文 Char Char"/>
    <w:link w:val="675"/>
    <w:qFormat/>
    <w:uiPriority w:val="0"/>
    <w:rPr>
      <w:rFonts w:ascii="仿宋_GB2312" w:eastAsia="仿宋_GB2312"/>
      <w:bCs/>
      <w:sz w:val="28"/>
    </w:rPr>
  </w:style>
  <w:style w:type="paragraph" w:customStyle="1" w:styleId="675">
    <w:name w:val="新正文"/>
    <w:basedOn w:val="1"/>
    <w:link w:val="674"/>
    <w:qFormat/>
    <w:uiPriority w:val="0"/>
    <w:pPr>
      <w:spacing w:line="480" w:lineRule="exact"/>
      <w:ind w:firstLine="482"/>
    </w:pPr>
    <w:rPr>
      <w:rFonts w:ascii="仿宋_GB2312" w:eastAsia="仿宋_GB2312" w:hAnsiTheme="minorHAnsi" w:cstheme="minorBidi"/>
      <w:bCs/>
      <w:spacing w:val="0"/>
      <w:kern w:val="2"/>
      <w:sz w:val="28"/>
      <w:szCs w:val="22"/>
    </w:rPr>
  </w:style>
  <w:style w:type="character" w:customStyle="1" w:styleId="676">
    <w:name w:val="dan7-1 Char Char Char Char"/>
    <w:link w:val="677"/>
    <w:qFormat/>
    <w:uiPriority w:val="0"/>
    <w:rPr>
      <w:sz w:val="24"/>
      <w:szCs w:val="24"/>
    </w:rPr>
  </w:style>
  <w:style w:type="paragraph" w:customStyle="1" w:styleId="677">
    <w:name w:val="dan7-1"/>
    <w:basedOn w:val="1"/>
    <w:link w:val="676"/>
    <w:qFormat/>
    <w:uiPriority w:val="0"/>
    <w:pPr>
      <w:spacing w:before="40" w:after="40" w:line="360" w:lineRule="auto"/>
      <w:ind w:firstLine="200" w:firstLineChars="200"/>
    </w:pPr>
    <w:rPr>
      <w:rFonts w:asciiTheme="minorHAnsi" w:hAnsiTheme="minorHAnsi" w:eastAsiaTheme="minorEastAsia" w:cstheme="minorBidi"/>
      <w:spacing w:val="0"/>
      <w:kern w:val="2"/>
      <w:sz w:val="24"/>
      <w:szCs w:val="24"/>
    </w:rPr>
  </w:style>
  <w:style w:type="character" w:customStyle="1" w:styleId="678">
    <w:name w:val="吴用表格 Char Char"/>
    <w:qFormat/>
    <w:uiPriority w:val="0"/>
    <w:rPr>
      <w:rFonts w:ascii="Arial" w:hAnsi="Arial" w:eastAsia="宋体" w:cs="Arial"/>
      <w:kern w:val="2"/>
      <w:sz w:val="21"/>
      <w:szCs w:val="21"/>
      <w:lang w:val="en-US" w:eastAsia="zh-CN"/>
    </w:rPr>
  </w:style>
  <w:style w:type="character" w:customStyle="1" w:styleId="679">
    <w:name w:val="页脚 Char2"/>
    <w:qFormat/>
    <w:uiPriority w:val="0"/>
    <w:rPr>
      <w:rFonts w:eastAsia="宋体"/>
      <w:kern w:val="2"/>
      <w:sz w:val="18"/>
      <w:szCs w:val="18"/>
      <w:lang w:val="en-US" w:eastAsia="zh-CN" w:bidi="ar-SA"/>
    </w:rPr>
  </w:style>
  <w:style w:type="character" w:customStyle="1" w:styleId="680">
    <w:name w:val="Char Char151"/>
    <w:qFormat/>
    <w:uiPriority w:val="0"/>
    <w:rPr>
      <w:rFonts w:ascii="Arial" w:hAnsi="Arial" w:eastAsia="黑体"/>
      <w:b/>
      <w:kern w:val="44"/>
      <w:sz w:val="28"/>
      <w:lang w:val="en-US" w:eastAsia="zh-CN" w:bidi="ar-SA"/>
    </w:rPr>
  </w:style>
  <w:style w:type="character" w:customStyle="1" w:styleId="681">
    <w:name w:val="Char Char203"/>
    <w:qFormat/>
    <w:uiPriority w:val="0"/>
    <w:rPr>
      <w:rFonts w:hint="eastAsia" w:ascii="宋体" w:hAnsi="宋体" w:eastAsia="宋体"/>
      <w:kern w:val="2"/>
      <w:sz w:val="21"/>
      <w:szCs w:val="24"/>
      <w:lang w:val="en-US" w:eastAsia="zh-CN" w:bidi="ar-SA"/>
    </w:rPr>
  </w:style>
  <w:style w:type="character" w:customStyle="1" w:styleId="682">
    <w:name w:val="正文文字缩进 Char2"/>
    <w:qFormat/>
    <w:uiPriority w:val="0"/>
    <w:rPr>
      <w:rFonts w:ascii="宋体" w:hAnsi="宋体"/>
      <w:kern w:val="2"/>
      <w:sz w:val="24"/>
      <w:szCs w:val="28"/>
    </w:rPr>
  </w:style>
  <w:style w:type="character" w:customStyle="1" w:styleId="683">
    <w:name w:val="五级标题王 Char"/>
    <w:qFormat/>
    <w:locked/>
    <w:uiPriority w:val="0"/>
    <w:rPr>
      <w:rFonts w:ascii="黑体" w:hAnsi="宋体" w:eastAsia="黑体"/>
      <w:bCs/>
      <w:snapToGrid w:val="0"/>
      <w:sz w:val="24"/>
      <w:szCs w:val="24"/>
    </w:rPr>
  </w:style>
  <w:style w:type="character" w:customStyle="1" w:styleId="684">
    <w:name w:val="批注主题 Char1"/>
    <w:qFormat/>
    <w:uiPriority w:val="99"/>
    <w:rPr>
      <w:rFonts w:ascii="Times New Roman" w:hAnsi="Times New Roman" w:eastAsia="宋体" w:cs="Times New Roman"/>
      <w:b/>
      <w:bCs/>
      <w:szCs w:val="24"/>
    </w:rPr>
  </w:style>
  <w:style w:type="character" w:customStyle="1" w:styleId="685">
    <w:name w:val="报告正文 Char Char"/>
    <w:link w:val="686"/>
    <w:qFormat/>
    <w:uiPriority w:val="0"/>
    <w:rPr>
      <w:rFonts w:eastAsia="宋体"/>
      <w:sz w:val="24"/>
    </w:rPr>
  </w:style>
  <w:style w:type="paragraph" w:customStyle="1" w:styleId="686">
    <w:name w:val="报告正文"/>
    <w:basedOn w:val="1"/>
    <w:link w:val="685"/>
    <w:qFormat/>
    <w:uiPriority w:val="0"/>
    <w:pPr>
      <w:spacing w:line="500" w:lineRule="exact"/>
      <w:ind w:firstLine="200" w:firstLineChars="200"/>
    </w:pPr>
    <w:rPr>
      <w:rFonts w:asciiTheme="minorHAnsi" w:hAnsiTheme="minorHAnsi" w:cstheme="minorBidi"/>
      <w:spacing w:val="0"/>
      <w:kern w:val="2"/>
      <w:sz w:val="24"/>
      <w:szCs w:val="22"/>
    </w:rPr>
  </w:style>
  <w:style w:type="character" w:customStyle="1" w:styleId="687">
    <w:name w:val="HTML 缩写1"/>
    <w:basedOn w:val="90"/>
    <w:qFormat/>
    <w:uiPriority w:val="0"/>
  </w:style>
  <w:style w:type="character" w:customStyle="1" w:styleId="688">
    <w:name w:val="正文 居中 单倍行距 Char Char Char"/>
    <w:qFormat/>
    <w:uiPriority w:val="0"/>
    <w:rPr>
      <w:rFonts w:eastAsia="仿宋_GB2312" w:cs="宋体"/>
      <w:color w:val="000000"/>
      <w:sz w:val="24"/>
      <w:lang w:val="en-US" w:eastAsia="zh-CN" w:bidi="ar-SA"/>
    </w:rPr>
  </w:style>
  <w:style w:type="character" w:customStyle="1" w:styleId="689">
    <w:name w:val="正文样式 Char Char Char Char Char Char Char Char Char Char"/>
    <w:link w:val="690"/>
    <w:qFormat/>
    <w:uiPriority w:val="0"/>
    <w:rPr>
      <w:rFonts w:ascii="宋体" w:hAnsi="宋体" w:eastAsia="宋体"/>
      <w:color w:val="000000"/>
      <w:sz w:val="24"/>
    </w:rPr>
  </w:style>
  <w:style w:type="paragraph" w:customStyle="1" w:styleId="690">
    <w:name w:val="正文样式 Char Char Char"/>
    <w:basedOn w:val="1"/>
    <w:link w:val="689"/>
    <w:qFormat/>
    <w:uiPriority w:val="0"/>
    <w:pPr>
      <w:spacing w:line="360" w:lineRule="auto"/>
      <w:ind w:firstLine="480" w:firstLineChars="200"/>
    </w:pPr>
    <w:rPr>
      <w:rFonts w:ascii="宋体" w:hAnsi="宋体" w:cstheme="minorBidi"/>
      <w:color w:val="000000"/>
      <w:spacing w:val="0"/>
      <w:kern w:val="2"/>
      <w:sz w:val="24"/>
      <w:szCs w:val="22"/>
    </w:rPr>
  </w:style>
  <w:style w:type="character" w:customStyle="1" w:styleId="691">
    <w:name w:val="Char Char22"/>
    <w:qFormat/>
    <w:uiPriority w:val="0"/>
    <w:rPr>
      <w:rFonts w:ascii="Arial" w:hAnsi="Arial" w:eastAsia="黑体"/>
      <w:b/>
      <w:bCs/>
      <w:kern w:val="2"/>
      <w:sz w:val="28"/>
      <w:szCs w:val="28"/>
      <w:lang w:val="en-US" w:eastAsia="zh-CN" w:bidi="ar-SA"/>
    </w:rPr>
  </w:style>
  <w:style w:type="character" w:customStyle="1" w:styleId="692">
    <w:name w:val="Char Char161"/>
    <w:qFormat/>
    <w:uiPriority w:val="0"/>
    <w:rPr>
      <w:rFonts w:ascii="黑体" w:eastAsia="黑体"/>
      <w:b/>
      <w:kern w:val="44"/>
      <w:sz w:val="28"/>
      <w:lang w:val="en-US" w:eastAsia="zh-CN" w:bidi="ar-SA"/>
    </w:rPr>
  </w:style>
  <w:style w:type="character" w:customStyle="1" w:styleId="693">
    <w:name w:val="Char Char102"/>
    <w:qFormat/>
    <w:uiPriority w:val="0"/>
    <w:rPr>
      <w:rFonts w:eastAsia="宋体"/>
      <w:kern w:val="2"/>
      <w:sz w:val="24"/>
      <w:lang w:val="en-US" w:eastAsia="zh-CN" w:bidi="ar-SA"/>
    </w:rPr>
  </w:style>
  <w:style w:type="character" w:customStyle="1" w:styleId="694">
    <w:name w:val="标题 3 Char Char Char Char Char Char Char"/>
    <w:qFormat/>
    <w:uiPriority w:val="0"/>
    <w:rPr>
      <w:rFonts w:eastAsia="宋体"/>
      <w:b/>
      <w:bCs/>
      <w:sz w:val="32"/>
      <w:szCs w:val="32"/>
      <w:lang w:val="en-US" w:eastAsia="zh-CN" w:bidi="ar-SA"/>
    </w:rPr>
  </w:style>
  <w:style w:type="character" w:customStyle="1" w:styleId="695">
    <w:name w:val="style651"/>
    <w:qFormat/>
    <w:uiPriority w:val="0"/>
    <w:rPr>
      <w:b/>
      <w:bCs/>
      <w:color w:val="000000"/>
    </w:rPr>
  </w:style>
  <w:style w:type="character" w:customStyle="1" w:styleId="696">
    <w:name w:val="Char Char6"/>
    <w:qFormat/>
    <w:uiPriority w:val="0"/>
    <w:rPr>
      <w:rFonts w:eastAsia="宋体"/>
      <w:kern w:val="2"/>
      <w:sz w:val="21"/>
      <w:szCs w:val="24"/>
      <w:lang w:val="en-US" w:eastAsia="zh-CN" w:bidi="ar-SA"/>
    </w:rPr>
  </w:style>
  <w:style w:type="character" w:customStyle="1" w:styleId="697">
    <w:name w:val="zhengwen1"/>
    <w:qFormat/>
    <w:uiPriority w:val="0"/>
    <w:rPr>
      <w:sz w:val="20"/>
      <w:szCs w:val="20"/>
    </w:rPr>
  </w:style>
  <w:style w:type="character" w:customStyle="1" w:styleId="698">
    <w:name w:val="表头4 Char Char"/>
    <w:link w:val="699"/>
    <w:qFormat/>
    <w:uiPriority w:val="0"/>
    <w:rPr>
      <w:rFonts w:ascii="黑体" w:hAnsi="Times" w:eastAsia="黑体"/>
      <w:color w:val="000000"/>
      <w:sz w:val="24"/>
      <w:szCs w:val="24"/>
    </w:rPr>
  </w:style>
  <w:style w:type="paragraph" w:customStyle="1" w:styleId="699">
    <w:name w:val="表头4"/>
    <w:basedOn w:val="35"/>
    <w:link w:val="698"/>
    <w:qFormat/>
    <w:uiPriority w:val="0"/>
    <w:pPr>
      <w:adjustRightInd w:val="0"/>
      <w:snapToGrid w:val="0"/>
      <w:spacing w:after="0"/>
      <w:ind w:left="0" w:leftChars="0"/>
      <w:jc w:val="center"/>
    </w:pPr>
    <w:rPr>
      <w:rFonts w:ascii="黑体" w:hAnsi="Times" w:eastAsia="黑体" w:cstheme="minorBidi"/>
      <w:color w:val="000000"/>
      <w:kern w:val="2"/>
      <w:sz w:val="24"/>
    </w:rPr>
  </w:style>
  <w:style w:type="character" w:customStyle="1" w:styleId="700">
    <w:name w:val="样式 正文首行缩进 + 黑体 四号 黑色 Char"/>
    <w:qFormat/>
    <w:locked/>
    <w:uiPriority w:val="0"/>
    <w:rPr>
      <w:rFonts w:ascii="黑体" w:hAnsi="Arial" w:eastAsia="黑体"/>
      <w:color w:val="000000"/>
      <w:sz w:val="28"/>
    </w:rPr>
  </w:style>
  <w:style w:type="character" w:customStyle="1" w:styleId="701">
    <w:name w:val="Char Char37"/>
    <w:qFormat/>
    <w:uiPriority w:val="0"/>
    <w:rPr>
      <w:rFonts w:eastAsia="宋体"/>
      <w:i/>
      <w:iCs/>
      <w:kern w:val="2"/>
      <w:sz w:val="24"/>
      <w:lang w:val="en-US" w:eastAsia="zh-CN" w:bidi="ar-SA"/>
    </w:rPr>
  </w:style>
  <w:style w:type="character" w:customStyle="1" w:styleId="702">
    <w:name w:val="图表标注 Char"/>
    <w:qFormat/>
    <w:uiPriority w:val="0"/>
    <w:rPr>
      <w:rFonts w:ascii="Times New Roman" w:eastAsia="黑体"/>
    </w:rPr>
  </w:style>
  <w:style w:type="character" w:customStyle="1" w:styleId="703">
    <w:name w:val="表16.1 Char Char"/>
    <w:link w:val="704"/>
    <w:qFormat/>
    <w:uiPriority w:val="0"/>
    <w:rPr>
      <w:rFonts w:ascii="黑体" w:eastAsia="黑体"/>
      <w:b/>
      <w:sz w:val="24"/>
      <w:szCs w:val="26"/>
    </w:rPr>
  </w:style>
  <w:style w:type="paragraph" w:customStyle="1" w:styleId="704">
    <w:name w:val="表16.1"/>
    <w:basedOn w:val="1"/>
    <w:link w:val="703"/>
    <w:qFormat/>
    <w:uiPriority w:val="0"/>
    <w:pPr>
      <w:tabs>
        <w:tab w:val="left" w:pos="1080"/>
        <w:tab w:val="center" w:pos="4060"/>
        <w:tab w:val="right" w:pos="8261"/>
      </w:tabs>
      <w:suppressAutoHyphens/>
      <w:adjustRightInd w:val="0"/>
      <w:spacing w:before="240" w:line="0" w:lineRule="atLeast"/>
      <w:ind w:left="420" w:hanging="420"/>
    </w:pPr>
    <w:rPr>
      <w:rFonts w:ascii="黑体" w:eastAsia="黑体" w:hAnsiTheme="minorHAnsi" w:cstheme="minorBidi"/>
      <w:b/>
      <w:spacing w:val="0"/>
      <w:kern w:val="2"/>
      <w:sz w:val="24"/>
      <w:szCs w:val="26"/>
    </w:rPr>
  </w:style>
  <w:style w:type="character" w:customStyle="1" w:styleId="705">
    <w:name w:val="正文文字缩进 3 Char1"/>
    <w:qFormat/>
    <w:uiPriority w:val="0"/>
    <w:rPr>
      <w:rFonts w:ascii="Times New Roman" w:hAnsi="Times New Roman" w:eastAsia="宋体" w:cs="Times New Roman"/>
      <w:sz w:val="24"/>
      <w:szCs w:val="20"/>
    </w:rPr>
  </w:style>
  <w:style w:type="character" w:customStyle="1" w:styleId="706">
    <w:name w:val="样式 样式2 + (符号) 宋体1 Char"/>
    <w:qFormat/>
    <w:uiPriority w:val="0"/>
    <w:rPr>
      <w:rFonts w:hint="eastAsia" w:ascii="宋体" w:hAnsi="宋体" w:eastAsia="宋体"/>
      <w:kern w:val="2"/>
      <w:sz w:val="28"/>
      <w:szCs w:val="28"/>
      <w:lang w:val="en-US" w:eastAsia="zh-CN" w:bidi="ar-SA"/>
    </w:rPr>
  </w:style>
  <w:style w:type="character" w:customStyle="1" w:styleId="707">
    <w:name w:val="postbody"/>
    <w:qFormat/>
    <w:uiPriority w:val="0"/>
  </w:style>
  <w:style w:type="character" w:customStyle="1" w:styleId="708">
    <w:name w:val="正文内容 Char Char Char"/>
    <w:link w:val="709"/>
    <w:qFormat/>
    <w:uiPriority w:val="0"/>
    <w:rPr>
      <w:rFonts w:ascii="宋体" w:hAnsi="宋体" w:eastAsia="宋体" w:cs="宋体"/>
      <w:sz w:val="24"/>
      <w:szCs w:val="24"/>
    </w:rPr>
  </w:style>
  <w:style w:type="paragraph" w:customStyle="1" w:styleId="709">
    <w:name w:val="正文内容"/>
    <w:basedOn w:val="1"/>
    <w:next w:val="1"/>
    <w:link w:val="708"/>
    <w:qFormat/>
    <w:uiPriority w:val="0"/>
    <w:pPr>
      <w:snapToGrid w:val="0"/>
      <w:spacing w:beforeLines="25" w:afterLines="25" w:line="440" w:lineRule="exact"/>
      <w:ind w:firstLine="200" w:firstLineChars="200"/>
    </w:pPr>
    <w:rPr>
      <w:rFonts w:ascii="宋体" w:hAnsi="宋体" w:cs="宋体"/>
      <w:spacing w:val="0"/>
      <w:kern w:val="2"/>
      <w:sz w:val="24"/>
      <w:szCs w:val="24"/>
    </w:rPr>
  </w:style>
  <w:style w:type="character" w:customStyle="1" w:styleId="710">
    <w:name w:val="ca-131"/>
    <w:qFormat/>
    <w:uiPriority w:val="0"/>
    <w:rPr>
      <w:rFonts w:hint="default" w:ascii="Times New Roman" w:hAnsi="Times New Roman" w:cs="Times New Roman"/>
      <w:sz w:val="24"/>
      <w:szCs w:val="24"/>
    </w:rPr>
  </w:style>
  <w:style w:type="character" w:customStyle="1" w:styleId="711">
    <w:name w:val="Char Char13"/>
    <w:qFormat/>
    <w:uiPriority w:val="0"/>
    <w:rPr>
      <w:rFonts w:ascii="Calibri" w:hAnsi="Calibri" w:eastAsia="宋体"/>
      <w:kern w:val="2"/>
      <w:sz w:val="21"/>
      <w:szCs w:val="24"/>
      <w:lang w:val="en-US" w:eastAsia="zh-CN" w:bidi="ar-SA"/>
    </w:rPr>
  </w:style>
  <w:style w:type="character" w:customStyle="1" w:styleId="712">
    <w:name w:val="11p"/>
    <w:qFormat/>
    <w:uiPriority w:val="0"/>
  </w:style>
  <w:style w:type="character" w:customStyle="1" w:styleId="713">
    <w:name w:val="hb4 Char Char"/>
    <w:qFormat/>
    <w:uiPriority w:val="0"/>
    <w:rPr>
      <w:rFonts w:ascii="Arial Narrow" w:hAnsi="Arial Narrow" w:eastAsia="汉鼎简书宋"/>
      <w:b/>
      <w:color w:val="FF0000"/>
      <w:sz w:val="24"/>
      <w:lang w:val="en-US" w:eastAsia="zh-CN" w:bidi="ar-SA"/>
    </w:rPr>
  </w:style>
  <w:style w:type="character" w:customStyle="1" w:styleId="714">
    <w:name w:val="1正文段落 Char Char Char"/>
    <w:qFormat/>
    <w:uiPriority w:val="0"/>
    <w:rPr>
      <w:rFonts w:eastAsia="宋体"/>
      <w:snapToGrid w:val="0"/>
      <w:sz w:val="24"/>
      <w:szCs w:val="24"/>
      <w:lang w:val="en-US" w:eastAsia="zh-CN" w:bidi="ar-SA"/>
    </w:rPr>
  </w:style>
  <w:style w:type="character" w:customStyle="1" w:styleId="715">
    <w:name w:val="33333333333333333333 Char Char"/>
    <w:link w:val="716"/>
    <w:qFormat/>
    <w:uiPriority w:val="0"/>
    <w:rPr>
      <w:rFonts w:eastAsia="宋体"/>
      <w:szCs w:val="21"/>
    </w:rPr>
  </w:style>
  <w:style w:type="paragraph" w:customStyle="1" w:styleId="716">
    <w:name w:val="33333333333333333333"/>
    <w:basedOn w:val="1"/>
    <w:link w:val="715"/>
    <w:qFormat/>
    <w:uiPriority w:val="0"/>
    <w:pPr>
      <w:adjustRightInd w:val="0"/>
      <w:jc w:val="center"/>
      <w:textAlignment w:val="baseline"/>
    </w:pPr>
    <w:rPr>
      <w:rFonts w:asciiTheme="minorHAnsi" w:hAnsiTheme="minorHAnsi" w:cstheme="minorBidi"/>
      <w:spacing w:val="0"/>
      <w:kern w:val="2"/>
      <w:sz w:val="21"/>
      <w:szCs w:val="21"/>
      <w:shd w:val="clear" w:color="auto" w:fill="FFFFFF"/>
    </w:rPr>
  </w:style>
  <w:style w:type="character" w:customStyle="1" w:styleId="717">
    <w:name w:val="样式 样式 z + Times New Roman + (西文) Times New Roman Char Char"/>
    <w:link w:val="718"/>
    <w:qFormat/>
    <w:uiPriority w:val="0"/>
    <w:rPr>
      <w:position w:val="2"/>
      <w:sz w:val="24"/>
      <w:szCs w:val="24"/>
    </w:rPr>
  </w:style>
  <w:style w:type="paragraph" w:customStyle="1" w:styleId="718">
    <w:name w:val="样式 样式 z + Times New Roman + (西文) Times New Roman"/>
    <w:basedOn w:val="1"/>
    <w:link w:val="717"/>
    <w:qFormat/>
    <w:uiPriority w:val="0"/>
    <w:pPr>
      <w:adjustRightInd w:val="0"/>
      <w:snapToGrid w:val="0"/>
      <w:spacing w:line="480" w:lineRule="exact"/>
      <w:ind w:firstLine="459" w:firstLineChars="200"/>
    </w:pPr>
    <w:rPr>
      <w:rFonts w:asciiTheme="minorHAnsi" w:hAnsiTheme="minorHAnsi" w:eastAsiaTheme="minorEastAsia" w:cstheme="minorBidi"/>
      <w:spacing w:val="0"/>
      <w:kern w:val="2"/>
      <w:position w:val="2"/>
      <w:sz w:val="24"/>
      <w:szCs w:val="24"/>
    </w:rPr>
  </w:style>
  <w:style w:type="character" w:customStyle="1" w:styleId="719">
    <w:name w:val="edit1"/>
    <w:qFormat/>
    <w:uiPriority w:val="0"/>
    <w:rPr>
      <w:spacing w:val="60"/>
    </w:rPr>
  </w:style>
  <w:style w:type="character" w:customStyle="1" w:styleId="720">
    <w:name w:val="标题 7 Char1"/>
    <w:qFormat/>
    <w:uiPriority w:val="0"/>
    <w:rPr>
      <w:rFonts w:ascii="Times New Roman" w:hAnsi="Times New Roman" w:eastAsia="宋体" w:cs="Times New Roman"/>
      <w:b/>
      <w:bCs/>
      <w:sz w:val="24"/>
      <w:szCs w:val="24"/>
    </w:rPr>
  </w:style>
  <w:style w:type="character" w:customStyle="1" w:styleId="721">
    <w:name w:val="Char Char223"/>
    <w:qFormat/>
    <w:uiPriority w:val="0"/>
    <w:rPr>
      <w:rFonts w:ascii="Times New Roman" w:hAnsi="Times New Roman" w:eastAsia="宋体" w:cs="Times New Roman"/>
      <w:szCs w:val="24"/>
      <w:shd w:val="clear" w:color="auto" w:fill="000080"/>
    </w:rPr>
  </w:style>
  <w:style w:type="character" w:customStyle="1" w:styleId="722">
    <w:name w:val="批注引用14"/>
    <w:qFormat/>
    <w:uiPriority w:val="0"/>
    <w:rPr>
      <w:sz w:val="21"/>
      <w:szCs w:val="21"/>
    </w:rPr>
  </w:style>
  <w:style w:type="character" w:customStyle="1" w:styleId="723">
    <w:name w:val="样式15 Char Char"/>
    <w:link w:val="724"/>
    <w:qFormat/>
    <w:uiPriority w:val="0"/>
    <w:rPr>
      <w:rFonts w:ascii="方正大标宋简体" w:hAnsi="宋体" w:eastAsia="方正大标宋简体" w:cs="宋体"/>
      <w:color w:val="0000FF"/>
      <w:sz w:val="24"/>
      <w:szCs w:val="24"/>
    </w:rPr>
  </w:style>
  <w:style w:type="paragraph" w:customStyle="1" w:styleId="724">
    <w:name w:val="样式15"/>
    <w:basedOn w:val="35"/>
    <w:link w:val="723"/>
    <w:qFormat/>
    <w:uiPriority w:val="0"/>
    <w:pPr>
      <w:adjustRightInd w:val="0"/>
      <w:snapToGrid w:val="0"/>
      <w:spacing w:after="0"/>
      <w:ind w:left="0" w:leftChars="0"/>
    </w:pPr>
    <w:rPr>
      <w:rFonts w:ascii="方正大标宋简体" w:hAnsi="宋体" w:eastAsia="方正大标宋简体" w:cs="宋体"/>
      <w:color w:val="0000FF"/>
      <w:kern w:val="2"/>
      <w:sz w:val="24"/>
    </w:rPr>
  </w:style>
  <w:style w:type="character" w:customStyle="1" w:styleId="725">
    <w:name w:val="l171"/>
    <w:basedOn w:val="90"/>
    <w:qFormat/>
    <w:uiPriority w:val="0"/>
  </w:style>
  <w:style w:type="character" w:customStyle="1" w:styleId="726">
    <w:name w:val="正文样式1 Char Char"/>
    <w:qFormat/>
    <w:uiPriority w:val="0"/>
    <w:rPr>
      <w:rFonts w:ascii="宋体" w:hAnsi="Courier New" w:eastAsia="宋体" w:cs="Courier New"/>
      <w:sz w:val="24"/>
      <w:szCs w:val="21"/>
      <w:lang w:val="en-US" w:eastAsia="zh-CN" w:bidi="ar-SA"/>
    </w:rPr>
  </w:style>
  <w:style w:type="character" w:customStyle="1" w:styleId="727">
    <w:name w:val="副标题 Char2"/>
    <w:qFormat/>
    <w:uiPriority w:val="0"/>
    <w:rPr>
      <w:rFonts w:ascii="Cambria" w:hAnsi="Cambria" w:eastAsia="宋体" w:cs="Times New Roman"/>
      <w:b/>
      <w:bCs/>
      <w:kern w:val="28"/>
      <w:sz w:val="32"/>
      <w:szCs w:val="32"/>
    </w:rPr>
  </w:style>
  <w:style w:type="character" w:customStyle="1" w:styleId="728">
    <w:name w:val="表格正文 Char Char Char"/>
    <w:qFormat/>
    <w:uiPriority w:val="0"/>
    <w:rPr>
      <w:rFonts w:eastAsia="宋体"/>
      <w:kern w:val="2"/>
      <w:sz w:val="21"/>
      <w:szCs w:val="24"/>
      <w:lang w:val="en-US" w:eastAsia="zh-CN" w:bidi="ar-SA"/>
    </w:rPr>
  </w:style>
  <w:style w:type="character" w:customStyle="1" w:styleId="729">
    <w:name w:val="Char Char33"/>
    <w:qFormat/>
    <w:uiPriority w:val="0"/>
    <w:rPr>
      <w:rFonts w:ascii="Courier New" w:hAnsi="Courier New" w:eastAsia="宋体" w:cs="Courier New"/>
      <w:kern w:val="2"/>
      <w:sz w:val="24"/>
      <w:szCs w:val="24"/>
      <w:lang w:val="en-US" w:eastAsia="zh-CN" w:bidi="ar-SA"/>
    </w:rPr>
  </w:style>
  <w:style w:type="character" w:customStyle="1" w:styleId="730">
    <w:name w:val="表格正文 Char Char"/>
    <w:link w:val="731"/>
    <w:qFormat/>
    <w:uiPriority w:val="0"/>
  </w:style>
  <w:style w:type="paragraph" w:customStyle="1" w:styleId="731">
    <w:name w:val="表格正文"/>
    <w:link w:val="730"/>
    <w:qFormat/>
    <w:uiPriority w:val="0"/>
    <w:pPr>
      <w:tabs>
        <w:tab w:val="left" w:pos="324"/>
      </w:tabs>
      <w:spacing w:before="60" w:after="60" w:line="440" w:lineRule="exact"/>
      <w:jc w:val="center"/>
    </w:pPr>
    <w:rPr>
      <w:rFonts w:asciiTheme="minorHAnsi" w:hAnsiTheme="minorHAnsi" w:eastAsiaTheme="minorEastAsia" w:cstheme="minorBidi"/>
      <w:kern w:val="2"/>
      <w:sz w:val="21"/>
      <w:szCs w:val="22"/>
      <w:lang w:val="en-US" w:eastAsia="zh-CN" w:bidi="ar-SA"/>
    </w:rPr>
  </w:style>
  <w:style w:type="character" w:customStyle="1" w:styleId="732">
    <w:name w:val="style61"/>
    <w:qFormat/>
    <w:uiPriority w:val="0"/>
    <w:rPr>
      <w:sz w:val="21"/>
      <w:szCs w:val="21"/>
    </w:rPr>
  </w:style>
  <w:style w:type="character" w:customStyle="1" w:styleId="733">
    <w:name w:val="11p1"/>
    <w:qFormat/>
    <w:uiPriority w:val="0"/>
    <w:rPr>
      <w:sz w:val="19"/>
      <w:szCs w:val="19"/>
    </w:rPr>
  </w:style>
  <w:style w:type="character" w:customStyle="1" w:styleId="734">
    <w:name w:val="5 Char Char"/>
    <w:link w:val="735"/>
    <w:qFormat/>
    <w:uiPriority w:val="0"/>
    <w:rPr>
      <w:rFonts w:ascii="Arial" w:hAnsi="Arial" w:eastAsia="仿宋_GB2312"/>
      <w:sz w:val="28"/>
    </w:rPr>
  </w:style>
  <w:style w:type="paragraph" w:customStyle="1" w:styleId="735">
    <w:name w:val="5"/>
    <w:basedOn w:val="1"/>
    <w:next w:val="35"/>
    <w:link w:val="734"/>
    <w:qFormat/>
    <w:uiPriority w:val="0"/>
    <w:pPr>
      <w:overflowPunct w:val="0"/>
      <w:snapToGrid w:val="0"/>
      <w:spacing w:line="480" w:lineRule="exact"/>
      <w:ind w:firstLine="560" w:firstLineChars="200"/>
    </w:pPr>
    <w:rPr>
      <w:rFonts w:ascii="Arial" w:hAnsi="Arial" w:eastAsia="仿宋_GB2312" w:cstheme="minorBidi"/>
      <w:spacing w:val="0"/>
      <w:kern w:val="2"/>
      <w:sz w:val="28"/>
      <w:szCs w:val="22"/>
    </w:rPr>
  </w:style>
  <w:style w:type="character" w:customStyle="1" w:styleId="736">
    <w:name w:val="tpc_content1"/>
    <w:qFormat/>
    <w:uiPriority w:val="0"/>
    <w:rPr>
      <w:sz w:val="21"/>
      <w:szCs w:val="21"/>
    </w:rPr>
  </w:style>
  <w:style w:type="character" w:customStyle="1" w:styleId="737">
    <w:name w:val="正文缩进 Char11"/>
    <w:qFormat/>
    <w:uiPriority w:val="0"/>
    <w:rPr>
      <w:rFonts w:ascii="宋体" w:hAnsi="宋体" w:eastAsia="宋体"/>
      <w:b/>
      <w:color w:val="0000FF"/>
      <w:sz w:val="24"/>
      <w:szCs w:val="24"/>
      <w:lang w:val="en-US" w:eastAsia="zh-CN" w:bidi="ar-SA"/>
    </w:rPr>
  </w:style>
  <w:style w:type="character" w:customStyle="1" w:styleId="738">
    <w:name w:val="正文001 Char"/>
    <w:qFormat/>
    <w:locked/>
    <w:uiPriority w:val="0"/>
    <w:rPr>
      <w:rFonts w:ascii="Arial" w:hAnsi="Arial" w:cs="Arial"/>
      <w:color w:val="000000"/>
      <w:kern w:val="2"/>
      <w:sz w:val="24"/>
    </w:rPr>
  </w:style>
  <w:style w:type="character" w:customStyle="1" w:styleId="739">
    <w:name w:val="表3.8-1 Char Char"/>
    <w:link w:val="740"/>
    <w:qFormat/>
    <w:uiPriority w:val="0"/>
    <w:rPr>
      <w:rFonts w:ascii="黑体" w:eastAsia="黑体"/>
      <w:b/>
      <w:bCs/>
      <w:spacing w:val="6"/>
      <w:sz w:val="24"/>
      <w:szCs w:val="24"/>
    </w:rPr>
  </w:style>
  <w:style w:type="paragraph" w:customStyle="1" w:styleId="740">
    <w:name w:val="表3.8-1"/>
    <w:link w:val="739"/>
    <w:qFormat/>
    <w:uiPriority w:val="0"/>
    <w:pPr>
      <w:tabs>
        <w:tab w:val="left" w:pos="360"/>
        <w:tab w:val="left" w:pos="1069"/>
        <w:tab w:val="center" w:pos="4060"/>
        <w:tab w:val="right" w:pos="8261"/>
      </w:tabs>
      <w:ind w:left="420" w:hanging="420"/>
    </w:pPr>
    <w:rPr>
      <w:rFonts w:ascii="黑体" w:eastAsia="黑体" w:hAnsiTheme="minorHAnsi" w:cstheme="minorBidi"/>
      <w:b/>
      <w:bCs/>
      <w:spacing w:val="6"/>
      <w:kern w:val="2"/>
      <w:sz w:val="24"/>
      <w:szCs w:val="24"/>
      <w:lang w:val="en-US" w:eastAsia="zh-CN" w:bidi="ar-SA"/>
    </w:rPr>
  </w:style>
  <w:style w:type="character" w:customStyle="1" w:styleId="741">
    <w:name w:val="Char Char18"/>
    <w:qFormat/>
    <w:uiPriority w:val="0"/>
    <w:rPr>
      <w:rFonts w:ascii="Arial" w:hAnsi="Arial" w:eastAsia="黑体"/>
      <w:kern w:val="2"/>
      <w:sz w:val="24"/>
      <w:szCs w:val="24"/>
      <w:lang w:val="en-US" w:eastAsia="zh-CN" w:bidi="ar-SA"/>
    </w:rPr>
  </w:style>
  <w:style w:type="character" w:customStyle="1" w:styleId="742">
    <w:name w:val="标准文本 首行缩进:2 字符 行距1倍 Char Char Char Char Char"/>
    <w:link w:val="743"/>
    <w:qFormat/>
    <w:uiPriority w:val="0"/>
    <w:rPr>
      <w:rFonts w:ascii="黑体" w:eastAsia="黑体"/>
      <w:sz w:val="28"/>
    </w:rPr>
  </w:style>
  <w:style w:type="paragraph" w:customStyle="1" w:styleId="743">
    <w:name w:val="标准文本 首行缩进:2 字符 行距1倍 Char Char"/>
    <w:basedOn w:val="1"/>
    <w:link w:val="742"/>
    <w:qFormat/>
    <w:uiPriority w:val="0"/>
    <w:pPr>
      <w:adjustRightInd w:val="0"/>
      <w:snapToGrid w:val="0"/>
      <w:spacing w:line="480" w:lineRule="exact"/>
      <w:ind w:firstLine="200" w:firstLineChars="200"/>
      <w:textAlignment w:val="center"/>
    </w:pPr>
    <w:rPr>
      <w:rFonts w:ascii="黑体" w:eastAsia="黑体" w:hAnsiTheme="minorHAnsi" w:cstheme="minorBidi"/>
      <w:spacing w:val="0"/>
      <w:kern w:val="2"/>
      <w:sz w:val="28"/>
      <w:szCs w:val="22"/>
    </w:rPr>
  </w:style>
  <w:style w:type="character" w:customStyle="1" w:styleId="744">
    <w:name w:val="Char Char1211"/>
    <w:qFormat/>
    <w:uiPriority w:val="0"/>
    <w:rPr>
      <w:rFonts w:eastAsia="宋体"/>
      <w:color w:val="000000"/>
      <w:kern w:val="2"/>
      <w:position w:val="4"/>
      <w:sz w:val="24"/>
      <w:szCs w:val="24"/>
      <w:lang w:val="en-US" w:eastAsia="zh-CN" w:bidi="ar-SA"/>
    </w:rPr>
  </w:style>
  <w:style w:type="character" w:customStyle="1" w:styleId="745">
    <w:name w:val="style31"/>
    <w:qFormat/>
    <w:uiPriority w:val="0"/>
    <w:rPr>
      <w:color w:val="FF0000"/>
    </w:rPr>
  </w:style>
  <w:style w:type="character" w:customStyle="1" w:styleId="746">
    <w:name w:val="样式 标题 3 + (符号) 宋体 Char"/>
    <w:qFormat/>
    <w:locked/>
    <w:uiPriority w:val="0"/>
    <w:rPr>
      <w:b/>
      <w:bCs/>
      <w:kern w:val="2"/>
      <w:sz w:val="24"/>
      <w:szCs w:val="32"/>
    </w:rPr>
  </w:style>
  <w:style w:type="character" w:customStyle="1" w:styleId="747">
    <w:name w:val="样式 标题 21.1标题 21.1标题2标题 2 Char1节_Heading 2标2二级标题1.1标题一...1 Char Char"/>
    <w:link w:val="748"/>
    <w:qFormat/>
    <w:uiPriority w:val="0"/>
    <w:rPr>
      <w:rFonts w:ascii="Arial" w:hAnsi="Arial" w:eastAsia="黑体"/>
      <w:b/>
      <w:bCs/>
      <w:color w:val="000000"/>
      <w:sz w:val="24"/>
      <w:szCs w:val="24"/>
    </w:rPr>
  </w:style>
  <w:style w:type="paragraph" w:customStyle="1" w:styleId="748">
    <w:name w:val="样式 标题 21.1标题 21.1标题2标题 2 Char1节_Heading 2标2二级标题1.1标题一...1"/>
    <w:basedOn w:val="4"/>
    <w:link w:val="747"/>
    <w:qFormat/>
    <w:uiPriority w:val="0"/>
    <w:pPr>
      <w:tabs>
        <w:tab w:val="left" w:pos="654"/>
        <w:tab w:val="clear" w:pos="1427"/>
      </w:tabs>
      <w:adjustRightInd/>
      <w:spacing w:beforeLines="0" w:afterLines="0" w:line="312" w:lineRule="auto"/>
      <w:ind w:left="141" w:hanging="567"/>
      <w:jc w:val="both"/>
      <w:textAlignment w:val="auto"/>
    </w:pPr>
    <w:rPr>
      <w:rFonts w:ascii="Arial" w:hAnsi="Arial" w:eastAsia="黑体" w:cstheme="minorBidi"/>
      <w:bCs/>
      <w:color w:val="000000"/>
      <w:spacing w:val="0"/>
      <w:kern w:val="2"/>
      <w:sz w:val="24"/>
      <w:szCs w:val="24"/>
    </w:rPr>
  </w:style>
  <w:style w:type="character" w:customStyle="1" w:styleId="749">
    <w:name w:val="样式 样式 四号2 + 橙色"/>
    <w:qFormat/>
    <w:uiPriority w:val="0"/>
    <w:rPr>
      <w:color w:val="FF6600"/>
      <w:kern w:val="0"/>
      <w:sz w:val="24"/>
    </w:rPr>
  </w:style>
  <w:style w:type="character" w:customStyle="1" w:styleId="750">
    <w:name w:val="百大正文 Char Char"/>
    <w:link w:val="751"/>
    <w:qFormat/>
    <w:uiPriority w:val="0"/>
    <w:rPr>
      <w:rFonts w:ascii="宋体" w:hAnsi="宋体" w:eastAsia="宋体"/>
      <w:sz w:val="28"/>
    </w:rPr>
  </w:style>
  <w:style w:type="paragraph" w:customStyle="1" w:styleId="751">
    <w:name w:val="百大正文"/>
    <w:basedOn w:val="1"/>
    <w:link w:val="750"/>
    <w:qFormat/>
    <w:uiPriority w:val="0"/>
    <w:pPr>
      <w:spacing w:line="560" w:lineRule="exact"/>
      <w:ind w:firstLine="560" w:firstLineChars="200"/>
    </w:pPr>
    <w:rPr>
      <w:rFonts w:ascii="宋体" w:hAnsi="宋体" w:cstheme="minorBidi"/>
      <w:spacing w:val="0"/>
      <w:kern w:val="2"/>
      <w:sz w:val="28"/>
      <w:szCs w:val="22"/>
    </w:rPr>
  </w:style>
  <w:style w:type="character" w:customStyle="1" w:styleId="752">
    <w:name w:val="表内5 Char4"/>
    <w:qFormat/>
    <w:uiPriority w:val="0"/>
    <w:rPr>
      <w:rFonts w:ascii="宋体" w:eastAsia="宋体"/>
      <w:kern w:val="2"/>
      <w:sz w:val="21"/>
      <w:lang w:val="en-US" w:eastAsia="zh-CN" w:bidi="ar-SA"/>
    </w:rPr>
  </w:style>
  <w:style w:type="character" w:customStyle="1" w:styleId="753">
    <w:name w:val="表格文本 五号 居中 单倍行距 Char Char Char Char Char Char"/>
    <w:qFormat/>
    <w:uiPriority w:val="0"/>
    <w:rPr>
      <w:rFonts w:ascii="Times New Roman" w:hAnsi="Times New Roman" w:eastAsia="宋体" w:cs="Times New Roman"/>
      <w:sz w:val="18"/>
      <w:szCs w:val="18"/>
    </w:rPr>
  </w:style>
  <w:style w:type="character" w:customStyle="1" w:styleId="754">
    <w:name w:val="项标题(1) Char Char"/>
    <w:qFormat/>
    <w:uiPriority w:val="0"/>
    <w:rPr>
      <w:b/>
      <w:bCs/>
      <w:kern w:val="2"/>
      <w:sz w:val="24"/>
      <w:szCs w:val="24"/>
    </w:rPr>
  </w:style>
  <w:style w:type="character" w:customStyle="1" w:styleId="755">
    <w:name w:val="pt91"/>
    <w:qFormat/>
    <w:uiPriority w:val="0"/>
    <w:rPr>
      <w:color w:val="666666"/>
      <w:sz w:val="18"/>
      <w:szCs w:val="18"/>
      <w:u w:val="none"/>
    </w:rPr>
  </w:style>
  <w:style w:type="character" w:customStyle="1" w:styleId="756">
    <w:name w:val="批注框文本 Char2"/>
    <w:qFormat/>
    <w:uiPriority w:val="0"/>
    <w:rPr>
      <w:rFonts w:ascii="Times New Roman" w:hAnsi="Times New Roman" w:eastAsia="宋体" w:cs="Times New Roman"/>
      <w:sz w:val="18"/>
      <w:szCs w:val="18"/>
    </w:rPr>
  </w:style>
  <w:style w:type="character" w:customStyle="1" w:styleId="757">
    <w:name w:val="正文－1.2倍行距－段后6磅 Char Char"/>
    <w:link w:val="758"/>
    <w:qFormat/>
    <w:uiPriority w:val="0"/>
    <w:rPr>
      <w:rFonts w:ascii="Calibri" w:hAnsi="Calibri" w:eastAsia="宋体"/>
      <w:sz w:val="24"/>
    </w:rPr>
  </w:style>
  <w:style w:type="paragraph" w:customStyle="1" w:styleId="758">
    <w:name w:val="正文－1.2倍行距－段后6磅"/>
    <w:basedOn w:val="1"/>
    <w:link w:val="757"/>
    <w:qFormat/>
    <w:uiPriority w:val="0"/>
    <w:pPr>
      <w:spacing w:after="120" w:line="400" w:lineRule="exact"/>
      <w:ind w:firstLine="200" w:firstLineChars="200"/>
    </w:pPr>
    <w:rPr>
      <w:rFonts w:ascii="Calibri" w:hAnsi="Calibri" w:cstheme="minorBidi"/>
      <w:spacing w:val="0"/>
      <w:kern w:val="2"/>
      <w:sz w:val="24"/>
      <w:szCs w:val="22"/>
    </w:rPr>
  </w:style>
  <w:style w:type="character" w:customStyle="1" w:styleId="759">
    <w:name w:val="标准文本 首行缩进:2 字符 行距1倍 Char Char Char Char Char Char Char"/>
    <w:qFormat/>
    <w:uiPriority w:val="0"/>
    <w:rPr>
      <w:rFonts w:ascii="黑体" w:eastAsia="黑体"/>
      <w:kern w:val="2"/>
      <w:sz w:val="28"/>
      <w:lang w:val="en-US" w:eastAsia="zh-CN" w:bidi="ar-SA"/>
    </w:rPr>
  </w:style>
  <w:style w:type="character" w:customStyle="1" w:styleId="760">
    <w:name w:val="表、图名 Char"/>
    <w:qFormat/>
    <w:locked/>
    <w:uiPriority w:val="0"/>
    <w:rPr>
      <w:rFonts w:ascii="宋体" w:hAnsi="宋体"/>
      <w:b/>
      <w:sz w:val="24"/>
      <w:szCs w:val="24"/>
    </w:rPr>
  </w:style>
  <w:style w:type="character" w:customStyle="1" w:styleId="761">
    <w:name w:val="环正文 Char Char"/>
    <w:qFormat/>
    <w:uiPriority w:val="0"/>
    <w:rPr>
      <w:rFonts w:ascii="宋体" w:hAnsi="宋体" w:eastAsia="宋体" w:cs="宋体"/>
      <w:sz w:val="24"/>
      <w:szCs w:val="24"/>
      <w:lang w:val="en-US" w:eastAsia="zh-CN" w:bidi="ar-SA"/>
    </w:rPr>
  </w:style>
  <w:style w:type="character" w:customStyle="1" w:styleId="762">
    <w:name w:val="文本框五号1.5倍行距 Char Char"/>
    <w:qFormat/>
    <w:uiPriority w:val="0"/>
    <w:rPr>
      <w:rFonts w:hint="eastAsia" w:ascii="宋体" w:hAnsi="宋体" w:eastAsia="仿宋_GB2312" w:cs="Courier New"/>
      <w:kern w:val="2"/>
      <w:sz w:val="21"/>
      <w:szCs w:val="21"/>
      <w:lang w:val="en-US" w:eastAsia="zh-CN" w:bidi="ar-SA"/>
    </w:rPr>
  </w:style>
  <w:style w:type="character" w:customStyle="1" w:styleId="763">
    <w:name w:val="样式 MFS正文 Char Char Char + 宋体 Char Char Char"/>
    <w:qFormat/>
    <w:uiPriority w:val="0"/>
    <w:rPr>
      <w:rFonts w:ascii="宋体" w:hAnsi="宋体" w:eastAsia="楷体_GB2312"/>
      <w:kern w:val="2"/>
      <w:sz w:val="24"/>
      <w:lang w:val="en-US" w:eastAsia="zh-CN"/>
    </w:rPr>
  </w:style>
  <w:style w:type="character" w:customStyle="1" w:styleId="764">
    <w:name w:val="尾注文本 Char3"/>
    <w:qFormat/>
    <w:uiPriority w:val="0"/>
    <w:rPr>
      <w:rFonts w:ascii="Times New Roman" w:hAnsi="Times New Roman" w:eastAsia="宋体" w:cs="Times New Roman"/>
      <w:szCs w:val="24"/>
    </w:rPr>
  </w:style>
  <w:style w:type="character" w:customStyle="1" w:styleId="765">
    <w:name w:val="标题 2 Char Char"/>
    <w:qFormat/>
    <w:uiPriority w:val="0"/>
    <w:rPr>
      <w:rFonts w:ascii="Arial" w:hAnsi="Arial" w:eastAsia="黑体"/>
      <w:b/>
      <w:bCs/>
      <w:kern w:val="2"/>
      <w:sz w:val="32"/>
      <w:szCs w:val="32"/>
      <w:lang w:val="en-US" w:eastAsia="zh-CN" w:bidi="ar-SA"/>
    </w:rPr>
  </w:style>
  <w:style w:type="character" w:customStyle="1" w:styleId="766">
    <w:name w:val="zye"/>
    <w:qFormat/>
    <w:uiPriority w:val="0"/>
  </w:style>
  <w:style w:type="character" w:customStyle="1" w:styleId="767">
    <w:name w:val="Char Char1"/>
    <w:qFormat/>
    <w:uiPriority w:val="0"/>
    <w:rPr>
      <w:rFonts w:eastAsia="宋体"/>
      <w:bCs/>
      <w:spacing w:val="34"/>
      <w:kern w:val="2"/>
      <w:sz w:val="24"/>
      <w:szCs w:val="28"/>
      <w:lang w:val="en-US" w:eastAsia="zh-CN" w:bidi="ar-SA"/>
    </w:rPr>
  </w:style>
  <w:style w:type="character" w:customStyle="1" w:styleId="768">
    <w:name w:val="样式3 Char Char Char Char Char Char"/>
    <w:qFormat/>
    <w:uiPriority w:val="0"/>
    <w:rPr>
      <w:rFonts w:eastAsia="宋体"/>
      <w:kern w:val="2"/>
      <w:sz w:val="24"/>
      <w:szCs w:val="24"/>
      <w:lang w:val="en-US" w:eastAsia="zh-CN" w:bidi="ar-SA"/>
    </w:rPr>
  </w:style>
  <w:style w:type="character" w:customStyle="1" w:styleId="769">
    <w:name w:val="样式 黑体 小二 黑色"/>
    <w:qFormat/>
    <w:uiPriority w:val="0"/>
    <w:rPr>
      <w:rFonts w:ascii="黑体" w:hAnsi="黑体" w:eastAsia="黑体"/>
      <w:color w:val="000000"/>
      <w:sz w:val="36"/>
    </w:rPr>
  </w:style>
  <w:style w:type="character" w:customStyle="1" w:styleId="770">
    <w:name w:val="Char Char10"/>
    <w:qFormat/>
    <w:uiPriority w:val="0"/>
    <w:rPr>
      <w:rFonts w:eastAsia="宋体"/>
      <w:kern w:val="2"/>
      <w:sz w:val="24"/>
      <w:lang w:val="en-US" w:eastAsia="zh-CN" w:bidi="ar-SA"/>
    </w:rPr>
  </w:style>
  <w:style w:type="character" w:customStyle="1" w:styleId="771">
    <w:name w:val="f241"/>
    <w:qFormat/>
    <w:uiPriority w:val="0"/>
    <w:rPr>
      <w:rFonts w:eastAsia="宋体" w:cs="宋体"/>
      <w:sz w:val="36"/>
      <w:szCs w:val="36"/>
      <w:lang w:val="en-US" w:eastAsia="zh-CN" w:bidi="ar-SA"/>
    </w:rPr>
  </w:style>
  <w:style w:type="character" w:customStyle="1" w:styleId="772">
    <w:name w:val="标题 9 Char1"/>
    <w:qFormat/>
    <w:uiPriority w:val="0"/>
    <w:rPr>
      <w:rFonts w:ascii="Cambria" w:hAnsi="Cambria" w:eastAsia="宋体" w:cs="Times New Roman"/>
      <w:kern w:val="2"/>
      <w:sz w:val="21"/>
      <w:szCs w:val="21"/>
    </w:rPr>
  </w:style>
  <w:style w:type="character" w:customStyle="1" w:styleId="773">
    <w:name w:val="标准文本 居中 行距1.5倍 Char Char"/>
    <w:link w:val="774"/>
    <w:qFormat/>
    <w:uiPriority w:val="0"/>
    <w:rPr>
      <w:rFonts w:eastAsia="宋体"/>
      <w:sz w:val="24"/>
    </w:rPr>
  </w:style>
  <w:style w:type="paragraph" w:customStyle="1" w:styleId="774">
    <w:name w:val="标准文本 居中 行距1.5倍"/>
    <w:basedOn w:val="1"/>
    <w:link w:val="773"/>
    <w:qFormat/>
    <w:uiPriority w:val="0"/>
    <w:pPr>
      <w:spacing w:line="360" w:lineRule="auto"/>
      <w:jc w:val="center"/>
      <w:textAlignment w:val="center"/>
    </w:pPr>
    <w:rPr>
      <w:rFonts w:asciiTheme="minorHAnsi" w:hAnsiTheme="minorHAnsi" w:cstheme="minorBidi"/>
      <w:spacing w:val="0"/>
      <w:kern w:val="2"/>
      <w:sz w:val="24"/>
      <w:szCs w:val="22"/>
    </w:rPr>
  </w:style>
  <w:style w:type="character" w:customStyle="1" w:styleId="775">
    <w:name w:val="新正文 Char"/>
    <w:qFormat/>
    <w:locked/>
    <w:uiPriority w:val="0"/>
    <w:rPr>
      <w:rFonts w:ascii="仿宋_GB2312" w:eastAsia="仿宋_GB2312"/>
      <w:bCs/>
      <w:sz w:val="28"/>
    </w:rPr>
  </w:style>
  <w:style w:type="character" w:customStyle="1" w:styleId="776">
    <w:name w:val="标题4 Char6"/>
    <w:qFormat/>
    <w:uiPriority w:val="0"/>
    <w:rPr>
      <w:rFonts w:ascii="宋体" w:hAnsi="宋体" w:eastAsia="宋体"/>
      <w:bCs/>
      <w:kern w:val="2"/>
      <w:sz w:val="24"/>
      <w:szCs w:val="24"/>
      <w:lang w:val="en-US" w:eastAsia="zh-CN" w:bidi="ar-SA"/>
    </w:rPr>
  </w:style>
  <w:style w:type="character" w:customStyle="1" w:styleId="777">
    <w:name w:val="f11"/>
    <w:qFormat/>
    <w:uiPriority w:val="0"/>
    <w:rPr>
      <w:sz w:val="18"/>
      <w:szCs w:val="18"/>
    </w:rPr>
  </w:style>
  <w:style w:type="character" w:customStyle="1" w:styleId="778">
    <w:name w:val="正文文本 Char3"/>
    <w:qFormat/>
    <w:uiPriority w:val="99"/>
    <w:rPr>
      <w:rFonts w:ascii="Times New Roman" w:hAnsi="Times New Roman" w:eastAsia="宋体" w:cs="Times New Roman"/>
      <w:szCs w:val="24"/>
    </w:rPr>
  </w:style>
  <w:style w:type="character" w:customStyle="1" w:styleId="779">
    <w:name w:val="highlight1"/>
    <w:qFormat/>
    <w:uiPriority w:val="0"/>
    <w:rPr>
      <w:sz w:val="21"/>
    </w:rPr>
  </w:style>
  <w:style w:type="character" w:customStyle="1" w:styleId="780">
    <w:name w:val="段落1 Char Char"/>
    <w:link w:val="781"/>
    <w:qFormat/>
    <w:uiPriority w:val="0"/>
    <w:rPr>
      <w:rFonts w:eastAsia="宋体"/>
      <w:sz w:val="24"/>
      <w:szCs w:val="24"/>
    </w:rPr>
  </w:style>
  <w:style w:type="paragraph" w:customStyle="1" w:styleId="781">
    <w:name w:val="段落1"/>
    <w:basedOn w:val="1"/>
    <w:link w:val="780"/>
    <w:qFormat/>
    <w:uiPriority w:val="0"/>
    <w:pPr>
      <w:widowControl/>
      <w:tabs>
        <w:tab w:val="left" w:pos="180"/>
        <w:tab w:val="left" w:pos="3420"/>
        <w:tab w:val="left" w:pos="4140"/>
        <w:tab w:val="left" w:pos="5580"/>
      </w:tabs>
      <w:spacing w:line="360" w:lineRule="auto"/>
      <w:ind w:firstLine="475" w:firstLineChars="198"/>
    </w:pPr>
    <w:rPr>
      <w:rFonts w:asciiTheme="minorHAnsi" w:hAnsiTheme="minorHAnsi" w:cstheme="minorBidi"/>
      <w:spacing w:val="0"/>
      <w:kern w:val="2"/>
      <w:sz w:val="24"/>
      <w:szCs w:val="24"/>
    </w:rPr>
  </w:style>
  <w:style w:type="character" w:customStyle="1" w:styleId="782">
    <w:name w:val="text121"/>
    <w:qFormat/>
    <w:uiPriority w:val="0"/>
    <w:rPr>
      <w:color w:val="000000"/>
      <w:sz w:val="15"/>
      <w:szCs w:val="15"/>
      <w:u w:val="none"/>
    </w:rPr>
  </w:style>
  <w:style w:type="character" w:customStyle="1" w:styleId="783">
    <w:name w:val="Char Char162"/>
    <w:qFormat/>
    <w:uiPriority w:val="0"/>
    <w:rPr>
      <w:rFonts w:ascii="宋体" w:hAnsi="宋体" w:eastAsia="宋体" w:cs="宋体"/>
      <w:sz w:val="24"/>
      <w:szCs w:val="24"/>
      <w:lang w:val="en-US" w:eastAsia="zh-CN" w:bidi="ar-SA"/>
    </w:rPr>
  </w:style>
  <w:style w:type="character" w:customStyle="1" w:styleId="784">
    <w:name w:val="图题 Char Char"/>
    <w:link w:val="785"/>
    <w:qFormat/>
    <w:uiPriority w:val="0"/>
    <w:rPr>
      <w:rFonts w:ascii="方正大标宋简体" w:hAnsi="宋体" w:eastAsia="方正大标宋简体" w:cs="宋体"/>
      <w:b/>
      <w:sz w:val="24"/>
      <w:szCs w:val="24"/>
    </w:rPr>
  </w:style>
  <w:style w:type="paragraph" w:customStyle="1" w:styleId="785">
    <w:name w:val="图题"/>
    <w:basedOn w:val="21"/>
    <w:link w:val="784"/>
    <w:qFormat/>
    <w:uiPriority w:val="0"/>
    <w:pPr>
      <w:tabs>
        <w:tab w:val="left" w:pos="5837"/>
      </w:tabs>
      <w:adjustRightInd w:val="0"/>
      <w:snapToGrid w:val="0"/>
      <w:ind w:firstLine="0" w:firstLineChars="0"/>
      <w:jc w:val="center"/>
    </w:pPr>
    <w:rPr>
      <w:rFonts w:ascii="方正大标宋简体" w:hAnsi="宋体" w:eastAsia="方正大标宋简体" w:cs="宋体"/>
      <w:b/>
      <w:kern w:val="2"/>
      <w:szCs w:val="24"/>
    </w:rPr>
  </w:style>
  <w:style w:type="character" w:customStyle="1" w:styleId="786">
    <w:name w:val="text111"/>
    <w:qFormat/>
    <w:uiPriority w:val="0"/>
    <w:rPr>
      <w:rFonts w:hint="eastAsia" w:ascii="宋体" w:hAnsi="宋体" w:eastAsia="宋体"/>
      <w:color w:val="000000"/>
      <w:sz w:val="18"/>
      <w:szCs w:val="18"/>
    </w:rPr>
  </w:style>
  <w:style w:type="character" w:customStyle="1" w:styleId="787">
    <w:name w:val="zt1"/>
    <w:qFormat/>
    <w:uiPriority w:val="0"/>
  </w:style>
  <w:style w:type="character" w:customStyle="1" w:styleId="788">
    <w:name w:val="正文规定 Char Char Char Char"/>
    <w:link w:val="789"/>
    <w:qFormat/>
    <w:uiPriority w:val="0"/>
    <w:rPr>
      <w:rFonts w:ascii="宋体" w:hAnsi="宋体" w:eastAsia="宋体" w:cs="宋体"/>
      <w:b/>
      <w:sz w:val="24"/>
      <w:szCs w:val="24"/>
    </w:rPr>
  </w:style>
  <w:style w:type="paragraph" w:customStyle="1" w:styleId="789">
    <w:name w:val="正文规定 Char Char"/>
    <w:basedOn w:val="21"/>
    <w:link w:val="788"/>
    <w:qFormat/>
    <w:uiPriority w:val="0"/>
    <w:pPr>
      <w:spacing w:line="0" w:lineRule="atLeast"/>
      <w:ind w:firstLine="0" w:firstLineChars="0"/>
      <w:jc w:val="center"/>
    </w:pPr>
    <w:rPr>
      <w:rFonts w:ascii="宋体" w:hAnsi="宋体" w:cs="宋体"/>
      <w:b/>
      <w:kern w:val="2"/>
      <w:szCs w:val="24"/>
    </w:rPr>
  </w:style>
  <w:style w:type="character" w:customStyle="1" w:styleId="790">
    <w:name w:val="表序数 Char Char"/>
    <w:link w:val="791"/>
    <w:qFormat/>
    <w:uiPriority w:val="0"/>
    <w:rPr>
      <w:rFonts w:ascii="宋体"/>
      <w:color w:val="000000"/>
      <w:spacing w:val="-20"/>
      <w:sz w:val="24"/>
      <w:szCs w:val="21"/>
    </w:rPr>
  </w:style>
  <w:style w:type="paragraph" w:customStyle="1" w:styleId="791">
    <w:name w:val="表序数"/>
    <w:basedOn w:val="4"/>
    <w:link w:val="790"/>
    <w:qFormat/>
    <w:uiPriority w:val="0"/>
    <w:pPr>
      <w:keepNext w:val="0"/>
      <w:keepLines w:val="0"/>
      <w:tabs>
        <w:tab w:val="clear" w:pos="1427"/>
      </w:tabs>
      <w:adjustRightInd/>
      <w:spacing w:before="156" w:line="240" w:lineRule="auto"/>
      <w:jc w:val="center"/>
      <w:textAlignment w:val="auto"/>
      <w:outlineLvl w:val="9"/>
    </w:pPr>
    <w:rPr>
      <w:rFonts w:ascii="宋体" w:hAnsiTheme="minorHAnsi" w:eastAsiaTheme="minorEastAsia" w:cstheme="minorBidi"/>
      <w:b w:val="0"/>
      <w:color w:val="000000"/>
      <w:spacing w:val="-20"/>
      <w:kern w:val="2"/>
      <w:sz w:val="24"/>
      <w:szCs w:val="21"/>
    </w:rPr>
  </w:style>
  <w:style w:type="character" w:customStyle="1" w:styleId="792">
    <w:name w:val="样式 正文首行缩进 + Arial 四号 Char Char"/>
    <w:link w:val="793"/>
    <w:qFormat/>
    <w:uiPriority w:val="0"/>
    <w:rPr>
      <w:rFonts w:ascii="宋体" w:hAnsi="Arial"/>
      <w:sz w:val="28"/>
      <w:szCs w:val="24"/>
    </w:rPr>
  </w:style>
  <w:style w:type="paragraph" w:customStyle="1" w:styleId="793">
    <w:name w:val="样式 正文首行缩进 + Arial 四号"/>
    <w:basedOn w:val="87"/>
    <w:link w:val="792"/>
    <w:qFormat/>
    <w:uiPriority w:val="0"/>
    <w:rPr>
      <w:rFonts w:ascii="宋体" w:hAnsi="Arial" w:eastAsiaTheme="minorEastAsia" w:cstheme="minorBidi"/>
      <w:spacing w:val="0"/>
      <w:sz w:val="28"/>
    </w:rPr>
  </w:style>
  <w:style w:type="character" w:customStyle="1" w:styleId="794">
    <w:name w:val="zhengw1"/>
    <w:qFormat/>
    <w:uiPriority w:val="0"/>
    <w:rPr>
      <w:rFonts w:hint="default"/>
      <w:sz w:val="24"/>
      <w:szCs w:val="24"/>
    </w:rPr>
  </w:style>
  <w:style w:type="character" w:customStyle="1" w:styleId="795">
    <w:name w:val="未命名1"/>
    <w:basedOn w:val="90"/>
    <w:qFormat/>
    <w:uiPriority w:val="0"/>
  </w:style>
  <w:style w:type="character" w:customStyle="1" w:styleId="796">
    <w:name w:val="1正文段落 Char"/>
    <w:qFormat/>
    <w:locked/>
    <w:uiPriority w:val="0"/>
    <w:rPr>
      <w:snapToGrid w:val="0"/>
      <w:sz w:val="24"/>
      <w:szCs w:val="24"/>
    </w:rPr>
  </w:style>
  <w:style w:type="character" w:customStyle="1" w:styleId="797">
    <w:name w:val="HTML 变量1"/>
    <w:qFormat/>
    <w:uiPriority w:val="0"/>
    <w:rPr>
      <w:i/>
      <w:iCs/>
    </w:rPr>
  </w:style>
  <w:style w:type="character" w:customStyle="1" w:styleId="798">
    <w:name w:val="Char Char38"/>
    <w:qFormat/>
    <w:uiPriority w:val="0"/>
    <w:rPr>
      <w:rFonts w:eastAsia="宋体"/>
      <w:kern w:val="2"/>
      <w:sz w:val="21"/>
      <w:lang w:val="en-US" w:eastAsia="zh-CN" w:bidi="ar-SA"/>
    </w:rPr>
  </w:style>
  <w:style w:type="character" w:customStyle="1" w:styleId="799">
    <w:name w:val="16.9.3.1 Char Char"/>
    <w:link w:val="800"/>
    <w:qFormat/>
    <w:uiPriority w:val="0"/>
    <w:rPr>
      <w:rFonts w:ascii="Arial" w:hAnsi="Arial" w:eastAsia="黑体" w:cs="Times New Roman"/>
      <w:b/>
      <w:bCs/>
      <w:sz w:val="24"/>
      <w:szCs w:val="20"/>
    </w:rPr>
  </w:style>
  <w:style w:type="paragraph" w:customStyle="1" w:styleId="800">
    <w:name w:val="16.9.3.1"/>
    <w:basedOn w:val="801"/>
    <w:link w:val="799"/>
    <w:qFormat/>
    <w:uiPriority w:val="0"/>
    <w:pPr>
      <w:tabs>
        <w:tab w:val="left" w:pos="360"/>
        <w:tab w:val="left" w:pos="1680"/>
      </w:tabs>
    </w:pPr>
    <w:rPr>
      <w:kern w:val="2"/>
    </w:rPr>
  </w:style>
  <w:style w:type="paragraph" w:customStyle="1" w:styleId="801">
    <w:name w:val="16.9.1.1"/>
    <w:basedOn w:val="6"/>
    <w:link w:val="802"/>
    <w:qFormat/>
    <w:uiPriority w:val="0"/>
    <w:pPr>
      <w:keepNext w:val="0"/>
      <w:keepLines w:val="0"/>
      <w:tabs>
        <w:tab w:val="left" w:pos="360"/>
      </w:tabs>
      <w:spacing w:before="120" w:after="120" w:line="312" w:lineRule="auto"/>
    </w:pPr>
    <w:rPr>
      <w:sz w:val="24"/>
      <w:szCs w:val="20"/>
    </w:rPr>
  </w:style>
  <w:style w:type="character" w:customStyle="1" w:styleId="802">
    <w:name w:val="16.9.1.1 Char Char"/>
    <w:link w:val="801"/>
    <w:qFormat/>
    <w:uiPriority w:val="0"/>
    <w:rPr>
      <w:rFonts w:ascii="Arial" w:hAnsi="Arial" w:eastAsia="黑体" w:cs="Times New Roman"/>
      <w:b/>
      <w:bCs/>
      <w:kern w:val="0"/>
      <w:sz w:val="24"/>
      <w:szCs w:val="20"/>
    </w:rPr>
  </w:style>
  <w:style w:type="character" w:customStyle="1" w:styleId="803">
    <w:name w:val="infodetail1"/>
    <w:qFormat/>
    <w:uiPriority w:val="0"/>
    <w:rPr>
      <w:rFonts w:hint="default" w:ascii="ˎ̥" w:hAnsi="ˎ̥"/>
      <w:color w:val="000000"/>
      <w:sz w:val="18"/>
      <w:szCs w:val="18"/>
      <w:u w:val="none"/>
    </w:rPr>
  </w:style>
  <w:style w:type="character" w:customStyle="1" w:styleId="804">
    <w:name w:val="HTML 样本1"/>
    <w:qFormat/>
    <w:uiPriority w:val="0"/>
    <w:rPr>
      <w:rFonts w:ascii="Courier New" w:hAnsi="Courier New" w:cs="Courier New"/>
    </w:rPr>
  </w:style>
  <w:style w:type="character" w:customStyle="1" w:styleId="805">
    <w:name w:val="Normal Char Char Char"/>
    <w:qFormat/>
    <w:locked/>
    <w:uiPriority w:val="0"/>
    <w:rPr>
      <w:rFonts w:ascii="宋体" w:hAnsi="宋体" w:eastAsia="Times New Roman"/>
      <w:kern w:val="2"/>
      <w:sz w:val="24"/>
      <w:szCs w:val="24"/>
    </w:rPr>
  </w:style>
  <w:style w:type="character" w:customStyle="1" w:styleId="806">
    <w:name w:val="题注 Char Char Char Char Char Char"/>
    <w:qFormat/>
    <w:uiPriority w:val="0"/>
    <w:rPr>
      <w:rFonts w:ascii="Arial" w:hAnsi="Arial" w:eastAsia="黑体" w:cs="Arial"/>
      <w:kern w:val="2"/>
      <w:lang w:val="en-US" w:eastAsia="zh-CN" w:bidi="ar-SA"/>
    </w:rPr>
  </w:style>
  <w:style w:type="character" w:customStyle="1" w:styleId="807">
    <w:name w:val="表格内容 Char Char"/>
    <w:link w:val="808"/>
    <w:qFormat/>
    <w:uiPriority w:val="0"/>
    <w:rPr>
      <w:rFonts w:eastAsia="宋体"/>
      <w:sz w:val="18"/>
    </w:rPr>
  </w:style>
  <w:style w:type="paragraph" w:customStyle="1" w:styleId="808">
    <w:name w:val="表格内容"/>
    <w:basedOn w:val="1"/>
    <w:link w:val="807"/>
    <w:qFormat/>
    <w:uiPriority w:val="0"/>
    <w:pPr>
      <w:tabs>
        <w:tab w:val="left" w:pos="1535"/>
        <w:tab w:val="left" w:pos="3105"/>
        <w:tab w:val="left" w:pos="4676"/>
        <w:tab w:val="left" w:pos="6247"/>
        <w:tab w:val="left" w:pos="7740"/>
        <w:tab w:val="left" w:pos="9288"/>
      </w:tabs>
      <w:snapToGrid w:val="0"/>
      <w:ind w:left="-25" w:leftChars="-12"/>
      <w:textAlignment w:val="baseline"/>
    </w:pPr>
    <w:rPr>
      <w:rFonts w:asciiTheme="minorHAnsi" w:hAnsiTheme="minorHAnsi" w:cstheme="minorBidi"/>
      <w:spacing w:val="0"/>
      <w:kern w:val="2"/>
      <w:sz w:val="18"/>
      <w:szCs w:val="22"/>
    </w:rPr>
  </w:style>
  <w:style w:type="character" w:customStyle="1" w:styleId="809">
    <w:name w:val="样式 四号 Char Char"/>
    <w:qFormat/>
    <w:uiPriority w:val="0"/>
    <w:rPr>
      <w:rFonts w:eastAsia="宋体"/>
      <w:kern w:val="2"/>
      <w:sz w:val="28"/>
      <w:szCs w:val="28"/>
      <w:lang w:val="en-US" w:eastAsia="zh-CN"/>
    </w:rPr>
  </w:style>
  <w:style w:type="character" w:customStyle="1" w:styleId="810">
    <w:name w:val="行号12"/>
    <w:basedOn w:val="90"/>
    <w:qFormat/>
    <w:uiPriority w:val="0"/>
  </w:style>
  <w:style w:type="character" w:customStyle="1" w:styleId="811">
    <w:name w:val="content_size_13"/>
    <w:basedOn w:val="90"/>
    <w:qFormat/>
    <w:uiPriority w:val="0"/>
  </w:style>
  <w:style w:type="character" w:customStyle="1" w:styleId="812">
    <w:name w:val="Char Char Char Char Char Char Char Char Char Char Char Char Char Char Char Char Char Char Char Char Char"/>
    <w:qFormat/>
    <w:uiPriority w:val="0"/>
    <w:rPr>
      <w:rFonts w:hint="eastAsia" w:ascii="宋体" w:hAnsi="宋体" w:eastAsia="宋体"/>
      <w:kern w:val="2"/>
      <w:sz w:val="21"/>
      <w:szCs w:val="24"/>
      <w:lang w:val="en-US" w:eastAsia="zh-CN" w:bidi="ar-SA"/>
    </w:rPr>
  </w:style>
  <w:style w:type="character" w:customStyle="1" w:styleId="813">
    <w:name w:val="Char Char21"/>
    <w:qFormat/>
    <w:uiPriority w:val="0"/>
    <w:rPr>
      <w:rFonts w:eastAsia="宋体"/>
      <w:b/>
      <w:bCs/>
      <w:kern w:val="2"/>
      <w:sz w:val="28"/>
      <w:szCs w:val="28"/>
      <w:lang w:val="en-US" w:eastAsia="zh-CN" w:bidi="ar-SA"/>
    </w:rPr>
  </w:style>
  <w:style w:type="character" w:customStyle="1" w:styleId="814">
    <w:name w:val="Char5 Char Char2"/>
    <w:qFormat/>
    <w:uiPriority w:val="0"/>
    <w:rPr>
      <w:rFonts w:eastAsia="宋体"/>
      <w:kern w:val="2"/>
      <w:sz w:val="18"/>
      <w:lang w:val="en-US" w:eastAsia="zh-CN" w:bidi="ar-SA"/>
    </w:rPr>
  </w:style>
  <w:style w:type="character" w:customStyle="1" w:styleId="815">
    <w:name w:val="1级标题 Char Char"/>
    <w:link w:val="816"/>
    <w:qFormat/>
    <w:uiPriority w:val="0"/>
    <w:rPr>
      <w:rFonts w:ascii="黑体" w:eastAsia="黑体"/>
      <w:bCs/>
      <w:kern w:val="44"/>
      <w:sz w:val="30"/>
      <w:szCs w:val="30"/>
    </w:rPr>
  </w:style>
  <w:style w:type="paragraph" w:customStyle="1" w:styleId="816">
    <w:name w:val="1级标题"/>
    <w:basedOn w:val="3"/>
    <w:link w:val="815"/>
    <w:qFormat/>
    <w:uiPriority w:val="0"/>
    <w:pPr>
      <w:keepNext w:val="0"/>
      <w:keepLines w:val="0"/>
      <w:spacing w:before="0" w:after="0" w:line="360" w:lineRule="auto"/>
    </w:pPr>
    <w:rPr>
      <w:rFonts w:ascii="黑体" w:eastAsia="黑体" w:hAnsiTheme="minorHAnsi" w:cstheme="minorBidi"/>
      <w:b w:val="0"/>
      <w:sz w:val="30"/>
      <w:szCs w:val="30"/>
    </w:rPr>
  </w:style>
  <w:style w:type="character" w:customStyle="1" w:styleId="817">
    <w:name w:val="Char Char Char Char Char Char Char Char Char Char Char"/>
    <w:qFormat/>
    <w:locked/>
    <w:uiPriority w:val="0"/>
    <w:rPr>
      <w:kern w:val="2"/>
      <w:sz w:val="21"/>
      <w:szCs w:val="24"/>
    </w:rPr>
  </w:style>
  <w:style w:type="character" w:customStyle="1" w:styleId="818">
    <w:name w:val="标3 Char Char"/>
    <w:link w:val="819"/>
    <w:qFormat/>
    <w:uiPriority w:val="0"/>
    <w:rPr>
      <w:rFonts w:ascii="宋体" w:hAnsi="宋体"/>
      <w:bCs/>
      <w:sz w:val="28"/>
    </w:rPr>
  </w:style>
  <w:style w:type="paragraph" w:customStyle="1" w:styleId="819">
    <w:name w:val="标3"/>
    <w:basedOn w:val="4"/>
    <w:link w:val="818"/>
    <w:qFormat/>
    <w:uiPriority w:val="0"/>
    <w:pPr>
      <w:keepNext w:val="0"/>
      <w:keepLines w:val="0"/>
      <w:tabs>
        <w:tab w:val="left" w:pos="1200"/>
        <w:tab w:val="clear" w:pos="1427"/>
      </w:tabs>
      <w:adjustRightInd/>
      <w:spacing w:before="156" w:after="156"/>
      <w:ind w:left="568" w:hanging="284"/>
      <w:textAlignment w:val="auto"/>
      <w:outlineLvl w:val="2"/>
    </w:pPr>
    <w:rPr>
      <w:rFonts w:ascii="宋体" w:hAnsi="宋体" w:eastAsiaTheme="minorEastAsia" w:cstheme="minorBidi"/>
      <w:b w:val="0"/>
      <w:bCs/>
      <w:spacing w:val="0"/>
      <w:kern w:val="2"/>
      <w:szCs w:val="22"/>
    </w:rPr>
  </w:style>
  <w:style w:type="character" w:customStyle="1" w:styleId="820">
    <w:name w:val="表头王 Char"/>
    <w:qFormat/>
    <w:locked/>
    <w:uiPriority w:val="0"/>
    <w:rPr>
      <w:rFonts w:ascii="黑体" w:hAnsi="宋体" w:eastAsia="黑体"/>
      <w:b/>
      <w:color w:val="000000"/>
      <w:spacing w:val="10"/>
      <w:sz w:val="24"/>
      <w:szCs w:val="24"/>
    </w:rPr>
  </w:style>
  <w:style w:type="character" w:customStyle="1" w:styleId="821">
    <w:name w:val="viewinfo"/>
    <w:qFormat/>
    <w:uiPriority w:val="0"/>
    <w:rPr>
      <w:rFonts w:hint="default"/>
      <w:sz w:val="18"/>
      <w:szCs w:val="18"/>
      <w:u w:val="none"/>
    </w:rPr>
  </w:style>
  <w:style w:type="character" w:customStyle="1" w:styleId="822">
    <w:name w:val="样式 样式3 + (中文) 宋体 Char Char"/>
    <w:link w:val="823"/>
    <w:qFormat/>
    <w:uiPriority w:val="0"/>
    <w:rPr>
      <w:rFonts w:ascii="黑体" w:eastAsia="黑体"/>
      <w:color w:val="000000"/>
      <w:szCs w:val="21"/>
    </w:rPr>
  </w:style>
  <w:style w:type="paragraph" w:customStyle="1" w:styleId="823">
    <w:name w:val="样式 样式3 + (中文) 宋体"/>
    <w:link w:val="822"/>
    <w:qFormat/>
    <w:uiPriority w:val="0"/>
    <w:pPr>
      <w:outlineLvl w:val="2"/>
    </w:pPr>
    <w:rPr>
      <w:rFonts w:ascii="黑体" w:eastAsia="黑体" w:hAnsiTheme="minorHAnsi" w:cstheme="minorBidi"/>
      <w:color w:val="000000"/>
      <w:kern w:val="2"/>
      <w:sz w:val="21"/>
      <w:szCs w:val="21"/>
      <w:lang w:val="en-US" w:eastAsia="zh-CN" w:bidi="ar-SA"/>
    </w:rPr>
  </w:style>
  <w:style w:type="character" w:customStyle="1" w:styleId="824">
    <w:name w:val="headline-content2"/>
    <w:qFormat/>
    <w:uiPriority w:val="0"/>
    <w:rPr>
      <w:rFonts w:hint="default" w:ascii="Tahoma" w:hAnsi="Tahoma" w:cs="Tahoma"/>
      <w:sz w:val="24"/>
    </w:rPr>
  </w:style>
  <w:style w:type="character" w:customStyle="1" w:styleId="825">
    <w:name w:val="正文1 Char1"/>
    <w:qFormat/>
    <w:uiPriority w:val="0"/>
    <w:rPr>
      <w:rFonts w:ascii="Arial" w:hAnsi="Arial" w:eastAsia="仿宋_GB2312" w:cs="Arial"/>
      <w:bCs/>
      <w:kern w:val="0"/>
      <w:sz w:val="24"/>
      <w:szCs w:val="18"/>
    </w:rPr>
  </w:style>
  <w:style w:type="character" w:customStyle="1" w:styleId="826">
    <w:name w:val="章标题(无序号) Char Char3"/>
    <w:qFormat/>
    <w:uiPriority w:val="0"/>
    <w:rPr>
      <w:rFonts w:ascii="Arial" w:hAnsi="Arial" w:eastAsia="宋体" w:cs="Arial"/>
      <w:b/>
      <w:bCs/>
      <w:sz w:val="32"/>
      <w:szCs w:val="32"/>
    </w:rPr>
  </w:style>
  <w:style w:type="character" w:customStyle="1" w:styleId="827">
    <w:name w:val="正文（首行缩进） Char Char Char"/>
    <w:link w:val="828"/>
    <w:qFormat/>
    <w:uiPriority w:val="0"/>
    <w:rPr>
      <w:rFonts w:ascii="宋体" w:hAnsi="宋体" w:eastAsia="宋体"/>
      <w:snapToGrid w:val="0"/>
      <w:sz w:val="24"/>
      <w:szCs w:val="24"/>
    </w:rPr>
  </w:style>
  <w:style w:type="paragraph" w:customStyle="1" w:styleId="828">
    <w:name w:val="正文（首行缩进）"/>
    <w:basedOn w:val="1"/>
    <w:link w:val="827"/>
    <w:qFormat/>
    <w:uiPriority w:val="0"/>
    <w:pPr>
      <w:adjustRightInd w:val="0"/>
      <w:snapToGrid w:val="0"/>
      <w:spacing w:line="360" w:lineRule="auto"/>
      <w:ind w:firstLine="200" w:firstLineChars="200"/>
    </w:pPr>
    <w:rPr>
      <w:rFonts w:ascii="宋体" w:hAnsi="宋体" w:cstheme="minorBidi"/>
      <w:snapToGrid w:val="0"/>
      <w:spacing w:val="0"/>
      <w:kern w:val="2"/>
      <w:sz w:val="24"/>
      <w:szCs w:val="24"/>
    </w:rPr>
  </w:style>
  <w:style w:type="character" w:customStyle="1" w:styleId="829">
    <w:name w:val="标题4 Char2"/>
    <w:qFormat/>
    <w:uiPriority w:val="0"/>
    <w:rPr>
      <w:rFonts w:ascii="黑体" w:hAnsi="宋体" w:eastAsia="黑体" w:cs="宋体"/>
      <w:kern w:val="2"/>
      <w:sz w:val="24"/>
      <w:szCs w:val="24"/>
      <w:lang w:val="en-US" w:eastAsia="zh-CN" w:bidi="ar-SA"/>
    </w:rPr>
  </w:style>
  <w:style w:type="character" w:customStyle="1" w:styleId="830">
    <w:name w:val="样式 正文首行缩进 + 首行缩进:  2 字符1 Char Char"/>
    <w:link w:val="831"/>
    <w:qFormat/>
    <w:uiPriority w:val="0"/>
    <w:rPr>
      <w:rFonts w:ascii="宋体" w:hAnsi="宋体" w:eastAsia="宋体" w:cs="宋体"/>
      <w:sz w:val="28"/>
    </w:rPr>
  </w:style>
  <w:style w:type="paragraph" w:customStyle="1" w:styleId="831">
    <w:name w:val="样式 正文首行缩进 + 首行缩进:  2 字符1"/>
    <w:basedOn w:val="87"/>
    <w:link w:val="830"/>
    <w:qFormat/>
    <w:uiPriority w:val="0"/>
    <w:pPr>
      <w:keepNext/>
      <w:tabs>
        <w:tab w:val="left" w:pos="628"/>
        <w:tab w:val="left" w:pos="1727"/>
        <w:tab w:val="left" w:pos="1884"/>
        <w:tab w:val="left" w:pos="2660"/>
        <w:tab w:val="left" w:pos="5460"/>
      </w:tabs>
      <w:adjustRightInd w:val="0"/>
      <w:snapToGrid w:val="0"/>
      <w:spacing w:line="360" w:lineRule="auto"/>
      <w:ind w:firstLine="560" w:firstLineChars="200"/>
    </w:pPr>
    <w:rPr>
      <w:rFonts w:ascii="宋体" w:hAnsi="宋体" w:cs="宋体"/>
      <w:spacing w:val="0"/>
      <w:sz w:val="28"/>
      <w:szCs w:val="22"/>
    </w:rPr>
  </w:style>
  <w:style w:type="character" w:customStyle="1" w:styleId="832">
    <w:name w:val="s1052"/>
    <w:qFormat/>
    <w:uiPriority w:val="0"/>
  </w:style>
  <w:style w:type="character" w:customStyle="1" w:styleId="833">
    <w:name w:val="正文文本 Char2"/>
    <w:qFormat/>
    <w:uiPriority w:val="0"/>
    <w:rPr>
      <w:kern w:val="2"/>
      <w:sz w:val="21"/>
      <w:szCs w:val="22"/>
    </w:rPr>
  </w:style>
  <w:style w:type="character" w:customStyle="1" w:styleId="834">
    <w:name w:val="表 Char Char"/>
    <w:basedOn w:val="90"/>
    <w:qFormat/>
    <w:uiPriority w:val="0"/>
  </w:style>
  <w:style w:type="character" w:customStyle="1" w:styleId="835">
    <w:name w:val="样式30 Char Char"/>
    <w:link w:val="836"/>
    <w:qFormat/>
    <w:uiPriority w:val="0"/>
    <w:rPr>
      <w:rFonts w:ascii="黑体" w:eastAsia="黑体"/>
      <w:sz w:val="28"/>
      <w:szCs w:val="28"/>
    </w:rPr>
  </w:style>
  <w:style w:type="paragraph" w:customStyle="1" w:styleId="836">
    <w:name w:val="样式30"/>
    <w:basedOn w:val="1"/>
    <w:link w:val="835"/>
    <w:qFormat/>
    <w:uiPriority w:val="0"/>
    <w:pPr>
      <w:spacing w:line="360" w:lineRule="auto"/>
    </w:pPr>
    <w:rPr>
      <w:rFonts w:ascii="黑体" w:eastAsia="黑体" w:hAnsiTheme="minorHAnsi" w:cstheme="minorBidi"/>
      <w:spacing w:val="0"/>
      <w:kern w:val="2"/>
      <w:sz w:val="28"/>
      <w:szCs w:val="28"/>
    </w:rPr>
  </w:style>
  <w:style w:type="character" w:customStyle="1" w:styleId="837">
    <w:name w:val="style41"/>
    <w:qFormat/>
    <w:uiPriority w:val="0"/>
    <w:rPr>
      <w:sz w:val="21"/>
      <w:szCs w:val="21"/>
    </w:rPr>
  </w:style>
  <w:style w:type="character" w:customStyle="1" w:styleId="838">
    <w:name w:val="超链接13"/>
    <w:qFormat/>
    <w:uiPriority w:val="0"/>
    <w:rPr>
      <w:color w:val="999999"/>
      <w:u w:val="single"/>
    </w:rPr>
  </w:style>
  <w:style w:type="character" w:customStyle="1" w:styleId="839">
    <w:name w:val="Char Char Char1 Char Char Char1 Char Char Char Char Char Char Char Char Char Char Char Char1 Char Char Char Char Char Char Char Char1"/>
    <w:link w:val="840"/>
    <w:qFormat/>
    <w:uiPriority w:val="0"/>
    <w:rPr>
      <w:rFonts w:ascii="Arial" w:hAnsi="Arial"/>
      <w:b/>
      <w:sz w:val="24"/>
      <w:lang w:eastAsia="en-US"/>
    </w:rPr>
  </w:style>
  <w:style w:type="paragraph" w:customStyle="1" w:styleId="840">
    <w:name w:val="Char Char Char1 Char Char Char1 Char Char Char Char Char Char Char Char Char Char Char Char1 Char Char Char Char Char Char Char"/>
    <w:basedOn w:val="1"/>
    <w:link w:val="839"/>
    <w:qFormat/>
    <w:uiPriority w:val="0"/>
    <w:pPr>
      <w:widowControl/>
      <w:spacing w:after="160" w:line="240" w:lineRule="exact"/>
      <w:jc w:val="left"/>
    </w:pPr>
    <w:rPr>
      <w:rFonts w:ascii="Arial" w:hAnsi="Arial" w:eastAsiaTheme="minorEastAsia" w:cstheme="minorBidi"/>
      <w:b/>
      <w:spacing w:val="0"/>
      <w:kern w:val="2"/>
      <w:sz w:val="24"/>
      <w:szCs w:val="22"/>
      <w:lang w:eastAsia="en-US"/>
    </w:rPr>
  </w:style>
  <w:style w:type="character" w:customStyle="1" w:styleId="841">
    <w:name w:val="正文（WTX） Char Char"/>
    <w:link w:val="842"/>
    <w:qFormat/>
    <w:uiPriority w:val="0"/>
    <w:rPr>
      <w:rFonts w:ascii="宋体" w:hAnsi="宋体"/>
      <w:spacing w:val="-2"/>
      <w:sz w:val="24"/>
      <w:szCs w:val="24"/>
    </w:rPr>
  </w:style>
  <w:style w:type="paragraph" w:customStyle="1" w:styleId="842">
    <w:name w:val="正文（WTX）"/>
    <w:basedOn w:val="1"/>
    <w:link w:val="841"/>
    <w:qFormat/>
    <w:uiPriority w:val="0"/>
    <w:pPr>
      <w:adjustRightInd w:val="0"/>
      <w:snapToGrid w:val="0"/>
      <w:spacing w:line="360" w:lineRule="auto"/>
      <w:ind w:firstLine="472" w:firstLineChars="200"/>
    </w:pPr>
    <w:rPr>
      <w:rFonts w:ascii="宋体" w:hAnsi="宋体" w:eastAsiaTheme="minorEastAsia" w:cstheme="minorBidi"/>
      <w:kern w:val="2"/>
      <w:sz w:val="24"/>
      <w:szCs w:val="24"/>
    </w:rPr>
  </w:style>
  <w:style w:type="character" w:customStyle="1" w:styleId="843">
    <w:name w:val="正文首行缩进 Char2"/>
    <w:qFormat/>
    <w:uiPriority w:val="0"/>
  </w:style>
  <w:style w:type="character" w:customStyle="1" w:styleId="844">
    <w:name w:val="Char Char112"/>
    <w:qFormat/>
    <w:uiPriority w:val="0"/>
    <w:rPr>
      <w:rFonts w:hint="eastAsia" w:ascii="宋体" w:hAnsi="宋体" w:eastAsia="宋体"/>
      <w:kern w:val="2"/>
      <w:sz w:val="18"/>
      <w:szCs w:val="18"/>
      <w:lang w:val="en-US" w:eastAsia="zh-CN" w:bidi="ar-SA"/>
    </w:rPr>
  </w:style>
  <w:style w:type="character" w:customStyle="1" w:styleId="845">
    <w:name w:val="表格内容 Char"/>
    <w:qFormat/>
    <w:locked/>
    <w:uiPriority w:val="0"/>
    <w:rPr>
      <w:rFonts w:ascii="Arial" w:hAnsi="Arial" w:eastAsia="仿宋_GB2312" w:cs="Arial"/>
      <w:sz w:val="24"/>
    </w:rPr>
  </w:style>
  <w:style w:type="character" w:customStyle="1" w:styleId="846">
    <w:name w:val="Char Char Char Char Char Char Char Char Char Char Char Char Char Char11"/>
    <w:qFormat/>
    <w:uiPriority w:val="0"/>
    <w:rPr>
      <w:kern w:val="2"/>
      <w:sz w:val="21"/>
      <w:szCs w:val="24"/>
    </w:rPr>
  </w:style>
  <w:style w:type="character" w:customStyle="1" w:styleId="847">
    <w:name w:val="style311"/>
    <w:qFormat/>
    <w:uiPriority w:val="0"/>
    <w:rPr>
      <w:rFonts w:eastAsia="宋体" w:cs="宋体"/>
      <w:b/>
      <w:bCs/>
      <w:color w:val="000000"/>
      <w:sz w:val="18"/>
      <w:szCs w:val="18"/>
      <w:lang w:val="en-US" w:eastAsia="zh-CN" w:bidi="ar-SA"/>
    </w:rPr>
  </w:style>
  <w:style w:type="character" w:customStyle="1" w:styleId="848">
    <w:name w:val="15"/>
    <w:qFormat/>
    <w:uiPriority w:val="0"/>
    <w:rPr>
      <w:rFonts w:hint="default" w:ascii="Times New Roman" w:hAnsi="Times New Roman" w:cs="Times New Roman"/>
      <w:color w:val="0000FF"/>
      <w:u w:val="single"/>
    </w:rPr>
  </w:style>
  <w:style w:type="character" w:customStyle="1" w:styleId="849">
    <w:name w:val="表号 Char3"/>
    <w:qFormat/>
    <w:uiPriority w:val="0"/>
    <w:rPr>
      <w:rFonts w:eastAsia="宋体"/>
      <w:sz w:val="24"/>
      <w:szCs w:val="24"/>
      <w:lang w:val="en-US" w:eastAsia="zh-CN" w:bidi="ar-SA"/>
    </w:rPr>
  </w:style>
  <w:style w:type="character" w:customStyle="1" w:styleId="850">
    <w:name w:val="标题样式3 Char Char"/>
    <w:link w:val="851"/>
    <w:qFormat/>
    <w:uiPriority w:val="0"/>
    <w:rPr>
      <w:rFonts w:ascii="黑体" w:eastAsia="黑体" w:cs="黑体"/>
      <w:bCs/>
      <w:color w:val="000000"/>
      <w:sz w:val="24"/>
      <w:szCs w:val="24"/>
      <w:lang w:val="zh-CN"/>
    </w:rPr>
  </w:style>
  <w:style w:type="paragraph" w:customStyle="1" w:styleId="851">
    <w:name w:val="标题样式3"/>
    <w:basedOn w:val="5"/>
    <w:link w:val="850"/>
    <w:qFormat/>
    <w:uiPriority w:val="0"/>
    <w:pPr>
      <w:keepNext w:val="0"/>
      <w:tabs>
        <w:tab w:val="clear" w:pos="720"/>
      </w:tabs>
      <w:adjustRightInd/>
      <w:ind w:left="0" w:firstLine="0"/>
      <w:jc w:val="both"/>
      <w:textAlignment w:val="auto"/>
    </w:pPr>
    <w:rPr>
      <w:rFonts w:ascii="黑体" w:cs="黑体" w:hAnsiTheme="minorHAnsi"/>
      <w:b w:val="0"/>
      <w:bCs/>
      <w:color w:val="000000"/>
      <w:spacing w:val="0"/>
      <w:kern w:val="2"/>
      <w:sz w:val="24"/>
      <w:szCs w:val="24"/>
      <w:lang w:val="zh-CN"/>
    </w:rPr>
  </w:style>
  <w:style w:type="character" w:customStyle="1" w:styleId="852">
    <w:name w:val="！ Char"/>
    <w:qFormat/>
    <w:uiPriority w:val="0"/>
    <w:rPr>
      <w:rFonts w:eastAsia="Times New Roman"/>
      <w:kern w:val="2"/>
      <w:sz w:val="28"/>
      <w:szCs w:val="28"/>
      <w:lang w:val="en-US" w:eastAsia="zh-CN" w:bidi="ar-SA"/>
    </w:rPr>
  </w:style>
  <w:style w:type="character" w:customStyle="1" w:styleId="853">
    <w:name w:val="p148"/>
    <w:qFormat/>
    <w:uiPriority w:val="0"/>
  </w:style>
  <w:style w:type="character" w:customStyle="1" w:styleId="854">
    <w:name w:val="0-正文 Char Char"/>
    <w:link w:val="855"/>
    <w:qFormat/>
    <w:uiPriority w:val="0"/>
    <w:rPr>
      <w:spacing w:val="4"/>
      <w:sz w:val="28"/>
      <w:szCs w:val="28"/>
    </w:rPr>
  </w:style>
  <w:style w:type="paragraph" w:customStyle="1" w:styleId="855">
    <w:name w:val="0-正文"/>
    <w:basedOn w:val="1"/>
    <w:link w:val="854"/>
    <w:qFormat/>
    <w:uiPriority w:val="0"/>
    <w:pPr>
      <w:spacing w:line="312" w:lineRule="auto"/>
      <w:ind w:firstLine="200" w:firstLineChars="200"/>
    </w:pPr>
    <w:rPr>
      <w:rFonts w:asciiTheme="minorHAnsi" w:hAnsiTheme="minorHAnsi" w:eastAsiaTheme="minorEastAsia" w:cstheme="minorBidi"/>
      <w:spacing w:val="4"/>
      <w:kern w:val="2"/>
      <w:sz w:val="28"/>
      <w:szCs w:val="28"/>
    </w:rPr>
  </w:style>
  <w:style w:type="character" w:customStyle="1" w:styleId="856">
    <w:name w:val="样式 标题 41.1.1.1标题 4.1.1.1.1标题 4 Char款1.1.1.1 Char标4段1.1.1...1 Char"/>
    <w:qFormat/>
    <w:locked/>
    <w:uiPriority w:val="0"/>
    <w:rPr>
      <w:rFonts w:ascii="黑体" w:hAnsi="黑体" w:eastAsia="黑体"/>
      <w:b/>
      <w:bCs/>
      <w:color w:val="000000"/>
      <w:sz w:val="24"/>
      <w:szCs w:val="24"/>
    </w:rPr>
  </w:style>
  <w:style w:type="character" w:customStyle="1" w:styleId="857">
    <w:name w:val="标题 Char1"/>
    <w:qFormat/>
    <w:uiPriority w:val="0"/>
    <w:rPr>
      <w:rFonts w:ascii="Arial" w:hAnsi="Arial" w:eastAsia="宋体" w:cs="Arial"/>
      <w:b/>
      <w:bCs/>
      <w:kern w:val="2"/>
      <w:sz w:val="32"/>
      <w:szCs w:val="32"/>
      <w:lang w:val="en-US" w:eastAsia="zh-CN" w:bidi="ar-SA"/>
    </w:rPr>
  </w:style>
  <w:style w:type="character" w:customStyle="1" w:styleId="858">
    <w:name w:val="正文文本 3 Char3"/>
    <w:qFormat/>
    <w:uiPriority w:val="0"/>
    <w:rPr>
      <w:kern w:val="2"/>
      <w:sz w:val="16"/>
      <w:szCs w:val="16"/>
    </w:rPr>
  </w:style>
  <w:style w:type="character" w:customStyle="1" w:styleId="859">
    <w:name w:val="正文小四 首行缩进 Char Char"/>
    <w:link w:val="860"/>
    <w:qFormat/>
    <w:uiPriority w:val="0"/>
    <w:rPr>
      <w:sz w:val="24"/>
      <w:szCs w:val="24"/>
    </w:rPr>
  </w:style>
  <w:style w:type="paragraph" w:customStyle="1" w:styleId="860">
    <w:name w:val="正文小四 首行缩进"/>
    <w:basedOn w:val="1"/>
    <w:link w:val="859"/>
    <w:qFormat/>
    <w:uiPriority w:val="0"/>
    <w:pPr>
      <w:snapToGrid w:val="0"/>
      <w:spacing w:before="60" w:line="480" w:lineRule="exact"/>
      <w:ind w:firstLine="480" w:firstLineChars="200"/>
    </w:pPr>
    <w:rPr>
      <w:rFonts w:asciiTheme="minorHAnsi" w:hAnsiTheme="minorHAnsi" w:eastAsiaTheme="minorEastAsia" w:cstheme="minorBidi"/>
      <w:spacing w:val="0"/>
      <w:kern w:val="2"/>
      <w:sz w:val="24"/>
      <w:szCs w:val="24"/>
    </w:rPr>
  </w:style>
  <w:style w:type="character" w:customStyle="1" w:styleId="861">
    <w:name w:val="标题zsc3 Char"/>
    <w:qFormat/>
    <w:uiPriority w:val="0"/>
    <w:rPr>
      <w:rFonts w:hint="eastAsia" w:ascii="宋体" w:hAnsi="宋体" w:eastAsia="宋体"/>
      <w:b/>
      <w:bCs/>
      <w:kern w:val="2"/>
      <w:sz w:val="32"/>
      <w:szCs w:val="32"/>
      <w:lang w:val="en-US" w:eastAsia="zh-CN" w:bidi="ar-SA"/>
    </w:rPr>
  </w:style>
  <w:style w:type="character" w:customStyle="1" w:styleId="862">
    <w:name w:val="批注文字 Char1"/>
    <w:qFormat/>
    <w:uiPriority w:val="0"/>
    <w:rPr>
      <w:rFonts w:eastAsia="宋体"/>
      <w:kern w:val="2"/>
      <w:sz w:val="21"/>
      <w:szCs w:val="24"/>
      <w:lang w:val="en-US" w:eastAsia="zh-CN" w:bidi="ar-SA"/>
    </w:rPr>
  </w:style>
  <w:style w:type="character" w:customStyle="1" w:styleId="863">
    <w:name w:val="big21"/>
    <w:qFormat/>
    <w:uiPriority w:val="0"/>
    <w:rPr>
      <w:sz w:val="21"/>
      <w:szCs w:val="21"/>
    </w:rPr>
  </w:style>
  <w:style w:type="character" w:customStyle="1" w:styleId="864">
    <w:name w:val="插图标题 Char"/>
    <w:qFormat/>
    <w:locked/>
    <w:uiPriority w:val="0"/>
    <w:rPr>
      <w:rFonts w:ascii="Dutch801 Rm BT" w:hAnsi="Dutch801 Rm BT" w:eastAsia="黑体"/>
      <w:b/>
      <w:snapToGrid w:val="0"/>
      <w:sz w:val="24"/>
      <w:szCs w:val="24"/>
    </w:rPr>
  </w:style>
  <w:style w:type="character" w:customStyle="1" w:styleId="865">
    <w:name w:val="HTML 地址 Char1"/>
    <w:qFormat/>
    <w:uiPriority w:val="0"/>
    <w:rPr>
      <w:rFonts w:ascii="Times New Roman" w:hAnsi="Times New Roman" w:eastAsia="宋体" w:cs="Times New Roman"/>
      <w:i/>
      <w:iCs/>
      <w:szCs w:val="24"/>
    </w:rPr>
  </w:style>
  <w:style w:type="character" w:customStyle="1" w:styleId="866">
    <w:name w:val="标准文本 首行缩进:2 字符 行距1.5倍 Char Char Char Char"/>
    <w:qFormat/>
    <w:uiPriority w:val="0"/>
    <w:rPr>
      <w:rFonts w:eastAsia="宋体" w:cs="宋体"/>
      <w:kern w:val="2"/>
      <w:sz w:val="24"/>
      <w:szCs w:val="24"/>
      <w:lang w:val="en-US" w:eastAsia="zh-CN" w:bidi="ar-SA"/>
    </w:rPr>
  </w:style>
  <w:style w:type="character" w:customStyle="1" w:styleId="867">
    <w:name w:val="副标题 Char3"/>
    <w:qFormat/>
    <w:uiPriority w:val="0"/>
    <w:rPr>
      <w:rFonts w:ascii="Cambria" w:hAnsi="Cambria" w:eastAsia="宋体"/>
      <w:bCs/>
      <w:color w:val="000000"/>
      <w:kern w:val="28"/>
      <w:sz w:val="21"/>
      <w:szCs w:val="32"/>
      <w:lang w:val="en-US" w:eastAsia="zh-CN" w:bidi="ar-SA"/>
    </w:rPr>
  </w:style>
  <w:style w:type="character" w:customStyle="1" w:styleId="868">
    <w:name w:val="正文文字缩进 2 Char1"/>
    <w:qFormat/>
    <w:uiPriority w:val="99"/>
    <w:rPr>
      <w:rFonts w:ascii="Times New Roman" w:hAnsi="Times New Roman" w:eastAsia="宋体" w:cs="Times New Roman"/>
      <w:szCs w:val="24"/>
    </w:rPr>
  </w:style>
  <w:style w:type="character" w:customStyle="1" w:styleId="869">
    <w:name w:val="样式4 Char Char"/>
    <w:link w:val="870"/>
    <w:qFormat/>
    <w:uiPriority w:val="0"/>
    <w:rPr>
      <w:rFonts w:ascii="仿宋_GB2312" w:eastAsia="仿宋_GB2312"/>
      <w:snapToGrid w:val="0"/>
      <w:sz w:val="28"/>
    </w:rPr>
  </w:style>
  <w:style w:type="paragraph" w:customStyle="1" w:styleId="870">
    <w:name w:val="样式4"/>
    <w:basedOn w:val="34"/>
    <w:link w:val="869"/>
    <w:qFormat/>
    <w:uiPriority w:val="0"/>
    <w:pPr>
      <w:spacing w:after="0" w:line="360" w:lineRule="auto"/>
      <w:ind w:firstLine="560" w:firstLineChars="200"/>
    </w:pPr>
    <w:rPr>
      <w:rFonts w:ascii="仿宋_GB2312" w:eastAsia="仿宋_GB2312" w:hAnsiTheme="minorHAnsi" w:cstheme="minorBidi"/>
      <w:snapToGrid w:val="0"/>
      <w:spacing w:val="0"/>
      <w:kern w:val="2"/>
      <w:sz w:val="28"/>
      <w:szCs w:val="22"/>
    </w:rPr>
  </w:style>
  <w:style w:type="character" w:customStyle="1" w:styleId="871">
    <w:name w:val="chinese91"/>
    <w:qFormat/>
    <w:uiPriority w:val="0"/>
    <w:rPr>
      <w:sz w:val="18"/>
      <w:szCs w:val="18"/>
    </w:rPr>
  </w:style>
  <w:style w:type="character" w:customStyle="1" w:styleId="872">
    <w:name w:val="样式41 Char Char"/>
    <w:link w:val="873"/>
    <w:qFormat/>
    <w:uiPriority w:val="0"/>
    <w:rPr>
      <w:rFonts w:ascii="黑体" w:eastAsia="黑体"/>
      <w:sz w:val="24"/>
      <w:szCs w:val="24"/>
    </w:rPr>
  </w:style>
  <w:style w:type="paragraph" w:customStyle="1" w:styleId="873">
    <w:name w:val="样式41"/>
    <w:basedOn w:val="1"/>
    <w:link w:val="872"/>
    <w:qFormat/>
    <w:uiPriority w:val="0"/>
    <w:pPr>
      <w:spacing w:beforeLines="50" w:afterLines="50" w:line="400" w:lineRule="exact"/>
      <w:jc w:val="center"/>
    </w:pPr>
    <w:rPr>
      <w:rFonts w:ascii="黑体" w:eastAsia="黑体" w:hAnsiTheme="minorHAnsi" w:cstheme="minorBidi"/>
      <w:spacing w:val="0"/>
      <w:kern w:val="2"/>
      <w:sz w:val="24"/>
      <w:szCs w:val="24"/>
    </w:rPr>
  </w:style>
  <w:style w:type="character" w:customStyle="1" w:styleId="874">
    <w:name w:val="正文wang Char Char Char"/>
    <w:link w:val="875"/>
    <w:qFormat/>
    <w:uiPriority w:val="0"/>
    <w:rPr>
      <w:rFonts w:eastAsia="宋体" w:cs="宋体"/>
      <w:spacing w:val="-4"/>
      <w:sz w:val="24"/>
      <w:szCs w:val="24"/>
    </w:rPr>
  </w:style>
  <w:style w:type="paragraph" w:customStyle="1" w:styleId="875">
    <w:name w:val="正文wang Char"/>
    <w:basedOn w:val="1"/>
    <w:link w:val="874"/>
    <w:qFormat/>
    <w:uiPriority w:val="0"/>
    <w:pPr>
      <w:spacing w:line="420" w:lineRule="atLeast"/>
      <w:ind w:firstLine="464" w:firstLineChars="200"/>
    </w:pPr>
    <w:rPr>
      <w:rFonts w:cs="宋体" w:asciiTheme="minorHAnsi" w:hAnsiTheme="minorHAnsi"/>
      <w:spacing w:val="-4"/>
      <w:kern w:val="2"/>
      <w:sz w:val="24"/>
      <w:szCs w:val="24"/>
    </w:rPr>
  </w:style>
  <w:style w:type="character" w:customStyle="1" w:styleId="876">
    <w:name w:val="册除格式 Char Char Char Char Char"/>
    <w:link w:val="877"/>
    <w:qFormat/>
    <w:uiPriority w:val="0"/>
    <w:rPr>
      <w:rFonts w:ascii="黑体" w:hAnsi="Arial"/>
      <w:snapToGrid w:val="0"/>
      <w:spacing w:val="4"/>
      <w:kern w:val="18"/>
      <w:sz w:val="24"/>
    </w:rPr>
  </w:style>
  <w:style w:type="paragraph" w:customStyle="1" w:styleId="877">
    <w:name w:val="册除格式 Char Char"/>
    <w:link w:val="876"/>
    <w:qFormat/>
    <w:uiPriority w:val="0"/>
    <w:pPr>
      <w:spacing w:line="360" w:lineRule="auto"/>
      <w:ind w:firstLine="482"/>
    </w:pPr>
    <w:rPr>
      <w:rFonts w:ascii="黑体" w:hAnsi="Arial" w:eastAsiaTheme="minorEastAsia" w:cstheme="minorBidi"/>
      <w:snapToGrid w:val="0"/>
      <w:spacing w:val="4"/>
      <w:kern w:val="18"/>
      <w:sz w:val="24"/>
      <w:szCs w:val="22"/>
      <w:lang w:val="en-US" w:eastAsia="zh-CN" w:bidi="ar-SA"/>
    </w:rPr>
  </w:style>
  <w:style w:type="character" w:customStyle="1" w:styleId="878">
    <w:name w:val="Char Char29"/>
    <w:qFormat/>
    <w:uiPriority w:val="0"/>
    <w:rPr>
      <w:kern w:val="2"/>
      <w:sz w:val="18"/>
      <w:szCs w:val="18"/>
    </w:rPr>
  </w:style>
  <w:style w:type="character" w:customStyle="1" w:styleId="879">
    <w:name w:val="目录66666666 Char Char"/>
    <w:qFormat/>
    <w:uiPriority w:val="0"/>
    <w:rPr>
      <w:rFonts w:ascii="宋体" w:hAnsi="宋体" w:eastAsia="宋体"/>
      <w:b/>
      <w:bCs/>
      <w:kern w:val="2"/>
      <w:sz w:val="30"/>
      <w:szCs w:val="30"/>
      <w:lang w:val="en-US" w:eastAsia="zh-CN" w:bidi="ar-SA"/>
    </w:rPr>
  </w:style>
  <w:style w:type="character" w:customStyle="1" w:styleId="880">
    <w:name w:val="正文XXX Char Char"/>
    <w:link w:val="881"/>
    <w:qFormat/>
    <w:uiPriority w:val="0"/>
    <w:rPr>
      <w:rFonts w:ascii="Arial" w:hAnsi="Arial"/>
      <w:color w:val="000000"/>
      <w:sz w:val="24"/>
    </w:rPr>
  </w:style>
  <w:style w:type="paragraph" w:customStyle="1" w:styleId="881">
    <w:name w:val="正文XXX"/>
    <w:basedOn w:val="1"/>
    <w:link w:val="880"/>
    <w:qFormat/>
    <w:uiPriority w:val="0"/>
    <w:pPr>
      <w:adjustRightInd w:val="0"/>
      <w:snapToGrid w:val="0"/>
      <w:spacing w:before="100" w:beforeAutospacing="1" w:after="100" w:afterAutospacing="1" w:line="400" w:lineRule="exact"/>
    </w:pPr>
    <w:rPr>
      <w:rFonts w:ascii="Arial" w:hAnsi="Arial" w:eastAsiaTheme="minorEastAsia" w:cstheme="minorBidi"/>
      <w:color w:val="000000"/>
      <w:spacing w:val="0"/>
      <w:kern w:val="2"/>
      <w:sz w:val="24"/>
      <w:szCs w:val="22"/>
    </w:rPr>
  </w:style>
  <w:style w:type="character" w:customStyle="1" w:styleId="882">
    <w:name w:val="Char5 Char Char1"/>
    <w:qFormat/>
    <w:uiPriority w:val="0"/>
    <w:rPr>
      <w:rFonts w:eastAsia="宋体"/>
      <w:kern w:val="2"/>
      <w:sz w:val="18"/>
      <w:szCs w:val="18"/>
      <w:lang w:val="en-US" w:eastAsia="zh-CN" w:bidi="ar-SA"/>
    </w:rPr>
  </w:style>
  <w:style w:type="character" w:customStyle="1" w:styleId="883">
    <w:name w:val="Char Char31"/>
    <w:qFormat/>
    <w:uiPriority w:val="0"/>
    <w:rPr>
      <w:rFonts w:eastAsia="宋体"/>
      <w:kern w:val="2"/>
      <w:sz w:val="21"/>
      <w:lang w:val="en-US" w:eastAsia="zh-CN" w:bidi="ar-SA"/>
    </w:rPr>
  </w:style>
  <w:style w:type="character" w:customStyle="1" w:styleId="884">
    <w:name w:val="样式 标题 2节 + Times New Roman Char"/>
    <w:qFormat/>
    <w:locked/>
    <w:uiPriority w:val="0"/>
    <w:rPr>
      <w:rFonts w:ascii="黑体" w:hAnsi="黑体" w:eastAsia="黑体"/>
      <w:bCs/>
      <w:sz w:val="32"/>
      <w:szCs w:val="32"/>
    </w:rPr>
  </w:style>
  <w:style w:type="character" w:customStyle="1" w:styleId="885">
    <w:name w:val="XCHG论文正文 Char Char"/>
    <w:qFormat/>
    <w:uiPriority w:val="0"/>
    <w:rPr>
      <w:rFonts w:eastAsia="宋体"/>
      <w:color w:val="000000"/>
      <w:kern w:val="2"/>
      <w:sz w:val="24"/>
      <w:szCs w:val="24"/>
      <w:lang w:val="en-US" w:eastAsia="zh-CN" w:bidi="ar-SA"/>
    </w:rPr>
  </w:style>
  <w:style w:type="character" w:customStyle="1" w:styleId="886">
    <w:name w:val="16.1.1.1 Char Char"/>
    <w:qFormat/>
    <w:uiPriority w:val="0"/>
    <w:rPr>
      <w:rFonts w:ascii="Arial" w:hAnsi="Arial" w:eastAsia="宋体"/>
      <w:b/>
      <w:bCs/>
      <w:color w:val="000000"/>
      <w:kern w:val="44"/>
      <w:sz w:val="24"/>
      <w:szCs w:val="24"/>
      <w:lang w:val="en-US" w:eastAsia="zh-CN" w:bidi="ar-SA"/>
    </w:rPr>
  </w:style>
  <w:style w:type="character" w:customStyle="1" w:styleId="887">
    <w:name w:val="！正文 Char Char Char"/>
    <w:link w:val="888"/>
    <w:qFormat/>
    <w:uiPriority w:val="0"/>
    <w:rPr>
      <w:rFonts w:eastAsia="仿宋_GB2312"/>
      <w:color w:val="000000"/>
      <w:sz w:val="28"/>
      <w:szCs w:val="30"/>
    </w:rPr>
  </w:style>
  <w:style w:type="paragraph" w:customStyle="1" w:styleId="888">
    <w:name w:val="！正文"/>
    <w:link w:val="887"/>
    <w:qFormat/>
    <w:uiPriority w:val="0"/>
    <w:pPr>
      <w:widowControl w:val="0"/>
      <w:spacing w:line="560" w:lineRule="exact"/>
      <w:ind w:firstLine="200" w:firstLineChars="200"/>
      <w:jc w:val="both"/>
    </w:pPr>
    <w:rPr>
      <w:rFonts w:eastAsia="仿宋_GB2312" w:asciiTheme="minorHAnsi" w:hAnsiTheme="minorHAnsi" w:cstheme="minorBidi"/>
      <w:color w:val="000000"/>
      <w:kern w:val="2"/>
      <w:sz w:val="28"/>
      <w:szCs w:val="30"/>
      <w:lang w:val="en-US" w:eastAsia="zh-CN" w:bidi="ar-SA"/>
    </w:rPr>
  </w:style>
  <w:style w:type="character" w:customStyle="1" w:styleId="889">
    <w:name w:val="样式 标题3（3） + 红色1 Char"/>
    <w:qFormat/>
    <w:locked/>
    <w:uiPriority w:val="0"/>
    <w:rPr>
      <w:rFonts w:ascii="Cambria" w:hAnsi="Cambria" w:eastAsia="楷体_GB2312"/>
      <w:b/>
      <w:bCs/>
      <w:sz w:val="30"/>
      <w:szCs w:val="30"/>
      <w:lang w:bidi="en-US"/>
    </w:rPr>
  </w:style>
  <w:style w:type="character" w:customStyle="1" w:styleId="890">
    <w:name w:val="结束语 Char2"/>
    <w:qFormat/>
    <w:uiPriority w:val="0"/>
    <w:rPr>
      <w:rFonts w:eastAsia="宋体"/>
      <w:kern w:val="2"/>
      <w:sz w:val="24"/>
      <w:lang w:val="en-US" w:eastAsia="zh-CN" w:bidi="ar-SA"/>
    </w:rPr>
  </w:style>
  <w:style w:type="character" w:customStyle="1" w:styleId="891">
    <w:name w:val="批注文字 Char3"/>
    <w:qFormat/>
    <w:uiPriority w:val="0"/>
    <w:rPr>
      <w:rFonts w:ascii="Times New Roman" w:hAnsi="Times New Roman" w:eastAsia="宋体" w:cs="Times New Roman"/>
      <w:szCs w:val="24"/>
    </w:rPr>
  </w:style>
  <w:style w:type="character" w:customStyle="1" w:styleId="892">
    <w:name w:val="kyj正文字首行缩进2字符 Char Char"/>
    <w:qFormat/>
    <w:uiPriority w:val="0"/>
    <w:rPr>
      <w:rFonts w:eastAsia="宋体" w:cs="宋体"/>
      <w:bCs/>
      <w:snapToGrid/>
      <w:color w:val="FF0000"/>
      <w:kern w:val="2"/>
      <w:sz w:val="24"/>
      <w:szCs w:val="24"/>
      <w:lang w:val="zh-CN" w:eastAsia="zh-CN" w:bidi="ar-SA"/>
    </w:rPr>
  </w:style>
  <w:style w:type="character" w:customStyle="1" w:styleId="893">
    <w:name w:val="Char Char Char Char Char3"/>
    <w:qFormat/>
    <w:uiPriority w:val="0"/>
    <w:rPr>
      <w:rFonts w:eastAsia="宋体"/>
      <w:kern w:val="2"/>
      <w:sz w:val="21"/>
      <w:szCs w:val="24"/>
      <w:lang w:val="en-US" w:eastAsia="zh-CN" w:bidi="ar-SA"/>
    </w:rPr>
  </w:style>
  <w:style w:type="character" w:customStyle="1" w:styleId="894">
    <w:name w:val="正文格式 Char4"/>
    <w:qFormat/>
    <w:uiPriority w:val="0"/>
    <w:rPr>
      <w:rFonts w:ascii="宋体" w:eastAsia="宋体" w:cs="宋体"/>
      <w:kern w:val="2"/>
      <w:sz w:val="24"/>
      <w:szCs w:val="24"/>
      <w:lang w:val="en-US" w:eastAsia="zh-CN" w:bidi="ar-SA"/>
    </w:rPr>
  </w:style>
  <w:style w:type="character" w:customStyle="1" w:styleId="895">
    <w:name w:val="HTML 引文11"/>
    <w:qFormat/>
    <w:uiPriority w:val="0"/>
    <w:rPr>
      <w:i/>
      <w:iCs/>
    </w:rPr>
  </w:style>
  <w:style w:type="character" w:customStyle="1" w:styleId="896">
    <w:name w:val="电子邮件签名 Char2"/>
    <w:qFormat/>
    <w:uiPriority w:val="0"/>
    <w:rPr>
      <w:rFonts w:eastAsia="宋体"/>
      <w:kern w:val="2"/>
      <w:sz w:val="21"/>
      <w:szCs w:val="24"/>
      <w:lang w:val="en-US" w:eastAsia="zh-CN" w:bidi="ar-SA"/>
    </w:rPr>
  </w:style>
  <w:style w:type="character" w:customStyle="1" w:styleId="897">
    <w:name w:val="样式 样式 样式 正文文本 + 首行缩进:  2 字符 + 宋体 首行缩进:  2 字符 + 宋体 黑色 Char Char"/>
    <w:link w:val="898"/>
    <w:qFormat/>
    <w:uiPriority w:val="0"/>
    <w:rPr>
      <w:rFonts w:eastAsia="宋体" w:cs="宋体"/>
      <w:snapToGrid w:val="0"/>
      <w:color w:val="000000"/>
      <w:sz w:val="24"/>
      <w:szCs w:val="24"/>
    </w:rPr>
  </w:style>
  <w:style w:type="paragraph" w:customStyle="1" w:styleId="898">
    <w:name w:val="样式 样式 样式 正文文本 + 首行缩进:  2 字符 + 宋体 首行缩进:  2 字符 + 宋体 黑色"/>
    <w:basedOn w:val="1"/>
    <w:link w:val="897"/>
    <w:qFormat/>
    <w:uiPriority w:val="0"/>
    <w:pPr>
      <w:adjustRightInd w:val="0"/>
      <w:snapToGrid w:val="0"/>
      <w:spacing w:before="120" w:line="300" w:lineRule="auto"/>
      <w:ind w:firstLine="480" w:firstLineChars="200"/>
      <w:textAlignment w:val="baseline"/>
    </w:pPr>
    <w:rPr>
      <w:rFonts w:cs="宋体" w:asciiTheme="minorHAnsi" w:hAnsiTheme="minorHAnsi"/>
      <w:snapToGrid w:val="0"/>
      <w:color w:val="000000"/>
      <w:spacing w:val="0"/>
      <w:kern w:val="2"/>
      <w:sz w:val="24"/>
      <w:szCs w:val="24"/>
    </w:rPr>
  </w:style>
  <w:style w:type="character" w:customStyle="1" w:styleId="899">
    <w:name w:val="ca-1"/>
    <w:basedOn w:val="90"/>
    <w:qFormat/>
    <w:uiPriority w:val="0"/>
  </w:style>
  <w:style w:type="character" w:customStyle="1" w:styleId="900">
    <w:name w:val="样式 标题 3标题 3 Char CharH3h33rd level标题3标题 3 Charstyle3标题 3... Char Char"/>
    <w:link w:val="901"/>
    <w:qFormat/>
    <w:uiPriority w:val="0"/>
    <w:rPr>
      <w:b/>
      <w:bCs/>
      <w:sz w:val="28"/>
      <w:szCs w:val="28"/>
    </w:rPr>
  </w:style>
  <w:style w:type="paragraph" w:customStyle="1" w:styleId="901">
    <w:name w:val="样式 标题 3标题 3 Char CharH3h33rd level标题3标题 3 Charstyle3标题 3..."/>
    <w:basedOn w:val="5"/>
    <w:link w:val="900"/>
    <w:qFormat/>
    <w:uiPriority w:val="0"/>
    <w:pPr>
      <w:tabs>
        <w:tab w:val="clear" w:pos="720"/>
      </w:tabs>
      <w:adjustRightInd/>
      <w:ind w:left="0" w:firstLine="0"/>
      <w:jc w:val="both"/>
      <w:textAlignment w:val="auto"/>
    </w:pPr>
    <w:rPr>
      <w:rFonts w:asciiTheme="minorHAnsi" w:hAnsiTheme="minorHAnsi" w:eastAsiaTheme="minorEastAsia" w:cstheme="minorBidi"/>
      <w:bCs/>
      <w:color w:val="auto"/>
      <w:spacing w:val="0"/>
      <w:kern w:val="2"/>
      <w:szCs w:val="28"/>
    </w:rPr>
  </w:style>
  <w:style w:type="character" w:customStyle="1" w:styleId="902">
    <w:name w:val="表格－标题 Char Char"/>
    <w:link w:val="903"/>
    <w:qFormat/>
    <w:uiPriority w:val="0"/>
    <w:rPr>
      <w:rFonts w:ascii="宋体" w:hAnsi="宋体" w:eastAsia="宋体"/>
      <w:b/>
      <w:spacing w:val="4"/>
      <w:szCs w:val="24"/>
    </w:rPr>
  </w:style>
  <w:style w:type="paragraph" w:customStyle="1" w:styleId="903">
    <w:name w:val="表格－标题"/>
    <w:basedOn w:val="1"/>
    <w:link w:val="902"/>
    <w:qFormat/>
    <w:uiPriority w:val="0"/>
    <w:pPr>
      <w:spacing w:line="300" w:lineRule="exact"/>
      <w:jc w:val="center"/>
    </w:pPr>
    <w:rPr>
      <w:rFonts w:ascii="宋体" w:hAnsi="宋体" w:cstheme="minorBidi"/>
      <w:b/>
      <w:spacing w:val="4"/>
      <w:kern w:val="2"/>
      <w:sz w:val="21"/>
      <w:szCs w:val="24"/>
    </w:rPr>
  </w:style>
  <w:style w:type="character" w:customStyle="1" w:styleId="904">
    <w:name w:val="样式 样式 小段标题 + 首行缩进:  2 字符 段前: 0.5 行 段后: 0.5 行 + 首行缩进:  0.85 厘米 段... Char"/>
    <w:qFormat/>
    <w:locked/>
    <w:uiPriority w:val="0"/>
    <w:rPr>
      <w:kern w:val="2"/>
      <w:sz w:val="24"/>
    </w:rPr>
  </w:style>
  <w:style w:type="character" w:customStyle="1" w:styleId="905">
    <w:name w:val="表（图）注 Char Char"/>
    <w:qFormat/>
    <w:uiPriority w:val="0"/>
    <w:rPr>
      <w:rFonts w:ascii="楷体_GB2312" w:hAnsi="宋体" w:eastAsia="楷体_GB2312"/>
      <w:kern w:val="2"/>
      <w:sz w:val="21"/>
      <w:szCs w:val="22"/>
      <w:lang w:val="en-US" w:eastAsia="zh-CN" w:bidi="ar-SA"/>
    </w:rPr>
  </w:style>
  <w:style w:type="character" w:customStyle="1" w:styleId="906">
    <w:name w:val="Char Char17"/>
    <w:qFormat/>
    <w:uiPriority w:val="0"/>
    <w:rPr>
      <w:rFonts w:eastAsia="宋体"/>
      <w:kern w:val="2"/>
      <w:sz w:val="16"/>
      <w:szCs w:val="16"/>
      <w:lang w:val="en-US" w:eastAsia="zh-CN" w:bidi="ar-SA"/>
    </w:rPr>
  </w:style>
  <w:style w:type="character" w:customStyle="1" w:styleId="907">
    <w:name w:val="标题 2 + (西文) 黑体 (中文) 黑体 四号 非加粗 Char Char"/>
    <w:qFormat/>
    <w:uiPriority w:val="0"/>
    <w:rPr>
      <w:rFonts w:eastAsia="黑体"/>
      <w:b/>
      <w:kern w:val="2"/>
      <w:sz w:val="28"/>
      <w:lang w:val="en-US" w:eastAsia="zh-CN" w:bidi="ar-SA"/>
    </w:rPr>
  </w:style>
  <w:style w:type="character" w:customStyle="1" w:styleId="908">
    <w:name w:val="题注 Char Char Char Char Char Char1"/>
    <w:qFormat/>
    <w:uiPriority w:val="0"/>
    <w:rPr>
      <w:rFonts w:ascii="Arial" w:hAnsi="Arial" w:eastAsia="黑体" w:cs="Arial"/>
      <w:kern w:val="2"/>
      <w:lang w:val="en-US" w:eastAsia="zh-CN" w:bidi="ar-SA"/>
    </w:rPr>
  </w:style>
  <w:style w:type="character" w:customStyle="1" w:styleId="909">
    <w:name w:val="3zw1"/>
    <w:qFormat/>
    <w:uiPriority w:val="0"/>
    <w:rPr>
      <w:color w:val="000000"/>
      <w:sz w:val="21"/>
      <w:szCs w:val="21"/>
    </w:rPr>
  </w:style>
  <w:style w:type="character" w:customStyle="1" w:styleId="910">
    <w:name w:val="Normal Char Char Char Char"/>
    <w:link w:val="911"/>
    <w:qFormat/>
    <w:uiPriority w:val="0"/>
    <w:rPr>
      <w:rFonts w:ascii="宋体" w:eastAsia="宋体"/>
      <w:sz w:val="24"/>
      <w:szCs w:val="24"/>
    </w:rPr>
  </w:style>
  <w:style w:type="paragraph" w:customStyle="1" w:styleId="911">
    <w:name w:val="正文1"/>
    <w:basedOn w:val="1"/>
    <w:link w:val="910"/>
    <w:qFormat/>
    <w:uiPriority w:val="0"/>
    <w:pPr>
      <w:adjustRightInd w:val="0"/>
      <w:spacing w:line="480" w:lineRule="exact"/>
      <w:jc w:val="center"/>
      <w:textAlignment w:val="baseline"/>
    </w:pPr>
    <w:rPr>
      <w:rFonts w:ascii="宋体" w:hAnsiTheme="minorHAnsi" w:cstheme="minorBidi"/>
      <w:spacing w:val="0"/>
      <w:kern w:val="2"/>
      <w:sz w:val="24"/>
      <w:szCs w:val="24"/>
    </w:rPr>
  </w:style>
  <w:style w:type="character" w:customStyle="1" w:styleId="912">
    <w:name w:val="Char Char Char Char Char Char Char111"/>
    <w:qFormat/>
    <w:uiPriority w:val="0"/>
    <w:rPr>
      <w:rFonts w:eastAsia="宋体"/>
      <w:kern w:val="2"/>
      <w:sz w:val="21"/>
      <w:szCs w:val="24"/>
      <w:lang w:val="en-US" w:eastAsia="zh-CN" w:bidi="ar-SA"/>
    </w:rPr>
  </w:style>
  <w:style w:type="character" w:customStyle="1" w:styleId="913">
    <w:name w:val="r Char Char Char"/>
    <w:link w:val="914"/>
    <w:qFormat/>
    <w:uiPriority w:val="0"/>
    <w:rPr>
      <w:rFonts w:ascii="Century" w:hAnsi="Century" w:eastAsia="幼圆"/>
      <w:sz w:val="24"/>
    </w:rPr>
  </w:style>
  <w:style w:type="paragraph" w:customStyle="1" w:styleId="914">
    <w:name w:val="r Char"/>
    <w:basedOn w:val="1"/>
    <w:link w:val="913"/>
    <w:qFormat/>
    <w:uiPriority w:val="0"/>
    <w:pPr>
      <w:widowControl/>
      <w:adjustRightInd w:val="0"/>
      <w:spacing w:line="360" w:lineRule="auto"/>
      <w:ind w:firstLine="461" w:firstLineChars="192"/>
      <w:jc w:val="left"/>
    </w:pPr>
    <w:rPr>
      <w:rFonts w:ascii="Century" w:hAnsi="Century" w:eastAsia="幼圆" w:cstheme="minorBidi"/>
      <w:spacing w:val="0"/>
      <w:kern w:val="2"/>
      <w:sz w:val="24"/>
      <w:szCs w:val="22"/>
    </w:rPr>
  </w:style>
  <w:style w:type="character" w:customStyle="1" w:styleId="915">
    <w:name w:val="表格文本 五号 居中 单倍行距 Char Char Char Char"/>
    <w:link w:val="916"/>
    <w:qFormat/>
    <w:uiPriority w:val="0"/>
    <w:rPr>
      <w:rFonts w:eastAsia="宋体"/>
    </w:rPr>
  </w:style>
  <w:style w:type="paragraph" w:customStyle="1" w:styleId="916">
    <w:name w:val="表格文本 五号 居中 单倍行距 Char Char"/>
    <w:basedOn w:val="1"/>
    <w:link w:val="915"/>
    <w:qFormat/>
    <w:uiPriority w:val="0"/>
    <w:pPr>
      <w:keepNext/>
      <w:adjustRightInd w:val="0"/>
      <w:snapToGrid w:val="0"/>
      <w:jc w:val="center"/>
      <w:textAlignment w:val="baseline"/>
    </w:pPr>
    <w:rPr>
      <w:rFonts w:asciiTheme="minorHAnsi" w:hAnsiTheme="minorHAnsi" w:cstheme="minorBidi"/>
      <w:spacing w:val="0"/>
      <w:kern w:val="2"/>
      <w:sz w:val="21"/>
      <w:szCs w:val="22"/>
    </w:rPr>
  </w:style>
  <w:style w:type="character" w:customStyle="1" w:styleId="917">
    <w:name w:val="正文样式 Char Char Char Char"/>
    <w:qFormat/>
    <w:locked/>
    <w:uiPriority w:val="0"/>
    <w:rPr>
      <w:rFonts w:ascii="宋体" w:hAnsi="宋体"/>
      <w:color w:val="000000"/>
      <w:kern w:val="2"/>
      <w:sz w:val="24"/>
      <w:szCs w:val="24"/>
    </w:rPr>
  </w:style>
  <w:style w:type="character" w:customStyle="1" w:styleId="918">
    <w:name w:val="Char Char20"/>
    <w:qFormat/>
    <w:uiPriority w:val="0"/>
    <w:rPr>
      <w:rFonts w:ascii="Times New Roman" w:hAnsi="Times New Roman" w:eastAsia="宋体" w:cs="Times New Roman"/>
      <w:kern w:val="2"/>
      <w:sz w:val="24"/>
      <w:szCs w:val="24"/>
      <w:lang w:val="en-US" w:eastAsia="zh-CN" w:bidi="ar-SA"/>
    </w:rPr>
  </w:style>
  <w:style w:type="character" w:customStyle="1" w:styleId="919">
    <w:name w:val="无间隔 Char"/>
    <w:link w:val="920"/>
    <w:qFormat/>
    <w:uiPriority w:val="0"/>
    <w:rPr>
      <w:rFonts w:eastAsia="Times New Roman"/>
      <w:sz w:val="22"/>
    </w:rPr>
  </w:style>
  <w:style w:type="paragraph" w:customStyle="1" w:styleId="920">
    <w:name w:val="无间隔1"/>
    <w:link w:val="919"/>
    <w:qFormat/>
    <w:uiPriority w:val="0"/>
    <w:rPr>
      <w:rFonts w:eastAsia="Times New Roman" w:asciiTheme="minorHAnsi" w:hAnsiTheme="minorHAnsi" w:cstheme="minorBidi"/>
      <w:kern w:val="2"/>
      <w:sz w:val="22"/>
      <w:szCs w:val="22"/>
      <w:lang w:val="en-US" w:eastAsia="zh-CN" w:bidi="ar-SA"/>
    </w:rPr>
  </w:style>
  <w:style w:type="character" w:customStyle="1" w:styleId="921">
    <w:name w:val="表格字体 Char Char"/>
    <w:link w:val="922"/>
    <w:qFormat/>
    <w:uiPriority w:val="0"/>
    <w:rPr>
      <w:rFonts w:ascii="宋体" w:hAnsi="宋体"/>
      <w:szCs w:val="21"/>
    </w:rPr>
  </w:style>
  <w:style w:type="paragraph" w:customStyle="1" w:styleId="922">
    <w:name w:val="表格字体"/>
    <w:basedOn w:val="1"/>
    <w:next w:val="1"/>
    <w:link w:val="921"/>
    <w:qFormat/>
    <w:uiPriority w:val="0"/>
    <w:pPr>
      <w:spacing w:line="360" w:lineRule="exact"/>
    </w:pPr>
    <w:rPr>
      <w:rFonts w:ascii="宋体" w:hAnsi="宋体" w:eastAsiaTheme="minorEastAsia" w:cstheme="minorBidi"/>
      <w:spacing w:val="0"/>
      <w:kern w:val="2"/>
      <w:sz w:val="21"/>
      <w:szCs w:val="21"/>
    </w:rPr>
  </w:style>
  <w:style w:type="character" w:customStyle="1" w:styleId="923">
    <w:name w:val="样式 表格11 + 居中 Char"/>
    <w:qFormat/>
    <w:locked/>
    <w:uiPriority w:val="0"/>
  </w:style>
  <w:style w:type="character" w:customStyle="1" w:styleId="924">
    <w:name w:val="标题b Char"/>
    <w:qFormat/>
    <w:locked/>
    <w:uiPriority w:val="0"/>
    <w:rPr>
      <w:rFonts w:ascii="楷体_GB2312" w:hAnsi="楷体_GB2312" w:eastAsia="楷体_GB2312"/>
      <w:b/>
      <w:kern w:val="2"/>
      <w:sz w:val="30"/>
    </w:rPr>
  </w:style>
  <w:style w:type="character" w:customStyle="1" w:styleId="925">
    <w:name w:val="text51"/>
    <w:qFormat/>
    <w:uiPriority w:val="0"/>
    <w:rPr>
      <w:color w:val="3F1601"/>
      <w:sz w:val="18"/>
      <w:szCs w:val="18"/>
    </w:rPr>
  </w:style>
  <w:style w:type="character" w:customStyle="1" w:styleId="926">
    <w:name w:val="表格－标题 Char"/>
    <w:qFormat/>
    <w:locked/>
    <w:uiPriority w:val="0"/>
    <w:rPr>
      <w:rFonts w:ascii="宋体" w:hAnsi="宋体"/>
      <w:b/>
      <w:spacing w:val="4"/>
      <w:kern w:val="2"/>
      <w:sz w:val="21"/>
      <w:szCs w:val="24"/>
    </w:rPr>
  </w:style>
  <w:style w:type="character" w:customStyle="1" w:styleId="927">
    <w:name w:val="样式 正文文本 + 行距: 固定值 26 磅 Char Char"/>
    <w:link w:val="928"/>
    <w:qFormat/>
    <w:uiPriority w:val="0"/>
    <w:rPr>
      <w:rFonts w:eastAsia="宋体" w:cs="宋体"/>
      <w:sz w:val="24"/>
      <w:szCs w:val="24"/>
    </w:rPr>
  </w:style>
  <w:style w:type="paragraph" w:customStyle="1" w:styleId="928">
    <w:name w:val="样式 正文文本 + 行距: 固定值 26 磅"/>
    <w:basedOn w:val="34"/>
    <w:link w:val="927"/>
    <w:qFormat/>
    <w:uiPriority w:val="0"/>
    <w:pPr>
      <w:spacing w:after="0" w:line="520" w:lineRule="exact"/>
      <w:ind w:firstLine="480" w:firstLineChars="200"/>
    </w:pPr>
    <w:rPr>
      <w:rFonts w:cs="宋体" w:asciiTheme="minorHAnsi" w:hAnsiTheme="minorHAnsi"/>
      <w:spacing w:val="0"/>
      <w:kern w:val="2"/>
      <w:sz w:val="24"/>
      <w:szCs w:val="24"/>
    </w:rPr>
  </w:style>
  <w:style w:type="character" w:customStyle="1" w:styleId="929">
    <w:name w:val="燕山正文 Char3"/>
    <w:qFormat/>
    <w:uiPriority w:val="0"/>
    <w:rPr>
      <w:rFonts w:ascii="宋体" w:hAnsi="宋体" w:eastAsia="宋体"/>
      <w:color w:val="000000"/>
      <w:kern w:val="2"/>
      <w:sz w:val="24"/>
      <w:szCs w:val="24"/>
      <w:lang w:val="en-US" w:eastAsia="zh-CN" w:bidi="ar-SA"/>
    </w:rPr>
  </w:style>
  <w:style w:type="character" w:customStyle="1" w:styleId="930">
    <w:name w:val="！ Char Char"/>
    <w:qFormat/>
    <w:uiPriority w:val="0"/>
    <w:rPr>
      <w:rFonts w:eastAsia="宋体"/>
      <w:kern w:val="2"/>
      <w:sz w:val="28"/>
      <w:szCs w:val="28"/>
      <w:lang w:val="en-US" w:eastAsia="zh-CN" w:bidi="ar-SA"/>
    </w:rPr>
  </w:style>
  <w:style w:type="character" w:customStyle="1" w:styleId="931">
    <w:name w:val="txt1"/>
    <w:qFormat/>
    <w:uiPriority w:val="0"/>
    <w:rPr>
      <w:color w:val="000000"/>
      <w:sz w:val="21"/>
      <w:szCs w:val="21"/>
    </w:rPr>
  </w:style>
  <w:style w:type="character" w:customStyle="1" w:styleId="932">
    <w:name w:val="表格四号 Char"/>
    <w:qFormat/>
    <w:locked/>
    <w:uiPriority w:val="0"/>
    <w:rPr>
      <w:rFonts w:ascii="宋体" w:hAnsi="宋体"/>
      <w:snapToGrid w:val="0"/>
      <w:sz w:val="28"/>
      <w:szCs w:val="28"/>
    </w:rPr>
  </w:style>
  <w:style w:type="character" w:customStyle="1" w:styleId="933">
    <w:name w:val="标题 2 Char Char1"/>
    <w:qFormat/>
    <w:uiPriority w:val="0"/>
    <w:rPr>
      <w:rFonts w:eastAsia="宋体"/>
      <w:b/>
      <w:sz w:val="24"/>
      <w:lang w:val="en-US" w:eastAsia="zh-CN"/>
    </w:rPr>
  </w:style>
  <w:style w:type="character" w:customStyle="1" w:styleId="934">
    <w:name w:val="+正文 Char"/>
    <w:qFormat/>
    <w:locked/>
    <w:uiPriority w:val="0"/>
    <w:rPr>
      <w:kern w:val="2"/>
      <w:sz w:val="24"/>
      <w:szCs w:val="28"/>
      <w:lang w:val="zh-CN"/>
    </w:rPr>
  </w:style>
  <w:style w:type="character" w:customStyle="1" w:styleId="935">
    <w:name w:val="正文缩进 Char4"/>
    <w:qFormat/>
    <w:uiPriority w:val="0"/>
    <w:rPr>
      <w:rFonts w:ascii="宋体" w:hAnsi="宋体" w:eastAsia="宋体" w:cs="宋体"/>
      <w:color w:val="000000"/>
      <w:sz w:val="24"/>
      <w:szCs w:val="24"/>
      <w:lang w:val="en-US" w:eastAsia="zh-CN" w:bidi="ar-SA"/>
    </w:rPr>
  </w:style>
  <w:style w:type="character" w:customStyle="1" w:styleId="936">
    <w:name w:val="r1"/>
    <w:qFormat/>
    <w:uiPriority w:val="0"/>
    <w:rPr>
      <w:sz w:val="20"/>
      <w:szCs w:val="20"/>
    </w:rPr>
  </w:style>
  <w:style w:type="character" w:customStyle="1" w:styleId="937">
    <w:name w:val="dectext1"/>
    <w:qFormat/>
    <w:uiPriority w:val="0"/>
    <w:rPr>
      <w:rFonts w:hint="eastAsia" w:ascii="宋体" w:hAnsi="宋体" w:eastAsia="宋体"/>
      <w:color w:val="333333"/>
      <w:sz w:val="18"/>
      <w:szCs w:val="18"/>
      <w:u w:val="none"/>
    </w:rPr>
  </w:style>
  <w:style w:type="character" w:customStyle="1" w:styleId="938">
    <w:name w:val="Char Char Char15"/>
    <w:qFormat/>
    <w:uiPriority w:val="0"/>
    <w:rPr>
      <w:rFonts w:ascii="宋体" w:hAnsi="宋体" w:eastAsia="宋体"/>
      <w:color w:val="000000"/>
      <w:kern w:val="2"/>
      <w:sz w:val="28"/>
      <w:szCs w:val="24"/>
      <w:lang w:val="en-US" w:eastAsia="zh-CN" w:bidi="ar-SA"/>
    </w:rPr>
  </w:style>
  <w:style w:type="character" w:customStyle="1" w:styleId="939">
    <w:name w:val="君邦正文 Char2"/>
    <w:link w:val="940"/>
    <w:qFormat/>
    <w:uiPriority w:val="0"/>
    <w:rPr>
      <w:rFonts w:ascii="Tahoma" w:hAnsi="Tahoma" w:eastAsia="Times New Roman"/>
      <w:bCs/>
      <w:snapToGrid w:val="0"/>
      <w:sz w:val="24"/>
    </w:rPr>
  </w:style>
  <w:style w:type="paragraph" w:customStyle="1" w:styleId="940">
    <w:name w:val="君邦正文"/>
    <w:link w:val="939"/>
    <w:qFormat/>
    <w:uiPriority w:val="0"/>
    <w:pPr>
      <w:spacing w:after="60" w:line="360" w:lineRule="auto"/>
      <w:ind w:firstLine="480" w:firstLineChars="200"/>
      <w:jc w:val="both"/>
    </w:pPr>
    <w:rPr>
      <w:rFonts w:ascii="Tahoma" w:hAnsi="Tahoma" w:eastAsia="Times New Roman" w:cstheme="minorBidi"/>
      <w:bCs/>
      <w:snapToGrid w:val="0"/>
      <w:kern w:val="2"/>
      <w:sz w:val="24"/>
      <w:szCs w:val="22"/>
      <w:lang w:val="en-US" w:eastAsia="zh-CN" w:bidi="ar-SA"/>
    </w:rPr>
  </w:style>
  <w:style w:type="character" w:customStyle="1" w:styleId="941">
    <w:name w:val="文本框小四 Char Char"/>
    <w:qFormat/>
    <w:uiPriority w:val="0"/>
    <w:rPr>
      <w:rFonts w:hint="eastAsia" w:ascii="宋体" w:hAnsi="宋体" w:eastAsia="仿宋_GB2312" w:cs="Courier New"/>
      <w:kern w:val="2"/>
      <w:sz w:val="24"/>
      <w:szCs w:val="24"/>
      <w:lang w:val="en-US" w:eastAsia="zh-CN" w:bidi="ar-SA"/>
    </w:rPr>
  </w:style>
  <w:style w:type="character" w:customStyle="1" w:styleId="942">
    <w:name w:val="正文缩进2 Char Char"/>
    <w:qFormat/>
    <w:uiPriority w:val="0"/>
    <w:rPr>
      <w:rFonts w:eastAsia="宋体"/>
      <w:kern w:val="28"/>
      <w:sz w:val="24"/>
      <w:lang w:val="en-US" w:eastAsia="zh-CN"/>
    </w:rPr>
  </w:style>
  <w:style w:type="character" w:customStyle="1" w:styleId="943">
    <w:name w:val="插图标题 Char Char"/>
    <w:link w:val="944"/>
    <w:qFormat/>
    <w:uiPriority w:val="0"/>
    <w:rPr>
      <w:rFonts w:eastAsia="黑体"/>
      <w:b/>
      <w:snapToGrid w:val="0"/>
      <w:sz w:val="24"/>
      <w:szCs w:val="24"/>
    </w:rPr>
  </w:style>
  <w:style w:type="paragraph" w:customStyle="1" w:styleId="944">
    <w:name w:val="插图标题"/>
    <w:basedOn w:val="1"/>
    <w:link w:val="943"/>
    <w:qFormat/>
    <w:uiPriority w:val="0"/>
    <w:pPr>
      <w:adjustRightInd w:val="0"/>
      <w:snapToGrid w:val="0"/>
      <w:spacing w:line="480" w:lineRule="exact"/>
      <w:jc w:val="center"/>
    </w:pPr>
    <w:rPr>
      <w:rFonts w:eastAsia="黑体" w:asciiTheme="minorHAnsi" w:hAnsiTheme="minorHAnsi" w:cstheme="minorBidi"/>
      <w:b/>
      <w:snapToGrid w:val="0"/>
      <w:spacing w:val="0"/>
      <w:kern w:val="2"/>
      <w:sz w:val="24"/>
      <w:szCs w:val="24"/>
    </w:rPr>
  </w:style>
  <w:style w:type="character" w:customStyle="1" w:styleId="945">
    <w:name w:val="A三级标题 Char Char"/>
    <w:qFormat/>
    <w:uiPriority w:val="0"/>
    <w:rPr>
      <w:rFonts w:eastAsia="宋体" w:cs="宋体"/>
      <w:b/>
      <w:bCs/>
      <w:kern w:val="2"/>
      <w:sz w:val="28"/>
      <w:lang w:val="en-US" w:eastAsia="zh-CN" w:bidi="ar-SA"/>
    </w:rPr>
  </w:style>
  <w:style w:type="character" w:customStyle="1" w:styleId="946">
    <w:name w:val="样式 首行缩进 Char Char Char + 自定义颜色(RGB(00160)) Char Char"/>
    <w:link w:val="947"/>
    <w:qFormat/>
    <w:uiPriority w:val="0"/>
    <w:rPr>
      <w:rFonts w:ascii="宋体" w:hAnsi="宋体"/>
      <w:sz w:val="24"/>
      <w:szCs w:val="24"/>
    </w:rPr>
  </w:style>
  <w:style w:type="paragraph" w:customStyle="1" w:styleId="947">
    <w:name w:val="样式 首行缩进 Char Char Char + 自定义颜色(RGB(00160))"/>
    <w:basedOn w:val="1"/>
    <w:link w:val="946"/>
    <w:qFormat/>
    <w:uiPriority w:val="0"/>
    <w:pPr>
      <w:snapToGrid w:val="0"/>
      <w:spacing w:line="440" w:lineRule="exact"/>
      <w:ind w:firstLine="480" w:firstLineChars="200"/>
    </w:pPr>
    <w:rPr>
      <w:rFonts w:ascii="宋体" w:hAnsi="宋体" w:eastAsiaTheme="minorEastAsia" w:cstheme="minorBidi"/>
      <w:spacing w:val="0"/>
      <w:kern w:val="2"/>
      <w:sz w:val="24"/>
      <w:szCs w:val="24"/>
    </w:rPr>
  </w:style>
  <w:style w:type="character" w:customStyle="1" w:styleId="948">
    <w:name w:val="表内小5 Char Char"/>
    <w:link w:val="949"/>
    <w:qFormat/>
    <w:uiPriority w:val="0"/>
    <w:rPr>
      <w:rFonts w:ascii="宋体" w:hAnsi="宋体" w:eastAsia="宋体"/>
      <w:sz w:val="18"/>
      <w:szCs w:val="24"/>
    </w:rPr>
  </w:style>
  <w:style w:type="paragraph" w:customStyle="1" w:styleId="949">
    <w:name w:val="表内小5"/>
    <w:basedOn w:val="1"/>
    <w:link w:val="948"/>
    <w:qFormat/>
    <w:uiPriority w:val="0"/>
    <w:pPr>
      <w:adjustRightInd w:val="0"/>
      <w:snapToGrid w:val="0"/>
      <w:spacing w:line="300" w:lineRule="auto"/>
    </w:pPr>
    <w:rPr>
      <w:rFonts w:ascii="宋体" w:hAnsi="宋体" w:cstheme="minorBidi"/>
      <w:spacing w:val="0"/>
      <w:kern w:val="2"/>
      <w:sz w:val="18"/>
      <w:szCs w:val="24"/>
    </w:rPr>
  </w:style>
  <w:style w:type="character" w:customStyle="1" w:styleId="950">
    <w:name w:val="表格文字 Char Char"/>
    <w:link w:val="951"/>
    <w:qFormat/>
    <w:uiPriority w:val="0"/>
    <w:rPr>
      <w:rFonts w:eastAsia="宋体"/>
      <w:bCs/>
      <w:spacing w:val="-10"/>
      <w:kern w:val="16"/>
      <w:szCs w:val="21"/>
    </w:rPr>
  </w:style>
  <w:style w:type="paragraph" w:customStyle="1" w:styleId="951">
    <w:name w:val="表格文字"/>
    <w:basedOn w:val="1"/>
    <w:next w:val="1"/>
    <w:link w:val="950"/>
    <w:qFormat/>
    <w:uiPriority w:val="0"/>
    <w:pPr>
      <w:adjustRightInd w:val="0"/>
      <w:snapToGrid w:val="0"/>
      <w:jc w:val="center"/>
    </w:pPr>
    <w:rPr>
      <w:rFonts w:asciiTheme="minorHAnsi" w:hAnsiTheme="minorHAnsi" w:cstheme="minorBidi"/>
      <w:bCs/>
      <w:spacing w:val="-10"/>
      <w:kern w:val="16"/>
      <w:sz w:val="21"/>
      <w:szCs w:val="21"/>
    </w:rPr>
  </w:style>
  <w:style w:type="character" w:customStyle="1" w:styleId="952">
    <w:name w:val="MFS正文 Char Char Char Char"/>
    <w:link w:val="953"/>
    <w:qFormat/>
    <w:uiPriority w:val="0"/>
    <w:rPr>
      <w:rFonts w:eastAsia="宋体"/>
      <w:sz w:val="24"/>
      <w:szCs w:val="24"/>
    </w:rPr>
  </w:style>
  <w:style w:type="paragraph" w:customStyle="1" w:styleId="953">
    <w:name w:val="MFS正文 Char"/>
    <w:basedOn w:val="87"/>
    <w:link w:val="952"/>
    <w:qFormat/>
    <w:uiPriority w:val="0"/>
    <w:pPr>
      <w:adjustRightInd w:val="0"/>
      <w:snapToGrid w:val="0"/>
      <w:spacing w:before="93" w:line="360" w:lineRule="auto"/>
      <w:ind w:firstLine="200" w:firstLineChars="200"/>
    </w:pPr>
    <w:rPr>
      <w:rFonts w:asciiTheme="minorHAnsi" w:hAnsiTheme="minorHAnsi" w:cstheme="minorBidi"/>
      <w:spacing w:val="0"/>
      <w:sz w:val="24"/>
    </w:rPr>
  </w:style>
  <w:style w:type="character" w:customStyle="1" w:styleId="954">
    <w:name w:val="表格标题 Char Char"/>
    <w:link w:val="955"/>
    <w:qFormat/>
    <w:uiPriority w:val="0"/>
    <w:rPr>
      <w:rFonts w:eastAsia="宋体"/>
    </w:rPr>
  </w:style>
  <w:style w:type="paragraph" w:customStyle="1" w:styleId="955">
    <w:name w:val="表格标题"/>
    <w:basedOn w:val="1"/>
    <w:link w:val="954"/>
    <w:qFormat/>
    <w:uiPriority w:val="0"/>
    <w:pPr>
      <w:adjustRightInd w:val="0"/>
      <w:snapToGrid w:val="0"/>
      <w:spacing w:line="480" w:lineRule="exact"/>
      <w:jc w:val="center"/>
    </w:pPr>
    <w:rPr>
      <w:rFonts w:asciiTheme="minorHAnsi" w:hAnsiTheme="minorHAnsi" w:cstheme="minorBidi"/>
      <w:spacing w:val="0"/>
      <w:kern w:val="2"/>
      <w:sz w:val="21"/>
      <w:szCs w:val="22"/>
    </w:rPr>
  </w:style>
  <w:style w:type="character" w:customStyle="1" w:styleId="956">
    <w:name w:val="正文段－5，0 Char Char"/>
    <w:link w:val="957"/>
    <w:qFormat/>
    <w:uiPriority w:val="0"/>
    <w:rPr>
      <w:rFonts w:ascii="宋体" w:hAnsi="宋体" w:eastAsia="宋体"/>
      <w:b/>
      <w:spacing w:val="4"/>
      <w:sz w:val="24"/>
      <w:szCs w:val="24"/>
    </w:rPr>
  </w:style>
  <w:style w:type="paragraph" w:customStyle="1" w:styleId="957">
    <w:name w:val="正文段－5，0"/>
    <w:basedOn w:val="34"/>
    <w:next w:val="34"/>
    <w:link w:val="956"/>
    <w:qFormat/>
    <w:uiPriority w:val="0"/>
    <w:pPr>
      <w:spacing w:beforeLines="25" w:line="480" w:lineRule="exact"/>
      <w:ind w:firstLine="200" w:firstLineChars="200"/>
    </w:pPr>
    <w:rPr>
      <w:rFonts w:ascii="宋体" w:hAnsi="宋体" w:cstheme="minorBidi"/>
      <w:b/>
      <w:spacing w:val="4"/>
      <w:kern w:val="2"/>
      <w:sz w:val="24"/>
      <w:szCs w:val="24"/>
    </w:rPr>
  </w:style>
  <w:style w:type="character" w:customStyle="1" w:styleId="958">
    <w:name w:val="标题 4 Char3"/>
    <w:qFormat/>
    <w:uiPriority w:val="0"/>
    <w:rPr>
      <w:rFonts w:ascii="黑体" w:hAnsi="Arial" w:eastAsia="黑体"/>
      <w:bCs/>
      <w:sz w:val="24"/>
      <w:szCs w:val="24"/>
      <w:lang w:val="en-US" w:eastAsia="zh-CN" w:bidi="ar-SA"/>
    </w:rPr>
  </w:style>
  <w:style w:type="character" w:customStyle="1" w:styleId="959">
    <w:name w:val="para1"/>
    <w:basedOn w:val="90"/>
    <w:qFormat/>
    <w:uiPriority w:val="0"/>
  </w:style>
  <w:style w:type="character" w:customStyle="1" w:styleId="960">
    <w:name w:val="报告 Char"/>
    <w:qFormat/>
    <w:locked/>
    <w:uiPriority w:val="0"/>
    <w:rPr>
      <w:rFonts w:ascii="TimesNewRoman" w:hAnsi="TimesNewRoman" w:eastAsia="TimesNewRoman"/>
      <w:sz w:val="24"/>
    </w:rPr>
  </w:style>
  <w:style w:type="character" w:customStyle="1" w:styleId="961">
    <w:name w:val="陈光的正文 Char Char"/>
    <w:link w:val="962"/>
    <w:qFormat/>
    <w:uiPriority w:val="0"/>
    <w:rPr>
      <w:sz w:val="28"/>
    </w:rPr>
  </w:style>
  <w:style w:type="paragraph" w:customStyle="1" w:styleId="962">
    <w:name w:val="陈光的正文"/>
    <w:basedOn w:val="1"/>
    <w:link w:val="961"/>
    <w:qFormat/>
    <w:uiPriority w:val="0"/>
    <w:pPr>
      <w:adjustRightInd w:val="0"/>
      <w:snapToGrid w:val="0"/>
      <w:spacing w:beforeLines="10" w:afterLines="10" w:line="360" w:lineRule="auto"/>
      <w:ind w:firstLine="560" w:firstLineChars="200"/>
    </w:pPr>
    <w:rPr>
      <w:rFonts w:asciiTheme="minorHAnsi" w:hAnsiTheme="minorHAnsi" w:eastAsiaTheme="minorEastAsia" w:cstheme="minorBidi"/>
      <w:spacing w:val="0"/>
      <w:kern w:val="2"/>
      <w:sz w:val="28"/>
      <w:szCs w:val="22"/>
    </w:rPr>
  </w:style>
  <w:style w:type="character" w:customStyle="1" w:styleId="963">
    <w:name w:val="正文小四 Char Char"/>
    <w:link w:val="964"/>
    <w:qFormat/>
    <w:uiPriority w:val="0"/>
    <w:rPr>
      <w:rFonts w:eastAsia="宋体"/>
      <w:sz w:val="24"/>
    </w:rPr>
  </w:style>
  <w:style w:type="paragraph" w:customStyle="1" w:styleId="964">
    <w:name w:val="正文小四"/>
    <w:basedOn w:val="1"/>
    <w:link w:val="963"/>
    <w:qFormat/>
    <w:uiPriority w:val="0"/>
    <w:pPr>
      <w:spacing w:line="360" w:lineRule="auto"/>
    </w:pPr>
    <w:rPr>
      <w:rFonts w:asciiTheme="minorHAnsi" w:hAnsiTheme="minorHAnsi" w:cstheme="minorBidi"/>
      <w:spacing w:val="0"/>
      <w:kern w:val="2"/>
      <w:sz w:val="24"/>
      <w:szCs w:val="22"/>
    </w:rPr>
  </w:style>
  <w:style w:type="character" w:customStyle="1" w:styleId="965">
    <w:name w:val="Char Char101"/>
    <w:qFormat/>
    <w:uiPriority w:val="0"/>
    <w:rPr>
      <w:rFonts w:ascii="Arial" w:hAnsi="Arial" w:eastAsia="宋体" w:cs="Arial"/>
      <w:b/>
      <w:bCs/>
      <w:kern w:val="2"/>
      <w:sz w:val="32"/>
      <w:szCs w:val="32"/>
      <w:lang w:val="en-US" w:eastAsia="zh-CN" w:bidi="ar-SA"/>
    </w:rPr>
  </w:style>
  <w:style w:type="character" w:customStyle="1" w:styleId="966">
    <w:name w:val="表格内字体 Char Char"/>
    <w:link w:val="967"/>
    <w:qFormat/>
    <w:uiPriority w:val="0"/>
    <w:rPr>
      <w:rFonts w:cs="宋体"/>
      <w:lang w:val="zh-CN"/>
    </w:rPr>
  </w:style>
  <w:style w:type="paragraph" w:customStyle="1" w:styleId="967">
    <w:name w:val="表格内字体"/>
    <w:link w:val="966"/>
    <w:qFormat/>
    <w:uiPriority w:val="0"/>
    <w:pPr>
      <w:ind w:left="50" w:right="-32"/>
      <w:jc w:val="center"/>
    </w:pPr>
    <w:rPr>
      <w:rFonts w:cs="宋体" w:asciiTheme="minorHAnsi" w:hAnsiTheme="minorHAnsi" w:eastAsiaTheme="minorEastAsia"/>
      <w:kern w:val="2"/>
      <w:sz w:val="21"/>
      <w:szCs w:val="22"/>
      <w:lang w:val="zh-CN" w:eastAsia="zh-CN" w:bidi="ar-SA"/>
    </w:rPr>
  </w:style>
  <w:style w:type="character" w:customStyle="1" w:styleId="968">
    <w:name w:val="表内小5 Char2"/>
    <w:qFormat/>
    <w:uiPriority w:val="0"/>
    <w:rPr>
      <w:rFonts w:ascii="宋体" w:hAnsi="宋体" w:eastAsia="宋体"/>
      <w:kern w:val="2"/>
      <w:sz w:val="18"/>
      <w:szCs w:val="24"/>
      <w:lang w:val="en-US" w:eastAsia="zh-CN" w:bidi="ar-SA"/>
    </w:rPr>
  </w:style>
  <w:style w:type="character" w:customStyle="1" w:styleId="969">
    <w:name w:val="我的正文 Char"/>
    <w:qFormat/>
    <w:locked/>
    <w:uiPriority w:val="0"/>
    <w:rPr>
      <w:rFonts w:ascii="宋体" w:hAnsi="Courier New" w:eastAsia="幼圆"/>
      <w:spacing w:val="8"/>
      <w:sz w:val="24"/>
    </w:rPr>
  </w:style>
  <w:style w:type="character" w:customStyle="1" w:styleId="970">
    <w:name w:val="m_2"/>
    <w:qFormat/>
    <w:uiPriority w:val="0"/>
  </w:style>
  <w:style w:type="character" w:customStyle="1" w:styleId="971">
    <w:name w:val="style4 Char Char Char"/>
    <w:qFormat/>
    <w:uiPriority w:val="0"/>
    <w:rPr>
      <w:rFonts w:ascii="Arial" w:hAnsi="Arial" w:eastAsia="宋体"/>
      <w:bCs/>
      <w:sz w:val="24"/>
      <w:szCs w:val="28"/>
      <w:lang w:val="en-US" w:eastAsia="zh-CN" w:bidi="ar-SA"/>
    </w:rPr>
  </w:style>
  <w:style w:type="character" w:customStyle="1" w:styleId="972">
    <w:name w:val="正文缩进4"/>
    <w:qFormat/>
    <w:uiPriority w:val="0"/>
    <w:rPr>
      <w:rFonts w:ascii="仿宋_GB2312" w:eastAsia="仿宋_GB2312"/>
      <w:kern w:val="2"/>
      <w:sz w:val="28"/>
      <w:szCs w:val="24"/>
      <w:lang w:val="en-US" w:eastAsia="zh-CN" w:bidi="ar-SA"/>
    </w:rPr>
  </w:style>
  <w:style w:type="character" w:customStyle="1" w:styleId="973">
    <w:name w:val="样式 正文首行缩进 + 四号 黑色 Char Char"/>
    <w:link w:val="974"/>
    <w:qFormat/>
    <w:uiPriority w:val="0"/>
    <w:rPr>
      <w:rFonts w:ascii="宋体"/>
      <w:color w:val="000000"/>
      <w:sz w:val="28"/>
      <w:szCs w:val="24"/>
    </w:rPr>
  </w:style>
  <w:style w:type="paragraph" w:customStyle="1" w:styleId="974">
    <w:name w:val="样式 正文首行缩进 + 四号 黑色"/>
    <w:basedOn w:val="87"/>
    <w:link w:val="973"/>
    <w:qFormat/>
    <w:uiPriority w:val="0"/>
    <w:rPr>
      <w:rFonts w:ascii="宋体" w:hAnsiTheme="minorHAnsi" w:eastAsiaTheme="minorEastAsia" w:cstheme="minorBidi"/>
      <w:color w:val="000000"/>
      <w:spacing w:val="0"/>
      <w:sz w:val="28"/>
    </w:rPr>
  </w:style>
  <w:style w:type="character" w:customStyle="1" w:styleId="975">
    <w:name w:val="javascript"/>
    <w:qFormat/>
    <w:uiPriority w:val="0"/>
  </w:style>
  <w:style w:type="character" w:customStyle="1" w:styleId="976">
    <w:name w:val="样式 表内5 + (符号) 宋体 两端对齐 行距: 单倍行距 Char Char"/>
    <w:link w:val="977"/>
    <w:qFormat/>
    <w:uiPriority w:val="0"/>
  </w:style>
  <w:style w:type="paragraph" w:customStyle="1" w:styleId="977">
    <w:name w:val="样式 表内5 + (符号) 宋体 两端对齐 行距: 单倍行距"/>
    <w:link w:val="976"/>
    <w:qFormat/>
    <w:uiPriority w:val="0"/>
    <w:rPr>
      <w:rFonts w:asciiTheme="minorHAnsi" w:hAnsiTheme="minorHAnsi" w:eastAsiaTheme="minorEastAsia" w:cstheme="minorBidi"/>
      <w:kern w:val="2"/>
      <w:sz w:val="21"/>
      <w:szCs w:val="22"/>
      <w:lang w:val="en-US" w:eastAsia="zh-CN" w:bidi="ar-SA"/>
    </w:rPr>
  </w:style>
  <w:style w:type="character" w:customStyle="1" w:styleId="978">
    <w:name w:val="标准文本 首行缩进:2 字符 行距1倍 Char Char Char Char Char Char"/>
    <w:link w:val="979"/>
    <w:qFormat/>
    <w:uiPriority w:val="0"/>
    <w:rPr>
      <w:rFonts w:ascii="黑体" w:eastAsia="黑体" w:cs="宋体"/>
      <w:sz w:val="28"/>
      <w:szCs w:val="28"/>
    </w:rPr>
  </w:style>
  <w:style w:type="paragraph" w:customStyle="1" w:styleId="979">
    <w:name w:val="标准文本 首行缩进:2 字符 行距1倍 Char Char Char"/>
    <w:basedOn w:val="1"/>
    <w:link w:val="978"/>
    <w:qFormat/>
    <w:uiPriority w:val="0"/>
    <w:pPr>
      <w:adjustRightInd w:val="0"/>
      <w:snapToGrid w:val="0"/>
      <w:ind w:firstLine="200" w:firstLineChars="200"/>
      <w:textAlignment w:val="center"/>
    </w:pPr>
    <w:rPr>
      <w:rFonts w:ascii="黑体" w:eastAsia="黑体" w:cs="宋体" w:hAnsiTheme="minorHAnsi"/>
      <w:spacing w:val="0"/>
      <w:kern w:val="2"/>
      <w:sz w:val="28"/>
      <w:szCs w:val="28"/>
    </w:rPr>
  </w:style>
  <w:style w:type="character" w:customStyle="1" w:styleId="980">
    <w:name w:val="Char Char2111"/>
    <w:qFormat/>
    <w:uiPriority w:val="0"/>
    <w:rPr>
      <w:kern w:val="2"/>
      <w:sz w:val="21"/>
      <w:szCs w:val="24"/>
    </w:rPr>
  </w:style>
  <w:style w:type="character" w:customStyle="1" w:styleId="981">
    <w:name w:val="sour"/>
    <w:basedOn w:val="90"/>
    <w:qFormat/>
    <w:uiPriority w:val="0"/>
  </w:style>
  <w:style w:type="character" w:customStyle="1" w:styleId="982">
    <w:name w:val="f141"/>
    <w:qFormat/>
    <w:uiPriority w:val="0"/>
    <w:rPr>
      <w:color w:val="222222"/>
      <w:sz w:val="19"/>
      <w:szCs w:val="19"/>
    </w:rPr>
  </w:style>
  <w:style w:type="character" w:customStyle="1" w:styleId="983">
    <w:name w:val="样式 MFS正文 Char Char Char + 宋体 Char"/>
    <w:qFormat/>
    <w:uiPriority w:val="0"/>
    <w:rPr>
      <w:rFonts w:ascii="宋体" w:hAnsi="宋体" w:eastAsia="楷体_GB2312"/>
      <w:kern w:val="2"/>
      <w:sz w:val="24"/>
      <w:szCs w:val="24"/>
    </w:rPr>
  </w:style>
  <w:style w:type="character" w:customStyle="1" w:styleId="984">
    <w:name w:val="正文样式 Char Char Char Char Char Char Char Char"/>
    <w:link w:val="985"/>
    <w:qFormat/>
    <w:uiPriority w:val="0"/>
    <w:rPr>
      <w:rFonts w:ascii="宋体" w:hAnsi="宋体" w:eastAsia="宋体"/>
      <w:color w:val="000000"/>
      <w:sz w:val="24"/>
    </w:rPr>
  </w:style>
  <w:style w:type="paragraph" w:customStyle="1" w:styleId="985">
    <w:name w:val="正文样式 Char"/>
    <w:basedOn w:val="1"/>
    <w:link w:val="984"/>
    <w:qFormat/>
    <w:uiPriority w:val="0"/>
    <w:pPr>
      <w:spacing w:line="360" w:lineRule="auto"/>
      <w:ind w:firstLine="480" w:firstLineChars="200"/>
    </w:pPr>
    <w:rPr>
      <w:rFonts w:ascii="宋体" w:hAnsi="宋体" w:cstheme="minorBidi"/>
      <w:color w:val="000000"/>
      <w:spacing w:val="0"/>
      <w:kern w:val="2"/>
      <w:sz w:val="24"/>
      <w:szCs w:val="22"/>
    </w:rPr>
  </w:style>
  <w:style w:type="character" w:customStyle="1" w:styleId="986">
    <w:name w:val="！正文 Char Char"/>
    <w:qFormat/>
    <w:uiPriority w:val="0"/>
    <w:rPr>
      <w:rFonts w:eastAsia="仿宋_GB2312"/>
      <w:color w:val="000000"/>
      <w:kern w:val="2"/>
      <w:sz w:val="28"/>
      <w:szCs w:val="30"/>
      <w:lang w:val="en-US" w:eastAsia="zh-CN" w:bidi="ar-SA"/>
    </w:rPr>
  </w:style>
  <w:style w:type="character" w:customStyle="1" w:styleId="987">
    <w:name w:val="s c c"/>
    <w:basedOn w:val="90"/>
    <w:qFormat/>
    <w:uiPriority w:val="0"/>
  </w:style>
  <w:style w:type="character" w:customStyle="1" w:styleId="988">
    <w:name w:val="样式10 Char Char"/>
    <w:link w:val="989"/>
    <w:qFormat/>
    <w:uiPriority w:val="0"/>
    <w:rPr>
      <w:rFonts w:ascii="宋体" w:hAnsi="宋体"/>
      <w:kern w:val="10"/>
      <w:sz w:val="24"/>
      <w:szCs w:val="24"/>
    </w:rPr>
  </w:style>
  <w:style w:type="paragraph" w:customStyle="1" w:styleId="989">
    <w:name w:val="样式10 Char"/>
    <w:basedOn w:val="1"/>
    <w:link w:val="988"/>
    <w:qFormat/>
    <w:uiPriority w:val="0"/>
    <w:pPr>
      <w:spacing w:line="360" w:lineRule="auto"/>
      <w:ind w:firstLine="480" w:firstLineChars="200"/>
    </w:pPr>
    <w:rPr>
      <w:rFonts w:ascii="宋体" w:hAnsi="宋体" w:eastAsiaTheme="minorEastAsia" w:cstheme="minorBidi"/>
      <w:spacing w:val="0"/>
      <w:kern w:val="10"/>
      <w:sz w:val="24"/>
      <w:szCs w:val="24"/>
    </w:rPr>
  </w:style>
  <w:style w:type="character" w:customStyle="1" w:styleId="990">
    <w:name w:val="unnamed11"/>
    <w:qFormat/>
    <w:uiPriority w:val="0"/>
    <w:rPr>
      <w:sz w:val="18"/>
      <w:szCs w:val="18"/>
    </w:rPr>
  </w:style>
  <w:style w:type="character" w:customStyle="1" w:styleId="991">
    <w:name w:val="表名 Char"/>
    <w:qFormat/>
    <w:locked/>
    <w:uiPriority w:val="0"/>
    <w:rPr>
      <w:rFonts w:ascii="Dutch801 Rm BT" w:hAnsi="Dutch801 Rm BT"/>
      <w:b/>
      <w:kern w:val="2"/>
      <w:sz w:val="21"/>
      <w:szCs w:val="24"/>
    </w:rPr>
  </w:style>
  <w:style w:type="character" w:customStyle="1" w:styleId="992">
    <w:name w:val="Char Char231"/>
    <w:qFormat/>
    <w:uiPriority w:val="0"/>
    <w:rPr>
      <w:rFonts w:eastAsia="宋体"/>
      <w:kern w:val="2"/>
      <w:sz w:val="21"/>
      <w:szCs w:val="24"/>
      <w:lang w:val="en-US" w:eastAsia="zh-CN" w:bidi="ar-SA"/>
    </w:rPr>
  </w:style>
  <w:style w:type="character" w:customStyle="1" w:styleId="993">
    <w:name w:val="style591"/>
    <w:qFormat/>
    <w:uiPriority w:val="0"/>
    <w:rPr>
      <w:color w:val="006699"/>
      <w:sz w:val="21"/>
      <w:szCs w:val="21"/>
    </w:rPr>
  </w:style>
  <w:style w:type="character" w:customStyle="1" w:styleId="994">
    <w:name w:val="mainfirst1"/>
    <w:qFormat/>
    <w:uiPriority w:val="0"/>
    <w:rPr>
      <w:rFonts w:hint="eastAsia" w:ascii="宋体" w:hAnsi="宋体" w:eastAsia="黑体" w:cs="宋体"/>
      <w:b/>
      <w:bCs/>
      <w:color w:val="FF0000"/>
      <w:kern w:val="2"/>
      <w:sz w:val="36"/>
      <w:szCs w:val="36"/>
      <w:lang w:val="en-US" w:eastAsia="zh-CN" w:bidi="ar-SA"/>
    </w:rPr>
  </w:style>
  <w:style w:type="character" w:customStyle="1" w:styleId="995">
    <w:name w:val="hb3 Char1"/>
    <w:qFormat/>
    <w:uiPriority w:val="0"/>
    <w:rPr>
      <w:rFonts w:eastAsia="宋体" w:cs="宋体"/>
      <w:b/>
      <w:kern w:val="2"/>
      <w:sz w:val="24"/>
      <w:szCs w:val="24"/>
      <w:lang w:val="en-US" w:eastAsia="zh-CN" w:bidi="ar-SA"/>
    </w:rPr>
  </w:style>
  <w:style w:type="character" w:customStyle="1" w:styleId="996">
    <w:name w:val="文本框五号 Char Char Char"/>
    <w:qFormat/>
    <w:uiPriority w:val="0"/>
    <w:rPr>
      <w:rFonts w:hint="eastAsia" w:ascii="宋体" w:hAnsi="宋体" w:eastAsia="仿宋_GB2312" w:cs="Courier New"/>
      <w:kern w:val="2"/>
      <w:sz w:val="21"/>
      <w:szCs w:val="21"/>
      <w:lang w:val="en-US" w:eastAsia="zh-CN" w:bidi="ar-SA"/>
    </w:rPr>
  </w:style>
  <w:style w:type="character" w:customStyle="1" w:styleId="997">
    <w:name w:val="样式 样式3 + (中文) 宋体 Char"/>
    <w:qFormat/>
    <w:locked/>
    <w:uiPriority w:val="0"/>
    <w:rPr>
      <w:rFonts w:ascii="黑体" w:hAnsi="黑体" w:eastAsia="黑体"/>
      <w:color w:val="000000"/>
      <w:szCs w:val="21"/>
    </w:rPr>
  </w:style>
  <w:style w:type="character" w:customStyle="1" w:styleId="998">
    <w:name w:val="样式 标题 4 + 左侧:  0 厘米 悬挂缩进: 8.64 字符 段前: 6 磅 段后: 6 磅 行距: 单倍行距 Char"/>
    <w:qFormat/>
    <w:locked/>
    <w:uiPriority w:val="0"/>
    <w:rPr>
      <w:rFonts w:ascii="Arial" w:hAnsi="Dutch801 Rm BT" w:eastAsia="黑体" w:cs="Arial"/>
      <w:b/>
      <w:bCs/>
      <w:sz w:val="24"/>
    </w:rPr>
  </w:style>
  <w:style w:type="character" w:customStyle="1" w:styleId="999">
    <w:name w:val="HTML 代码12"/>
    <w:qFormat/>
    <w:uiPriority w:val="0"/>
    <w:rPr>
      <w:rFonts w:ascii="Courier New" w:hAnsi="Courier New" w:cs="Courier New"/>
      <w:sz w:val="20"/>
      <w:szCs w:val="20"/>
    </w:rPr>
  </w:style>
  <w:style w:type="character" w:customStyle="1" w:styleId="1000">
    <w:name w:val="标准段落文字 Char"/>
    <w:qFormat/>
    <w:locked/>
    <w:uiPriority w:val="0"/>
    <w:rPr>
      <w:sz w:val="24"/>
    </w:rPr>
  </w:style>
  <w:style w:type="character" w:customStyle="1" w:styleId="1001">
    <w:name w:val="MFS单位4 Char"/>
    <w:qFormat/>
    <w:locked/>
    <w:uiPriority w:val="0"/>
    <w:rPr>
      <w:rFonts w:ascii="楷体_GB2312" w:eastAsia="楷体_GB2312"/>
      <w:kern w:val="2"/>
      <w:sz w:val="18"/>
      <w:szCs w:val="18"/>
    </w:rPr>
  </w:style>
  <w:style w:type="character" w:customStyle="1" w:styleId="1002">
    <w:name w:val="批注主题 Char2"/>
    <w:qFormat/>
    <w:uiPriority w:val="0"/>
    <w:rPr>
      <w:rFonts w:eastAsia="宋体"/>
      <w:b/>
      <w:bCs/>
      <w:kern w:val="2"/>
      <w:sz w:val="21"/>
      <w:szCs w:val="24"/>
      <w:lang w:val="en-US" w:eastAsia="zh-CN" w:bidi="ar-SA"/>
    </w:rPr>
  </w:style>
  <w:style w:type="character" w:customStyle="1" w:styleId="1003">
    <w:name w:val="8 Char1 Char"/>
    <w:qFormat/>
    <w:locked/>
    <w:uiPriority w:val="0"/>
    <w:rPr>
      <w:kern w:val="10"/>
      <w:sz w:val="24"/>
      <w:szCs w:val="24"/>
    </w:rPr>
  </w:style>
  <w:style w:type="character" w:customStyle="1" w:styleId="1004">
    <w:name w:val="小四正文 Char"/>
    <w:qFormat/>
    <w:locked/>
    <w:uiPriority w:val="0"/>
    <w:rPr>
      <w:rFonts w:eastAsia="Times New Roman"/>
      <w:color w:val="000000"/>
      <w:spacing w:val="8"/>
      <w:kern w:val="2"/>
      <w:sz w:val="24"/>
      <w:szCs w:val="24"/>
      <w:lang w:val="en-GB"/>
    </w:rPr>
  </w:style>
  <w:style w:type="character" w:customStyle="1" w:styleId="1005">
    <w:name w:val="4-25正 Char Char Char Char"/>
    <w:link w:val="1006"/>
    <w:qFormat/>
    <w:uiPriority w:val="0"/>
    <w:rPr>
      <w:rFonts w:eastAsia="宋体" w:cs="宋体"/>
      <w:b/>
      <w:sz w:val="24"/>
      <w:szCs w:val="24"/>
    </w:rPr>
  </w:style>
  <w:style w:type="paragraph" w:customStyle="1" w:styleId="1006">
    <w:name w:val="4-25正 Char Char"/>
    <w:basedOn w:val="1"/>
    <w:link w:val="1005"/>
    <w:qFormat/>
    <w:uiPriority w:val="0"/>
    <w:pPr>
      <w:widowControl/>
      <w:spacing w:before="40" w:after="40" w:line="360" w:lineRule="auto"/>
      <w:ind w:firstLine="480" w:firstLineChars="200"/>
    </w:pPr>
    <w:rPr>
      <w:rFonts w:cs="宋体" w:asciiTheme="minorHAnsi" w:hAnsiTheme="minorHAnsi"/>
      <w:b/>
      <w:spacing w:val="0"/>
      <w:kern w:val="2"/>
      <w:sz w:val="24"/>
      <w:szCs w:val="24"/>
    </w:rPr>
  </w:style>
  <w:style w:type="character" w:customStyle="1" w:styleId="1007">
    <w:name w:val="可研正文 Char Char"/>
    <w:link w:val="1008"/>
    <w:qFormat/>
    <w:uiPriority w:val="0"/>
    <w:rPr>
      <w:rFonts w:ascii="宋体" w:hAnsi="宋体" w:eastAsia="宋体" w:cs="宋体"/>
      <w:sz w:val="28"/>
    </w:rPr>
  </w:style>
  <w:style w:type="paragraph" w:customStyle="1" w:styleId="1008">
    <w:name w:val="可研正文"/>
    <w:basedOn w:val="1"/>
    <w:link w:val="1007"/>
    <w:qFormat/>
    <w:uiPriority w:val="0"/>
    <w:pPr>
      <w:spacing w:line="360" w:lineRule="auto"/>
      <w:ind w:firstLine="560" w:firstLineChars="200"/>
    </w:pPr>
    <w:rPr>
      <w:rFonts w:ascii="宋体" w:hAnsi="宋体" w:cs="宋体"/>
      <w:spacing w:val="0"/>
      <w:kern w:val="2"/>
      <w:sz w:val="28"/>
      <w:szCs w:val="22"/>
    </w:rPr>
  </w:style>
  <w:style w:type="character" w:customStyle="1" w:styleId="1009">
    <w:name w:val="x_content_title1"/>
    <w:qFormat/>
    <w:uiPriority w:val="0"/>
    <w:rPr>
      <w:sz w:val="24"/>
      <w:szCs w:val="24"/>
    </w:rPr>
  </w:style>
  <w:style w:type="character" w:customStyle="1" w:styleId="1010">
    <w:name w:val="Char Char Char Char Char Char Char Char Char Char Char Char Char Char12"/>
    <w:qFormat/>
    <w:uiPriority w:val="0"/>
    <w:rPr>
      <w:kern w:val="2"/>
      <w:sz w:val="21"/>
      <w:szCs w:val="24"/>
    </w:rPr>
  </w:style>
  <w:style w:type="character" w:customStyle="1" w:styleId="1011">
    <w:name w:val="Char Char122"/>
    <w:qFormat/>
    <w:uiPriority w:val="0"/>
    <w:rPr>
      <w:rFonts w:eastAsia="宋体"/>
      <w:kern w:val="2"/>
      <w:sz w:val="18"/>
      <w:szCs w:val="18"/>
      <w:lang w:val="en-US" w:eastAsia="zh-CN" w:bidi="ar-SA"/>
    </w:rPr>
  </w:style>
  <w:style w:type="character" w:customStyle="1" w:styleId="1012">
    <w:name w:val="表格文字居中 Char Char"/>
    <w:qFormat/>
    <w:uiPriority w:val="0"/>
    <w:rPr>
      <w:rFonts w:ascii="宋体" w:hAnsi="宋体" w:eastAsia="宋体" w:cs="宋体"/>
      <w:kern w:val="2"/>
      <w:sz w:val="24"/>
      <w:szCs w:val="24"/>
      <w:lang w:val="en-US" w:eastAsia="zh-CN"/>
    </w:rPr>
  </w:style>
  <w:style w:type="character" w:customStyle="1" w:styleId="1013">
    <w:name w:val="Char Char27"/>
    <w:qFormat/>
    <w:uiPriority w:val="0"/>
    <w:rPr>
      <w:rFonts w:ascii="宋体" w:hAnsi="宋体" w:eastAsia="宋体"/>
      <w:kern w:val="2"/>
      <w:sz w:val="24"/>
      <w:szCs w:val="24"/>
      <w:lang w:val="en-US" w:eastAsia="zh-CN" w:bidi="ar-SA"/>
    </w:rPr>
  </w:style>
  <w:style w:type="character" w:customStyle="1" w:styleId="1014">
    <w:name w:val="bigcopy1"/>
    <w:qFormat/>
    <w:uiPriority w:val="0"/>
    <w:rPr>
      <w:color w:val="000000"/>
      <w:sz w:val="22"/>
    </w:rPr>
  </w:style>
  <w:style w:type="character" w:customStyle="1" w:styleId="1015">
    <w:name w:val="表格统一样式 Char Char Char"/>
    <w:qFormat/>
    <w:uiPriority w:val="0"/>
    <w:rPr>
      <w:color w:val="000000"/>
      <w:sz w:val="18"/>
      <w:szCs w:val="18"/>
    </w:rPr>
  </w:style>
  <w:style w:type="character" w:customStyle="1" w:styleId="1016">
    <w:name w:val="正文格式111 Char"/>
    <w:qFormat/>
    <w:locked/>
    <w:uiPriority w:val="0"/>
    <w:rPr>
      <w:rFonts w:ascii="宋体" w:hAnsi="宋体"/>
      <w:sz w:val="24"/>
      <w:szCs w:val="24"/>
    </w:rPr>
  </w:style>
  <w:style w:type="character" w:customStyle="1" w:styleId="1017">
    <w:name w:val="条 Char"/>
    <w:qFormat/>
    <w:uiPriority w:val="0"/>
    <w:rPr>
      <w:rFonts w:ascii="黑体" w:eastAsia="黑体"/>
      <w:bCs/>
      <w:sz w:val="28"/>
      <w:szCs w:val="28"/>
      <w:lang w:val="en-US" w:eastAsia="zh-CN" w:bidi="ar-SA"/>
    </w:rPr>
  </w:style>
  <w:style w:type="character" w:customStyle="1" w:styleId="1018">
    <w:name w:val="样式 (西文) 仿宋_GB2312 (中文) 仿宋_GB2312 Char Char Char"/>
    <w:link w:val="1019"/>
    <w:qFormat/>
    <w:uiPriority w:val="0"/>
    <w:rPr>
      <w:rFonts w:ascii="仿宋_GB2312" w:eastAsia="仿宋_GB2312"/>
      <w:sz w:val="28"/>
      <w:szCs w:val="30"/>
    </w:rPr>
  </w:style>
  <w:style w:type="paragraph" w:customStyle="1" w:styleId="1019">
    <w:name w:val="样式 (西文) 仿宋_GB2312 (中文) 仿宋_GB2312"/>
    <w:basedOn w:val="1"/>
    <w:link w:val="1018"/>
    <w:qFormat/>
    <w:uiPriority w:val="0"/>
    <w:pPr>
      <w:adjustRightInd w:val="0"/>
      <w:snapToGrid w:val="0"/>
      <w:spacing w:afterLines="100" w:line="300" w:lineRule="auto"/>
      <w:ind w:firstLine="200" w:firstLineChars="200"/>
      <w:contextualSpacing/>
    </w:pPr>
    <w:rPr>
      <w:rFonts w:ascii="仿宋_GB2312" w:eastAsia="仿宋_GB2312" w:hAnsiTheme="minorHAnsi" w:cstheme="minorBidi"/>
      <w:spacing w:val="0"/>
      <w:kern w:val="2"/>
      <w:sz w:val="28"/>
      <w:szCs w:val="30"/>
    </w:rPr>
  </w:style>
  <w:style w:type="character" w:customStyle="1" w:styleId="1020">
    <w:name w:val="样式 Times New Roman"/>
    <w:qFormat/>
    <w:uiPriority w:val="0"/>
    <w:rPr>
      <w:rFonts w:ascii="宋体" w:hAnsi="Times New Roman" w:eastAsia="宋体"/>
    </w:rPr>
  </w:style>
  <w:style w:type="character" w:customStyle="1" w:styleId="1021">
    <w:name w:val="正文不缩进 Char Char Char Char Char Char"/>
    <w:qFormat/>
    <w:uiPriority w:val="0"/>
    <w:rPr>
      <w:rFonts w:hint="eastAsia" w:ascii="宋体" w:hAnsi="宋体" w:eastAsia="宋体"/>
      <w:kern w:val="2"/>
      <w:sz w:val="21"/>
      <w:szCs w:val="24"/>
      <w:lang w:val="en-US" w:eastAsia="zh-CN" w:bidi="ar-SA"/>
    </w:rPr>
  </w:style>
  <w:style w:type="character" w:customStyle="1" w:styleId="1022">
    <w:name w:val="日期 Char Char"/>
    <w:link w:val="1023"/>
    <w:qFormat/>
    <w:uiPriority w:val="0"/>
    <w:rPr>
      <w:rFonts w:ascii="宋体"/>
      <w:sz w:val="32"/>
    </w:rPr>
  </w:style>
  <w:style w:type="paragraph" w:customStyle="1" w:styleId="1023">
    <w:name w:val="日期1"/>
    <w:basedOn w:val="1"/>
    <w:next w:val="1"/>
    <w:link w:val="1022"/>
    <w:qFormat/>
    <w:uiPriority w:val="0"/>
    <w:pPr>
      <w:adjustRightInd w:val="0"/>
      <w:textAlignment w:val="baseline"/>
    </w:pPr>
    <w:rPr>
      <w:rFonts w:ascii="宋体" w:hAnsiTheme="minorHAnsi" w:eastAsiaTheme="minorEastAsia" w:cstheme="minorBidi"/>
      <w:spacing w:val="0"/>
      <w:kern w:val="2"/>
      <w:sz w:val="32"/>
      <w:szCs w:val="22"/>
    </w:rPr>
  </w:style>
  <w:style w:type="character" w:customStyle="1" w:styleId="1024">
    <w:name w:val="HTML 样本11"/>
    <w:qFormat/>
    <w:uiPriority w:val="0"/>
    <w:rPr>
      <w:rFonts w:ascii="Courier New" w:hAnsi="Courier New" w:cs="Courier New"/>
    </w:rPr>
  </w:style>
  <w:style w:type="character" w:customStyle="1" w:styleId="1025">
    <w:name w:val="图名 Char Char"/>
    <w:link w:val="1026"/>
    <w:qFormat/>
    <w:uiPriority w:val="0"/>
    <w:rPr>
      <w:rFonts w:eastAsia="宋体"/>
      <w:b/>
      <w:snapToGrid w:val="0"/>
      <w:sz w:val="24"/>
      <w:szCs w:val="24"/>
    </w:rPr>
  </w:style>
  <w:style w:type="paragraph" w:customStyle="1" w:styleId="1026">
    <w:name w:val="图名"/>
    <w:basedOn w:val="22"/>
    <w:link w:val="1025"/>
    <w:qFormat/>
    <w:uiPriority w:val="0"/>
    <w:pPr>
      <w:topLinePunct/>
      <w:adjustRightInd/>
      <w:textAlignment w:val="auto"/>
    </w:pPr>
    <w:rPr>
      <w:rFonts w:eastAsia="宋体" w:asciiTheme="minorHAnsi" w:hAnsiTheme="minorHAnsi" w:cstheme="minorBidi"/>
      <w:b/>
      <w:snapToGrid w:val="0"/>
      <w:kern w:val="2"/>
      <w:sz w:val="24"/>
      <w:szCs w:val="24"/>
    </w:rPr>
  </w:style>
  <w:style w:type="character" w:customStyle="1" w:styleId="1027">
    <w:name w:val="表内5 Char"/>
    <w:qFormat/>
    <w:locked/>
    <w:uiPriority w:val="0"/>
    <w:rPr>
      <w:rFonts w:ascii="宋体" w:hAnsi="宋体"/>
    </w:rPr>
  </w:style>
  <w:style w:type="character" w:customStyle="1" w:styleId="1028">
    <w:name w:val="正文文字缩进 Char"/>
    <w:qFormat/>
    <w:uiPriority w:val="0"/>
    <w:rPr>
      <w:rFonts w:ascii="Times New Roman" w:hAnsi="Times New Roman" w:eastAsia="宋体" w:cs="Times New Roman"/>
      <w:sz w:val="24"/>
      <w:szCs w:val="20"/>
    </w:rPr>
  </w:style>
  <w:style w:type="character" w:customStyle="1" w:styleId="1029">
    <w:name w:val="图题注 Char2"/>
    <w:qFormat/>
    <w:uiPriority w:val="0"/>
    <w:rPr>
      <w:rFonts w:ascii="黑体" w:hAnsi="Arial" w:eastAsia="黑体" w:cs="宋体"/>
      <w:b/>
      <w:bCs/>
      <w:kern w:val="2"/>
      <w:sz w:val="24"/>
      <w:szCs w:val="24"/>
      <w:lang w:val="en-US" w:eastAsia="zh-CN" w:bidi="ar-SA"/>
    </w:rPr>
  </w:style>
  <w:style w:type="character" w:customStyle="1" w:styleId="1030">
    <w:name w:val="HTML 引文1"/>
    <w:qFormat/>
    <w:uiPriority w:val="0"/>
    <w:rPr>
      <w:i/>
      <w:iCs/>
    </w:rPr>
  </w:style>
  <w:style w:type="character" w:customStyle="1" w:styleId="1031">
    <w:name w:val="3级标题 Char Char"/>
    <w:link w:val="1032"/>
    <w:qFormat/>
    <w:uiPriority w:val="0"/>
    <w:rPr>
      <w:rFonts w:ascii="黑体" w:eastAsia="黑体"/>
      <w:sz w:val="24"/>
      <w:szCs w:val="24"/>
    </w:rPr>
  </w:style>
  <w:style w:type="paragraph" w:customStyle="1" w:styleId="1032">
    <w:name w:val="3级标题"/>
    <w:basedOn w:val="5"/>
    <w:link w:val="1031"/>
    <w:qFormat/>
    <w:uiPriority w:val="0"/>
    <w:pPr>
      <w:keepNext w:val="0"/>
      <w:keepLines w:val="0"/>
      <w:tabs>
        <w:tab w:val="clear" w:pos="720"/>
      </w:tabs>
      <w:adjustRightInd/>
      <w:ind w:left="0" w:firstLine="0"/>
      <w:textAlignment w:val="auto"/>
    </w:pPr>
    <w:rPr>
      <w:rFonts w:ascii="黑体" w:hAnsiTheme="minorHAnsi" w:cstheme="minorBidi"/>
      <w:b w:val="0"/>
      <w:color w:val="auto"/>
      <w:spacing w:val="0"/>
      <w:kern w:val="2"/>
      <w:sz w:val="24"/>
      <w:szCs w:val="24"/>
    </w:rPr>
  </w:style>
  <w:style w:type="character" w:customStyle="1" w:styleId="1033">
    <w:name w:val="批注引用1"/>
    <w:qFormat/>
    <w:uiPriority w:val="0"/>
    <w:rPr>
      <w:sz w:val="21"/>
      <w:szCs w:val="21"/>
    </w:rPr>
  </w:style>
  <w:style w:type="character" w:customStyle="1" w:styleId="1034">
    <w:name w:val="样式15 Char"/>
    <w:qFormat/>
    <w:locked/>
    <w:uiPriority w:val="0"/>
    <w:rPr>
      <w:rFonts w:ascii="仿宋_GB2312" w:hAnsi="宋体" w:eastAsia="仿宋_GB2312"/>
      <w:kern w:val="2"/>
      <w:sz w:val="24"/>
      <w:szCs w:val="24"/>
      <w:shd w:val="clear" w:color="auto" w:fill="FFFFFF"/>
    </w:rPr>
  </w:style>
  <w:style w:type="character" w:customStyle="1" w:styleId="1035">
    <w:name w:val="Char Char182"/>
    <w:qFormat/>
    <w:uiPriority w:val="0"/>
    <w:rPr>
      <w:rFonts w:ascii="宋体" w:hAnsi="Courier New" w:eastAsia="宋体"/>
      <w:kern w:val="2"/>
      <w:sz w:val="21"/>
      <w:lang w:val="en-US" w:eastAsia="zh-CN" w:bidi="ar-SA"/>
    </w:rPr>
  </w:style>
  <w:style w:type="character" w:customStyle="1" w:styleId="1036">
    <w:name w:val="样式3 Char"/>
    <w:qFormat/>
    <w:locked/>
    <w:uiPriority w:val="0"/>
    <w:rPr>
      <w:rFonts w:ascii="宋体" w:hAnsi="宋体"/>
      <w:kern w:val="2"/>
      <w:sz w:val="24"/>
      <w:szCs w:val="28"/>
    </w:rPr>
  </w:style>
  <w:style w:type="character" w:customStyle="1" w:styleId="1037">
    <w:name w:val="postdetails1"/>
    <w:qFormat/>
    <w:uiPriority w:val="0"/>
    <w:rPr>
      <w:color w:val="000000"/>
      <w:sz w:val="16"/>
      <w:szCs w:val="16"/>
    </w:rPr>
  </w:style>
  <w:style w:type="character" w:customStyle="1" w:styleId="1038">
    <w:name w:val="1-正文 Char Char"/>
    <w:link w:val="1039"/>
    <w:qFormat/>
    <w:uiPriority w:val="0"/>
    <w:rPr>
      <w:sz w:val="24"/>
      <w:szCs w:val="24"/>
    </w:rPr>
  </w:style>
  <w:style w:type="paragraph" w:customStyle="1" w:styleId="1039">
    <w:name w:val="1-正文"/>
    <w:basedOn w:val="1"/>
    <w:link w:val="1038"/>
    <w:qFormat/>
    <w:uiPriority w:val="0"/>
    <w:pPr>
      <w:spacing w:line="360" w:lineRule="auto"/>
      <w:ind w:firstLine="200" w:firstLineChars="200"/>
    </w:pPr>
    <w:rPr>
      <w:rFonts w:asciiTheme="minorHAnsi" w:hAnsiTheme="minorHAnsi" w:eastAsiaTheme="minorEastAsia" w:cstheme="minorBidi"/>
      <w:spacing w:val="0"/>
      <w:kern w:val="2"/>
      <w:sz w:val="24"/>
      <w:szCs w:val="24"/>
    </w:rPr>
  </w:style>
  <w:style w:type="character" w:customStyle="1" w:styleId="1040">
    <w:name w:val="生物质发电正文 Char Char"/>
    <w:link w:val="1041"/>
    <w:qFormat/>
    <w:uiPriority w:val="0"/>
    <w:rPr>
      <w:rFonts w:ascii="宋体" w:hAnsi="宋体"/>
      <w:bCs/>
      <w:sz w:val="24"/>
      <w:szCs w:val="24"/>
    </w:rPr>
  </w:style>
  <w:style w:type="paragraph" w:customStyle="1" w:styleId="1041">
    <w:name w:val="生物质发电正文"/>
    <w:basedOn w:val="1"/>
    <w:link w:val="1040"/>
    <w:qFormat/>
    <w:uiPriority w:val="0"/>
    <w:pPr>
      <w:widowControl/>
      <w:suppressAutoHyphens/>
      <w:adjustRightInd w:val="0"/>
      <w:snapToGrid w:val="0"/>
      <w:spacing w:line="324" w:lineRule="auto"/>
      <w:ind w:firstLine="200" w:firstLineChars="200"/>
      <w:textAlignment w:val="baseline"/>
    </w:pPr>
    <w:rPr>
      <w:rFonts w:ascii="宋体" w:hAnsi="宋体" w:eastAsiaTheme="minorEastAsia" w:cstheme="minorBidi"/>
      <w:bCs/>
      <w:spacing w:val="0"/>
      <w:kern w:val="2"/>
      <w:sz w:val="24"/>
      <w:szCs w:val="24"/>
    </w:rPr>
  </w:style>
  <w:style w:type="character" w:customStyle="1" w:styleId="1042">
    <w:name w:val="孙普文字 Char Char"/>
    <w:qFormat/>
    <w:uiPriority w:val="0"/>
    <w:rPr>
      <w:rFonts w:ascii="宋体" w:hAnsi="Courier New" w:eastAsia="宋体"/>
      <w:kern w:val="2"/>
      <w:sz w:val="28"/>
      <w:lang w:val="en-US" w:eastAsia="zh-CN" w:bidi="ar-SA"/>
    </w:rPr>
  </w:style>
  <w:style w:type="character" w:customStyle="1" w:styleId="1043">
    <w:name w:val="8 Char Char Char Char"/>
    <w:link w:val="1044"/>
    <w:qFormat/>
    <w:uiPriority w:val="0"/>
    <w:rPr>
      <w:kern w:val="10"/>
      <w:sz w:val="24"/>
      <w:szCs w:val="24"/>
    </w:rPr>
  </w:style>
  <w:style w:type="paragraph" w:customStyle="1" w:styleId="1044">
    <w:name w:val="8 Char Char"/>
    <w:basedOn w:val="1"/>
    <w:link w:val="1043"/>
    <w:qFormat/>
    <w:uiPriority w:val="0"/>
    <w:pPr>
      <w:spacing w:line="360" w:lineRule="auto"/>
      <w:ind w:firstLine="480" w:firstLineChars="200"/>
    </w:pPr>
    <w:rPr>
      <w:rFonts w:asciiTheme="minorHAnsi" w:hAnsiTheme="minorHAnsi" w:eastAsiaTheme="minorEastAsia" w:cstheme="minorBidi"/>
      <w:spacing w:val="0"/>
      <w:kern w:val="10"/>
      <w:sz w:val="24"/>
      <w:szCs w:val="24"/>
    </w:rPr>
  </w:style>
  <w:style w:type="character" w:customStyle="1" w:styleId="1045">
    <w:name w:val="海尔正文 Char Char"/>
    <w:qFormat/>
    <w:uiPriority w:val="0"/>
    <w:rPr>
      <w:rFonts w:ascii="宋体" w:hAnsi="宋体" w:eastAsia="宋体" w:cs="宋体"/>
      <w:kern w:val="2"/>
      <w:sz w:val="28"/>
      <w:lang w:val="en-US" w:eastAsia="zh-CN" w:bidi="ar-SA"/>
    </w:rPr>
  </w:style>
  <w:style w:type="character" w:customStyle="1" w:styleId="1046">
    <w:name w:val="正文文本－5号字 Char Char"/>
    <w:link w:val="1047"/>
    <w:qFormat/>
    <w:uiPriority w:val="0"/>
    <w:rPr>
      <w:rFonts w:ascii="宋体" w:hAnsi="宋体" w:eastAsia="宋体" w:cs="宋体"/>
      <w:b/>
      <w:spacing w:val="4"/>
      <w:sz w:val="24"/>
      <w:szCs w:val="24"/>
    </w:rPr>
  </w:style>
  <w:style w:type="paragraph" w:customStyle="1" w:styleId="1047">
    <w:name w:val="正文文本－5号字"/>
    <w:basedOn w:val="34"/>
    <w:link w:val="1046"/>
    <w:qFormat/>
    <w:uiPriority w:val="0"/>
    <w:pPr>
      <w:spacing w:before="78" w:after="0" w:line="480" w:lineRule="exact"/>
      <w:ind w:firstLine="480" w:firstLineChars="200"/>
    </w:pPr>
    <w:rPr>
      <w:rFonts w:ascii="宋体" w:hAnsi="宋体" w:cs="宋体"/>
      <w:b/>
      <w:spacing w:val="4"/>
      <w:kern w:val="2"/>
      <w:sz w:val="24"/>
      <w:szCs w:val="24"/>
    </w:rPr>
  </w:style>
  <w:style w:type="character" w:customStyle="1" w:styleId="1048">
    <w:name w:val="脚注文本 Char2"/>
    <w:qFormat/>
    <w:uiPriority w:val="99"/>
    <w:rPr>
      <w:rFonts w:ascii="Times New Roman" w:hAnsi="Times New Roman" w:eastAsia="宋体" w:cs="Times New Roman"/>
      <w:sz w:val="18"/>
      <w:szCs w:val="18"/>
    </w:rPr>
  </w:style>
  <w:style w:type="character" w:customStyle="1" w:styleId="1049">
    <w:name w:val="正文缩进2 Char"/>
    <w:qFormat/>
    <w:locked/>
    <w:uiPriority w:val="0"/>
    <w:rPr>
      <w:kern w:val="28"/>
      <w:sz w:val="24"/>
    </w:rPr>
  </w:style>
  <w:style w:type="character" w:customStyle="1" w:styleId="1050">
    <w:name w:val="题注1 Char1"/>
    <w:qFormat/>
    <w:uiPriority w:val="0"/>
    <w:rPr>
      <w:rFonts w:eastAsia="宋体"/>
      <w:kern w:val="2"/>
      <w:sz w:val="21"/>
      <w:szCs w:val="24"/>
      <w:lang w:val="en-US" w:eastAsia="zh-CN" w:bidi="ar-SA"/>
    </w:rPr>
  </w:style>
  <w:style w:type="character" w:customStyle="1" w:styleId="1051">
    <w:name w:val="正文(首行缩进) Char"/>
    <w:qFormat/>
    <w:locked/>
    <w:uiPriority w:val="0"/>
    <w:rPr>
      <w:snapToGrid w:val="0"/>
      <w:sz w:val="24"/>
      <w:szCs w:val="24"/>
    </w:rPr>
  </w:style>
  <w:style w:type="character" w:customStyle="1" w:styleId="1052">
    <w:name w:val="Char Char35"/>
    <w:qFormat/>
    <w:uiPriority w:val="0"/>
    <w:rPr>
      <w:rFonts w:eastAsia="宋体"/>
      <w:kern w:val="2"/>
      <w:sz w:val="21"/>
      <w:szCs w:val="24"/>
      <w:lang w:val="en-US" w:eastAsia="zh-CN" w:bidi="ar-SA"/>
    </w:rPr>
  </w:style>
  <w:style w:type="character" w:customStyle="1" w:styleId="1053">
    <w:name w:val="bt Char1"/>
    <w:qFormat/>
    <w:uiPriority w:val="99"/>
    <w:rPr>
      <w:rFonts w:eastAsia="宋体"/>
      <w:kern w:val="2"/>
      <w:sz w:val="24"/>
      <w:lang w:val="en-US" w:eastAsia="zh-CN" w:bidi="ar-SA"/>
    </w:rPr>
  </w:style>
  <w:style w:type="character" w:customStyle="1" w:styleId="1054">
    <w:name w:val="7.3 Char Char"/>
    <w:link w:val="1055"/>
    <w:qFormat/>
    <w:uiPriority w:val="0"/>
    <w:rPr>
      <w:rFonts w:ascii="宋体" w:hAnsi="宋体" w:eastAsia="黑体"/>
      <w:b/>
      <w:bCs/>
      <w:color w:val="000000"/>
      <w:sz w:val="24"/>
      <w:szCs w:val="24"/>
    </w:rPr>
  </w:style>
  <w:style w:type="paragraph" w:customStyle="1" w:styleId="1055">
    <w:name w:val="7.3"/>
    <w:basedOn w:val="1"/>
    <w:link w:val="1054"/>
    <w:qFormat/>
    <w:uiPriority w:val="0"/>
    <w:pPr>
      <w:widowControl/>
      <w:tabs>
        <w:tab w:val="left" w:pos="-164"/>
        <w:tab w:val="left" w:pos="720"/>
        <w:tab w:val="left" w:pos="8207"/>
      </w:tabs>
      <w:adjustRightInd w:val="0"/>
      <w:snapToGrid w:val="0"/>
      <w:spacing w:before="240" w:line="0" w:lineRule="atLeast"/>
      <w:ind w:left="-164" w:hanging="425"/>
      <w:jc w:val="center"/>
      <w:textAlignment w:val="baseline"/>
    </w:pPr>
    <w:rPr>
      <w:rFonts w:ascii="宋体" w:hAnsi="宋体" w:eastAsia="黑体" w:cstheme="minorBidi"/>
      <w:b/>
      <w:bCs/>
      <w:color w:val="000000"/>
      <w:spacing w:val="0"/>
      <w:kern w:val="2"/>
      <w:sz w:val="24"/>
      <w:szCs w:val="24"/>
    </w:rPr>
  </w:style>
  <w:style w:type="character" w:customStyle="1" w:styleId="1056">
    <w:name w:val="标准文本 居中 单倍行距 Char Char Char Char Char"/>
    <w:qFormat/>
    <w:uiPriority w:val="0"/>
    <w:rPr>
      <w:rFonts w:eastAsia="宋体" w:cs="宋体"/>
      <w:kern w:val="2"/>
      <w:sz w:val="24"/>
      <w:szCs w:val="24"/>
      <w:lang w:val="en-US" w:eastAsia="zh-CN" w:bidi="ar-SA"/>
    </w:rPr>
  </w:style>
  <w:style w:type="character" w:customStyle="1" w:styleId="1057">
    <w:name w:val="a1"/>
    <w:qFormat/>
    <w:uiPriority w:val="0"/>
    <w:rPr>
      <w:rFonts w:hint="eastAsia" w:ascii="宋体" w:hAnsi="宋体" w:eastAsia="宋体"/>
      <w:b/>
      <w:spacing w:val="10"/>
      <w:kern w:val="2"/>
      <w:sz w:val="24"/>
      <w:szCs w:val="24"/>
      <w:lang w:val="en-US" w:eastAsia="zh-CN" w:bidi="ar-SA"/>
    </w:rPr>
  </w:style>
  <w:style w:type="character" w:customStyle="1" w:styleId="1058">
    <w:name w:val="Char Char12"/>
    <w:qFormat/>
    <w:uiPriority w:val="0"/>
    <w:rPr>
      <w:rFonts w:ascii="Arial" w:hAnsi="Arial" w:eastAsia="黑体"/>
      <w:b/>
      <w:bCs/>
      <w:kern w:val="2"/>
      <w:sz w:val="24"/>
      <w:szCs w:val="24"/>
      <w:lang w:val="en-US" w:eastAsia="zh-CN" w:bidi="ar-SA"/>
    </w:rPr>
  </w:style>
  <w:style w:type="character" w:customStyle="1" w:styleId="1059">
    <w:name w:val="Char Char113"/>
    <w:qFormat/>
    <w:uiPriority w:val="0"/>
    <w:rPr>
      <w:rFonts w:hint="eastAsia" w:ascii="宋体" w:hAnsi="宋体" w:eastAsia="宋体"/>
      <w:kern w:val="2"/>
      <w:sz w:val="18"/>
      <w:szCs w:val="18"/>
      <w:lang w:val="en-US" w:eastAsia="zh-CN" w:bidi="ar-SA"/>
    </w:rPr>
  </w:style>
  <w:style w:type="character" w:customStyle="1" w:styleId="1060">
    <w:name w:val="表5.10 Char Char"/>
    <w:link w:val="1061"/>
    <w:qFormat/>
    <w:uiPriority w:val="0"/>
    <w:rPr>
      <w:rFonts w:cs="宋体"/>
      <w:color w:val="000000"/>
    </w:rPr>
  </w:style>
  <w:style w:type="paragraph" w:customStyle="1" w:styleId="1061">
    <w:name w:val="表5.10"/>
    <w:link w:val="1060"/>
    <w:qFormat/>
    <w:uiPriority w:val="0"/>
    <w:pPr>
      <w:tabs>
        <w:tab w:val="left" w:pos="360"/>
        <w:tab w:val="left" w:pos="420"/>
        <w:tab w:val="left" w:pos="1069"/>
        <w:tab w:val="center" w:pos="4060"/>
        <w:tab w:val="right" w:pos="8261"/>
      </w:tabs>
    </w:pPr>
    <w:rPr>
      <w:rFonts w:cs="宋体" w:asciiTheme="minorHAnsi" w:hAnsiTheme="minorHAnsi" w:eastAsiaTheme="minorEastAsia"/>
      <w:color w:val="000000"/>
      <w:kern w:val="2"/>
      <w:sz w:val="21"/>
      <w:szCs w:val="22"/>
      <w:lang w:val="en-US" w:eastAsia="zh-CN" w:bidi="ar-SA"/>
    </w:rPr>
  </w:style>
  <w:style w:type="character" w:customStyle="1" w:styleId="1062">
    <w:name w:val="宏文本 Char2"/>
    <w:qFormat/>
    <w:uiPriority w:val="0"/>
    <w:rPr>
      <w:rFonts w:ascii="Courier New" w:hAnsi="Courier New" w:cs="Courier New"/>
      <w:kern w:val="2"/>
      <w:sz w:val="24"/>
      <w:szCs w:val="24"/>
      <w:lang w:val="en-US" w:eastAsia="zh-CN" w:bidi="ar-SA"/>
    </w:rPr>
  </w:style>
  <w:style w:type="character" w:customStyle="1" w:styleId="1063">
    <w:name w:val="size13"/>
    <w:basedOn w:val="90"/>
    <w:qFormat/>
    <w:uiPriority w:val="0"/>
  </w:style>
  <w:style w:type="character" w:customStyle="1" w:styleId="1064">
    <w:name w:val="样式 表格－正文 + 宋体 小四 黑色 Char Char"/>
    <w:link w:val="1065"/>
    <w:qFormat/>
    <w:uiPriority w:val="0"/>
    <w:rPr>
      <w:rFonts w:ascii="宋体" w:hAnsi="宋体" w:eastAsia="宋体"/>
      <w:color w:val="000000"/>
      <w:sz w:val="24"/>
    </w:rPr>
  </w:style>
  <w:style w:type="paragraph" w:customStyle="1" w:styleId="1065">
    <w:name w:val="样式 表格－正文 + 宋体 小四 黑色"/>
    <w:basedOn w:val="1"/>
    <w:link w:val="1064"/>
    <w:qFormat/>
    <w:uiPriority w:val="0"/>
    <w:rPr>
      <w:rFonts w:ascii="宋体" w:hAnsi="宋体" w:cstheme="minorBidi"/>
      <w:color w:val="000000"/>
      <w:spacing w:val="0"/>
      <w:kern w:val="2"/>
      <w:sz w:val="24"/>
      <w:szCs w:val="22"/>
    </w:rPr>
  </w:style>
  <w:style w:type="character" w:customStyle="1" w:styleId="1066">
    <w:name w:val="表格字体 Char"/>
    <w:qFormat/>
    <w:locked/>
    <w:uiPriority w:val="0"/>
    <w:rPr>
      <w:rFonts w:ascii="宋体" w:hAnsi="宋体"/>
      <w:szCs w:val="21"/>
    </w:rPr>
  </w:style>
  <w:style w:type="character" w:customStyle="1" w:styleId="1067">
    <w:name w:val="页码13"/>
    <w:qFormat/>
    <w:uiPriority w:val="0"/>
    <w:rPr>
      <w:rFonts w:ascii="Times New Roman" w:hAnsi="Times New Roman" w:eastAsia="宋体"/>
      <w:color w:val="auto"/>
      <w:sz w:val="21"/>
    </w:rPr>
  </w:style>
  <w:style w:type="character" w:customStyle="1" w:styleId="1068">
    <w:name w:val="样式 样式 样式 样式 宋体 首行缩进:  1.06 厘米 + 首行缩进:  2 字符 + 首行缩进:  2 字符 + 首行缩进... Char Char Char"/>
    <w:qFormat/>
    <w:uiPriority w:val="0"/>
    <w:rPr>
      <w:rFonts w:eastAsia="宋体" w:cs="宋体"/>
      <w:snapToGrid/>
      <w:sz w:val="24"/>
      <w:lang w:val="en-US" w:eastAsia="zh-CN" w:bidi="ar-SA"/>
    </w:rPr>
  </w:style>
  <w:style w:type="character" w:customStyle="1" w:styleId="1069">
    <w:name w:val="Char Char142"/>
    <w:qFormat/>
    <w:uiPriority w:val="0"/>
    <w:rPr>
      <w:rFonts w:ascii="宋体" w:hAnsi="宋体" w:eastAsia="宋体"/>
      <w:kern w:val="2"/>
      <w:sz w:val="18"/>
      <w:szCs w:val="18"/>
      <w:lang w:val="en-US" w:eastAsia="zh-CN" w:bidi="ar-SA"/>
    </w:rPr>
  </w:style>
  <w:style w:type="character" w:customStyle="1" w:styleId="1070">
    <w:name w:val="sendername1"/>
    <w:qFormat/>
    <w:uiPriority w:val="0"/>
    <w:rPr>
      <w:rFonts w:hint="default" w:ascii="Verdana" w:hAnsi="Verdana"/>
      <w:color w:val="0066CC"/>
      <w:sz w:val="18"/>
      <w:szCs w:val="18"/>
    </w:rPr>
  </w:style>
  <w:style w:type="character" w:customStyle="1" w:styleId="1071">
    <w:name w:val="样式 样式 表格统一样式 + 仿宋_GB2312 + 宋体 Char Char Char"/>
    <w:qFormat/>
    <w:uiPriority w:val="0"/>
    <w:rPr>
      <w:rFonts w:ascii="宋体" w:hAnsi="宋体" w:eastAsia="宋体"/>
      <w:color w:val="FF0000"/>
      <w:sz w:val="21"/>
      <w:szCs w:val="21"/>
      <w:lang w:val="en-US" w:eastAsia="zh-CN" w:bidi="ar-SA"/>
    </w:rPr>
  </w:style>
  <w:style w:type="character" w:customStyle="1" w:styleId="1072">
    <w:name w:val="福建正文缩进 Char"/>
    <w:qFormat/>
    <w:locked/>
    <w:uiPriority w:val="0"/>
    <w:rPr>
      <w:rFonts w:ascii="宋体" w:hAnsi="宋体"/>
      <w:b/>
      <w:sz w:val="24"/>
      <w:szCs w:val="24"/>
    </w:rPr>
  </w:style>
  <w:style w:type="character" w:customStyle="1" w:styleId="1073">
    <w:name w:val="hei141"/>
    <w:qFormat/>
    <w:uiPriority w:val="0"/>
    <w:rPr>
      <w:color w:val="000000"/>
      <w:sz w:val="23"/>
      <w:szCs w:val="23"/>
    </w:rPr>
  </w:style>
  <w:style w:type="character" w:customStyle="1" w:styleId="1074">
    <w:name w:val="吴用表格 Char"/>
    <w:qFormat/>
    <w:locked/>
    <w:uiPriority w:val="0"/>
    <w:rPr>
      <w:rFonts w:ascii="Arial" w:hAnsi="Arial" w:cs="Arial"/>
      <w:kern w:val="2"/>
      <w:sz w:val="21"/>
      <w:szCs w:val="21"/>
    </w:rPr>
  </w:style>
  <w:style w:type="character" w:customStyle="1" w:styleId="1075">
    <w:name w:val="表格统一样式 Char Char"/>
    <w:link w:val="1076"/>
    <w:qFormat/>
    <w:uiPriority w:val="0"/>
    <w:rPr>
      <w:rFonts w:ascii="宋体" w:hAnsi="宋体"/>
      <w:szCs w:val="21"/>
    </w:rPr>
  </w:style>
  <w:style w:type="paragraph" w:customStyle="1" w:styleId="1076">
    <w:name w:val="表格统一样式"/>
    <w:basedOn w:val="1"/>
    <w:link w:val="1075"/>
    <w:qFormat/>
    <w:uiPriority w:val="0"/>
    <w:pPr>
      <w:widowControl/>
      <w:autoSpaceDE w:val="0"/>
      <w:autoSpaceDN w:val="0"/>
    </w:pPr>
    <w:rPr>
      <w:rFonts w:ascii="宋体" w:hAnsi="宋体" w:eastAsiaTheme="minorEastAsia" w:cstheme="minorBidi"/>
      <w:spacing w:val="0"/>
      <w:kern w:val="2"/>
      <w:sz w:val="21"/>
      <w:szCs w:val="21"/>
    </w:rPr>
  </w:style>
  <w:style w:type="character" w:customStyle="1" w:styleId="1077">
    <w:name w:val="样式 五号 居中 Char"/>
    <w:qFormat/>
    <w:locked/>
    <w:uiPriority w:val="0"/>
    <w:rPr>
      <w:rFonts w:ascii="宋体" w:hAnsi="宋体"/>
    </w:rPr>
  </w:style>
  <w:style w:type="character" w:customStyle="1" w:styleId="1078">
    <w:name w:val="Char Char"/>
    <w:qFormat/>
    <w:uiPriority w:val="0"/>
    <w:rPr>
      <w:rFonts w:ascii="Arial" w:hAnsi="Arial" w:eastAsia="黑体" w:cs="Arial"/>
      <w:kern w:val="2"/>
      <w:lang w:val="en-US" w:eastAsia="zh-CN" w:bidi="ar-SA"/>
    </w:rPr>
  </w:style>
  <w:style w:type="character" w:customStyle="1" w:styleId="1079">
    <w:name w:val="表文字 Char"/>
    <w:qFormat/>
    <w:locked/>
    <w:uiPriority w:val="0"/>
    <w:rPr>
      <w:sz w:val="21"/>
      <w:szCs w:val="21"/>
    </w:rPr>
  </w:style>
  <w:style w:type="character" w:customStyle="1" w:styleId="1080">
    <w:name w:val="text2"/>
    <w:basedOn w:val="90"/>
    <w:qFormat/>
    <w:uiPriority w:val="0"/>
  </w:style>
  <w:style w:type="character" w:customStyle="1" w:styleId="1081">
    <w:name w:val="样式 MFS正文 Char Char Char + 宋体 Char Char Char Char"/>
    <w:qFormat/>
    <w:uiPriority w:val="0"/>
    <w:rPr>
      <w:rFonts w:ascii="宋体" w:hAnsi="宋体" w:eastAsia="楷体_GB2312"/>
      <w:kern w:val="2"/>
      <w:sz w:val="24"/>
      <w:szCs w:val="24"/>
      <w:lang w:val="en-US" w:eastAsia="zh-CN" w:bidi="ar-SA"/>
    </w:rPr>
  </w:style>
  <w:style w:type="character" w:customStyle="1" w:styleId="1082">
    <w:name w:val="样式 小四 居中 Char"/>
    <w:qFormat/>
    <w:locked/>
    <w:uiPriority w:val="0"/>
    <w:rPr>
      <w:rFonts w:ascii="楷体_GB2312" w:eastAsia="楷体_GB2312"/>
      <w:b/>
      <w:bCs/>
      <w:kern w:val="2"/>
      <w:sz w:val="24"/>
      <w:szCs w:val="24"/>
    </w:rPr>
  </w:style>
  <w:style w:type="character" w:customStyle="1" w:styleId="1083">
    <w:name w:val="尾注文本 Char2"/>
    <w:qFormat/>
    <w:uiPriority w:val="0"/>
    <w:rPr>
      <w:kern w:val="2"/>
      <w:sz w:val="21"/>
      <w:szCs w:val="22"/>
    </w:rPr>
  </w:style>
  <w:style w:type="character" w:customStyle="1" w:styleId="1084">
    <w:name w:val="2级标题 Char"/>
    <w:qFormat/>
    <w:locked/>
    <w:uiPriority w:val="0"/>
    <w:rPr>
      <w:rFonts w:ascii="黑体" w:hAnsi="Arial" w:eastAsia="黑体"/>
      <w:kern w:val="2"/>
      <w:sz w:val="28"/>
      <w:szCs w:val="28"/>
    </w:rPr>
  </w:style>
  <w:style w:type="character" w:customStyle="1" w:styleId="1085">
    <w:name w:val="样式 四号 Char"/>
    <w:qFormat/>
    <w:uiPriority w:val="0"/>
    <w:rPr>
      <w:kern w:val="2"/>
      <w:sz w:val="28"/>
      <w:szCs w:val="28"/>
    </w:rPr>
  </w:style>
  <w:style w:type="character" w:customStyle="1" w:styleId="1086">
    <w:name w:val="段 Char"/>
    <w:qFormat/>
    <w:uiPriority w:val="0"/>
    <w:rPr>
      <w:rFonts w:ascii="Arial" w:hAnsi="Arial" w:eastAsia="黑体" w:cs="宋体"/>
      <w:b/>
      <w:bCs/>
      <w:kern w:val="2"/>
      <w:sz w:val="24"/>
      <w:szCs w:val="24"/>
      <w:lang w:val="en-US" w:eastAsia="zh-CN" w:bidi="ar-SA"/>
    </w:rPr>
  </w:style>
  <w:style w:type="character" w:customStyle="1" w:styleId="1087">
    <w:name w:val="text06"/>
    <w:qFormat/>
    <w:uiPriority w:val="0"/>
  </w:style>
  <w:style w:type="character" w:customStyle="1" w:styleId="1088">
    <w:name w:val="表号 Char Char"/>
    <w:qFormat/>
    <w:uiPriority w:val="0"/>
    <w:rPr>
      <w:rFonts w:eastAsia="宋体"/>
      <w:b/>
      <w:kern w:val="32"/>
      <w:sz w:val="24"/>
      <w:lang w:val="en-US" w:eastAsia="zh-CN" w:bidi="ar-SA"/>
    </w:rPr>
  </w:style>
  <w:style w:type="character" w:customStyle="1" w:styleId="1089">
    <w:name w:val="章标题(无序号) Char Char1"/>
    <w:qFormat/>
    <w:uiPriority w:val="0"/>
    <w:rPr>
      <w:rFonts w:ascii="Arial" w:hAnsi="Arial" w:eastAsia="宋体" w:cs="Arial"/>
      <w:b/>
      <w:bCs/>
      <w:kern w:val="2"/>
      <w:sz w:val="32"/>
      <w:szCs w:val="32"/>
      <w:lang w:val="en-US" w:eastAsia="zh-CN" w:bidi="ar-SA"/>
    </w:rPr>
  </w:style>
  <w:style w:type="character" w:customStyle="1" w:styleId="1090">
    <w:name w:val="题注 Char11"/>
    <w:qFormat/>
    <w:uiPriority w:val="0"/>
    <w:rPr>
      <w:rFonts w:ascii="Arial" w:hAnsi="Arial" w:eastAsia="方正魏碑简体" w:cs="Arial"/>
      <w:kern w:val="2"/>
      <w:sz w:val="24"/>
      <w:lang w:val="en-US" w:eastAsia="zh-CN" w:bidi="ar-SA"/>
    </w:rPr>
  </w:style>
  <w:style w:type="character" w:customStyle="1" w:styleId="1091">
    <w:name w:val="样式 正文文本 + 小五 Char Char"/>
    <w:link w:val="1092"/>
    <w:qFormat/>
    <w:uiPriority w:val="0"/>
    <w:rPr>
      <w:sz w:val="24"/>
      <w:szCs w:val="40"/>
    </w:rPr>
  </w:style>
  <w:style w:type="paragraph" w:customStyle="1" w:styleId="1092">
    <w:name w:val="样式 正文文本 + 小五"/>
    <w:basedOn w:val="34"/>
    <w:link w:val="1091"/>
    <w:qFormat/>
    <w:uiPriority w:val="0"/>
    <w:pPr>
      <w:adjustRightInd w:val="0"/>
      <w:snapToGrid w:val="0"/>
      <w:spacing w:beforeLines="15" w:afterLines="15" w:line="320" w:lineRule="atLeast"/>
    </w:pPr>
    <w:rPr>
      <w:rFonts w:asciiTheme="minorHAnsi" w:hAnsiTheme="minorHAnsi" w:eastAsiaTheme="minorEastAsia" w:cstheme="minorBidi"/>
      <w:spacing w:val="0"/>
      <w:kern w:val="2"/>
      <w:sz w:val="24"/>
      <w:szCs w:val="40"/>
    </w:rPr>
  </w:style>
  <w:style w:type="character" w:customStyle="1" w:styleId="1093">
    <w:name w:val="HTML 键盘12"/>
    <w:qFormat/>
    <w:uiPriority w:val="0"/>
    <w:rPr>
      <w:rFonts w:ascii="Courier New" w:hAnsi="Courier New" w:cs="Courier New"/>
      <w:sz w:val="20"/>
      <w:szCs w:val="20"/>
    </w:rPr>
  </w:style>
  <w:style w:type="character" w:customStyle="1" w:styleId="1094">
    <w:name w:val="aa1"/>
    <w:qFormat/>
    <w:uiPriority w:val="0"/>
    <w:rPr>
      <w:sz w:val="24"/>
      <w:szCs w:val="24"/>
    </w:rPr>
  </w:style>
  <w:style w:type="character" w:customStyle="1" w:styleId="1095">
    <w:name w:val="m_41"/>
    <w:qFormat/>
    <w:uiPriority w:val="0"/>
  </w:style>
  <w:style w:type="character" w:customStyle="1" w:styleId="1096">
    <w:name w:val="Char Char Char Char Char Char Char Char Char Char Char Char Char Char Char Char Char Char Char Char Char Char Char Char Char Char"/>
    <w:link w:val="1097"/>
    <w:qFormat/>
    <w:uiPriority w:val="0"/>
    <w:rPr>
      <w:rFonts w:ascii="黑体" w:hAnsi="黑体" w:eastAsia="黑体"/>
      <w:b/>
      <w:spacing w:val="10"/>
      <w:kern w:val="44"/>
      <w:sz w:val="28"/>
    </w:rPr>
  </w:style>
  <w:style w:type="paragraph" w:customStyle="1" w:styleId="1097">
    <w:name w:val="Char Char Char Char Char Char Char Char Char Char"/>
    <w:basedOn w:val="1"/>
    <w:link w:val="1096"/>
    <w:qFormat/>
    <w:uiPriority w:val="0"/>
    <w:rPr>
      <w:rFonts w:ascii="黑体" w:hAnsi="黑体" w:eastAsia="黑体" w:cstheme="minorBidi"/>
      <w:b/>
      <w:spacing w:val="10"/>
      <w:kern w:val="44"/>
      <w:sz w:val="28"/>
      <w:szCs w:val="22"/>
    </w:rPr>
  </w:style>
  <w:style w:type="character" w:customStyle="1" w:styleId="1098">
    <w:name w:val="z-窗体底端 Char"/>
    <w:link w:val="1099"/>
    <w:qFormat/>
    <w:uiPriority w:val="0"/>
    <w:rPr>
      <w:rFonts w:ascii="Arial" w:hAnsi="Arial" w:eastAsia="宋体"/>
      <w:vanish/>
      <w:sz w:val="16"/>
      <w:szCs w:val="16"/>
    </w:rPr>
  </w:style>
  <w:style w:type="paragraph" w:customStyle="1" w:styleId="1099">
    <w:name w:val="z-窗体底端1"/>
    <w:basedOn w:val="1"/>
    <w:next w:val="1"/>
    <w:link w:val="1098"/>
    <w:qFormat/>
    <w:uiPriority w:val="0"/>
    <w:pPr>
      <w:widowControl/>
      <w:pBdr>
        <w:top w:val="single" w:color="auto" w:sz="6" w:space="1"/>
      </w:pBdr>
      <w:jc w:val="center"/>
    </w:pPr>
    <w:rPr>
      <w:rFonts w:ascii="Arial" w:hAnsi="Arial" w:cstheme="minorBidi"/>
      <w:vanish/>
      <w:spacing w:val="0"/>
      <w:kern w:val="2"/>
      <w:sz w:val="16"/>
      <w:szCs w:val="16"/>
    </w:rPr>
  </w:style>
  <w:style w:type="character" w:customStyle="1" w:styleId="1100">
    <w:name w:val="MFS单位2 Char Char"/>
    <w:link w:val="1101"/>
    <w:qFormat/>
    <w:uiPriority w:val="0"/>
  </w:style>
  <w:style w:type="paragraph" w:customStyle="1" w:styleId="1101">
    <w:name w:val="MFS单位2"/>
    <w:link w:val="1100"/>
    <w:qFormat/>
    <w:uiPriority w:val="0"/>
    <w:pPr>
      <w:tabs>
        <w:tab w:val="left" w:pos="1200"/>
      </w:tabs>
    </w:pPr>
    <w:rPr>
      <w:rFonts w:asciiTheme="minorHAnsi" w:hAnsiTheme="minorHAnsi" w:eastAsiaTheme="minorEastAsia" w:cstheme="minorBidi"/>
      <w:kern w:val="2"/>
      <w:sz w:val="21"/>
      <w:szCs w:val="22"/>
      <w:lang w:val="en-US" w:eastAsia="zh-CN" w:bidi="ar-SA"/>
    </w:rPr>
  </w:style>
  <w:style w:type="character" w:customStyle="1" w:styleId="1102">
    <w:name w:val="样式 标题 1标题 1 Char标1第一章章一级标题，黑粗，三号，序号可研-标题 1PartH1H11H12... Char"/>
    <w:qFormat/>
    <w:locked/>
    <w:uiPriority w:val="0"/>
    <w:rPr>
      <w:rFonts w:ascii="Dutch801 Rm BT" w:hAnsi="Dutch801 Rm BT" w:eastAsia="黑体"/>
      <w:b/>
      <w:bCs/>
      <w:kern w:val="44"/>
      <w:sz w:val="36"/>
      <w:szCs w:val="36"/>
    </w:rPr>
  </w:style>
  <w:style w:type="character" w:customStyle="1" w:styleId="1103">
    <w:name w:val="main1"/>
    <w:qFormat/>
    <w:uiPriority w:val="0"/>
    <w:rPr>
      <w:color w:val="333333"/>
      <w:sz w:val="15"/>
      <w:szCs w:val="15"/>
    </w:rPr>
  </w:style>
  <w:style w:type="character" w:customStyle="1" w:styleId="1104">
    <w:name w:val="访问过的超链接1"/>
    <w:qFormat/>
    <w:uiPriority w:val="0"/>
    <w:rPr>
      <w:color w:val="800080"/>
      <w:u w:val="single"/>
    </w:rPr>
  </w:style>
  <w:style w:type="character" w:customStyle="1" w:styleId="1105">
    <w:name w:val="表内5 Char Char"/>
    <w:link w:val="1106"/>
    <w:qFormat/>
    <w:uiPriority w:val="0"/>
    <w:rPr>
      <w:rFonts w:ascii="宋体" w:hAnsi="宋体" w:eastAsia="宋体" w:cs="宋体"/>
    </w:rPr>
  </w:style>
  <w:style w:type="paragraph" w:customStyle="1" w:styleId="1106">
    <w:name w:val="表内5"/>
    <w:basedOn w:val="1"/>
    <w:link w:val="1105"/>
    <w:qFormat/>
    <w:uiPriority w:val="0"/>
    <w:pPr>
      <w:adjustRightInd w:val="0"/>
      <w:snapToGrid w:val="0"/>
      <w:spacing w:line="300" w:lineRule="auto"/>
      <w:jc w:val="center"/>
    </w:pPr>
    <w:rPr>
      <w:rFonts w:ascii="宋体" w:hAnsi="宋体" w:cs="宋体"/>
      <w:spacing w:val="0"/>
      <w:kern w:val="2"/>
      <w:sz w:val="21"/>
      <w:szCs w:val="22"/>
    </w:rPr>
  </w:style>
  <w:style w:type="character" w:customStyle="1" w:styleId="1107">
    <w:name w:val="Normal Char Char Char Char Char"/>
    <w:link w:val="1108"/>
    <w:qFormat/>
    <w:uiPriority w:val="0"/>
    <w:rPr>
      <w:rFonts w:ascii="宋体"/>
      <w:spacing w:val="6"/>
    </w:rPr>
  </w:style>
  <w:style w:type="paragraph" w:customStyle="1" w:styleId="1108">
    <w:name w:val="Normal Char Char"/>
    <w:link w:val="1107"/>
    <w:qFormat/>
    <w:uiPriority w:val="0"/>
    <w:pPr>
      <w:widowControl w:val="0"/>
      <w:adjustRightInd w:val="0"/>
      <w:spacing w:line="315" w:lineRule="atLeast"/>
      <w:jc w:val="both"/>
      <w:textAlignment w:val="baseline"/>
    </w:pPr>
    <w:rPr>
      <w:rFonts w:ascii="宋体" w:hAnsiTheme="minorHAnsi" w:eastAsiaTheme="minorEastAsia" w:cstheme="minorBidi"/>
      <w:spacing w:val="6"/>
      <w:kern w:val="2"/>
      <w:sz w:val="21"/>
      <w:szCs w:val="22"/>
      <w:lang w:val="en-US" w:eastAsia="zh-CN" w:bidi="ar-SA"/>
    </w:rPr>
  </w:style>
  <w:style w:type="character" w:customStyle="1" w:styleId="1109">
    <w:name w:val="正文－1.5行距－段后6磅 Char Char"/>
    <w:link w:val="1110"/>
    <w:qFormat/>
    <w:uiPriority w:val="0"/>
    <w:rPr>
      <w:rFonts w:ascii="Calibri" w:hAnsi="Calibri" w:eastAsia="宋体"/>
      <w:sz w:val="24"/>
      <w:szCs w:val="21"/>
    </w:rPr>
  </w:style>
  <w:style w:type="paragraph" w:customStyle="1" w:styleId="1110">
    <w:name w:val="正文－1.5行距－段后6磅"/>
    <w:basedOn w:val="1"/>
    <w:link w:val="1109"/>
    <w:qFormat/>
    <w:uiPriority w:val="0"/>
    <w:pPr>
      <w:spacing w:after="120" w:line="360" w:lineRule="auto"/>
      <w:ind w:firstLine="200" w:firstLineChars="200"/>
    </w:pPr>
    <w:rPr>
      <w:rFonts w:ascii="Calibri" w:hAnsi="Calibri" w:cstheme="minorBidi"/>
      <w:spacing w:val="0"/>
      <w:kern w:val="2"/>
      <w:sz w:val="24"/>
      <w:szCs w:val="21"/>
    </w:rPr>
  </w:style>
  <w:style w:type="character" w:customStyle="1" w:styleId="1111">
    <w:name w:val="样式 标题 41.1.1.1标题 4.1.1.1.1标题 4 Char款1.1.1.1 Char标4段1.1.1...3 Char Char"/>
    <w:link w:val="1112"/>
    <w:qFormat/>
    <w:uiPriority w:val="0"/>
    <w:rPr>
      <w:rFonts w:eastAsia="黑体"/>
      <w:b/>
      <w:bCs/>
      <w:color w:val="000000"/>
      <w:sz w:val="24"/>
      <w:szCs w:val="24"/>
    </w:rPr>
  </w:style>
  <w:style w:type="paragraph" w:customStyle="1" w:styleId="1112">
    <w:name w:val="样式 标题 41.1.1.1标题 4.1.1.1.1标题 4 Char款1.1.1.1 Char标4段1.1.1...3"/>
    <w:basedOn w:val="6"/>
    <w:link w:val="1111"/>
    <w:qFormat/>
    <w:uiPriority w:val="0"/>
    <w:pPr>
      <w:keepNext w:val="0"/>
      <w:keepLines w:val="0"/>
      <w:tabs>
        <w:tab w:val="left" w:pos="4582"/>
      </w:tabs>
      <w:spacing w:before="100" w:after="100" w:line="302" w:lineRule="auto"/>
      <w:ind w:left="3130" w:hanging="708"/>
    </w:pPr>
    <w:rPr>
      <w:rFonts w:asciiTheme="minorHAnsi" w:hAnsiTheme="minorHAnsi" w:cstheme="minorBidi"/>
      <w:color w:val="000000"/>
      <w:kern w:val="2"/>
      <w:sz w:val="24"/>
      <w:szCs w:val="24"/>
    </w:rPr>
  </w:style>
  <w:style w:type="character" w:customStyle="1" w:styleId="1113">
    <w:name w:val="表格 Char"/>
    <w:link w:val="1114"/>
    <w:qFormat/>
    <w:uiPriority w:val="0"/>
    <w:rPr>
      <w:rFonts w:ascii="昆仑仿宋" w:eastAsia="昆仑仿宋"/>
      <w:sz w:val="24"/>
    </w:rPr>
  </w:style>
  <w:style w:type="paragraph" w:customStyle="1" w:styleId="1114">
    <w:name w:val="表格"/>
    <w:basedOn w:val="1"/>
    <w:next w:val="1"/>
    <w:link w:val="1113"/>
    <w:qFormat/>
    <w:uiPriority w:val="0"/>
    <w:pPr>
      <w:adjustRightInd w:val="0"/>
      <w:spacing w:before="40" w:after="40"/>
      <w:textAlignment w:val="baseline"/>
    </w:pPr>
    <w:rPr>
      <w:rFonts w:ascii="昆仑仿宋" w:eastAsia="昆仑仿宋" w:hAnsiTheme="minorHAnsi" w:cstheme="minorBidi"/>
      <w:spacing w:val="0"/>
      <w:kern w:val="2"/>
      <w:sz w:val="24"/>
      <w:szCs w:val="22"/>
    </w:rPr>
  </w:style>
  <w:style w:type="character" w:customStyle="1" w:styleId="1115">
    <w:name w:val="表、图名 Char Char"/>
    <w:link w:val="1116"/>
    <w:qFormat/>
    <w:uiPriority w:val="0"/>
    <w:rPr>
      <w:rFonts w:ascii="宋体" w:hAnsi="宋体" w:eastAsia="宋体"/>
      <w:sz w:val="24"/>
      <w:szCs w:val="24"/>
    </w:rPr>
  </w:style>
  <w:style w:type="paragraph" w:customStyle="1" w:styleId="1116">
    <w:name w:val="表、图名"/>
    <w:basedOn w:val="1"/>
    <w:link w:val="1115"/>
    <w:qFormat/>
    <w:uiPriority w:val="0"/>
    <w:pPr>
      <w:adjustRightInd w:val="0"/>
      <w:snapToGrid w:val="0"/>
      <w:spacing w:line="312" w:lineRule="atLeast"/>
      <w:jc w:val="center"/>
    </w:pPr>
    <w:rPr>
      <w:rFonts w:ascii="宋体" w:hAnsi="宋体" w:cstheme="minorBidi"/>
      <w:spacing w:val="0"/>
      <w:kern w:val="2"/>
      <w:sz w:val="24"/>
      <w:szCs w:val="24"/>
    </w:rPr>
  </w:style>
  <w:style w:type="character" w:customStyle="1" w:styleId="1117">
    <w:name w:val="可研-正文首行缩进 Char"/>
    <w:qFormat/>
    <w:uiPriority w:val="0"/>
  </w:style>
  <w:style w:type="character" w:customStyle="1" w:styleId="1118">
    <w:name w:val="报告正文 Char1"/>
    <w:qFormat/>
    <w:uiPriority w:val="0"/>
    <w:rPr>
      <w:rFonts w:eastAsia="宋体"/>
      <w:kern w:val="2"/>
      <w:sz w:val="24"/>
      <w:lang w:val="en-US" w:eastAsia="zh-CN" w:bidi="ar-SA"/>
    </w:rPr>
  </w:style>
  <w:style w:type="character" w:customStyle="1" w:styleId="1119">
    <w:name w:val="HTML 打字机1"/>
    <w:qFormat/>
    <w:uiPriority w:val="0"/>
    <w:rPr>
      <w:rFonts w:ascii="Courier New" w:hAnsi="Courier New" w:cs="Courier New"/>
      <w:sz w:val="20"/>
      <w:szCs w:val="20"/>
    </w:rPr>
  </w:style>
  <w:style w:type="character" w:customStyle="1" w:styleId="1120">
    <w:name w:val="df"/>
    <w:basedOn w:val="90"/>
    <w:qFormat/>
    <w:uiPriority w:val="0"/>
  </w:style>
  <w:style w:type="character" w:customStyle="1" w:styleId="1121">
    <w:name w:val="标题5 Char Char"/>
    <w:link w:val="1122"/>
    <w:qFormat/>
    <w:uiPriority w:val="0"/>
    <w:rPr>
      <w:rFonts w:eastAsia="宋体"/>
      <w:b/>
      <w:snapToGrid w:val="0"/>
      <w:color w:val="000000"/>
      <w:sz w:val="18"/>
    </w:rPr>
  </w:style>
  <w:style w:type="paragraph" w:customStyle="1" w:styleId="1122">
    <w:name w:val="标题5"/>
    <w:basedOn w:val="1"/>
    <w:link w:val="1121"/>
    <w:qFormat/>
    <w:uiPriority w:val="0"/>
    <w:pPr>
      <w:keepNext/>
      <w:keepLines/>
      <w:widowControl/>
      <w:adjustRightInd w:val="0"/>
      <w:snapToGrid w:val="0"/>
      <w:spacing w:line="360" w:lineRule="auto"/>
      <w:outlineLvl w:val="2"/>
    </w:pPr>
    <w:rPr>
      <w:rFonts w:asciiTheme="minorHAnsi" w:hAnsiTheme="minorHAnsi" w:cstheme="minorBidi"/>
      <w:b/>
      <w:snapToGrid w:val="0"/>
      <w:color w:val="000000"/>
      <w:spacing w:val="0"/>
      <w:kern w:val="2"/>
      <w:sz w:val="18"/>
      <w:szCs w:val="22"/>
    </w:rPr>
  </w:style>
  <w:style w:type="character" w:customStyle="1" w:styleId="1123">
    <w:name w:val="oblog_text1"/>
    <w:qFormat/>
    <w:uiPriority w:val="0"/>
    <w:rPr>
      <w:sz w:val="18"/>
      <w:szCs w:val="18"/>
    </w:rPr>
  </w:style>
  <w:style w:type="character" w:customStyle="1" w:styleId="1124">
    <w:name w:val="样式 标准文本 首行缩进:2 字符 行距1.5倍 + 首行缩进:  2 字符1 Char Char"/>
    <w:link w:val="1125"/>
    <w:qFormat/>
    <w:uiPriority w:val="0"/>
    <w:rPr>
      <w:rFonts w:eastAsia="宋体"/>
      <w:sz w:val="24"/>
    </w:rPr>
  </w:style>
  <w:style w:type="paragraph" w:customStyle="1" w:styleId="1125">
    <w:name w:val="样式 标准文本 首行缩进:2 字符 行距1.5倍 + 首行缩进:  2 字符1"/>
    <w:basedOn w:val="239"/>
    <w:link w:val="1124"/>
    <w:qFormat/>
    <w:uiPriority w:val="0"/>
    <w:pPr>
      <w:spacing w:line="240" w:lineRule="auto"/>
    </w:pPr>
  </w:style>
  <w:style w:type="character" w:customStyle="1" w:styleId="1126">
    <w:name w:val="HTML 定义11"/>
    <w:qFormat/>
    <w:uiPriority w:val="0"/>
    <w:rPr>
      <w:i/>
      <w:iCs/>
    </w:rPr>
  </w:style>
  <w:style w:type="character" w:customStyle="1" w:styleId="1127">
    <w:name w:val="图形标题 Char Char"/>
    <w:qFormat/>
    <w:uiPriority w:val="0"/>
    <w:rPr>
      <w:rFonts w:ascii="仿宋_GB2312" w:hAnsi="华文中宋" w:eastAsia="仿宋_GB2312"/>
      <w:b/>
      <w:bCs/>
      <w:spacing w:val="10"/>
      <w:kern w:val="2"/>
      <w:sz w:val="24"/>
      <w:szCs w:val="24"/>
      <w:lang w:val="en-US" w:eastAsia="zh-CN" w:bidi="ar-SA"/>
    </w:rPr>
  </w:style>
  <w:style w:type="character" w:customStyle="1" w:styleId="1128">
    <w:name w:val="Char Char Char Char Char Char1 Char Char Char"/>
    <w:link w:val="1129"/>
    <w:qFormat/>
    <w:uiPriority w:val="0"/>
    <w:rPr>
      <w:rFonts w:eastAsia="宋体"/>
      <w:szCs w:val="24"/>
    </w:rPr>
  </w:style>
  <w:style w:type="paragraph" w:customStyle="1" w:styleId="1129">
    <w:name w:val="Char Char Char Char Char Char1 Char"/>
    <w:basedOn w:val="1"/>
    <w:link w:val="1128"/>
    <w:qFormat/>
    <w:uiPriority w:val="0"/>
    <w:rPr>
      <w:rFonts w:asciiTheme="minorHAnsi" w:hAnsiTheme="minorHAnsi" w:cstheme="minorBidi"/>
      <w:spacing w:val="0"/>
      <w:kern w:val="2"/>
      <w:sz w:val="21"/>
      <w:szCs w:val="24"/>
    </w:rPr>
  </w:style>
  <w:style w:type="character" w:customStyle="1" w:styleId="1130">
    <w:name w:val="图题 Char2"/>
    <w:qFormat/>
    <w:uiPriority w:val="0"/>
    <w:rPr>
      <w:rFonts w:ascii="方正大标宋简体" w:hAnsi="宋体" w:eastAsia="方正大标宋简体" w:cs="宋体"/>
      <w:kern w:val="2"/>
      <w:sz w:val="24"/>
      <w:szCs w:val="24"/>
      <w:lang w:val="en-US" w:eastAsia="zh-CN" w:bidi="ar-SA"/>
    </w:rPr>
  </w:style>
  <w:style w:type="character" w:customStyle="1" w:styleId="1131">
    <w:name w:val="款标题1.1.1.1 Char3"/>
    <w:qFormat/>
    <w:uiPriority w:val="0"/>
    <w:rPr>
      <w:rFonts w:ascii="Arial" w:hAnsi="Arial" w:eastAsia="黑体" w:cs="Times New Roman"/>
      <w:b/>
      <w:bCs/>
      <w:sz w:val="28"/>
      <w:szCs w:val="28"/>
    </w:rPr>
  </w:style>
  <w:style w:type="character" w:customStyle="1" w:styleId="1132">
    <w:name w:val="样式 表格文字居中 Char + 五号 黑色1"/>
    <w:qFormat/>
    <w:uiPriority w:val="0"/>
    <w:rPr>
      <w:rFonts w:ascii="宋体" w:hAnsi="宋体" w:eastAsia="宋体" w:cs="宋体"/>
      <w:color w:val="000000"/>
      <w:kern w:val="2"/>
      <w:sz w:val="24"/>
      <w:szCs w:val="24"/>
      <w:lang w:val="en-US" w:eastAsia="zh-CN"/>
    </w:rPr>
  </w:style>
  <w:style w:type="character" w:customStyle="1" w:styleId="1133">
    <w:name w:val="Char Char Char Char Char Char Char Char Char Char Char1"/>
    <w:link w:val="1134"/>
    <w:qFormat/>
    <w:uiPriority w:val="0"/>
    <w:rPr>
      <w:rFonts w:ascii="宋体" w:hAnsi="宋体"/>
      <w:sz w:val="24"/>
      <w:szCs w:val="24"/>
    </w:rPr>
  </w:style>
  <w:style w:type="paragraph" w:customStyle="1" w:styleId="1134">
    <w:name w:val="Char Char Char Char Char Char Char Char Char Char1"/>
    <w:basedOn w:val="1"/>
    <w:link w:val="1133"/>
    <w:qFormat/>
    <w:uiPriority w:val="0"/>
    <w:pPr>
      <w:widowControl/>
      <w:spacing w:line="360" w:lineRule="auto"/>
      <w:ind w:firstLine="200" w:firstLineChars="200"/>
      <w:jc w:val="left"/>
    </w:pPr>
    <w:rPr>
      <w:rFonts w:ascii="宋体" w:hAnsi="宋体" w:eastAsiaTheme="minorEastAsia" w:cstheme="minorBidi"/>
      <w:spacing w:val="0"/>
      <w:kern w:val="2"/>
      <w:sz w:val="24"/>
      <w:szCs w:val="24"/>
    </w:rPr>
  </w:style>
  <w:style w:type="character" w:customStyle="1" w:styleId="1135">
    <w:name w:val="dan7-1 Char Char Char Char Char"/>
    <w:link w:val="1136"/>
    <w:qFormat/>
    <w:uiPriority w:val="0"/>
    <w:rPr>
      <w:rFonts w:eastAsia="宋体" w:cs="宋体"/>
      <w:b/>
      <w:sz w:val="24"/>
      <w:szCs w:val="24"/>
    </w:rPr>
  </w:style>
  <w:style w:type="paragraph" w:customStyle="1" w:styleId="1136">
    <w:name w:val="dan7-1 Char Char"/>
    <w:basedOn w:val="1"/>
    <w:link w:val="1135"/>
    <w:qFormat/>
    <w:uiPriority w:val="0"/>
    <w:pPr>
      <w:spacing w:before="40" w:after="40" w:line="360" w:lineRule="auto"/>
      <w:ind w:firstLine="200" w:firstLineChars="200"/>
    </w:pPr>
    <w:rPr>
      <w:rFonts w:cs="宋体" w:asciiTheme="minorHAnsi" w:hAnsiTheme="minorHAnsi"/>
      <w:b/>
      <w:spacing w:val="0"/>
      <w:kern w:val="2"/>
      <w:sz w:val="24"/>
      <w:szCs w:val="24"/>
    </w:rPr>
  </w:style>
  <w:style w:type="character" w:customStyle="1" w:styleId="1137">
    <w:name w:val="样式 (西文) 仿宋_GB2312 (中文) 仿宋_GB2312 黑色 Char"/>
    <w:qFormat/>
    <w:uiPriority w:val="0"/>
    <w:rPr>
      <w:rFonts w:ascii="仿宋_GB2312" w:eastAsia="仿宋_GB2312"/>
      <w:color w:val="000000"/>
      <w:kern w:val="2"/>
      <w:sz w:val="28"/>
      <w:szCs w:val="24"/>
      <w:lang w:bidi="ar-SA"/>
    </w:rPr>
  </w:style>
  <w:style w:type="character" w:customStyle="1" w:styleId="1138">
    <w:name w:val="图表名称 Char Char"/>
    <w:link w:val="1139"/>
    <w:qFormat/>
    <w:uiPriority w:val="0"/>
    <w:rPr>
      <w:rFonts w:ascii="宋体" w:hAnsi="宋体" w:eastAsia="宋体"/>
      <w:sz w:val="24"/>
      <w:szCs w:val="21"/>
    </w:rPr>
  </w:style>
  <w:style w:type="paragraph" w:customStyle="1" w:styleId="1139">
    <w:name w:val="图表名称"/>
    <w:basedOn w:val="87"/>
    <w:link w:val="1138"/>
    <w:qFormat/>
    <w:uiPriority w:val="0"/>
    <w:pPr>
      <w:adjustRightInd w:val="0"/>
      <w:snapToGrid w:val="0"/>
      <w:ind w:firstLine="0" w:firstLineChars="0"/>
      <w:jc w:val="center"/>
    </w:pPr>
    <w:rPr>
      <w:rFonts w:ascii="宋体" w:hAnsi="宋体" w:cstheme="minorBidi"/>
      <w:spacing w:val="0"/>
      <w:sz w:val="24"/>
      <w:szCs w:val="21"/>
    </w:rPr>
  </w:style>
  <w:style w:type="character" w:customStyle="1" w:styleId="1140">
    <w:name w:val="Char Char16"/>
    <w:qFormat/>
    <w:uiPriority w:val="0"/>
    <w:rPr>
      <w:rFonts w:ascii="宋体" w:hAnsi="宋体" w:eastAsia="宋体"/>
      <w:kern w:val="2"/>
      <w:sz w:val="18"/>
      <w:szCs w:val="18"/>
      <w:lang w:val="en-US" w:eastAsia="zh-CN" w:bidi="ar-SA"/>
    </w:rPr>
  </w:style>
  <w:style w:type="character" w:customStyle="1" w:styleId="1141">
    <w:name w:val="标题 5 Char Char Char Char1"/>
    <w:qFormat/>
    <w:uiPriority w:val="0"/>
    <w:rPr>
      <w:rFonts w:eastAsia="宋体"/>
      <w:bCs/>
      <w:kern w:val="2"/>
      <w:sz w:val="24"/>
      <w:szCs w:val="28"/>
      <w:lang w:val="en-US" w:eastAsia="zh-CN" w:bidi="ar-SA"/>
    </w:rPr>
  </w:style>
  <w:style w:type="character" w:customStyle="1" w:styleId="1142">
    <w:name w:val="样式 宋体 小四"/>
    <w:qFormat/>
    <w:uiPriority w:val="0"/>
    <w:rPr>
      <w:rFonts w:ascii="Times New Roman" w:hAnsi="Times New Roman"/>
      <w:sz w:val="24"/>
      <w:szCs w:val="24"/>
    </w:rPr>
  </w:style>
  <w:style w:type="character" w:customStyle="1" w:styleId="1143">
    <w:name w:val="样式 2222 + 加粗 Char Char"/>
    <w:link w:val="1144"/>
    <w:qFormat/>
    <w:uiPriority w:val="0"/>
    <w:rPr>
      <w:rFonts w:ascii="Arial" w:hAnsi="Arial" w:eastAsia="宋体"/>
      <w:b/>
      <w:bCs/>
      <w:color w:val="000000"/>
      <w:sz w:val="28"/>
      <w:szCs w:val="32"/>
    </w:rPr>
  </w:style>
  <w:style w:type="paragraph" w:customStyle="1" w:styleId="1144">
    <w:name w:val="样式 2222 + 加粗"/>
    <w:basedOn w:val="1"/>
    <w:link w:val="1143"/>
    <w:qFormat/>
    <w:uiPriority w:val="0"/>
    <w:pPr>
      <w:keepNext/>
      <w:keepLines/>
      <w:spacing w:before="120" w:after="120" w:line="360" w:lineRule="auto"/>
      <w:outlineLvl w:val="1"/>
    </w:pPr>
    <w:rPr>
      <w:rFonts w:ascii="Arial" w:hAnsi="Arial" w:cstheme="minorBidi"/>
      <w:b/>
      <w:bCs/>
      <w:color w:val="000000"/>
      <w:spacing w:val="0"/>
      <w:kern w:val="2"/>
      <w:sz w:val="28"/>
      <w:szCs w:val="32"/>
    </w:rPr>
  </w:style>
  <w:style w:type="character" w:customStyle="1" w:styleId="1145">
    <w:name w:val="digest1"/>
    <w:qFormat/>
    <w:uiPriority w:val="0"/>
    <w:rPr>
      <w:rFonts w:ascii="华文中宋" w:hAnsi="华文中宋" w:eastAsia="华文中宋"/>
      <w:b/>
      <w:color w:val="393939"/>
      <w:spacing w:val="10"/>
      <w:kern w:val="2"/>
      <w:sz w:val="20"/>
      <w:szCs w:val="20"/>
      <w:lang w:val="en-US" w:eastAsia="zh-CN" w:bidi="ar-SA"/>
    </w:rPr>
  </w:style>
  <w:style w:type="character" w:customStyle="1" w:styleId="1146">
    <w:name w:val="正文001 Char Char"/>
    <w:link w:val="1147"/>
    <w:qFormat/>
    <w:uiPriority w:val="0"/>
    <w:rPr>
      <w:rFonts w:ascii="Arial" w:hAnsi="Arial" w:eastAsia="宋体"/>
      <w:color w:val="000000"/>
      <w:sz w:val="24"/>
    </w:rPr>
  </w:style>
  <w:style w:type="paragraph" w:customStyle="1" w:styleId="1147">
    <w:name w:val="正文001"/>
    <w:basedOn w:val="1"/>
    <w:link w:val="1146"/>
    <w:qFormat/>
    <w:uiPriority w:val="0"/>
    <w:pPr>
      <w:spacing w:before="60" w:line="460" w:lineRule="exact"/>
      <w:ind w:firstLine="482" w:firstLineChars="200"/>
    </w:pPr>
    <w:rPr>
      <w:rFonts w:ascii="Arial" w:hAnsi="Arial" w:cstheme="minorBidi"/>
      <w:color w:val="000000"/>
      <w:spacing w:val="0"/>
      <w:kern w:val="2"/>
      <w:sz w:val="24"/>
      <w:szCs w:val="22"/>
    </w:rPr>
  </w:style>
  <w:style w:type="character" w:customStyle="1" w:styleId="1148">
    <w:name w:val="question-title2"/>
    <w:basedOn w:val="90"/>
    <w:qFormat/>
    <w:uiPriority w:val="0"/>
  </w:style>
  <w:style w:type="character" w:customStyle="1" w:styleId="1149">
    <w:name w:val="样式 标题 2节节标题 1.11.1标题2b2节标题 1.1 Char Char节标题 1.1 Char Char ... Char"/>
    <w:link w:val="1150"/>
    <w:qFormat/>
    <w:locked/>
    <w:uiPriority w:val="0"/>
    <w:rPr>
      <w:rFonts w:ascii="宋体" w:hAnsi="宋体" w:eastAsia="黑体"/>
      <w:bCs/>
      <w:color w:val="000000"/>
      <w:szCs w:val="24"/>
    </w:rPr>
  </w:style>
  <w:style w:type="paragraph" w:customStyle="1" w:styleId="1150">
    <w:name w:val="样式 标题 2节节标题 1.11.1标题2b2节标题 1.1 Char Char节标题 1.1 Char Char ..."/>
    <w:basedOn w:val="4"/>
    <w:link w:val="1149"/>
    <w:qFormat/>
    <w:uiPriority w:val="0"/>
    <w:pPr>
      <w:tabs>
        <w:tab w:val="left" w:pos="951"/>
        <w:tab w:val="clear" w:pos="1427"/>
      </w:tabs>
      <w:spacing w:line="440" w:lineRule="exact"/>
      <w:textAlignment w:val="auto"/>
    </w:pPr>
    <w:rPr>
      <w:rFonts w:ascii="宋体" w:hAnsi="宋体" w:eastAsia="黑体" w:cstheme="minorBidi"/>
      <w:b w:val="0"/>
      <w:bCs/>
      <w:color w:val="000000"/>
      <w:spacing w:val="0"/>
      <w:kern w:val="2"/>
      <w:sz w:val="21"/>
      <w:szCs w:val="24"/>
    </w:rPr>
  </w:style>
  <w:style w:type="character" w:customStyle="1" w:styleId="1151">
    <w:name w:val="正文B Char Char"/>
    <w:link w:val="1152"/>
    <w:qFormat/>
    <w:uiPriority w:val="0"/>
    <w:rPr>
      <w:rFonts w:ascii="宋体" w:hAnsi="宋体" w:eastAsia="宋体" w:cs="宋体"/>
      <w:sz w:val="24"/>
    </w:rPr>
  </w:style>
  <w:style w:type="paragraph" w:customStyle="1" w:styleId="1152">
    <w:name w:val="正文B"/>
    <w:basedOn w:val="378"/>
    <w:link w:val="1151"/>
    <w:qFormat/>
    <w:uiPriority w:val="0"/>
    <w:pPr>
      <w:ind w:firstLine="480" w:firstLineChars="200"/>
    </w:pPr>
  </w:style>
  <w:style w:type="character" w:customStyle="1" w:styleId="1153">
    <w:name w:val="MFS单位3 Char Char"/>
    <w:link w:val="1154"/>
    <w:qFormat/>
    <w:uiPriority w:val="0"/>
    <w:rPr>
      <w:rFonts w:eastAsia="楷体_GB2312"/>
      <w:sz w:val="18"/>
      <w:szCs w:val="18"/>
    </w:rPr>
  </w:style>
  <w:style w:type="paragraph" w:customStyle="1" w:styleId="1154">
    <w:name w:val="MFS单位3"/>
    <w:basedOn w:val="404"/>
    <w:link w:val="1153"/>
    <w:qFormat/>
    <w:uiPriority w:val="0"/>
    <w:rPr>
      <w:rFonts w:eastAsia="楷体_GB2312" w:asciiTheme="minorHAnsi" w:hAnsiTheme="minorHAnsi" w:cstheme="minorBidi"/>
      <w:spacing w:val="0"/>
      <w:kern w:val="2"/>
      <w:szCs w:val="18"/>
    </w:rPr>
  </w:style>
  <w:style w:type="character" w:customStyle="1" w:styleId="1155">
    <w:name w:val="Char Char81"/>
    <w:qFormat/>
    <w:uiPriority w:val="0"/>
    <w:rPr>
      <w:rFonts w:eastAsia="宋体"/>
      <w:kern w:val="2"/>
      <w:sz w:val="21"/>
      <w:szCs w:val="24"/>
      <w:lang w:val="en-US" w:eastAsia="zh-CN" w:bidi="ar-SA"/>
    </w:rPr>
  </w:style>
  <w:style w:type="character" w:customStyle="1" w:styleId="1156">
    <w:name w:val="7.4.2.1 Char Char"/>
    <w:link w:val="1157"/>
    <w:qFormat/>
    <w:uiPriority w:val="0"/>
    <w:rPr>
      <w:rFonts w:hAnsi="Arial"/>
      <w:szCs w:val="24"/>
    </w:rPr>
  </w:style>
  <w:style w:type="paragraph" w:customStyle="1" w:styleId="1157">
    <w:name w:val="7.4.2.1"/>
    <w:link w:val="1156"/>
    <w:qFormat/>
    <w:uiPriority w:val="0"/>
    <w:pPr>
      <w:keepNext/>
      <w:keepLines/>
      <w:tabs>
        <w:tab w:val="left" w:pos="720"/>
      </w:tabs>
    </w:pPr>
    <w:rPr>
      <w:rFonts w:hAnsi="Arial" w:asciiTheme="minorHAnsi" w:eastAsiaTheme="minorEastAsia" w:cstheme="minorBidi"/>
      <w:kern w:val="2"/>
      <w:sz w:val="21"/>
      <w:szCs w:val="24"/>
      <w:lang w:val="en-US" w:eastAsia="zh-CN" w:bidi="ar-SA"/>
    </w:rPr>
  </w:style>
  <w:style w:type="character" w:customStyle="1" w:styleId="1158">
    <w:name w:val="表格文字居中 Char1"/>
    <w:link w:val="1159"/>
    <w:qFormat/>
    <w:uiPriority w:val="0"/>
    <w:rPr>
      <w:rFonts w:eastAsia="宋体"/>
      <w:sz w:val="18"/>
      <w:szCs w:val="18"/>
    </w:rPr>
  </w:style>
  <w:style w:type="paragraph" w:customStyle="1" w:styleId="1159">
    <w:name w:val="表格文字居中"/>
    <w:basedOn w:val="1"/>
    <w:link w:val="1158"/>
    <w:qFormat/>
    <w:uiPriority w:val="0"/>
    <w:pPr>
      <w:spacing w:line="0" w:lineRule="atLeast"/>
      <w:ind w:left="-120" w:leftChars="-50"/>
      <w:jc w:val="center"/>
    </w:pPr>
    <w:rPr>
      <w:rFonts w:asciiTheme="minorHAnsi" w:hAnsiTheme="minorHAnsi" w:cstheme="minorBidi"/>
      <w:spacing w:val="0"/>
      <w:kern w:val="2"/>
      <w:sz w:val="18"/>
      <w:szCs w:val="18"/>
    </w:rPr>
  </w:style>
  <w:style w:type="character" w:customStyle="1" w:styleId="1160">
    <w:name w:val="页眉1 Char"/>
    <w:qFormat/>
    <w:uiPriority w:val="0"/>
    <w:rPr>
      <w:rFonts w:ascii="Times New Roman" w:hAnsi="Times New Roman" w:eastAsia="宋体" w:cs="Times New Roman"/>
      <w:sz w:val="18"/>
      <w:szCs w:val="18"/>
    </w:rPr>
  </w:style>
  <w:style w:type="character" w:customStyle="1" w:styleId="1161">
    <w:name w:val="正文内容 Char Char Char Char"/>
    <w:link w:val="1162"/>
    <w:qFormat/>
    <w:uiPriority w:val="0"/>
    <w:rPr>
      <w:rFonts w:eastAsia="宋体" w:cs="宋体"/>
      <w:sz w:val="24"/>
      <w:szCs w:val="24"/>
    </w:rPr>
  </w:style>
  <w:style w:type="paragraph" w:customStyle="1" w:styleId="1162">
    <w:name w:val="正文内容 Char"/>
    <w:basedOn w:val="1"/>
    <w:next w:val="1"/>
    <w:link w:val="1161"/>
    <w:qFormat/>
    <w:uiPriority w:val="0"/>
    <w:pPr>
      <w:snapToGrid w:val="0"/>
      <w:spacing w:beforeLines="25" w:afterLines="25" w:line="440" w:lineRule="exact"/>
      <w:ind w:firstLine="200" w:firstLineChars="200"/>
    </w:pPr>
    <w:rPr>
      <w:rFonts w:cs="宋体" w:asciiTheme="minorHAnsi" w:hAnsiTheme="minorHAnsi"/>
      <w:spacing w:val="0"/>
      <w:kern w:val="2"/>
      <w:sz w:val="24"/>
      <w:szCs w:val="24"/>
    </w:rPr>
  </w:style>
  <w:style w:type="character" w:customStyle="1" w:styleId="1163">
    <w:name w:val="表格样式 Char"/>
    <w:qFormat/>
    <w:uiPriority w:val="0"/>
    <w:rPr>
      <w:rFonts w:ascii="宋体" w:hAnsi="宋体" w:eastAsia="宋体"/>
      <w:sz w:val="21"/>
      <w:szCs w:val="21"/>
      <w:lang w:val="en-US" w:eastAsia="zh-CN" w:bidi="ar-SA"/>
    </w:rPr>
  </w:style>
  <w:style w:type="character" w:customStyle="1" w:styleId="1164">
    <w:name w:val="正文(首行缩进) Char1"/>
    <w:qFormat/>
    <w:uiPriority w:val="0"/>
    <w:rPr>
      <w:rFonts w:hAnsi="宋体" w:eastAsia="宋体"/>
      <w:snapToGrid w:val="0"/>
      <w:kern w:val="2"/>
      <w:sz w:val="24"/>
      <w:szCs w:val="24"/>
      <w:lang w:val="en-US" w:eastAsia="zh-CN" w:bidi="ar-SA"/>
    </w:rPr>
  </w:style>
  <w:style w:type="character" w:customStyle="1" w:styleId="1165">
    <w:name w:val="表格统一样式 + 仿宋_GB2312 Char Char"/>
    <w:link w:val="1166"/>
    <w:qFormat/>
    <w:uiPriority w:val="0"/>
    <w:rPr>
      <w:rFonts w:ascii="宋体" w:hAnsi="宋体"/>
      <w:szCs w:val="21"/>
    </w:rPr>
  </w:style>
  <w:style w:type="paragraph" w:customStyle="1" w:styleId="1166">
    <w:name w:val="表格统一样式 + 仿宋_GB2312"/>
    <w:basedOn w:val="1076"/>
    <w:link w:val="1165"/>
    <w:qFormat/>
    <w:uiPriority w:val="0"/>
    <w:pPr>
      <w:jc w:val="center"/>
    </w:pPr>
  </w:style>
  <w:style w:type="character" w:customStyle="1" w:styleId="1167">
    <w:name w:val="标题A Char Char"/>
    <w:link w:val="1168"/>
    <w:qFormat/>
    <w:uiPriority w:val="0"/>
    <w:rPr>
      <w:rFonts w:hAnsi="宋体" w:eastAsia="宋体" w:cs="宋体"/>
      <w:b/>
      <w:bCs/>
      <w:sz w:val="32"/>
    </w:rPr>
  </w:style>
  <w:style w:type="paragraph" w:customStyle="1" w:styleId="1168">
    <w:name w:val="标题A"/>
    <w:basedOn w:val="1"/>
    <w:link w:val="1167"/>
    <w:qFormat/>
    <w:uiPriority w:val="0"/>
    <w:pPr>
      <w:jc w:val="center"/>
    </w:pPr>
    <w:rPr>
      <w:rFonts w:hAnsi="宋体" w:cs="宋体" w:asciiTheme="minorHAnsi"/>
      <w:b/>
      <w:bCs/>
      <w:spacing w:val="0"/>
      <w:kern w:val="2"/>
      <w:sz w:val="32"/>
      <w:szCs w:val="22"/>
    </w:rPr>
  </w:style>
  <w:style w:type="character" w:customStyle="1" w:styleId="1169">
    <w:name w:val="dc1"/>
    <w:qFormat/>
    <w:uiPriority w:val="0"/>
    <w:rPr>
      <w:rFonts w:hint="eastAsia" w:ascii="宋体" w:hAnsi="宋体" w:eastAsia="宋体"/>
      <w:sz w:val="18"/>
      <w:szCs w:val="18"/>
    </w:rPr>
  </w:style>
  <w:style w:type="character" w:customStyle="1" w:styleId="1170">
    <w:name w:val="pro_text11"/>
    <w:qFormat/>
    <w:uiPriority w:val="0"/>
    <w:rPr>
      <w:rFonts w:hint="default" w:ascii="??" w:hAnsi="??" w:eastAsia="宋体" w:cs="宋体"/>
      <w:color w:val="333333"/>
      <w:sz w:val="12"/>
      <w:szCs w:val="12"/>
      <w:u w:val="none"/>
      <w:lang w:val="en-US" w:eastAsia="zh-CN" w:bidi="ar-SA"/>
    </w:rPr>
  </w:style>
  <w:style w:type="character" w:customStyle="1" w:styleId="1171">
    <w:name w:val="表头 Char"/>
    <w:qFormat/>
    <w:locked/>
    <w:uiPriority w:val="0"/>
    <w:rPr>
      <w:kern w:val="28"/>
      <w:sz w:val="32"/>
    </w:rPr>
  </w:style>
  <w:style w:type="character" w:customStyle="1" w:styleId="1172">
    <w:name w:val="7.4.3.1 Char Char"/>
    <w:link w:val="1173"/>
    <w:qFormat/>
    <w:uiPriority w:val="0"/>
    <w:rPr>
      <w:rFonts w:ascii="Arial" w:hAnsi="Arial" w:eastAsia="黑体"/>
      <w:b/>
      <w:bCs/>
      <w:color w:val="FF0000"/>
      <w:sz w:val="24"/>
      <w:szCs w:val="24"/>
    </w:rPr>
  </w:style>
  <w:style w:type="paragraph" w:customStyle="1" w:styleId="1173">
    <w:name w:val="7.4.3.1"/>
    <w:basedOn w:val="1157"/>
    <w:link w:val="1172"/>
    <w:qFormat/>
    <w:uiPriority w:val="0"/>
    <w:pPr>
      <w:tabs>
        <w:tab w:val="left" w:pos="360"/>
        <w:tab w:val="left" w:pos="1080"/>
        <w:tab w:val="left" w:pos="2847"/>
        <w:tab w:val="left" w:pos="3306"/>
      </w:tabs>
      <w:ind w:left="1395" w:hanging="708"/>
    </w:pPr>
    <w:rPr>
      <w:rFonts w:ascii="Arial" w:eastAsia="黑体"/>
      <w:b/>
      <w:bCs/>
      <w:color w:val="FF0000"/>
      <w:sz w:val="24"/>
    </w:rPr>
  </w:style>
  <w:style w:type="character" w:customStyle="1" w:styleId="1174">
    <w:name w:val="样式 dan7-1 + 宋体 Char Char Char Char"/>
    <w:link w:val="1175"/>
    <w:qFormat/>
    <w:uiPriority w:val="0"/>
    <w:rPr>
      <w:rFonts w:ascii="宋体" w:hAnsi="宋体" w:eastAsia="宋体" w:cs="宋体"/>
      <w:b/>
      <w:sz w:val="24"/>
      <w:szCs w:val="24"/>
    </w:rPr>
  </w:style>
  <w:style w:type="paragraph" w:customStyle="1" w:styleId="1175">
    <w:name w:val="样式 dan7-1 + 宋体 Char Char"/>
    <w:basedOn w:val="677"/>
    <w:link w:val="1174"/>
    <w:qFormat/>
    <w:uiPriority w:val="0"/>
    <w:rPr>
      <w:rFonts w:ascii="宋体" w:hAnsi="宋体" w:eastAsia="宋体" w:cs="宋体"/>
      <w:b/>
    </w:rPr>
  </w:style>
  <w:style w:type="character" w:customStyle="1" w:styleId="1176">
    <w:name w:val="正文缩进 Char2"/>
    <w:qFormat/>
    <w:uiPriority w:val="0"/>
    <w:rPr>
      <w:rFonts w:ascii="宋体" w:eastAsia="宋体"/>
      <w:kern w:val="2"/>
      <w:sz w:val="24"/>
      <w:lang w:val="en-US" w:eastAsia="zh-CN" w:bidi="ar-SA"/>
    </w:rPr>
  </w:style>
  <w:style w:type="character" w:customStyle="1" w:styleId="1177">
    <w:name w:val="正文缩 Char Char"/>
    <w:qFormat/>
    <w:uiPriority w:val="0"/>
    <w:rPr>
      <w:rFonts w:ascii="宋体" w:eastAsia="宋体"/>
      <w:spacing w:val="6"/>
      <w:sz w:val="28"/>
      <w:lang w:val="en-US" w:eastAsia="zh-CN"/>
    </w:rPr>
  </w:style>
  <w:style w:type="character" w:customStyle="1" w:styleId="1178">
    <w:name w:val="标题 4 Char2"/>
    <w:qFormat/>
    <w:uiPriority w:val="0"/>
    <w:rPr>
      <w:rFonts w:ascii="黑体" w:eastAsia="黑体"/>
      <w:bCs/>
      <w:kern w:val="2"/>
      <w:sz w:val="24"/>
      <w:szCs w:val="28"/>
      <w:lang w:val="en-US" w:eastAsia="zh-CN" w:bidi="ar-SA"/>
    </w:rPr>
  </w:style>
  <w:style w:type="character" w:customStyle="1" w:styleId="1179">
    <w:name w:val="标题 4 Char4"/>
    <w:qFormat/>
    <w:uiPriority w:val="0"/>
    <w:rPr>
      <w:rFonts w:ascii="黑体" w:hAnsi="Arial" w:eastAsia="黑体" w:cs="宋体"/>
      <w:bCs/>
      <w:sz w:val="24"/>
      <w:szCs w:val="24"/>
      <w:lang w:val="en-US" w:eastAsia="zh-CN" w:bidi="ar-SA"/>
    </w:rPr>
  </w:style>
  <w:style w:type="character" w:customStyle="1" w:styleId="1180">
    <w:name w:val="正文－1.2倍行距－段后6磅 Char"/>
    <w:qFormat/>
    <w:locked/>
    <w:uiPriority w:val="0"/>
    <w:rPr>
      <w:kern w:val="2"/>
      <w:sz w:val="24"/>
      <w:szCs w:val="21"/>
    </w:rPr>
  </w:style>
  <w:style w:type="character" w:customStyle="1" w:styleId="1181">
    <w:name w:val="Char Char5"/>
    <w:qFormat/>
    <w:uiPriority w:val="0"/>
    <w:rPr>
      <w:rFonts w:ascii="Arial" w:hAnsi="Arial" w:eastAsia="黑体" w:cs="Arial"/>
      <w:kern w:val="2"/>
      <w:lang w:val="en-US" w:eastAsia="zh-CN" w:bidi="ar-SA"/>
    </w:rPr>
  </w:style>
  <w:style w:type="character" w:customStyle="1" w:styleId="1182">
    <w:name w:val="HTML 预设格式 Char2"/>
    <w:qFormat/>
    <w:uiPriority w:val="0"/>
    <w:rPr>
      <w:rFonts w:ascii="黑体" w:hAnsi="Courier New" w:eastAsia="黑体"/>
      <w:lang w:val="en-US" w:eastAsia="zh-CN" w:bidi="ar-SA"/>
    </w:rPr>
  </w:style>
  <w:style w:type="character" w:customStyle="1" w:styleId="1183">
    <w:name w:val="宁联正文 Char Char"/>
    <w:link w:val="1184"/>
    <w:qFormat/>
    <w:uiPriority w:val="0"/>
    <w:rPr>
      <w:rFonts w:eastAsia="仿宋_GB2312"/>
      <w:sz w:val="28"/>
      <w:szCs w:val="28"/>
    </w:rPr>
  </w:style>
  <w:style w:type="paragraph" w:customStyle="1" w:styleId="1184">
    <w:name w:val="宁联正文"/>
    <w:basedOn w:val="1"/>
    <w:link w:val="1183"/>
    <w:qFormat/>
    <w:uiPriority w:val="0"/>
    <w:pPr>
      <w:adjustRightInd w:val="0"/>
      <w:snapToGrid w:val="0"/>
      <w:spacing w:line="360" w:lineRule="auto"/>
      <w:ind w:firstLine="200" w:firstLineChars="200"/>
    </w:pPr>
    <w:rPr>
      <w:rFonts w:eastAsia="仿宋_GB2312" w:asciiTheme="minorHAnsi" w:hAnsiTheme="minorHAnsi" w:cstheme="minorBidi"/>
      <w:spacing w:val="0"/>
      <w:kern w:val="2"/>
      <w:sz w:val="28"/>
      <w:szCs w:val="28"/>
    </w:rPr>
  </w:style>
  <w:style w:type="character" w:customStyle="1" w:styleId="1185">
    <w:name w:val="Char1 Char Char"/>
    <w:qFormat/>
    <w:uiPriority w:val="0"/>
    <w:rPr>
      <w:rFonts w:eastAsia="宋体"/>
      <w:b/>
      <w:bCs/>
      <w:kern w:val="2"/>
      <w:sz w:val="24"/>
      <w:szCs w:val="24"/>
      <w:lang w:val="en-US" w:eastAsia="zh-CN" w:bidi="ar-SA"/>
    </w:rPr>
  </w:style>
  <w:style w:type="character" w:customStyle="1" w:styleId="1186">
    <w:name w:val="b1424"/>
    <w:qFormat/>
    <w:uiPriority w:val="0"/>
  </w:style>
  <w:style w:type="character" w:customStyle="1" w:styleId="1187">
    <w:name w:val="正文样式 Char Char Char Char Char Char"/>
    <w:qFormat/>
    <w:locked/>
    <w:uiPriority w:val="0"/>
    <w:rPr>
      <w:rFonts w:ascii="宋体" w:hAnsi="宋体"/>
      <w:color w:val="000000"/>
      <w:kern w:val="2"/>
      <w:sz w:val="24"/>
      <w:szCs w:val="24"/>
    </w:rPr>
  </w:style>
  <w:style w:type="character" w:customStyle="1" w:styleId="1188">
    <w:name w:val="册除格式 Char Char Char Char"/>
    <w:link w:val="1189"/>
    <w:qFormat/>
    <w:uiPriority w:val="0"/>
    <w:rPr>
      <w:rFonts w:ascii="黑体" w:hAnsi="Arial"/>
      <w:snapToGrid w:val="0"/>
      <w:spacing w:val="4"/>
      <w:kern w:val="18"/>
      <w:sz w:val="24"/>
    </w:rPr>
  </w:style>
  <w:style w:type="paragraph" w:customStyle="1" w:styleId="1189">
    <w:name w:val="册除格式 Char"/>
    <w:link w:val="1188"/>
    <w:qFormat/>
    <w:uiPriority w:val="0"/>
    <w:pPr>
      <w:spacing w:line="360" w:lineRule="auto"/>
      <w:ind w:firstLine="482"/>
    </w:pPr>
    <w:rPr>
      <w:rFonts w:ascii="黑体" w:hAnsi="Arial" w:eastAsiaTheme="minorEastAsia" w:cstheme="minorBidi"/>
      <w:snapToGrid w:val="0"/>
      <w:spacing w:val="4"/>
      <w:kern w:val="18"/>
      <w:sz w:val="24"/>
      <w:szCs w:val="22"/>
      <w:lang w:val="en-US" w:eastAsia="zh-CN" w:bidi="ar-SA"/>
    </w:rPr>
  </w:style>
  <w:style w:type="character" w:customStyle="1" w:styleId="1190">
    <w:name w:val="HTML 样本12"/>
    <w:qFormat/>
    <w:uiPriority w:val="0"/>
    <w:rPr>
      <w:rFonts w:ascii="Courier New" w:hAnsi="Courier New" w:cs="Courier New"/>
    </w:rPr>
  </w:style>
  <w:style w:type="character" w:customStyle="1" w:styleId="1191">
    <w:name w:val="表格标题＋单位 Char Char"/>
    <w:link w:val="1192"/>
    <w:qFormat/>
    <w:uiPriority w:val="0"/>
    <w:rPr>
      <w:rFonts w:eastAsia="宋体"/>
      <w:b/>
      <w:sz w:val="24"/>
      <w:szCs w:val="24"/>
    </w:rPr>
  </w:style>
  <w:style w:type="paragraph" w:customStyle="1" w:styleId="1192">
    <w:name w:val="表格标题＋单位"/>
    <w:basedOn w:val="1"/>
    <w:link w:val="1191"/>
    <w:qFormat/>
    <w:uiPriority w:val="0"/>
    <w:pPr>
      <w:wordWrap w:val="0"/>
      <w:spacing w:line="500" w:lineRule="exact"/>
      <w:jc w:val="right"/>
    </w:pPr>
    <w:rPr>
      <w:rFonts w:asciiTheme="minorHAnsi" w:hAnsiTheme="minorHAnsi" w:cstheme="minorBidi"/>
      <w:b/>
      <w:spacing w:val="0"/>
      <w:kern w:val="2"/>
      <w:sz w:val="24"/>
      <w:szCs w:val="24"/>
    </w:rPr>
  </w:style>
  <w:style w:type="character" w:customStyle="1" w:styleId="1193">
    <w:name w:val="样式 正文首行缩进 + Arial 四号 Char"/>
    <w:qFormat/>
    <w:locked/>
    <w:uiPriority w:val="0"/>
    <w:rPr>
      <w:rFonts w:ascii="宋体" w:hAnsi="Arial"/>
      <w:sz w:val="28"/>
      <w:szCs w:val="24"/>
    </w:rPr>
  </w:style>
  <w:style w:type="character" w:customStyle="1" w:styleId="1194">
    <w:name w:val="章标题(无序号) Char Char2"/>
    <w:qFormat/>
    <w:uiPriority w:val="0"/>
    <w:rPr>
      <w:rFonts w:ascii="Arial" w:hAnsi="Arial" w:eastAsia="宋体" w:cs="Arial"/>
      <w:b/>
      <w:bCs/>
      <w:kern w:val="2"/>
      <w:sz w:val="32"/>
      <w:szCs w:val="32"/>
      <w:lang w:val="en-US" w:eastAsia="zh-CN" w:bidi="ar-SA"/>
    </w:rPr>
  </w:style>
  <w:style w:type="character" w:customStyle="1" w:styleId="1195">
    <w:name w:val="样式 样式 宋体 段前: 0.5 行 行距: 固定值 18 磅 + 首行缩进:  2 字符 Char Char"/>
    <w:link w:val="1196"/>
    <w:qFormat/>
    <w:uiPriority w:val="0"/>
    <w:rPr>
      <w:rFonts w:ascii="宋体" w:hAnsi="宋体"/>
      <w:color w:val="000000"/>
      <w:sz w:val="24"/>
      <w:szCs w:val="24"/>
    </w:rPr>
  </w:style>
  <w:style w:type="paragraph" w:customStyle="1" w:styleId="1196">
    <w:name w:val="样式 样式 宋体 段前: 0.5 行 行距: 固定值 18 磅 + 首行缩进:  2 字符"/>
    <w:basedOn w:val="1"/>
    <w:link w:val="1195"/>
    <w:qFormat/>
    <w:uiPriority w:val="0"/>
    <w:pPr>
      <w:snapToGrid w:val="0"/>
      <w:spacing w:beforeLines="50" w:line="360" w:lineRule="auto"/>
      <w:ind w:firstLine="480" w:firstLineChars="200"/>
    </w:pPr>
    <w:rPr>
      <w:rFonts w:ascii="宋体" w:hAnsi="宋体" w:eastAsiaTheme="minorEastAsia" w:cstheme="minorBidi"/>
      <w:color w:val="000000"/>
      <w:spacing w:val="0"/>
      <w:kern w:val="2"/>
      <w:sz w:val="24"/>
      <w:szCs w:val="24"/>
    </w:rPr>
  </w:style>
  <w:style w:type="character" w:customStyle="1" w:styleId="1197">
    <w:name w:val="e011"/>
    <w:qFormat/>
    <w:uiPriority w:val="0"/>
    <w:rPr>
      <w:sz w:val="21"/>
      <w:szCs w:val="21"/>
    </w:rPr>
  </w:style>
  <w:style w:type="character" w:customStyle="1" w:styleId="1198">
    <w:name w:val="3zw"/>
    <w:basedOn w:val="90"/>
    <w:qFormat/>
    <w:uiPriority w:val="0"/>
  </w:style>
  <w:style w:type="character" w:customStyle="1" w:styleId="1199">
    <w:name w:val="正文首行缩进 2 Char Char"/>
    <w:link w:val="1200"/>
    <w:qFormat/>
    <w:uiPriority w:val="0"/>
    <w:rPr>
      <w:rFonts w:eastAsia="宋体"/>
      <w:szCs w:val="24"/>
    </w:rPr>
  </w:style>
  <w:style w:type="paragraph" w:customStyle="1" w:styleId="1200">
    <w:name w:val="正文首行缩进 21"/>
    <w:basedOn w:val="1"/>
    <w:link w:val="1199"/>
    <w:qFormat/>
    <w:uiPriority w:val="0"/>
    <w:pPr>
      <w:overflowPunct w:val="0"/>
      <w:snapToGrid w:val="0"/>
      <w:spacing w:after="120" w:line="480" w:lineRule="exact"/>
      <w:ind w:left="420" w:leftChars="200" w:firstLine="420" w:firstLineChars="200"/>
    </w:pPr>
    <w:rPr>
      <w:rFonts w:asciiTheme="minorHAnsi" w:hAnsiTheme="minorHAnsi" w:cstheme="minorBidi"/>
      <w:spacing w:val="0"/>
      <w:kern w:val="2"/>
      <w:sz w:val="21"/>
      <w:szCs w:val="24"/>
    </w:rPr>
  </w:style>
  <w:style w:type="character" w:customStyle="1" w:styleId="1201">
    <w:name w:val="正文文字[858D7CFB-ED40-4347-BF05-701D383B685F]"/>
    <w:qFormat/>
    <w:uiPriority w:val="0"/>
    <w:rPr>
      <w:rFonts w:eastAsia="仿宋_GB2312"/>
      <w:sz w:val="28"/>
      <w:szCs w:val="28"/>
      <w:lang w:bidi="ar-SA"/>
    </w:rPr>
  </w:style>
  <w:style w:type="character" w:customStyle="1" w:styleId="1202">
    <w:name w:val="表文字居中 Char"/>
    <w:qFormat/>
    <w:locked/>
    <w:uiPriority w:val="0"/>
    <w:rPr>
      <w:rFonts w:ascii="Arial" w:hAnsi="Arial" w:eastAsia="Times New Roman" w:cs="Arial"/>
      <w:kern w:val="2"/>
      <w:sz w:val="21"/>
      <w:szCs w:val="24"/>
    </w:rPr>
  </w:style>
  <w:style w:type="character" w:customStyle="1" w:styleId="1203">
    <w:name w:val="表格文字_中 Char Char"/>
    <w:link w:val="1204"/>
    <w:qFormat/>
    <w:uiPriority w:val="0"/>
    <w:rPr>
      <w:rFonts w:ascii="楷体_GB2312" w:hAnsi="宋体" w:eastAsia="楷体_GB2312"/>
      <w:snapToGrid w:val="0"/>
      <w:kern w:val="15"/>
      <w:szCs w:val="21"/>
    </w:rPr>
  </w:style>
  <w:style w:type="paragraph" w:customStyle="1" w:styleId="1204">
    <w:name w:val="表格文字_中"/>
    <w:basedOn w:val="1"/>
    <w:next w:val="1"/>
    <w:link w:val="1203"/>
    <w:qFormat/>
    <w:uiPriority w:val="0"/>
    <w:pPr>
      <w:adjustRightInd w:val="0"/>
      <w:spacing w:line="360" w:lineRule="auto"/>
      <w:jc w:val="center"/>
      <w:textAlignment w:val="baseline"/>
    </w:pPr>
    <w:rPr>
      <w:rFonts w:ascii="楷体_GB2312" w:hAnsi="宋体" w:eastAsia="楷体_GB2312" w:cstheme="minorBidi"/>
      <w:snapToGrid w:val="0"/>
      <w:spacing w:val="0"/>
      <w:kern w:val="15"/>
      <w:sz w:val="21"/>
      <w:szCs w:val="21"/>
    </w:rPr>
  </w:style>
  <w:style w:type="character" w:customStyle="1" w:styleId="1205">
    <w:name w:val="宏文本 Char1"/>
    <w:qFormat/>
    <w:uiPriority w:val="0"/>
    <w:rPr>
      <w:rFonts w:ascii="Courier New" w:hAnsi="Courier New" w:eastAsia="宋体" w:cs="Courier New"/>
      <w:sz w:val="24"/>
      <w:szCs w:val="24"/>
    </w:rPr>
  </w:style>
  <w:style w:type="character" w:customStyle="1" w:styleId="1206">
    <w:name w:val="标题 8 Char3"/>
    <w:qFormat/>
    <w:uiPriority w:val="0"/>
    <w:rPr>
      <w:rFonts w:ascii="Arial" w:hAnsi="Arial" w:eastAsia="黑体" w:cs="Times New Roman"/>
      <w:sz w:val="24"/>
      <w:szCs w:val="24"/>
    </w:rPr>
  </w:style>
  <w:style w:type="character" w:customStyle="1" w:styleId="1207">
    <w:name w:val="样式 宋体 小四 Char"/>
    <w:qFormat/>
    <w:locked/>
    <w:uiPriority w:val="0"/>
    <w:rPr>
      <w:rFonts w:ascii="宋体" w:hAnsi="宋体" w:cs="宋体"/>
      <w:kern w:val="2"/>
      <w:sz w:val="24"/>
      <w:szCs w:val="24"/>
    </w:rPr>
  </w:style>
  <w:style w:type="character" w:customStyle="1" w:styleId="1208">
    <w:name w:val="正文内容 Char Char1"/>
    <w:qFormat/>
    <w:uiPriority w:val="0"/>
    <w:rPr>
      <w:rFonts w:hint="eastAsia" w:ascii="宋体" w:hAnsi="宋体" w:eastAsia="宋体" w:cs="宋体"/>
      <w:sz w:val="24"/>
      <w:szCs w:val="24"/>
      <w:lang w:val="en-US" w:eastAsia="zh-CN" w:bidi="ar-SA"/>
    </w:rPr>
  </w:style>
  <w:style w:type="character" w:customStyle="1" w:styleId="1209">
    <w:name w:val="批注引用13"/>
    <w:qFormat/>
    <w:uiPriority w:val="0"/>
    <w:rPr>
      <w:sz w:val="21"/>
    </w:rPr>
  </w:style>
  <w:style w:type="character" w:customStyle="1" w:styleId="1210">
    <w:name w:val="脚注文本 Char3"/>
    <w:qFormat/>
    <w:uiPriority w:val="0"/>
    <w:rPr>
      <w:rFonts w:eastAsia="宋体"/>
      <w:kern w:val="2"/>
      <w:sz w:val="18"/>
      <w:lang w:val="en-US" w:eastAsia="zh-CN" w:bidi="ar-SA"/>
    </w:rPr>
  </w:style>
  <w:style w:type="character" w:customStyle="1" w:styleId="1211">
    <w:name w:val="style48"/>
    <w:basedOn w:val="90"/>
    <w:qFormat/>
    <w:uiPriority w:val="0"/>
  </w:style>
  <w:style w:type="character" w:customStyle="1" w:styleId="1212">
    <w:name w:val="表号 Char1"/>
    <w:link w:val="1213"/>
    <w:qFormat/>
    <w:uiPriority w:val="0"/>
    <w:rPr>
      <w:rFonts w:ascii="黑体" w:hAnsi="宋体" w:eastAsia="黑体"/>
      <w:sz w:val="24"/>
      <w:szCs w:val="28"/>
    </w:rPr>
  </w:style>
  <w:style w:type="paragraph" w:customStyle="1" w:styleId="1213">
    <w:name w:val="表号"/>
    <w:basedOn w:val="1"/>
    <w:link w:val="1212"/>
    <w:qFormat/>
    <w:uiPriority w:val="0"/>
    <w:pPr>
      <w:jc w:val="center"/>
    </w:pPr>
    <w:rPr>
      <w:rFonts w:ascii="黑体" w:hAnsi="宋体" w:eastAsia="黑体" w:cstheme="minorBidi"/>
      <w:spacing w:val="0"/>
      <w:kern w:val="2"/>
      <w:sz w:val="24"/>
      <w:szCs w:val="28"/>
    </w:rPr>
  </w:style>
  <w:style w:type="character" w:customStyle="1" w:styleId="1214">
    <w:name w:val="HTML 缩写12"/>
    <w:basedOn w:val="90"/>
    <w:qFormat/>
    <w:uiPriority w:val="0"/>
  </w:style>
  <w:style w:type="character" w:customStyle="1" w:styleId="1215">
    <w:name w:val="Footer-Even Char"/>
    <w:qFormat/>
    <w:uiPriority w:val="0"/>
    <w:rPr>
      <w:sz w:val="18"/>
      <w:szCs w:val="18"/>
    </w:rPr>
  </w:style>
  <w:style w:type="character" w:customStyle="1" w:styleId="1216">
    <w:name w:val="样式表 Char Char"/>
    <w:link w:val="1217"/>
    <w:qFormat/>
    <w:uiPriority w:val="0"/>
    <w:rPr>
      <w:rFonts w:ascii="黑体" w:eastAsia="黑体" w:cs="宋体"/>
      <w:color w:val="000000"/>
      <w:spacing w:val="8"/>
      <w:sz w:val="24"/>
      <w:szCs w:val="24"/>
    </w:rPr>
  </w:style>
  <w:style w:type="paragraph" w:customStyle="1" w:styleId="1217">
    <w:name w:val="样式表"/>
    <w:basedOn w:val="22"/>
    <w:link w:val="1216"/>
    <w:qFormat/>
    <w:uiPriority w:val="0"/>
    <w:pPr>
      <w:widowControl/>
      <w:adjustRightInd/>
      <w:spacing w:line="480" w:lineRule="exact"/>
      <w:textAlignment w:val="auto"/>
    </w:pPr>
    <w:rPr>
      <w:rFonts w:cs="宋体" w:hAnsiTheme="minorHAnsi"/>
      <w:color w:val="000000"/>
      <w:spacing w:val="8"/>
      <w:kern w:val="2"/>
      <w:sz w:val="24"/>
      <w:szCs w:val="24"/>
    </w:rPr>
  </w:style>
  <w:style w:type="character" w:customStyle="1" w:styleId="1218">
    <w:name w:val="正文(首行缩进) Char2"/>
    <w:qFormat/>
    <w:uiPriority w:val="0"/>
    <w:rPr>
      <w:rFonts w:hint="eastAsia" w:ascii="黑体" w:eastAsia="黑体"/>
      <w:bCs/>
      <w:snapToGrid w:val="0"/>
      <w:color w:val="000000"/>
      <w:kern w:val="2"/>
      <w:sz w:val="24"/>
      <w:lang w:val="en-US" w:eastAsia="zh-CN" w:bidi="ar-SA"/>
    </w:rPr>
  </w:style>
  <w:style w:type="character" w:customStyle="1" w:styleId="1219">
    <w:name w:val="样式2 Char Char"/>
    <w:link w:val="1220"/>
    <w:qFormat/>
    <w:uiPriority w:val="0"/>
    <w:rPr>
      <w:rFonts w:ascii="黑体" w:eastAsia="黑体"/>
      <w:b/>
      <w:bCs/>
      <w:sz w:val="24"/>
      <w:szCs w:val="24"/>
    </w:rPr>
  </w:style>
  <w:style w:type="paragraph" w:customStyle="1" w:styleId="1220">
    <w:name w:val="样式2"/>
    <w:basedOn w:val="1"/>
    <w:link w:val="1219"/>
    <w:qFormat/>
    <w:uiPriority w:val="0"/>
    <w:pPr>
      <w:ind w:firstLine="964" w:firstLineChars="400"/>
    </w:pPr>
    <w:rPr>
      <w:rFonts w:ascii="黑体" w:eastAsia="黑体" w:hAnsiTheme="minorHAnsi" w:cstheme="minorBidi"/>
      <w:b/>
      <w:bCs/>
      <w:spacing w:val="0"/>
      <w:kern w:val="2"/>
      <w:sz w:val="24"/>
      <w:szCs w:val="24"/>
    </w:rPr>
  </w:style>
  <w:style w:type="character" w:customStyle="1" w:styleId="1221">
    <w:name w:val="图表标题 Char Char"/>
    <w:qFormat/>
    <w:uiPriority w:val="0"/>
    <w:rPr>
      <w:rFonts w:ascii="宋体" w:hAnsi="宋体" w:eastAsia="宋体"/>
      <w:sz w:val="24"/>
      <w:szCs w:val="28"/>
      <w:lang w:val="en-US" w:eastAsia="zh-CN" w:bidi="ar-SA"/>
    </w:rPr>
  </w:style>
  <w:style w:type="character" w:customStyle="1" w:styleId="1222">
    <w:name w:val="日期 Char3"/>
    <w:qFormat/>
    <w:uiPriority w:val="0"/>
    <w:rPr>
      <w:kern w:val="2"/>
      <w:sz w:val="21"/>
      <w:szCs w:val="22"/>
    </w:rPr>
  </w:style>
  <w:style w:type="character" w:customStyle="1" w:styleId="1223">
    <w:name w:val="样式 (符号) 宋体 四号2"/>
    <w:qFormat/>
    <w:uiPriority w:val="0"/>
    <w:rPr>
      <w:rFonts w:ascii="宋体" w:eastAsia="宋体"/>
      <w:spacing w:val="-6"/>
      <w:kern w:val="2"/>
      <w:sz w:val="28"/>
      <w:szCs w:val="24"/>
      <w:lang w:val="en-US" w:eastAsia="zh-CN" w:bidi="ar-SA"/>
    </w:rPr>
  </w:style>
  <w:style w:type="character" w:customStyle="1" w:styleId="1224">
    <w:name w:val="样式 四号"/>
    <w:qFormat/>
    <w:uiPriority w:val="0"/>
    <w:rPr>
      <w:sz w:val="24"/>
    </w:rPr>
  </w:style>
  <w:style w:type="character" w:customStyle="1" w:styleId="1225">
    <w:name w:val="样式 表格－正文 + 宋体 小四 黑色 Char"/>
    <w:qFormat/>
    <w:locked/>
    <w:uiPriority w:val="0"/>
    <w:rPr>
      <w:rFonts w:ascii="宋体" w:hAnsi="宋体"/>
      <w:color w:val="000000"/>
      <w:kern w:val="2"/>
      <w:sz w:val="24"/>
    </w:rPr>
  </w:style>
  <w:style w:type="character" w:customStyle="1" w:styleId="1226">
    <w:name w:val="text12"/>
    <w:qFormat/>
    <w:uiPriority w:val="0"/>
    <w:rPr>
      <w:rFonts w:hint="eastAsia" w:ascii="宋体" w:hAnsi="宋体" w:eastAsia="宋体"/>
      <w:color w:val="008000"/>
      <w:sz w:val="24"/>
      <w:szCs w:val="24"/>
    </w:rPr>
  </w:style>
  <w:style w:type="character" w:customStyle="1" w:styleId="1227">
    <w:name w:val="MFS单位 Char Char Char Char"/>
    <w:link w:val="1228"/>
    <w:qFormat/>
    <w:uiPriority w:val="0"/>
    <w:rPr>
      <w:rFonts w:ascii="宋体" w:hAnsi="宋体" w:eastAsia="宋体"/>
      <w:sz w:val="18"/>
      <w:szCs w:val="24"/>
    </w:rPr>
  </w:style>
  <w:style w:type="paragraph" w:customStyle="1" w:styleId="1228">
    <w:name w:val="MFS单位 Char"/>
    <w:basedOn w:val="1"/>
    <w:link w:val="1227"/>
    <w:qFormat/>
    <w:uiPriority w:val="0"/>
    <w:pPr>
      <w:jc w:val="right"/>
    </w:pPr>
    <w:rPr>
      <w:rFonts w:ascii="宋体" w:hAnsi="宋体" w:cstheme="minorBidi"/>
      <w:spacing w:val="0"/>
      <w:kern w:val="2"/>
      <w:sz w:val="18"/>
      <w:szCs w:val="24"/>
    </w:rPr>
  </w:style>
  <w:style w:type="character" w:customStyle="1" w:styleId="1229">
    <w:name w:val="li_正文 Char Char"/>
    <w:link w:val="1230"/>
    <w:qFormat/>
    <w:uiPriority w:val="0"/>
    <w:rPr>
      <w:sz w:val="28"/>
      <w:szCs w:val="28"/>
    </w:rPr>
  </w:style>
  <w:style w:type="paragraph" w:customStyle="1" w:styleId="1230">
    <w:name w:val="li_正文"/>
    <w:basedOn w:val="1"/>
    <w:link w:val="1229"/>
    <w:qFormat/>
    <w:uiPriority w:val="0"/>
    <w:pPr>
      <w:tabs>
        <w:tab w:val="left" w:pos="2574"/>
      </w:tabs>
      <w:overflowPunct w:val="0"/>
      <w:topLinePunct/>
      <w:ind w:firstLine="560" w:firstLineChars="200"/>
      <w:jc w:val="left"/>
    </w:pPr>
    <w:rPr>
      <w:rFonts w:asciiTheme="minorHAnsi" w:hAnsiTheme="minorHAnsi" w:eastAsiaTheme="minorEastAsia" w:cstheme="minorBidi"/>
      <w:spacing w:val="0"/>
      <w:kern w:val="2"/>
      <w:sz w:val="28"/>
      <w:szCs w:val="28"/>
    </w:rPr>
  </w:style>
  <w:style w:type="character" w:customStyle="1" w:styleId="1231">
    <w:name w:val="green1"/>
    <w:qFormat/>
    <w:uiPriority w:val="0"/>
    <w:rPr>
      <w:color w:val="000000"/>
      <w:sz w:val="21"/>
      <w:szCs w:val="21"/>
    </w:rPr>
  </w:style>
  <w:style w:type="character" w:customStyle="1" w:styleId="1232">
    <w:name w:val="表头 Char2"/>
    <w:qFormat/>
    <w:uiPriority w:val="0"/>
    <w:rPr>
      <w:rFonts w:ascii="宋体" w:hAnsi="宋体" w:eastAsia="宋体" w:cs="Times New Roman"/>
      <w:b/>
      <w:szCs w:val="21"/>
    </w:rPr>
  </w:style>
  <w:style w:type="character" w:customStyle="1" w:styleId="1233">
    <w:name w:val="Char Char152"/>
    <w:qFormat/>
    <w:uiPriority w:val="0"/>
    <w:rPr>
      <w:kern w:val="2"/>
      <w:sz w:val="18"/>
      <w:szCs w:val="18"/>
    </w:rPr>
  </w:style>
  <w:style w:type="character" w:customStyle="1" w:styleId="1234">
    <w:name w:val="dxj正文 Char"/>
    <w:qFormat/>
    <w:locked/>
    <w:uiPriority w:val="0"/>
    <w:rPr>
      <w:sz w:val="24"/>
      <w:szCs w:val="24"/>
    </w:rPr>
  </w:style>
  <w:style w:type="character" w:customStyle="1" w:styleId="1235">
    <w:name w:val="百大正文 Char"/>
    <w:qFormat/>
    <w:locked/>
    <w:uiPriority w:val="0"/>
    <w:rPr>
      <w:rFonts w:ascii="宋体" w:hAnsi="宋体"/>
      <w:kern w:val="2"/>
      <w:sz w:val="28"/>
    </w:rPr>
  </w:style>
  <w:style w:type="character" w:customStyle="1" w:styleId="1236">
    <w:name w:val="Char Char19"/>
    <w:qFormat/>
    <w:uiPriority w:val="0"/>
    <w:rPr>
      <w:rFonts w:eastAsia="宋体"/>
      <w:b/>
      <w:bCs/>
      <w:kern w:val="2"/>
      <w:sz w:val="24"/>
      <w:szCs w:val="24"/>
      <w:lang w:val="en-US" w:eastAsia="zh-CN" w:bidi="ar-SA"/>
    </w:rPr>
  </w:style>
  <w:style w:type="character" w:customStyle="1" w:styleId="1237">
    <w:name w:val="样式 样式 正文文本 + 行距: 固定值 26 磅 + 首行缩进:  2 字符 Char Char"/>
    <w:link w:val="1238"/>
    <w:qFormat/>
    <w:uiPriority w:val="0"/>
    <w:rPr>
      <w:rFonts w:ascii="宋体" w:hAnsi="宋体" w:eastAsia="宋体" w:cs="宋体"/>
      <w:bCs/>
      <w:sz w:val="24"/>
      <w:szCs w:val="24"/>
    </w:rPr>
  </w:style>
  <w:style w:type="paragraph" w:customStyle="1" w:styleId="1238">
    <w:name w:val="样式 样式 正文文本 + 行距: 固定值 26 磅 + 首行缩进:  2 字符"/>
    <w:basedOn w:val="1"/>
    <w:link w:val="1237"/>
    <w:qFormat/>
    <w:uiPriority w:val="0"/>
    <w:pPr>
      <w:spacing w:line="500" w:lineRule="exact"/>
      <w:ind w:firstLine="480" w:firstLineChars="200"/>
    </w:pPr>
    <w:rPr>
      <w:rFonts w:ascii="宋体" w:hAnsi="宋体" w:cs="宋体"/>
      <w:bCs/>
      <w:spacing w:val="0"/>
      <w:kern w:val="2"/>
      <w:sz w:val="24"/>
      <w:szCs w:val="24"/>
    </w:rPr>
  </w:style>
  <w:style w:type="character" w:customStyle="1" w:styleId="1239">
    <w:name w:val="HTML 打字机11"/>
    <w:qFormat/>
    <w:uiPriority w:val="0"/>
    <w:rPr>
      <w:rFonts w:ascii="Courier New" w:hAnsi="Courier New" w:cs="Courier New"/>
      <w:sz w:val="20"/>
      <w:szCs w:val="20"/>
    </w:rPr>
  </w:style>
  <w:style w:type="character" w:customStyle="1" w:styleId="1240">
    <w:name w:val="Char Char171"/>
    <w:qFormat/>
    <w:uiPriority w:val="0"/>
    <w:rPr>
      <w:rFonts w:ascii="Arial" w:hAnsi="Arial" w:eastAsia="黑体"/>
      <w:b/>
      <w:kern w:val="44"/>
      <w:sz w:val="32"/>
      <w:lang w:val="en-US" w:eastAsia="zh-CN" w:bidi="ar-SA"/>
    </w:rPr>
  </w:style>
  <w:style w:type="character" w:customStyle="1" w:styleId="1241">
    <w:name w:val="Char Char14"/>
    <w:qFormat/>
    <w:uiPriority w:val="0"/>
    <w:rPr>
      <w:rFonts w:eastAsia="宋体"/>
      <w:b/>
      <w:bCs/>
      <w:kern w:val="44"/>
      <w:sz w:val="44"/>
      <w:szCs w:val="44"/>
      <w:lang w:val="en-US" w:eastAsia="zh-CN" w:bidi="ar-SA"/>
    </w:rPr>
  </w:style>
  <w:style w:type="character" w:customStyle="1" w:styleId="1242">
    <w:name w:val="ourfont"/>
    <w:qFormat/>
    <w:uiPriority w:val="0"/>
  </w:style>
  <w:style w:type="character" w:customStyle="1" w:styleId="1243">
    <w:name w:val="缩进 C"/>
    <w:qFormat/>
    <w:uiPriority w:val="0"/>
    <w:rPr>
      <w:rFonts w:eastAsia="宋体"/>
      <w:kern w:val="2"/>
      <w:sz w:val="21"/>
      <w:szCs w:val="24"/>
      <w:lang w:val="en-US" w:eastAsia="zh-CN" w:bidi="ar-SA"/>
    </w:rPr>
  </w:style>
  <w:style w:type="character" w:customStyle="1" w:styleId="1244">
    <w:name w:val="表内小5 Char"/>
    <w:qFormat/>
    <w:locked/>
    <w:uiPriority w:val="0"/>
    <w:rPr>
      <w:rFonts w:ascii="宋体" w:hAnsi="宋体"/>
      <w:sz w:val="18"/>
      <w:szCs w:val="24"/>
    </w:rPr>
  </w:style>
  <w:style w:type="character" w:customStyle="1" w:styleId="1245">
    <w:name w:val="Char Char Char Char Char Char1 Char Char"/>
    <w:link w:val="1246"/>
    <w:qFormat/>
    <w:locked/>
    <w:uiPriority w:val="0"/>
    <w:rPr>
      <w:spacing w:val="-2"/>
    </w:rPr>
  </w:style>
  <w:style w:type="paragraph" w:customStyle="1" w:styleId="1246">
    <w:name w:val="Char Char Char Char Char Char1 Char11"/>
    <w:basedOn w:val="1"/>
    <w:link w:val="1245"/>
    <w:qFormat/>
    <w:uiPriority w:val="0"/>
    <w:rPr>
      <w:rFonts w:asciiTheme="minorHAnsi" w:hAnsiTheme="minorHAnsi" w:eastAsiaTheme="minorEastAsia" w:cstheme="minorBidi"/>
      <w:kern w:val="2"/>
      <w:sz w:val="21"/>
      <w:szCs w:val="22"/>
    </w:rPr>
  </w:style>
  <w:style w:type="character" w:customStyle="1" w:styleId="1247">
    <w:name w:val="样式 表内小5 + 黑体 加粗 倾斜 下划线 Char Char"/>
    <w:link w:val="1248"/>
    <w:qFormat/>
    <w:uiPriority w:val="0"/>
    <w:rPr>
      <w:rFonts w:ascii="黑体" w:hAnsi="黑体" w:eastAsia="黑体"/>
      <w:b/>
      <w:bCs/>
      <w:i/>
      <w:iCs/>
      <w:sz w:val="18"/>
      <w:szCs w:val="24"/>
      <w:u w:val="single"/>
    </w:rPr>
  </w:style>
  <w:style w:type="paragraph" w:customStyle="1" w:styleId="1248">
    <w:name w:val="样式 表内小5 + 黑体 加粗 倾斜 下划线"/>
    <w:basedOn w:val="1"/>
    <w:link w:val="1247"/>
    <w:qFormat/>
    <w:uiPriority w:val="0"/>
    <w:pPr>
      <w:adjustRightInd w:val="0"/>
      <w:snapToGrid w:val="0"/>
      <w:spacing w:line="300" w:lineRule="auto"/>
    </w:pPr>
    <w:rPr>
      <w:rFonts w:ascii="黑体" w:hAnsi="黑体" w:eastAsia="黑体" w:cstheme="minorBidi"/>
      <w:b/>
      <w:bCs/>
      <w:i/>
      <w:iCs/>
      <w:spacing w:val="0"/>
      <w:kern w:val="2"/>
      <w:sz w:val="18"/>
      <w:szCs w:val="24"/>
      <w:u w:val="single"/>
    </w:rPr>
  </w:style>
  <w:style w:type="character" w:customStyle="1" w:styleId="1249">
    <w:name w:val="目标题 1) Char1"/>
    <w:qFormat/>
    <w:uiPriority w:val="0"/>
    <w:rPr>
      <w:rFonts w:ascii="Arial" w:hAnsi="Arial" w:eastAsia="黑体" w:cs="Arial"/>
      <w:kern w:val="2"/>
      <w:sz w:val="24"/>
      <w:szCs w:val="24"/>
      <w:lang w:val="en-US" w:eastAsia="zh-CN" w:bidi="ar-SA"/>
    </w:rPr>
  </w:style>
  <w:style w:type="character" w:customStyle="1" w:styleId="1250">
    <w:name w:val="readnewstitle"/>
    <w:qFormat/>
    <w:uiPriority w:val="0"/>
  </w:style>
  <w:style w:type="character" w:customStyle="1" w:styleId="1251">
    <w:name w:val="表文字 Char Char"/>
    <w:link w:val="1252"/>
    <w:qFormat/>
    <w:uiPriority w:val="0"/>
    <w:rPr>
      <w:rFonts w:eastAsia="宋体"/>
      <w:sz w:val="24"/>
    </w:rPr>
  </w:style>
  <w:style w:type="paragraph" w:customStyle="1" w:styleId="1252">
    <w:name w:val="表文字"/>
    <w:basedOn w:val="1"/>
    <w:link w:val="1251"/>
    <w:qFormat/>
    <w:uiPriority w:val="0"/>
    <w:pPr>
      <w:overflowPunct w:val="0"/>
      <w:autoSpaceDE w:val="0"/>
      <w:autoSpaceDN w:val="0"/>
      <w:adjustRightInd w:val="0"/>
      <w:spacing w:line="240" w:lineRule="atLeast"/>
      <w:jc w:val="center"/>
      <w:textAlignment w:val="baseline"/>
    </w:pPr>
    <w:rPr>
      <w:rFonts w:asciiTheme="minorHAnsi" w:hAnsiTheme="minorHAnsi" w:cstheme="minorBidi"/>
      <w:spacing w:val="0"/>
      <w:kern w:val="2"/>
      <w:sz w:val="24"/>
      <w:szCs w:val="22"/>
    </w:rPr>
  </w:style>
  <w:style w:type="character" w:customStyle="1" w:styleId="1253">
    <w:name w:val="样式 (中文) 仿宋_GB2312 Char Char"/>
    <w:link w:val="1254"/>
    <w:qFormat/>
    <w:uiPriority w:val="0"/>
    <w:rPr>
      <w:rFonts w:eastAsia="仿宋_GB2312"/>
      <w:snapToGrid w:val="0"/>
      <w:sz w:val="24"/>
    </w:rPr>
  </w:style>
  <w:style w:type="paragraph" w:customStyle="1" w:styleId="1254">
    <w:name w:val="样式 (中文) 仿宋_GB2312"/>
    <w:basedOn w:val="1"/>
    <w:link w:val="1253"/>
    <w:qFormat/>
    <w:uiPriority w:val="0"/>
    <w:pPr>
      <w:adjustRightInd w:val="0"/>
      <w:snapToGrid w:val="0"/>
      <w:spacing w:before="120" w:line="300" w:lineRule="auto"/>
      <w:ind w:firstLine="482"/>
      <w:textAlignment w:val="baseline"/>
    </w:pPr>
    <w:rPr>
      <w:rFonts w:eastAsia="仿宋_GB2312" w:asciiTheme="minorHAnsi" w:hAnsiTheme="minorHAnsi" w:cstheme="minorBidi"/>
      <w:snapToGrid w:val="0"/>
      <w:spacing w:val="0"/>
      <w:kern w:val="2"/>
      <w:sz w:val="24"/>
      <w:szCs w:val="22"/>
    </w:rPr>
  </w:style>
  <w:style w:type="character" w:customStyle="1" w:styleId="1255">
    <w:name w:val="海南化工城正文 Char Char"/>
    <w:link w:val="1256"/>
    <w:qFormat/>
    <w:uiPriority w:val="0"/>
    <w:rPr>
      <w:rFonts w:ascii="宋体" w:hAnsi="宋体" w:eastAsia="宋体" w:cs="宋体"/>
      <w:sz w:val="24"/>
      <w:szCs w:val="24"/>
    </w:rPr>
  </w:style>
  <w:style w:type="paragraph" w:customStyle="1" w:styleId="1256">
    <w:name w:val="海南化工城正文"/>
    <w:basedOn w:val="1"/>
    <w:link w:val="1255"/>
    <w:qFormat/>
    <w:uiPriority w:val="0"/>
    <w:pPr>
      <w:spacing w:line="324" w:lineRule="auto"/>
      <w:ind w:firstLine="480" w:firstLineChars="200"/>
    </w:pPr>
    <w:rPr>
      <w:rFonts w:ascii="宋体" w:hAnsi="宋体" w:cs="宋体"/>
      <w:spacing w:val="0"/>
      <w:kern w:val="2"/>
      <w:sz w:val="24"/>
      <w:szCs w:val="24"/>
    </w:rPr>
  </w:style>
  <w:style w:type="character" w:customStyle="1" w:styleId="1257">
    <w:name w:val="content1"/>
    <w:qFormat/>
    <w:uiPriority w:val="0"/>
    <w:rPr>
      <w:sz w:val="21"/>
      <w:szCs w:val="21"/>
    </w:rPr>
  </w:style>
  <w:style w:type="character" w:customStyle="1" w:styleId="1258">
    <w:name w:val="段落1 Char"/>
    <w:qFormat/>
    <w:locked/>
    <w:uiPriority w:val="0"/>
    <w:rPr>
      <w:spacing w:val="8"/>
      <w:sz w:val="24"/>
    </w:rPr>
  </w:style>
  <w:style w:type="character" w:customStyle="1" w:styleId="1259">
    <w:name w:val="标题 Char3"/>
    <w:qFormat/>
    <w:uiPriority w:val="0"/>
    <w:rPr>
      <w:rFonts w:ascii="Cambria" w:hAnsi="Cambria" w:cs="Times New Roman"/>
      <w:b/>
      <w:bCs/>
      <w:kern w:val="2"/>
      <w:sz w:val="32"/>
      <w:szCs w:val="32"/>
    </w:rPr>
  </w:style>
  <w:style w:type="character" w:customStyle="1" w:styleId="1260">
    <w:name w:val="海南化工城正文 Char"/>
    <w:qFormat/>
    <w:locked/>
    <w:uiPriority w:val="0"/>
    <w:rPr>
      <w:rFonts w:ascii="宋体" w:hAnsi="宋体"/>
      <w:sz w:val="24"/>
      <w:szCs w:val="24"/>
    </w:rPr>
  </w:style>
  <w:style w:type="character" w:customStyle="1" w:styleId="1261">
    <w:name w:val="样式 标题 2 + (西文) 宋体 四号 非加粗 Char Char Char"/>
    <w:qFormat/>
    <w:locked/>
    <w:uiPriority w:val="0"/>
    <w:rPr>
      <w:rFonts w:ascii="黑体" w:hAnsi="黑体" w:eastAsia="黑体"/>
      <w:b/>
      <w:sz w:val="28"/>
      <w:szCs w:val="32"/>
    </w:rPr>
  </w:style>
  <w:style w:type="character" w:customStyle="1" w:styleId="1262">
    <w:name w:val="lr2"/>
    <w:qFormat/>
    <w:uiPriority w:val="0"/>
  </w:style>
  <w:style w:type="character" w:customStyle="1" w:styleId="1263">
    <w:name w:val="表格11 Char"/>
    <w:qFormat/>
    <w:locked/>
    <w:uiPriority w:val="0"/>
    <w:rPr>
      <w:szCs w:val="21"/>
    </w:rPr>
  </w:style>
  <w:style w:type="character" w:customStyle="1" w:styleId="1264">
    <w:name w:val="样式 MFS正文 Char Char Char + 宋体 Char Char"/>
    <w:link w:val="1265"/>
    <w:qFormat/>
    <w:uiPriority w:val="0"/>
    <w:rPr>
      <w:rFonts w:ascii="Times New Roman" w:hAnsi="Times New Roman" w:eastAsia="楷体_GB2312"/>
      <w:sz w:val="24"/>
    </w:rPr>
  </w:style>
  <w:style w:type="paragraph" w:customStyle="1" w:styleId="1265">
    <w:name w:val="样式 MFS正文 Char Char Char + 宋体"/>
    <w:basedOn w:val="1"/>
    <w:link w:val="1264"/>
    <w:qFormat/>
    <w:uiPriority w:val="0"/>
    <w:pPr>
      <w:adjustRightInd w:val="0"/>
      <w:snapToGrid w:val="0"/>
      <w:spacing w:before="93" w:after="120" w:line="360" w:lineRule="auto"/>
      <w:ind w:firstLine="487" w:firstLineChars="200"/>
    </w:pPr>
    <w:rPr>
      <w:rFonts w:eastAsia="楷体_GB2312" w:cstheme="minorBidi"/>
      <w:spacing w:val="0"/>
      <w:kern w:val="2"/>
      <w:sz w:val="24"/>
      <w:szCs w:val="22"/>
    </w:rPr>
  </w:style>
  <w:style w:type="character" w:customStyle="1" w:styleId="1266">
    <w:name w:val="样式 小四 居中 Char Char"/>
    <w:link w:val="1267"/>
    <w:qFormat/>
    <w:uiPriority w:val="0"/>
    <w:rPr>
      <w:rFonts w:ascii="楷体_GB2312" w:eastAsia="楷体_GB2312"/>
      <w:b/>
      <w:bCs/>
      <w:sz w:val="24"/>
      <w:szCs w:val="24"/>
    </w:rPr>
  </w:style>
  <w:style w:type="paragraph" w:customStyle="1" w:styleId="1267">
    <w:name w:val="样式 小四 居中"/>
    <w:link w:val="1266"/>
    <w:qFormat/>
    <w:uiPriority w:val="0"/>
    <w:pPr>
      <w:widowControl w:val="0"/>
      <w:spacing w:before="60" w:after="60"/>
      <w:jc w:val="center"/>
    </w:pPr>
    <w:rPr>
      <w:rFonts w:ascii="楷体_GB2312" w:eastAsia="楷体_GB2312" w:hAnsiTheme="minorHAnsi" w:cstheme="minorBidi"/>
      <w:b/>
      <w:bCs/>
      <w:kern w:val="2"/>
      <w:sz w:val="24"/>
      <w:szCs w:val="24"/>
      <w:lang w:val="en-US" w:eastAsia="zh-CN" w:bidi="ar-SA"/>
    </w:rPr>
  </w:style>
  <w:style w:type="character" w:customStyle="1" w:styleId="1268">
    <w:name w:val="正文new Char Char Char"/>
    <w:link w:val="1269"/>
    <w:qFormat/>
    <w:uiPriority w:val="0"/>
    <w:rPr>
      <w:color w:val="FF0000"/>
      <w:sz w:val="24"/>
      <w:szCs w:val="24"/>
    </w:rPr>
  </w:style>
  <w:style w:type="paragraph" w:customStyle="1" w:styleId="1269">
    <w:name w:val="正文new Char"/>
    <w:basedOn w:val="1"/>
    <w:next w:val="1"/>
    <w:link w:val="1268"/>
    <w:qFormat/>
    <w:uiPriority w:val="0"/>
    <w:pPr>
      <w:spacing w:line="460" w:lineRule="exact"/>
      <w:ind w:firstLine="480" w:firstLineChars="200"/>
    </w:pPr>
    <w:rPr>
      <w:rFonts w:asciiTheme="minorHAnsi" w:hAnsiTheme="minorHAnsi" w:eastAsiaTheme="minorEastAsia" w:cstheme="minorBidi"/>
      <w:color w:val="FF0000"/>
      <w:spacing w:val="0"/>
      <w:kern w:val="2"/>
      <w:sz w:val="24"/>
      <w:szCs w:val="24"/>
    </w:rPr>
  </w:style>
  <w:style w:type="character" w:customStyle="1" w:styleId="1270">
    <w:name w:val="干标题(a) Char Char"/>
    <w:qFormat/>
    <w:uiPriority w:val="0"/>
    <w:rPr>
      <w:rFonts w:ascii="Arial" w:hAnsi="Arial" w:eastAsia="黑体"/>
      <w:kern w:val="2"/>
      <w:sz w:val="21"/>
      <w:szCs w:val="21"/>
    </w:rPr>
  </w:style>
  <w:style w:type="character" w:customStyle="1" w:styleId="1271">
    <w:name w:val="报告书正文 Char Char"/>
    <w:link w:val="1272"/>
    <w:qFormat/>
    <w:uiPriority w:val="0"/>
    <w:rPr>
      <w:rFonts w:eastAsia="宋体"/>
      <w:sz w:val="24"/>
    </w:rPr>
  </w:style>
  <w:style w:type="paragraph" w:customStyle="1" w:styleId="1272">
    <w:name w:val="报告书正文"/>
    <w:basedOn w:val="1"/>
    <w:link w:val="1271"/>
    <w:qFormat/>
    <w:uiPriority w:val="0"/>
    <w:pPr>
      <w:adjustRightInd w:val="0"/>
      <w:snapToGrid w:val="0"/>
      <w:spacing w:line="400" w:lineRule="atLeast"/>
      <w:ind w:firstLine="200" w:firstLineChars="200"/>
    </w:pPr>
    <w:rPr>
      <w:rFonts w:asciiTheme="minorHAnsi" w:hAnsiTheme="minorHAnsi" w:cstheme="minorBidi"/>
      <w:spacing w:val="0"/>
      <w:kern w:val="2"/>
      <w:sz w:val="24"/>
      <w:szCs w:val="22"/>
    </w:rPr>
  </w:style>
  <w:style w:type="character" w:customStyle="1" w:styleId="1273">
    <w:name w:val="正文文本缩进 Char3"/>
    <w:qFormat/>
    <w:uiPriority w:val="99"/>
    <w:rPr>
      <w:rFonts w:ascii="宋体" w:hAnsi="宋体" w:eastAsia="宋体"/>
      <w:sz w:val="24"/>
      <w:szCs w:val="28"/>
    </w:rPr>
  </w:style>
  <w:style w:type="character" w:customStyle="1" w:styleId="1274">
    <w:name w:val="8 Char Char Char"/>
    <w:qFormat/>
    <w:locked/>
    <w:uiPriority w:val="0"/>
    <w:rPr>
      <w:kern w:val="10"/>
      <w:sz w:val="24"/>
      <w:szCs w:val="24"/>
    </w:rPr>
  </w:style>
  <w:style w:type="character" w:customStyle="1" w:styleId="1275">
    <w:name w:val="样式 样式 正文文本 + 首行缩进:  2 字符 + 宋体 首行缩进:  2 字符 Char Char"/>
    <w:link w:val="1276"/>
    <w:qFormat/>
    <w:uiPriority w:val="0"/>
    <w:rPr>
      <w:rFonts w:eastAsia="宋体" w:cs="宋体"/>
      <w:sz w:val="24"/>
      <w:szCs w:val="24"/>
    </w:rPr>
  </w:style>
  <w:style w:type="paragraph" w:customStyle="1" w:styleId="1276">
    <w:name w:val="样式 样式 正文文本 + 首行缩进:  2 字符 + 宋体 首行缩进:  2 字符"/>
    <w:basedOn w:val="1"/>
    <w:link w:val="1275"/>
    <w:qFormat/>
    <w:uiPriority w:val="0"/>
    <w:pPr>
      <w:adjustRightInd w:val="0"/>
      <w:snapToGrid w:val="0"/>
      <w:spacing w:before="120" w:line="300" w:lineRule="auto"/>
      <w:ind w:firstLine="480" w:firstLineChars="200"/>
      <w:textAlignment w:val="baseline"/>
    </w:pPr>
    <w:rPr>
      <w:rFonts w:cs="宋体" w:asciiTheme="minorHAnsi" w:hAnsiTheme="minorHAnsi"/>
      <w:spacing w:val="0"/>
      <w:kern w:val="2"/>
      <w:sz w:val="24"/>
      <w:szCs w:val="24"/>
    </w:rPr>
  </w:style>
  <w:style w:type="character" w:customStyle="1" w:styleId="1277">
    <w:name w:val="标5 Char Char"/>
    <w:qFormat/>
    <w:uiPriority w:val="0"/>
    <w:rPr>
      <w:rFonts w:ascii="宋体" w:hAnsi="宋体" w:eastAsia="宋体" w:cs="宋体"/>
      <w:kern w:val="2"/>
      <w:sz w:val="24"/>
      <w:szCs w:val="24"/>
      <w:lang w:val="en-US" w:eastAsia="zh-CN"/>
    </w:rPr>
  </w:style>
  <w:style w:type="character" w:customStyle="1" w:styleId="1278">
    <w:name w:val="正文1 Char Char"/>
    <w:qFormat/>
    <w:uiPriority w:val="0"/>
    <w:rPr>
      <w:rFonts w:ascii="楷体_GB2312" w:eastAsia="楷体_GB2312" w:cs="宋体"/>
      <w:kern w:val="2"/>
      <w:sz w:val="28"/>
      <w:lang w:val="en-US" w:eastAsia="zh-CN" w:bidi="ar-SA"/>
    </w:rPr>
  </w:style>
  <w:style w:type="character" w:customStyle="1" w:styleId="1279">
    <w:name w:val="样式 正文首行缩进 + 四号 Char Char"/>
    <w:link w:val="1280"/>
    <w:qFormat/>
    <w:uiPriority w:val="0"/>
    <w:rPr>
      <w:rFonts w:ascii="宋体" w:eastAsia="宋体"/>
      <w:sz w:val="28"/>
    </w:rPr>
  </w:style>
  <w:style w:type="paragraph" w:customStyle="1" w:styleId="1280">
    <w:name w:val="样式 正文首行缩进 + 四号"/>
    <w:basedOn w:val="87"/>
    <w:link w:val="1279"/>
    <w:qFormat/>
    <w:uiPriority w:val="0"/>
    <w:rPr>
      <w:rFonts w:ascii="宋体" w:hAnsiTheme="minorHAnsi" w:cstheme="minorBidi"/>
      <w:spacing w:val="0"/>
      <w:sz w:val="28"/>
      <w:szCs w:val="22"/>
    </w:rPr>
  </w:style>
  <w:style w:type="character" w:customStyle="1" w:styleId="1281">
    <w:name w:val="Char Char241"/>
    <w:qFormat/>
    <w:uiPriority w:val="0"/>
    <w:rPr>
      <w:rFonts w:eastAsia="宋体"/>
      <w:kern w:val="2"/>
      <w:sz w:val="21"/>
      <w:szCs w:val="24"/>
      <w:lang w:val="en-US" w:eastAsia="zh-CN" w:bidi="ar-SA"/>
    </w:rPr>
  </w:style>
  <w:style w:type="character" w:customStyle="1" w:styleId="1282">
    <w:name w:val="zw1"/>
    <w:qFormat/>
    <w:uiPriority w:val="0"/>
    <w:rPr>
      <w:sz w:val="21"/>
      <w:szCs w:val="21"/>
    </w:rPr>
  </w:style>
  <w:style w:type="character" w:customStyle="1" w:styleId="1283">
    <w:name w:val="8 Char1 Char Char"/>
    <w:link w:val="1284"/>
    <w:qFormat/>
    <w:uiPriority w:val="0"/>
    <w:rPr>
      <w:kern w:val="10"/>
      <w:sz w:val="24"/>
      <w:szCs w:val="24"/>
    </w:rPr>
  </w:style>
  <w:style w:type="paragraph" w:customStyle="1" w:styleId="1284">
    <w:name w:val="8 Char1"/>
    <w:basedOn w:val="1"/>
    <w:link w:val="1283"/>
    <w:qFormat/>
    <w:uiPriority w:val="0"/>
    <w:pPr>
      <w:spacing w:line="360" w:lineRule="auto"/>
      <w:ind w:firstLine="480" w:firstLineChars="200"/>
    </w:pPr>
    <w:rPr>
      <w:rFonts w:asciiTheme="minorHAnsi" w:hAnsiTheme="minorHAnsi" w:eastAsiaTheme="minorEastAsia" w:cstheme="minorBidi"/>
      <w:spacing w:val="0"/>
      <w:kern w:val="10"/>
      <w:sz w:val="24"/>
      <w:szCs w:val="24"/>
    </w:rPr>
  </w:style>
  <w:style w:type="character" w:customStyle="1" w:styleId="1285">
    <w:name w:val="Char Char8"/>
    <w:qFormat/>
    <w:uiPriority w:val="0"/>
    <w:rPr>
      <w:rFonts w:ascii="宋体" w:hAnsi="宋体" w:eastAsia="宋体"/>
      <w:kern w:val="2"/>
      <w:sz w:val="24"/>
      <w:szCs w:val="24"/>
      <w:lang w:val="en-US" w:eastAsia="zh-CN" w:bidi="ar-SA"/>
    </w:rPr>
  </w:style>
  <w:style w:type="character" w:customStyle="1" w:styleId="1286">
    <w:name w:val="表格文字 Char Char Char Char"/>
    <w:qFormat/>
    <w:uiPriority w:val="0"/>
    <w:rPr>
      <w:rFonts w:hAnsi="宋体" w:eastAsia="宋体"/>
      <w:b/>
      <w:bCs/>
      <w:kern w:val="2"/>
      <w:sz w:val="21"/>
      <w:szCs w:val="21"/>
      <w:lang w:val="en-US" w:eastAsia="zh-CN" w:bidi="ar-SA"/>
    </w:rPr>
  </w:style>
  <w:style w:type="character" w:customStyle="1" w:styleId="1287">
    <w:name w:val="正文王 Char"/>
    <w:qFormat/>
    <w:locked/>
    <w:uiPriority w:val="0"/>
    <w:rPr>
      <w:rFonts w:ascii="Arial" w:hAnsi="Arial" w:cs="Arial"/>
      <w:snapToGrid w:val="0"/>
      <w:sz w:val="24"/>
    </w:rPr>
  </w:style>
  <w:style w:type="character" w:customStyle="1" w:styleId="1288">
    <w:name w:val="hb3 Char Char"/>
    <w:qFormat/>
    <w:uiPriority w:val="0"/>
    <w:rPr>
      <w:rFonts w:ascii="宋体" w:hAnsi="宋体" w:eastAsia="宋体"/>
      <w:b/>
      <w:bCs/>
      <w:sz w:val="24"/>
      <w:szCs w:val="32"/>
      <w:lang w:val="en-US" w:eastAsia="zh-CN" w:bidi="ar-SA"/>
    </w:rPr>
  </w:style>
  <w:style w:type="character" w:customStyle="1" w:styleId="1289">
    <w:name w:val="样式 样式 样式 正文文本 + 首行缩进:  2 字符 + 宋体 首行缩进:  2 字符 + 宋体 黑色 Char"/>
    <w:qFormat/>
    <w:locked/>
    <w:uiPriority w:val="0"/>
    <w:rPr>
      <w:snapToGrid w:val="0"/>
      <w:color w:val="000000"/>
      <w:sz w:val="24"/>
      <w:szCs w:val="24"/>
    </w:rPr>
  </w:style>
  <w:style w:type="character" w:customStyle="1" w:styleId="1290">
    <w:name w:val="Char Char201"/>
    <w:qFormat/>
    <w:uiPriority w:val="0"/>
    <w:rPr>
      <w:rFonts w:eastAsia="宋体"/>
      <w:kern w:val="2"/>
      <w:sz w:val="21"/>
      <w:szCs w:val="24"/>
      <w:lang w:val="en-US" w:eastAsia="zh-CN" w:bidi="ar-SA"/>
    </w:rPr>
  </w:style>
  <w:style w:type="character" w:customStyle="1" w:styleId="1291">
    <w:name w:val="style7"/>
    <w:basedOn w:val="90"/>
    <w:qFormat/>
    <w:uiPriority w:val="0"/>
  </w:style>
  <w:style w:type="character" w:customStyle="1" w:styleId="1292">
    <w:name w:val="hcm2 Char Char"/>
    <w:link w:val="1293"/>
    <w:qFormat/>
    <w:uiPriority w:val="0"/>
    <w:rPr>
      <w:rFonts w:eastAsia="Times New Roman"/>
      <w:b/>
      <w:smallCaps/>
      <w:sz w:val="24"/>
      <w:szCs w:val="24"/>
    </w:rPr>
  </w:style>
  <w:style w:type="paragraph" w:customStyle="1" w:styleId="1293">
    <w:name w:val="hcm2"/>
    <w:link w:val="1292"/>
    <w:qFormat/>
    <w:uiPriority w:val="0"/>
    <w:pPr>
      <w:adjustRightInd w:val="0"/>
      <w:snapToGrid w:val="0"/>
      <w:spacing w:line="360" w:lineRule="auto"/>
      <w:outlineLvl w:val="1"/>
    </w:pPr>
    <w:rPr>
      <w:rFonts w:eastAsia="Times New Roman" w:asciiTheme="minorHAnsi" w:hAnsiTheme="minorHAnsi" w:cstheme="minorBidi"/>
      <w:b/>
      <w:smallCaps/>
      <w:kern w:val="2"/>
      <w:sz w:val="24"/>
      <w:szCs w:val="24"/>
      <w:lang w:val="en-US" w:eastAsia="zh-CN" w:bidi="ar-SA"/>
    </w:rPr>
  </w:style>
  <w:style w:type="character" w:customStyle="1" w:styleId="1294">
    <w:name w:val="spelle"/>
    <w:basedOn w:val="90"/>
    <w:qFormat/>
    <w:uiPriority w:val="0"/>
  </w:style>
  <w:style w:type="character" w:customStyle="1" w:styleId="1295">
    <w:name w:val="jq"/>
    <w:basedOn w:val="90"/>
    <w:qFormat/>
    <w:uiPriority w:val="0"/>
  </w:style>
  <w:style w:type="character" w:customStyle="1" w:styleId="1296">
    <w:name w:val="xl56 Char Char"/>
    <w:qFormat/>
    <w:uiPriority w:val="0"/>
    <w:rPr>
      <w:rFonts w:eastAsia="Arial Unicode MS"/>
      <w:sz w:val="18"/>
      <w:szCs w:val="18"/>
      <w:lang w:val="en-US" w:eastAsia="zh-CN" w:bidi="ar-SA"/>
    </w:rPr>
  </w:style>
  <w:style w:type="character" w:customStyle="1" w:styleId="1297">
    <w:name w:val="图题 Char1"/>
    <w:qFormat/>
    <w:uiPriority w:val="0"/>
    <w:rPr>
      <w:rFonts w:ascii="方正大标宋简体" w:hAnsi="宋体" w:eastAsia="方正大标宋简体" w:cs="宋体"/>
      <w:kern w:val="2"/>
      <w:sz w:val="24"/>
      <w:szCs w:val="24"/>
      <w:lang w:val="en-US" w:eastAsia="zh-CN" w:bidi="ar-SA"/>
    </w:rPr>
  </w:style>
  <w:style w:type="character" w:customStyle="1" w:styleId="1298">
    <w:name w:val="单位"/>
    <w:qFormat/>
    <w:uiPriority w:val="0"/>
    <w:rPr>
      <w:rFonts w:ascii="宋体" w:hAnsi="宋体" w:eastAsia="宋体"/>
      <w:sz w:val="21"/>
    </w:rPr>
  </w:style>
  <w:style w:type="character" w:customStyle="1" w:styleId="1299">
    <w:name w:val="标题5 Char Char Char"/>
    <w:link w:val="1300"/>
    <w:qFormat/>
    <w:uiPriority w:val="0"/>
    <w:rPr>
      <w:rFonts w:ascii="Arial" w:hAnsi="Arial" w:eastAsia="黑体"/>
      <w:bCs/>
      <w:color w:val="000000"/>
      <w:sz w:val="24"/>
      <w:szCs w:val="28"/>
    </w:rPr>
  </w:style>
  <w:style w:type="paragraph" w:customStyle="1" w:styleId="1300">
    <w:name w:val="标题57"/>
    <w:basedOn w:val="6"/>
    <w:link w:val="1299"/>
    <w:qFormat/>
    <w:uiPriority w:val="0"/>
    <w:pPr>
      <w:spacing w:before="0" w:after="0" w:line="480" w:lineRule="exact"/>
    </w:pPr>
    <w:rPr>
      <w:rFonts w:cstheme="minorBidi"/>
      <w:b w:val="0"/>
      <w:color w:val="000000"/>
      <w:kern w:val="2"/>
      <w:sz w:val="24"/>
    </w:rPr>
  </w:style>
  <w:style w:type="character" w:customStyle="1" w:styleId="1301">
    <w:name w:val="样式 仿宋_GB2312 小四 黑色"/>
    <w:qFormat/>
    <w:uiPriority w:val="0"/>
    <w:rPr>
      <w:rFonts w:hint="default" w:ascii="Times New Roman" w:hAnsi="Times New Roman" w:eastAsia="仿宋_GB2312" w:cs="Courier New"/>
      <w:color w:val="000000"/>
      <w:kern w:val="2"/>
      <w:sz w:val="24"/>
      <w:szCs w:val="24"/>
      <w:lang w:val="en-US" w:eastAsia="zh-CN" w:bidi="ar-SA"/>
    </w:rPr>
  </w:style>
  <w:style w:type="character" w:customStyle="1" w:styleId="1302">
    <w:name w:val="Char Char131"/>
    <w:qFormat/>
    <w:uiPriority w:val="0"/>
    <w:rPr>
      <w:rFonts w:ascii="Arial" w:hAnsi="Arial" w:eastAsia="黑体"/>
      <w:b/>
      <w:kern w:val="44"/>
      <w:sz w:val="24"/>
      <w:lang w:val="en-US" w:eastAsia="zh-CN" w:bidi="ar-SA"/>
    </w:rPr>
  </w:style>
  <w:style w:type="character" w:customStyle="1" w:styleId="1303">
    <w:name w:val="正文A Char"/>
    <w:qFormat/>
    <w:locked/>
    <w:uiPriority w:val="0"/>
    <w:rPr>
      <w:rFonts w:ascii="宋体" w:hAnsi="宋体"/>
      <w:kern w:val="2"/>
      <w:sz w:val="24"/>
    </w:rPr>
  </w:style>
  <w:style w:type="character" w:customStyle="1" w:styleId="1304">
    <w:name w:val="样式 标题 1 + 非加粗 Char Char"/>
    <w:link w:val="1305"/>
    <w:qFormat/>
    <w:uiPriority w:val="0"/>
    <w:rPr>
      <w:rFonts w:eastAsia="黑体"/>
      <w:kern w:val="44"/>
      <w:sz w:val="36"/>
      <w:szCs w:val="44"/>
    </w:rPr>
  </w:style>
  <w:style w:type="paragraph" w:customStyle="1" w:styleId="1305">
    <w:name w:val="样式 标题 1 + 非加粗"/>
    <w:basedOn w:val="3"/>
    <w:link w:val="1304"/>
    <w:qFormat/>
    <w:uiPriority w:val="0"/>
    <w:pPr>
      <w:spacing w:beforeLines="50" w:afterLines="50" w:line="500" w:lineRule="exact"/>
      <w:jc w:val="center"/>
    </w:pPr>
    <w:rPr>
      <w:rFonts w:eastAsia="黑体" w:asciiTheme="minorHAnsi" w:hAnsiTheme="minorHAnsi" w:cstheme="minorBidi"/>
      <w:b w:val="0"/>
      <w:bCs w:val="0"/>
      <w:sz w:val="36"/>
    </w:rPr>
  </w:style>
  <w:style w:type="character" w:customStyle="1" w:styleId="1306">
    <w:name w:val="正文文本 3 Char1"/>
    <w:qFormat/>
    <w:uiPriority w:val="0"/>
    <w:rPr>
      <w:rFonts w:eastAsia="宋体"/>
      <w:kern w:val="2"/>
      <w:sz w:val="16"/>
      <w:szCs w:val="16"/>
      <w:lang w:val="en-US" w:eastAsia="zh-CN" w:bidi="ar-SA"/>
    </w:rPr>
  </w:style>
  <w:style w:type="character" w:customStyle="1" w:styleId="1307">
    <w:name w:val="正文王 Char Char"/>
    <w:link w:val="1308"/>
    <w:qFormat/>
    <w:uiPriority w:val="0"/>
    <w:rPr>
      <w:rFonts w:eastAsia="宋体"/>
      <w:snapToGrid w:val="0"/>
      <w:sz w:val="24"/>
      <w:szCs w:val="28"/>
    </w:rPr>
  </w:style>
  <w:style w:type="paragraph" w:customStyle="1" w:styleId="1308">
    <w:name w:val="正文王"/>
    <w:basedOn w:val="1"/>
    <w:link w:val="1307"/>
    <w:qFormat/>
    <w:uiPriority w:val="0"/>
    <w:pPr>
      <w:widowControl/>
      <w:tabs>
        <w:tab w:val="left" w:pos="7080"/>
      </w:tabs>
      <w:adjustRightInd w:val="0"/>
      <w:snapToGrid w:val="0"/>
      <w:spacing w:line="360" w:lineRule="auto"/>
      <w:ind w:firstLine="200" w:firstLineChars="200"/>
    </w:pPr>
    <w:rPr>
      <w:rFonts w:asciiTheme="minorHAnsi" w:hAnsiTheme="minorHAnsi" w:cstheme="minorBidi"/>
      <w:snapToGrid w:val="0"/>
      <w:spacing w:val="0"/>
      <w:kern w:val="2"/>
      <w:sz w:val="24"/>
      <w:szCs w:val="28"/>
    </w:rPr>
  </w:style>
  <w:style w:type="character" w:customStyle="1" w:styleId="1309">
    <w:name w:val="正文AAA Char"/>
    <w:qFormat/>
    <w:locked/>
    <w:uiPriority w:val="0"/>
    <w:rPr>
      <w:rFonts w:ascii="宋体" w:hAnsi="宋体"/>
      <w:kern w:val="2"/>
      <w:sz w:val="24"/>
    </w:rPr>
  </w:style>
  <w:style w:type="character" w:customStyle="1" w:styleId="1310">
    <w:name w:val="2级标题 Char Char"/>
    <w:link w:val="1311"/>
    <w:qFormat/>
    <w:uiPriority w:val="0"/>
    <w:rPr>
      <w:rFonts w:ascii="黑体" w:hAnsi="Arial" w:eastAsia="黑体"/>
      <w:sz w:val="28"/>
      <w:szCs w:val="28"/>
    </w:rPr>
  </w:style>
  <w:style w:type="paragraph" w:customStyle="1" w:styleId="1311">
    <w:name w:val="2级标题"/>
    <w:basedOn w:val="4"/>
    <w:link w:val="1310"/>
    <w:qFormat/>
    <w:uiPriority w:val="0"/>
    <w:pPr>
      <w:keepNext w:val="0"/>
      <w:keepLines w:val="0"/>
      <w:tabs>
        <w:tab w:val="left" w:pos="3564"/>
        <w:tab w:val="clear" w:pos="1427"/>
      </w:tabs>
      <w:adjustRightInd/>
      <w:jc w:val="both"/>
      <w:textAlignment w:val="auto"/>
    </w:pPr>
    <w:rPr>
      <w:rFonts w:ascii="黑体" w:hAnsi="Arial" w:eastAsia="黑体" w:cstheme="minorBidi"/>
      <w:b w:val="0"/>
      <w:spacing w:val="0"/>
      <w:kern w:val="2"/>
      <w:szCs w:val="28"/>
    </w:rPr>
  </w:style>
  <w:style w:type="character" w:customStyle="1" w:styleId="1312">
    <w:name w:val="Char Char123"/>
    <w:qFormat/>
    <w:uiPriority w:val="0"/>
    <w:rPr>
      <w:rFonts w:hint="default" w:ascii="Arial" w:hAnsi="Arial" w:eastAsia="黑体" w:cs="宋体"/>
      <w:b/>
      <w:bCs/>
      <w:sz w:val="24"/>
      <w:szCs w:val="24"/>
      <w:lang w:val="en-US" w:eastAsia="zh-CN" w:bidi="ar-SA"/>
    </w:rPr>
  </w:style>
  <w:style w:type="character" w:customStyle="1" w:styleId="1313">
    <w:name w:val="m_48"/>
    <w:qFormat/>
    <w:uiPriority w:val="0"/>
  </w:style>
  <w:style w:type="character" w:customStyle="1" w:styleId="1314">
    <w:name w:val="表格标题＋单位 Char"/>
    <w:qFormat/>
    <w:locked/>
    <w:uiPriority w:val="0"/>
    <w:rPr>
      <w:b/>
      <w:sz w:val="24"/>
      <w:szCs w:val="24"/>
    </w:rPr>
  </w:style>
  <w:style w:type="character" w:customStyle="1" w:styleId="1315">
    <w:name w:val="样式 标题 2 + (西文) 宋体 四号 非加粗 Char Char Char Char"/>
    <w:link w:val="1316"/>
    <w:qFormat/>
    <w:uiPriority w:val="0"/>
    <w:rPr>
      <w:rFonts w:ascii="Arial" w:hAnsi="Arial" w:eastAsia="黑体"/>
      <w:b/>
      <w:bCs/>
      <w:sz w:val="28"/>
      <w:szCs w:val="32"/>
    </w:rPr>
  </w:style>
  <w:style w:type="paragraph" w:customStyle="1" w:styleId="1316">
    <w:name w:val="样式 标题 2 + (西文) 宋体 四号 非加粗 Char Char"/>
    <w:basedOn w:val="4"/>
    <w:link w:val="1315"/>
    <w:qFormat/>
    <w:uiPriority w:val="0"/>
    <w:pPr>
      <w:tabs>
        <w:tab w:val="clear" w:pos="1427"/>
      </w:tabs>
      <w:adjustRightInd/>
      <w:spacing w:beforeLines="0" w:afterLines="0"/>
      <w:jc w:val="both"/>
      <w:textAlignment w:val="auto"/>
    </w:pPr>
    <w:rPr>
      <w:rFonts w:ascii="Arial" w:hAnsi="Arial" w:eastAsia="黑体" w:cstheme="minorBidi"/>
      <w:bCs/>
      <w:spacing w:val="0"/>
      <w:kern w:val="2"/>
      <w:szCs w:val="32"/>
    </w:rPr>
  </w:style>
  <w:style w:type="character" w:customStyle="1" w:styleId="1317">
    <w:name w:val="apple-converted-space"/>
    <w:basedOn w:val="90"/>
    <w:qFormat/>
    <w:uiPriority w:val="0"/>
  </w:style>
  <w:style w:type="character" w:customStyle="1" w:styleId="1318">
    <w:name w:val="样式 小4居中 + Char Char"/>
    <w:link w:val="1319"/>
    <w:qFormat/>
    <w:uiPriority w:val="0"/>
    <w:rPr>
      <w:sz w:val="24"/>
      <w:szCs w:val="24"/>
    </w:rPr>
  </w:style>
  <w:style w:type="paragraph" w:customStyle="1" w:styleId="1319">
    <w:name w:val="样式 小4居中 +"/>
    <w:basedOn w:val="1"/>
    <w:link w:val="1318"/>
    <w:qFormat/>
    <w:uiPriority w:val="0"/>
    <w:pPr>
      <w:snapToGrid w:val="0"/>
      <w:spacing w:beforeLines="15" w:afterLines="15" w:line="320" w:lineRule="atLeast"/>
      <w:jc w:val="center"/>
    </w:pPr>
    <w:rPr>
      <w:rFonts w:asciiTheme="minorHAnsi" w:hAnsiTheme="minorHAnsi" w:eastAsiaTheme="minorEastAsia" w:cstheme="minorBidi"/>
      <w:spacing w:val="0"/>
      <w:kern w:val="2"/>
      <w:sz w:val="24"/>
      <w:szCs w:val="24"/>
    </w:rPr>
  </w:style>
  <w:style w:type="character" w:customStyle="1" w:styleId="1320">
    <w:name w:val="Char6 Char Char"/>
    <w:qFormat/>
    <w:uiPriority w:val="0"/>
    <w:rPr>
      <w:rFonts w:eastAsia="宋体"/>
      <w:sz w:val="18"/>
      <w:lang w:val="en-US" w:eastAsia="zh-CN" w:bidi="ar-SA"/>
    </w:rPr>
  </w:style>
  <w:style w:type="character" w:customStyle="1" w:styleId="1321">
    <w:name w:val="样式 表内小5 + 黑体 加粗 倾斜 下划线 Char"/>
    <w:qFormat/>
    <w:locked/>
    <w:uiPriority w:val="0"/>
    <w:rPr>
      <w:rFonts w:ascii="黑体" w:hAnsi="黑体" w:eastAsia="黑体"/>
      <w:b/>
      <w:bCs/>
      <w:i/>
      <w:iCs/>
      <w:sz w:val="18"/>
      <w:szCs w:val="24"/>
      <w:u w:val="single"/>
    </w:rPr>
  </w:style>
  <w:style w:type="character" w:customStyle="1" w:styleId="1322">
    <w:name w:val="目标题 1) Char Char"/>
    <w:qFormat/>
    <w:uiPriority w:val="0"/>
    <w:rPr>
      <w:rFonts w:ascii="Arial" w:hAnsi="Arial" w:eastAsia="黑体"/>
      <w:kern w:val="2"/>
      <w:sz w:val="24"/>
      <w:szCs w:val="24"/>
    </w:rPr>
  </w:style>
  <w:style w:type="character" w:customStyle="1" w:styleId="1323">
    <w:name w:val="正文B Char"/>
    <w:qFormat/>
    <w:locked/>
    <w:uiPriority w:val="0"/>
    <w:rPr>
      <w:rFonts w:ascii="宋体" w:hAnsi="宋体"/>
      <w:kern w:val="2"/>
      <w:sz w:val="24"/>
    </w:rPr>
  </w:style>
  <w:style w:type="character" w:customStyle="1" w:styleId="1324">
    <w:name w:val="燕山正文 Char2"/>
    <w:link w:val="1325"/>
    <w:qFormat/>
    <w:uiPriority w:val="0"/>
    <w:rPr>
      <w:rFonts w:ascii="宋体" w:hAnsi="宋体" w:eastAsia="宋体" w:cs="宋体"/>
      <w:bCs/>
      <w:color w:val="000000"/>
      <w:sz w:val="24"/>
      <w:szCs w:val="24"/>
    </w:rPr>
  </w:style>
  <w:style w:type="paragraph" w:customStyle="1" w:styleId="1325">
    <w:name w:val="燕山正文"/>
    <w:basedOn w:val="1"/>
    <w:link w:val="1324"/>
    <w:qFormat/>
    <w:uiPriority w:val="0"/>
    <w:pPr>
      <w:tabs>
        <w:tab w:val="left" w:pos="4680"/>
      </w:tabs>
      <w:adjustRightInd w:val="0"/>
      <w:snapToGrid w:val="0"/>
      <w:spacing w:line="360" w:lineRule="auto"/>
      <w:ind w:firstLine="480" w:firstLineChars="200"/>
    </w:pPr>
    <w:rPr>
      <w:rFonts w:ascii="宋体" w:hAnsi="宋体" w:cs="宋体"/>
      <w:bCs/>
      <w:color w:val="000000"/>
      <w:spacing w:val="0"/>
      <w:kern w:val="2"/>
      <w:sz w:val="24"/>
      <w:szCs w:val="24"/>
    </w:rPr>
  </w:style>
  <w:style w:type="character" w:customStyle="1" w:styleId="1326">
    <w:name w:val="页码12"/>
    <w:qFormat/>
    <w:uiPriority w:val="0"/>
    <w:rPr>
      <w:rFonts w:ascii="Times New Roman" w:hAnsi="Times New Roman" w:eastAsia="宋体"/>
      <w:color w:val="auto"/>
      <w:sz w:val="21"/>
    </w:rPr>
  </w:style>
  <w:style w:type="character" w:customStyle="1" w:styleId="1327">
    <w:name w:val="正文文本（4） Char Char"/>
    <w:link w:val="1328"/>
    <w:qFormat/>
    <w:uiPriority w:val="0"/>
    <w:rPr>
      <w:snapToGrid w:val="0"/>
      <w:sz w:val="24"/>
      <w:szCs w:val="24"/>
    </w:rPr>
  </w:style>
  <w:style w:type="paragraph" w:customStyle="1" w:styleId="1328">
    <w:name w:val="正文文本（4）"/>
    <w:basedOn w:val="1"/>
    <w:link w:val="1327"/>
    <w:qFormat/>
    <w:uiPriority w:val="0"/>
    <w:pPr>
      <w:widowControl/>
      <w:spacing w:line="360" w:lineRule="auto"/>
      <w:ind w:firstLine="480" w:firstLineChars="200"/>
    </w:pPr>
    <w:rPr>
      <w:rFonts w:asciiTheme="minorHAnsi" w:hAnsiTheme="minorHAnsi" w:eastAsiaTheme="minorEastAsia" w:cstheme="minorBidi"/>
      <w:snapToGrid w:val="0"/>
      <w:spacing w:val="0"/>
      <w:kern w:val="2"/>
      <w:sz w:val="24"/>
      <w:szCs w:val="24"/>
    </w:rPr>
  </w:style>
  <w:style w:type="character" w:customStyle="1" w:styleId="1329">
    <w:name w:val="标题 1 Char Char Char Char Char"/>
    <w:qFormat/>
    <w:uiPriority w:val="0"/>
    <w:rPr>
      <w:rFonts w:eastAsia="宋体"/>
      <w:b/>
      <w:bCs/>
      <w:kern w:val="44"/>
      <w:sz w:val="44"/>
      <w:szCs w:val="44"/>
      <w:lang w:val="en-US" w:eastAsia="zh-CN" w:bidi="ar-SA"/>
    </w:rPr>
  </w:style>
  <w:style w:type="character" w:customStyle="1" w:styleId="1330">
    <w:name w:val="水稻 正文 Char Char"/>
    <w:link w:val="1331"/>
    <w:qFormat/>
    <w:uiPriority w:val="0"/>
    <w:rPr>
      <w:color w:val="000000"/>
      <w:sz w:val="28"/>
    </w:rPr>
  </w:style>
  <w:style w:type="paragraph" w:customStyle="1" w:styleId="1331">
    <w:name w:val="水稻 正文"/>
    <w:basedOn w:val="1"/>
    <w:link w:val="1330"/>
    <w:qFormat/>
    <w:uiPriority w:val="0"/>
    <w:pPr>
      <w:spacing w:line="360" w:lineRule="auto"/>
      <w:ind w:firstLine="560" w:firstLineChars="200"/>
    </w:pPr>
    <w:rPr>
      <w:rFonts w:asciiTheme="minorHAnsi" w:hAnsiTheme="minorHAnsi" w:eastAsiaTheme="minorEastAsia" w:cstheme="minorBidi"/>
      <w:color w:val="000000"/>
      <w:spacing w:val="0"/>
      <w:kern w:val="2"/>
      <w:sz w:val="28"/>
      <w:szCs w:val="22"/>
    </w:rPr>
  </w:style>
  <w:style w:type="character" w:customStyle="1" w:styleId="1332">
    <w:name w:val="样式 表内5 + (符号) 宋体 两端对齐 行距: 单倍行距 Char2"/>
    <w:qFormat/>
    <w:uiPriority w:val="0"/>
    <w:rPr>
      <w:rFonts w:ascii="宋体" w:hAnsi="宋体" w:eastAsia="宋体" w:cs="宋体"/>
      <w:sz w:val="21"/>
      <w:lang w:val="en-US" w:eastAsia="zh-CN" w:bidi="ar-SA"/>
    </w:rPr>
  </w:style>
  <w:style w:type="character" w:customStyle="1" w:styleId="1333">
    <w:name w:val="正文缩进：2字符 Char"/>
    <w:qFormat/>
    <w:locked/>
    <w:uiPriority w:val="0"/>
    <w:rPr>
      <w:rFonts w:ascii="宋体" w:hAnsi="宋体"/>
      <w:kern w:val="2"/>
      <w:sz w:val="28"/>
    </w:rPr>
  </w:style>
  <w:style w:type="character" w:customStyle="1" w:styleId="1334">
    <w:name w:val="正文BBB Char"/>
    <w:qFormat/>
    <w:locked/>
    <w:uiPriority w:val="0"/>
    <w:rPr>
      <w:rFonts w:ascii="宋体" w:hAnsi="宋体"/>
      <w:kern w:val="2"/>
      <w:sz w:val="24"/>
    </w:rPr>
  </w:style>
  <w:style w:type="character" w:customStyle="1" w:styleId="1335">
    <w:name w:val="热电厂正文 Char Char Char Char Char Char Char Char Char"/>
    <w:link w:val="1336"/>
    <w:qFormat/>
    <w:uiPriority w:val="0"/>
    <w:rPr>
      <w:rFonts w:eastAsia="宋体"/>
      <w:sz w:val="24"/>
      <w:szCs w:val="24"/>
    </w:rPr>
  </w:style>
  <w:style w:type="paragraph" w:customStyle="1" w:styleId="1336">
    <w:name w:val="热电厂正文 Char Char"/>
    <w:basedOn w:val="1"/>
    <w:link w:val="1335"/>
    <w:qFormat/>
    <w:uiPriority w:val="0"/>
    <w:pPr>
      <w:spacing w:line="440" w:lineRule="exact"/>
      <w:ind w:firstLine="480" w:firstLineChars="200"/>
    </w:pPr>
    <w:rPr>
      <w:rFonts w:asciiTheme="minorHAnsi" w:hAnsiTheme="minorHAnsi" w:cstheme="minorBidi"/>
      <w:spacing w:val="0"/>
      <w:kern w:val="2"/>
      <w:sz w:val="24"/>
      <w:szCs w:val="24"/>
    </w:rPr>
  </w:style>
  <w:style w:type="character" w:customStyle="1" w:styleId="1337">
    <w:name w:val="公式 首行缩进:  2 字符 Char Char"/>
    <w:link w:val="1338"/>
    <w:qFormat/>
    <w:uiPriority w:val="0"/>
    <w:rPr>
      <w:rFonts w:eastAsia="宋体"/>
      <w:sz w:val="24"/>
    </w:rPr>
  </w:style>
  <w:style w:type="paragraph" w:customStyle="1" w:styleId="1338">
    <w:name w:val="公式 首行缩进:  2 字符"/>
    <w:basedOn w:val="1"/>
    <w:link w:val="1337"/>
    <w:qFormat/>
    <w:uiPriority w:val="0"/>
    <w:pPr>
      <w:ind w:firstLine="200" w:firstLineChars="200"/>
      <w:textAlignment w:val="center"/>
    </w:pPr>
    <w:rPr>
      <w:rFonts w:asciiTheme="minorHAnsi" w:hAnsiTheme="minorHAnsi" w:cstheme="minorBidi"/>
      <w:spacing w:val="0"/>
      <w:kern w:val="2"/>
      <w:sz w:val="24"/>
      <w:szCs w:val="22"/>
    </w:rPr>
  </w:style>
  <w:style w:type="character" w:customStyle="1" w:styleId="1339">
    <w:name w:val="标题1.1.1.1.1.1 Char2"/>
    <w:qFormat/>
    <w:uiPriority w:val="0"/>
    <w:rPr>
      <w:rFonts w:ascii="Arial" w:hAnsi="Arial" w:eastAsia="黑体"/>
      <w:b/>
      <w:bCs/>
      <w:kern w:val="2"/>
      <w:sz w:val="24"/>
      <w:szCs w:val="24"/>
    </w:rPr>
  </w:style>
  <w:style w:type="character" w:customStyle="1" w:styleId="1340">
    <w:name w:val="contentwordstext1"/>
    <w:qFormat/>
    <w:uiPriority w:val="0"/>
    <w:rPr>
      <w:rFonts w:hint="default"/>
      <w:sz w:val="21"/>
      <w:szCs w:val="21"/>
    </w:rPr>
  </w:style>
  <w:style w:type="character" w:customStyle="1" w:styleId="1341">
    <w:name w:val="样式5 Char Char"/>
    <w:link w:val="1342"/>
    <w:qFormat/>
    <w:uiPriority w:val="0"/>
    <w:rPr>
      <w:rFonts w:ascii="宋体" w:eastAsia="宋体"/>
    </w:rPr>
  </w:style>
  <w:style w:type="paragraph" w:customStyle="1" w:styleId="1342">
    <w:name w:val="样式5"/>
    <w:basedOn w:val="34"/>
    <w:link w:val="1341"/>
    <w:qFormat/>
    <w:uiPriority w:val="0"/>
    <w:pPr>
      <w:spacing w:beforeLines="100" w:after="0"/>
      <w:ind w:firstLine="1200" w:firstLineChars="500"/>
    </w:pPr>
    <w:rPr>
      <w:rFonts w:ascii="宋体" w:hAnsiTheme="minorHAnsi" w:cstheme="minorBidi"/>
      <w:spacing w:val="0"/>
      <w:kern w:val="2"/>
      <w:sz w:val="21"/>
      <w:szCs w:val="22"/>
    </w:rPr>
  </w:style>
  <w:style w:type="character" w:customStyle="1" w:styleId="1343">
    <w:name w:val="样式 标题 2节标题 1.11.1标题2b2 + 宋体 Char Char"/>
    <w:link w:val="1344"/>
    <w:qFormat/>
    <w:uiPriority w:val="0"/>
    <w:rPr>
      <w:rFonts w:ascii="宋体" w:hAnsi="宋体" w:eastAsia="宋体" w:cs="Times New Roman"/>
      <w:b/>
      <w:bCs/>
      <w:kern w:val="0"/>
      <w:sz w:val="24"/>
      <w:szCs w:val="20"/>
    </w:rPr>
  </w:style>
  <w:style w:type="paragraph" w:customStyle="1" w:styleId="1344">
    <w:name w:val="样式 标题 2节标题 1.11.1标题2b2 + 宋体"/>
    <w:basedOn w:val="4"/>
    <w:next w:val="4"/>
    <w:link w:val="1343"/>
    <w:qFormat/>
    <w:uiPriority w:val="0"/>
    <w:pPr>
      <w:keepNext w:val="0"/>
      <w:keepLines w:val="0"/>
      <w:widowControl/>
      <w:spacing w:line="460" w:lineRule="exact"/>
    </w:pPr>
    <w:rPr>
      <w:rFonts w:ascii="宋体" w:hAnsi="宋体"/>
      <w:bCs/>
      <w:spacing w:val="0"/>
      <w:sz w:val="24"/>
    </w:rPr>
  </w:style>
  <w:style w:type="character" w:customStyle="1" w:styleId="1345">
    <w:name w:val="样式（1） Char Char"/>
    <w:link w:val="1346"/>
    <w:qFormat/>
    <w:uiPriority w:val="0"/>
    <w:rPr>
      <w:rFonts w:ascii="Arial" w:hAnsi="Arial" w:eastAsia="宋体"/>
      <w:b/>
      <w:bCs/>
      <w:sz w:val="28"/>
      <w:szCs w:val="24"/>
    </w:rPr>
  </w:style>
  <w:style w:type="paragraph" w:customStyle="1" w:styleId="1346">
    <w:name w:val="样式（1）"/>
    <w:basedOn w:val="3"/>
    <w:link w:val="1345"/>
    <w:qFormat/>
    <w:uiPriority w:val="0"/>
    <w:pPr>
      <w:keepLines w:val="0"/>
      <w:pageBreakBefore/>
      <w:spacing w:beforeLines="50" w:afterLines="50" w:line="520" w:lineRule="exact"/>
      <w:jc w:val="center"/>
    </w:pPr>
    <w:rPr>
      <w:rFonts w:ascii="Arial" w:hAnsi="Arial" w:cstheme="minorBidi"/>
      <w:kern w:val="2"/>
      <w:sz w:val="28"/>
      <w:szCs w:val="24"/>
    </w:rPr>
  </w:style>
  <w:style w:type="character" w:customStyle="1" w:styleId="1347">
    <w:name w:val="cauc-0 Char Char Char Char Char"/>
    <w:qFormat/>
    <w:uiPriority w:val="0"/>
    <w:rPr>
      <w:rFonts w:eastAsia="宋体"/>
      <w:kern w:val="2"/>
      <w:sz w:val="24"/>
      <w:szCs w:val="24"/>
      <w:lang w:val="en-US" w:eastAsia="zh-CN" w:bidi="ar-SA"/>
    </w:rPr>
  </w:style>
  <w:style w:type="character" w:customStyle="1" w:styleId="1348">
    <w:name w:val="批注引用2"/>
    <w:qFormat/>
    <w:uiPriority w:val="0"/>
    <w:rPr>
      <w:sz w:val="21"/>
      <w:szCs w:val="21"/>
    </w:rPr>
  </w:style>
  <w:style w:type="character" w:customStyle="1" w:styleId="1349">
    <w:name w:val="正文文本 3 Char4"/>
    <w:qFormat/>
    <w:uiPriority w:val="0"/>
    <w:rPr>
      <w:rFonts w:ascii="Times New Roman" w:hAnsi="Times New Roman" w:eastAsia="宋体" w:cs="Times New Roman"/>
      <w:sz w:val="16"/>
      <w:szCs w:val="16"/>
    </w:rPr>
  </w:style>
  <w:style w:type="character" w:customStyle="1" w:styleId="1350">
    <w:name w:val="MFS标题2 Char"/>
    <w:qFormat/>
    <w:locked/>
    <w:uiPriority w:val="0"/>
    <w:rPr>
      <w:rFonts w:ascii="黑体" w:hAnsi="黑体" w:eastAsia="黑体"/>
      <w:b/>
      <w:bCs/>
      <w:kern w:val="2"/>
      <w:sz w:val="32"/>
      <w:szCs w:val="32"/>
    </w:rPr>
  </w:style>
  <w:style w:type="character" w:customStyle="1" w:styleId="1351">
    <w:name w:val="日期 Char1"/>
    <w:qFormat/>
    <w:uiPriority w:val="0"/>
    <w:rPr>
      <w:rFonts w:eastAsia="宋体"/>
      <w:kern w:val="2"/>
      <w:sz w:val="24"/>
      <w:szCs w:val="24"/>
      <w:lang w:val="en-US" w:eastAsia="zh-CN" w:bidi="ar-SA"/>
    </w:rPr>
  </w:style>
  <w:style w:type="character" w:customStyle="1" w:styleId="1352">
    <w:name w:val="签名 Char1"/>
    <w:qFormat/>
    <w:uiPriority w:val="0"/>
    <w:rPr>
      <w:kern w:val="2"/>
      <w:sz w:val="21"/>
      <w:szCs w:val="24"/>
    </w:rPr>
  </w:style>
  <w:style w:type="character" w:customStyle="1" w:styleId="1353">
    <w:name w:val="MFS单位1 Char"/>
    <w:qFormat/>
    <w:locked/>
    <w:uiPriority w:val="0"/>
    <w:rPr>
      <w:rFonts w:ascii="楷体_GB2312" w:eastAsia="楷体_GB2312"/>
      <w:kern w:val="2"/>
      <w:sz w:val="18"/>
      <w:szCs w:val="18"/>
    </w:rPr>
  </w:style>
  <w:style w:type="character" w:customStyle="1" w:styleId="1354">
    <w:name w:val="redfont"/>
    <w:qFormat/>
    <w:uiPriority w:val="0"/>
    <w:rPr>
      <w:rFonts w:hint="eastAsia" w:ascii="宋体" w:hAnsi="宋体" w:eastAsia="黑体" w:cs="宋体"/>
      <w:kern w:val="2"/>
      <w:sz w:val="28"/>
      <w:szCs w:val="24"/>
      <w:lang w:val="en-US" w:eastAsia="zh-CN" w:bidi="ar-SA"/>
    </w:rPr>
  </w:style>
  <w:style w:type="character" w:customStyle="1" w:styleId="1355">
    <w:name w:val="正文文字缩进 2 Char"/>
    <w:qFormat/>
    <w:uiPriority w:val="0"/>
    <w:rPr>
      <w:rFonts w:eastAsia="仿宋_GB2312"/>
      <w:kern w:val="2"/>
      <w:sz w:val="28"/>
      <w:lang w:val="en-US" w:eastAsia="zh-CN" w:bidi="ar-SA"/>
    </w:rPr>
  </w:style>
  <w:style w:type="character" w:customStyle="1" w:styleId="1356">
    <w:name w:val="Char Char3"/>
    <w:qFormat/>
    <w:uiPriority w:val="0"/>
    <w:rPr>
      <w:rFonts w:ascii="宋体" w:hAnsi="Arial" w:eastAsia="宋体" w:cs="宋体"/>
      <w:b/>
      <w:bCs/>
      <w:kern w:val="2"/>
      <w:sz w:val="28"/>
      <w:szCs w:val="28"/>
      <w:lang w:val="en-US" w:eastAsia="zh-CN"/>
    </w:rPr>
  </w:style>
  <w:style w:type="character" w:customStyle="1" w:styleId="1357">
    <w:name w:val="热电厂正文 Char Char Char"/>
    <w:qFormat/>
    <w:locked/>
    <w:uiPriority w:val="0"/>
    <w:rPr>
      <w:kern w:val="2"/>
      <w:sz w:val="24"/>
      <w:szCs w:val="24"/>
    </w:rPr>
  </w:style>
  <w:style w:type="character" w:customStyle="1" w:styleId="1358">
    <w:name w:val="正文－1.5行距－段后6磅 Char"/>
    <w:qFormat/>
    <w:locked/>
    <w:uiPriority w:val="0"/>
    <w:rPr>
      <w:rFonts w:ascii="Calibri" w:hAnsi="Calibri"/>
      <w:kern w:val="2"/>
      <w:sz w:val="24"/>
      <w:szCs w:val="21"/>
    </w:rPr>
  </w:style>
  <w:style w:type="character" w:customStyle="1" w:styleId="1359">
    <w:name w:val="样式3 Char Char1"/>
    <w:link w:val="1360"/>
    <w:qFormat/>
    <w:uiPriority w:val="0"/>
    <w:rPr>
      <w:rFonts w:eastAsia="楷体_GB2312"/>
      <w:sz w:val="28"/>
    </w:rPr>
  </w:style>
  <w:style w:type="paragraph" w:customStyle="1" w:styleId="1360">
    <w:name w:val="样式3"/>
    <w:basedOn w:val="1"/>
    <w:link w:val="1359"/>
    <w:qFormat/>
    <w:uiPriority w:val="0"/>
    <w:pPr>
      <w:spacing w:line="360" w:lineRule="auto"/>
      <w:ind w:firstLine="200" w:firstLineChars="200"/>
    </w:pPr>
    <w:rPr>
      <w:rFonts w:eastAsia="楷体_GB2312" w:asciiTheme="minorHAnsi" w:hAnsiTheme="minorHAnsi" w:cstheme="minorBidi"/>
      <w:spacing w:val="0"/>
      <w:kern w:val="2"/>
      <w:sz w:val="28"/>
      <w:szCs w:val="22"/>
    </w:rPr>
  </w:style>
  <w:style w:type="character" w:customStyle="1" w:styleId="1361">
    <w:name w:val="contenttext11"/>
    <w:qFormat/>
    <w:uiPriority w:val="0"/>
    <w:rPr>
      <w:rFonts w:hint="eastAsia" w:ascii="宋体" w:hAnsi="宋体" w:eastAsia="宋体"/>
      <w:color w:val="000000"/>
      <w:sz w:val="24"/>
      <w:szCs w:val="24"/>
    </w:rPr>
  </w:style>
  <w:style w:type="character" w:customStyle="1" w:styleId="1362">
    <w:name w:val="ljx正文1 Char Char"/>
    <w:link w:val="1363"/>
    <w:qFormat/>
    <w:uiPriority w:val="0"/>
    <w:rPr>
      <w:rFonts w:eastAsia="宋体"/>
      <w:sz w:val="28"/>
    </w:rPr>
  </w:style>
  <w:style w:type="paragraph" w:customStyle="1" w:styleId="1363">
    <w:name w:val="ljx正文1"/>
    <w:basedOn w:val="1"/>
    <w:link w:val="1362"/>
    <w:qFormat/>
    <w:uiPriority w:val="0"/>
    <w:rPr>
      <w:rFonts w:asciiTheme="minorHAnsi" w:hAnsiTheme="minorHAnsi" w:cstheme="minorBidi"/>
      <w:spacing w:val="0"/>
      <w:kern w:val="2"/>
      <w:sz w:val="28"/>
      <w:szCs w:val="22"/>
    </w:rPr>
  </w:style>
  <w:style w:type="character" w:customStyle="1" w:styleId="1364">
    <w:name w:val="正文文本 2 Char3"/>
    <w:qFormat/>
    <w:uiPriority w:val="0"/>
    <w:rPr>
      <w:rFonts w:ascii="Times New Roman" w:hAnsi="Times New Roman" w:eastAsia="宋体" w:cs="Times New Roman"/>
      <w:szCs w:val="24"/>
    </w:rPr>
  </w:style>
  <w:style w:type="character" w:customStyle="1" w:styleId="1365">
    <w:name w:val="正文缩进 Char3"/>
    <w:qFormat/>
    <w:uiPriority w:val="0"/>
    <w:rPr>
      <w:rFonts w:ascii="宋体" w:eastAsia="宋体"/>
      <w:sz w:val="24"/>
      <w:szCs w:val="24"/>
      <w:lang w:val="en-US" w:eastAsia="zh-CN" w:bidi="ar-SA"/>
    </w:rPr>
  </w:style>
  <w:style w:type="character" w:customStyle="1" w:styleId="1366">
    <w:name w:val="题目 Char Char"/>
    <w:qFormat/>
    <w:uiPriority w:val="0"/>
    <w:rPr>
      <w:rFonts w:ascii="Arial" w:hAnsi="Arial" w:eastAsia="宋体" w:cs="Arial"/>
      <w:b/>
      <w:bCs/>
      <w:kern w:val="28"/>
      <w:sz w:val="32"/>
      <w:szCs w:val="32"/>
    </w:rPr>
  </w:style>
  <w:style w:type="character" w:customStyle="1" w:styleId="1367">
    <w:name w:val="章标题(无序号) Char Char"/>
    <w:qFormat/>
    <w:uiPriority w:val="0"/>
    <w:rPr>
      <w:rFonts w:ascii="Arial" w:hAnsi="Arial" w:eastAsia="宋体"/>
      <w:b/>
      <w:kern w:val="2"/>
      <w:sz w:val="32"/>
      <w:lang w:val="en-US" w:eastAsia="zh-CN" w:bidi="ar-SA"/>
    </w:rPr>
  </w:style>
  <w:style w:type="character" w:customStyle="1" w:styleId="1368">
    <w:name w:val="asqw"/>
    <w:basedOn w:val="90"/>
    <w:qFormat/>
    <w:uiPriority w:val="0"/>
  </w:style>
  <w:style w:type="character" w:customStyle="1" w:styleId="1369">
    <w:name w:val="表格内文字 Char"/>
    <w:qFormat/>
    <w:locked/>
    <w:uiPriority w:val="0"/>
    <w:rPr>
      <w:spacing w:val="10"/>
      <w:sz w:val="24"/>
    </w:rPr>
  </w:style>
  <w:style w:type="character" w:customStyle="1" w:styleId="1370">
    <w:name w:val="folodalink"/>
    <w:basedOn w:val="90"/>
    <w:qFormat/>
    <w:uiPriority w:val="0"/>
  </w:style>
  <w:style w:type="character" w:customStyle="1" w:styleId="1371">
    <w:name w:val="表格 Char Char Char Char"/>
    <w:qFormat/>
    <w:uiPriority w:val="0"/>
    <w:rPr>
      <w:rFonts w:eastAsia="宋体"/>
      <w:b/>
      <w:bCs/>
      <w:color w:val="000000"/>
      <w:kern w:val="2"/>
      <w:sz w:val="44"/>
      <w:szCs w:val="24"/>
      <w:lang w:val="en-US" w:eastAsia="zh-CN" w:bidi="ar-SA"/>
    </w:rPr>
  </w:style>
  <w:style w:type="character" w:customStyle="1" w:styleId="1372">
    <w:name w:val="图题注 Char Char"/>
    <w:link w:val="1373"/>
    <w:qFormat/>
    <w:uiPriority w:val="0"/>
    <w:rPr>
      <w:rFonts w:ascii="黑体" w:hAnsi="Arial" w:eastAsia="黑体" w:cs="宋体"/>
      <w:b/>
      <w:bCs/>
      <w:sz w:val="24"/>
      <w:szCs w:val="24"/>
    </w:rPr>
  </w:style>
  <w:style w:type="paragraph" w:customStyle="1" w:styleId="1373">
    <w:name w:val="图题注"/>
    <w:basedOn w:val="22"/>
    <w:link w:val="1372"/>
    <w:qFormat/>
    <w:uiPriority w:val="0"/>
    <w:pPr>
      <w:adjustRightInd/>
      <w:textAlignment w:val="auto"/>
    </w:pPr>
    <w:rPr>
      <w:rFonts w:hAnsi="Arial" w:cs="宋体"/>
      <w:b/>
      <w:bCs/>
      <w:kern w:val="2"/>
      <w:sz w:val="24"/>
      <w:szCs w:val="24"/>
    </w:rPr>
  </w:style>
  <w:style w:type="character" w:customStyle="1" w:styleId="1374">
    <w:name w:val="样式 (符号) 宋体 四号1"/>
    <w:qFormat/>
    <w:uiPriority w:val="0"/>
    <w:rPr>
      <w:rFonts w:ascii="宋体" w:eastAsia="宋体"/>
      <w:color w:val="auto"/>
      <w:kern w:val="2"/>
      <w:sz w:val="28"/>
      <w:szCs w:val="24"/>
      <w:lang w:val="en-US" w:eastAsia="zh-CN" w:bidi="ar-SA"/>
    </w:rPr>
  </w:style>
  <w:style w:type="character" w:customStyle="1" w:styleId="1375">
    <w:name w:val="HTML 缩写11"/>
    <w:qFormat/>
    <w:uiPriority w:val="0"/>
  </w:style>
  <w:style w:type="character" w:customStyle="1" w:styleId="1376">
    <w:name w:val="热电厂正文 Char Char Char Char Char Char Char Char"/>
    <w:qFormat/>
    <w:uiPriority w:val="0"/>
    <w:rPr>
      <w:rFonts w:eastAsia="宋体"/>
      <w:kern w:val="2"/>
      <w:sz w:val="24"/>
      <w:szCs w:val="24"/>
      <w:lang w:val="en-US" w:eastAsia="zh-CN" w:bidi="ar-SA"/>
    </w:rPr>
  </w:style>
  <w:style w:type="character" w:customStyle="1" w:styleId="1377">
    <w:name w:val="style191"/>
    <w:qFormat/>
    <w:uiPriority w:val="0"/>
    <w:rPr>
      <w:sz w:val="21"/>
      <w:szCs w:val="21"/>
    </w:rPr>
  </w:style>
  <w:style w:type="character" w:customStyle="1" w:styleId="1378">
    <w:name w:val="燕山正文 Char4"/>
    <w:qFormat/>
    <w:uiPriority w:val="0"/>
    <w:rPr>
      <w:rFonts w:ascii="宋体" w:hAnsi="宋体" w:eastAsia="宋体" w:cs="宋体"/>
      <w:color w:val="000000"/>
      <w:kern w:val="2"/>
      <w:sz w:val="28"/>
      <w:szCs w:val="28"/>
      <w:lang w:val="en-US" w:eastAsia="zh-CN" w:bidi="ar-SA"/>
    </w:rPr>
  </w:style>
  <w:style w:type="character" w:customStyle="1" w:styleId="1379">
    <w:name w:val="Char Char Char1 Char Char Char1 Char Char Char Char Char Char Char Char Char Char Char Char1 Char Char Char Char Char Char Char Char"/>
    <w:qFormat/>
    <w:locked/>
    <w:uiPriority w:val="0"/>
    <w:rPr>
      <w:rFonts w:ascii="Arial" w:hAnsi="Arial" w:cs="Arial"/>
      <w:b/>
      <w:sz w:val="24"/>
      <w:lang w:eastAsia="en-US"/>
    </w:rPr>
  </w:style>
  <w:style w:type="character" w:customStyle="1" w:styleId="1380">
    <w:name w:val="图题注 Char"/>
    <w:qFormat/>
    <w:locked/>
    <w:uiPriority w:val="0"/>
    <w:rPr>
      <w:rFonts w:ascii="黑体" w:hAnsi="Arial" w:eastAsia="黑体"/>
      <w:b/>
      <w:bCs/>
      <w:sz w:val="24"/>
      <w:szCs w:val="24"/>
    </w:rPr>
  </w:style>
  <w:style w:type="character" w:customStyle="1" w:styleId="1381">
    <w:name w:val="样式 标题3（3） + 红色1 Char Char"/>
    <w:link w:val="1382"/>
    <w:qFormat/>
    <w:uiPriority w:val="0"/>
    <w:rPr>
      <w:rFonts w:ascii="Cambria" w:hAnsi="Cambria" w:eastAsia="楷体_GB2312"/>
      <w:b/>
      <w:bCs/>
      <w:sz w:val="30"/>
      <w:szCs w:val="30"/>
      <w:lang w:bidi="en-US"/>
    </w:rPr>
  </w:style>
  <w:style w:type="paragraph" w:customStyle="1" w:styleId="1382">
    <w:name w:val="样式 标题3（3） + 红色1"/>
    <w:basedOn w:val="1"/>
    <w:link w:val="1381"/>
    <w:qFormat/>
    <w:uiPriority w:val="0"/>
    <w:pPr>
      <w:keepNext/>
      <w:widowControl/>
      <w:adjustRightInd w:val="0"/>
      <w:snapToGrid w:val="0"/>
      <w:spacing w:before="120" w:after="120" w:line="360" w:lineRule="auto"/>
      <w:outlineLvl w:val="2"/>
    </w:pPr>
    <w:rPr>
      <w:rFonts w:ascii="Cambria" w:hAnsi="Cambria" w:eastAsia="楷体_GB2312" w:cstheme="minorBidi"/>
      <w:b/>
      <w:bCs/>
      <w:spacing w:val="0"/>
      <w:kern w:val="2"/>
      <w:sz w:val="30"/>
      <w:szCs w:val="30"/>
      <w:lang w:bidi="en-US"/>
    </w:rPr>
  </w:style>
  <w:style w:type="character" w:customStyle="1" w:styleId="1383">
    <w:name w:val="样式 标题 41.1.1.1标题 4.1.1.1.1标题 4 Char款1.1.1.1 Char标4段1.1.1...1 Char Char"/>
    <w:link w:val="1384"/>
    <w:qFormat/>
    <w:uiPriority w:val="0"/>
    <w:rPr>
      <w:rFonts w:eastAsia="黑体"/>
      <w:b/>
      <w:bCs/>
      <w:color w:val="000000"/>
      <w:sz w:val="24"/>
      <w:szCs w:val="24"/>
    </w:rPr>
  </w:style>
  <w:style w:type="paragraph" w:customStyle="1" w:styleId="1384">
    <w:name w:val="样式 标题 41.1.1.1标题 4.1.1.1.1标题 4 Char款1.1.1.1 Char标4段1.1.1...1"/>
    <w:basedOn w:val="6"/>
    <w:link w:val="1383"/>
    <w:qFormat/>
    <w:uiPriority w:val="0"/>
    <w:pPr>
      <w:keepNext w:val="0"/>
      <w:keepLines w:val="0"/>
      <w:spacing w:before="100" w:after="100" w:line="302" w:lineRule="auto"/>
      <w:ind w:left="709" w:hanging="709"/>
    </w:pPr>
    <w:rPr>
      <w:rFonts w:asciiTheme="minorHAnsi" w:hAnsiTheme="minorHAnsi" w:cstheme="minorBidi"/>
      <w:color w:val="000000"/>
      <w:kern w:val="2"/>
      <w:sz w:val="24"/>
      <w:szCs w:val="24"/>
    </w:rPr>
  </w:style>
  <w:style w:type="character" w:customStyle="1" w:styleId="1385">
    <w:name w:val="Char Char51"/>
    <w:qFormat/>
    <w:uiPriority w:val="0"/>
    <w:rPr>
      <w:rFonts w:eastAsia="宋体"/>
      <w:kern w:val="2"/>
      <w:sz w:val="18"/>
      <w:szCs w:val="18"/>
      <w:lang w:val="en-US" w:eastAsia="zh-CN" w:bidi="ar-SA"/>
    </w:rPr>
  </w:style>
  <w:style w:type="character" w:customStyle="1" w:styleId="1386">
    <w:name w:val="hcm文2 Char"/>
    <w:qFormat/>
    <w:locked/>
    <w:uiPriority w:val="0"/>
  </w:style>
  <w:style w:type="paragraph" w:customStyle="1" w:styleId="1387">
    <w:name w:val="样式 燕山正文 + 首行缩进:  3.5 字符14"/>
    <w:basedOn w:val="1"/>
    <w:qFormat/>
    <w:uiPriority w:val="0"/>
    <w:pPr>
      <w:tabs>
        <w:tab w:val="left" w:pos="4680"/>
      </w:tabs>
      <w:adjustRightInd w:val="0"/>
      <w:snapToGrid w:val="0"/>
      <w:spacing w:line="360" w:lineRule="auto"/>
      <w:ind w:firstLine="200" w:firstLineChars="200"/>
    </w:pPr>
    <w:rPr>
      <w:rFonts w:ascii="宋体" w:hAnsi="宋体" w:cs="宋体"/>
      <w:color w:val="000000"/>
      <w:sz w:val="28"/>
    </w:rPr>
  </w:style>
  <w:style w:type="paragraph" w:customStyle="1" w:styleId="1388">
    <w:name w:val="表内文字小35"/>
    <w:basedOn w:val="1"/>
    <w:qFormat/>
    <w:uiPriority w:val="0"/>
    <w:pPr>
      <w:adjustRightInd w:val="0"/>
      <w:snapToGrid w:val="0"/>
      <w:jc w:val="center"/>
    </w:pPr>
    <w:rPr>
      <w:rFonts w:ascii="宋体" w:hAnsi="Times" w:cs="宋体"/>
      <w:bCs/>
      <w:color w:val="003366"/>
    </w:rPr>
  </w:style>
  <w:style w:type="paragraph" w:customStyle="1" w:styleId="1389">
    <w:name w:val="Body Text Indent 31"/>
    <w:basedOn w:val="1"/>
    <w:qFormat/>
    <w:uiPriority w:val="0"/>
    <w:pPr>
      <w:adjustRightInd w:val="0"/>
      <w:spacing w:line="460" w:lineRule="atLeast"/>
      <w:ind w:firstLine="360"/>
      <w:textAlignment w:val="baseline"/>
    </w:pPr>
    <w:rPr>
      <w:spacing w:val="20"/>
      <w:sz w:val="24"/>
    </w:rPr>
  </w:style>
  <w:style w:type="paragraph" w:customStyle="1" w:styleId="1390">
    <w:name w:val="样式 样式 宋体 小五 + 左侧:  1.5 字符"/>
    <w:basedOn w:val="1"/>
    <w:qFormat/>
    <w:uiPriority w:val="0"/>
    <w:pPr>
      <w:spacing w:line="480" w:lineRule="exact"/>
      <w:ind w:firstLine="150" w:firstLineChars="150"/>
    </w:pPr>
    <w:rPr>
      <w:rFonts w:ascii="宋体" w:hAnsi="宋体" w:cs="宋体"/>
      <w:sz w:val="18"/>
    </w:rPr>
  </w:style>
  <w:style w:type="paragraph" w:customStyle="1" w:styleId="1391">
    <w:name w:val="福建正文缩进11"/>
    <w:basedOn w:val="21"/>
    <w:qFormat/>
    <w:uiPriority w:val="0"/>
    <w:pPr>
      <w:autoSpaceDE w:val="0"/>
      <w:autoSpaceDN w:val="0"/>
      <w:adjustRightInd w:val="0"/>
      <w:snapToGrid w:val="0"/>
      <w:spacing w:line="360" w:lineRule="auto"/>
      <w:ind w:firstLine="539" w:firstLineChars="0"/>
    </w:pPr>
    <w:rPr>
      <w:rFonts w:ascii="宋体" w:hAnsi="宋体"/>
      <w:b/>
      <w:szCs w:val="24"/>
    </w:rPr>
  </w:style>
  <w:style w:type="paragraph" w:customStyle="1" w:styleId="1392">
    <w:name w:val="样式-1-"/>
    <w:basedOn w:val="56"/>
    <w:qFormat/>
    <w:uiPriority w:val="0"/>
    <w:rPr>
      <w:rFonts w:ascii="仿宋_GB2312" w:hAnsi="Courier New"/>
      <w:sz w:val="24"/>
      <w:szCs w:val="20"/>
    </w:rPr>
  </w:style>
  <w:style w:type="paragraph" w:customStyle="1" w:styleId="1393">
    <w:name w:val="样式 表内小5 + 左侧:  0 厘米 悬挂缩进: 0.98 字符5"/>
    <w:basedOn w:val="1"/>
    <w:qFormat/>
    <w:uiPriority w:val="0"/>
    <w:pPr>
      <w:adjustRightInd w:val="0"/>
      <w:snapToGrid w:val="0"/>
      <w:spacing w:line="300" w:lineRule="auto"/>
      <w:ind w:left="289" w:leftChars="-200" w:hanging="769"/>
    </w:pPr>
    <w:rPr>
      <w:rFonts w:ascii="宋体" w:hAnsi="宋体" w:cs="宋体"/>
      <w:sz w:val="18"/>
    </w:rPr>
  </w:style>
  <w:style w:type="paragraph" w:customStyle="1" w:styleId="1394">
    <w:name w:val="正文111"/>
    <w:basedOn w:val="1"/>
    <w:qFormat/>
    <w:uiPriority w:val="0"/>
    <w:pPr>
      <w:adjustRightInd w:val="0"/>
      <w:snapToGrid w:val="0"/>
      <w:spacing w:after="120"/>
      <w:jc w:val="center"/>
      <w:textAlignment w:val="baseline"/>
    </w:pPr>
    <w:rPr>
      <w:sz w:val="18"/>
    </w:rPr>
  </w:style>
  <w:style w:type="paragraph" w:customStyle="1" w:styleId="1395">
    <w:name w:val="样式 黑体 小四 黑色 行距: 固定值 24 磅"/>
    <w:basedOn w:val="1"/>
    <w:qFormat/>
    <w:uiPriority w:val="0"/>
    <w:pPr>
      <w:spacing w:line="480" w:lineRule="exact"/>
    </w:pPr>
    <w:rPr>
      <w:rFonts w:ascii="黑体" w:eastAsia="黑体"/>
      <w:color w:val="000000"/>
      <w:sz w:val="24"/>
    </w:rPr>
  </w:style>
  <w:style w:type="paragraph" w:customStyle="1" w:styleId="1396">
    <w:name w:val="首缩"/>
    <w:basedOn w:val="1"/>
    <w:qFormat/>
    <w:uiPriority w:val="0"/>
    <w:pPr>
      <w:adjustRightInd w:val="0"/>
      <w:snapToGrid w:val="0"/>
      <w:spacing w:line="500" w:lineRule="exact"/>
      <w:ind w:firstLine="200" w:firstLineChars="200"/>
    </w:pPr>
    <w:rPr>
      <w:rFonts w:eastAsia="仿宋_GB2312"/>
      <w:snapToGrid w:val="0"/>
      <w:sz w:val="28"/>
    </w:rPr>
  </w:style>
  <w:style w:type="paragraph" w:customStyle="1" w:styleId="1397">
    <w:name w:val="标标题13.1"/>
    <w:basedOn w:val="1"/>
    <w:qFormat/>
    <w:uiPriority w:val="0"/>
    <w:pPr>
      <w:tabs>
        <w:tab w:val="left" w:pos="1200"/>
        <w:tab w:val="center" w:pos="4060"/>
        <w:tab w:val="right" w:pos="8261"/>
      </w:tabs>
      <w:suppressAutoHyphens/>
      <w:adjustRightInd w:val="0"/>
      <w:spacing w:before="240" w:line="0" w:lineRule="atLeast"/>
      <w:ind w:left="476" w:firstLine="4"/>
      <w:jc w:val="center"/>
    </w:pPr>
    <w:rPr>
      <w:rFonts w:ascii="黑体" w:eastAsia="黑体"/>
      <w:b/>
      <w:spacing w:val="6"/>
      <w:sz w:val="24"/>
    </w:rPr>
  </w:style>
  <w:style w:type="paragraph" w:customStyle="1" w:styleId="1398">
    <w:name w:val="页眉xx5"/>
    <w:basedOn w:val="58"/>
    <w:qFormat/>
    <w:uiPriority w:val="0"/>
    <w:pPr>
      <w:pBdr>
        <w:bottom w:val="single" w:color="auto" w:sz="2" w:space="1"/>
      </w:pBdr>
      <w:tabs>
        <w:tab w:val="clear" w:pos="4153"/>
      </w:tabs>
      <w:adjustRightInd w:val="0"/>
    </w:pPr>
    <w:rPr>
      <w:rFonts w:ascii="宋体" w:hAnsi="宋体"/>
      <w:sz w:val="21"/>
      <w:szCs w:val="21"/>
    </w:rPr>
  </w:style>
  <w:style w:type="paragraph" w:customStyle="1" w:styleId="1399">
    <w:name w:val="表内宋514"/>
    <w:basedOn w:val="82"/>
    <w:qFormat/>
    <w:uiPriority w:val="0"/>
    <w:pPr>
      <w:widowControl/>
      <w:adjustRightInd w:val="0"/>
      <w:snapToGrid w:val="0"/>
    </w:pPr>
    <w:rPr>
      <w:rFonts w:ascii="宋体" w:hAnsi="宋体" w:cs="宋体"/>
      <w:color w:val="000000"/>
      <w:sz w:val="21"/>
    </w:rPr>
  </w:style>
  <w:style w:type="paragraph" w:customStyle="1" w:styleId="1400">
    <w:name w:val="表题29"/>
    <w:basedOn w:val="1"/>
    <w:qFormat/>
    <w:uiPriority w:val="0"/>
    <w:pPr>
      <w:widowControl/>
      <w:adjustRightInd w:val="0"/>
      <w:snapToGrid w:val="0"/>
      <w:jc w:val="center"/>
    </w:pPr>
    <w:rPr>
      <w:rFonts w:ascii="黑体" w:hAnsi="宋体" w:eastAsia="黑体" w:cs="宋体"/>
      <w:sz w:val="24"/>
    </w:rPr>
  </w:style>
  <w:style w:type="paragraph" w:customStyle="1" w:styleId="1401">
    <w:name w:val="文字缩"/>
    <w:basedOn w:val="1"/>
    <w:qFormat/>
    <w:uiPriority w:val="0"/>
    <w:pPr>
      <w:adjustRightInd w:val="0"/>
      <w:snapToGrid w:val="0"/>
      <w:spacing w:line="480" w:lineRule="atLeast"/>
      <w:ind w:firstLine="200" w:firstLineChars="200"/>
    </w:pPr>
    <w:rPr>
      <w:rFonts w:ascii="宋体"/>
      <w:snapToGrid w:val="0"/>
      <w:spacing w:val="6"/>
      <w:sz w:val="28"/>
    </w:rPr>
  </w:style>
  <w:style w:type="paragraph" w:customStyle="1" w:styleId="1402">
    <w:name w:val="样式 样式 目录 2 + 首行缩进:  2 字符 + 首行缩进:  2 字符1"/>
    <w:qFormat/>
    <w:uiPriority w:val="0"/>
    <w:pPr>
      <w:tabs>
        <w:tab w:val="left" w:pos="960"/>
        <w:tab w:val="left" w:pos="1200"/>
      </w:tabs>
      <w:ind w:firstLine="400"/>
    </w:pPr>
    <w:rPr>
      <w:rFonts w:ascii="Times New Roman" w:hAnsi="Times New Roman" w:eastAsia="宋体" w:cs="Times New Roman"/>
      <w:lang w:val="en-US" w:eastAsia="zh-CN" w:bidi="ar-SA"/>
    </w:rPr>
  </w:style>
  <w:style w:type="paragraph" w:customStyle="1" w:styleId="1403">
    <w:name w:val="标题 3 + 宋体"/>
    <w:basedOn w:val="5"/>
    <w:qFormat/>
    <w:uiPriority w:val="0"/>
    <w:pPr>
      <w:keepNext w:val="0"/>
      <w:keepLines w:val="0"/>
      <w:tabs>
        <w:tab w:val="clear" w:pos="720"/>
      </w:tabs>
      <w:snapToGrid w:val="0"/>
      <w:spacing w:before="120"/>
      <w:ind w:left="0" w:firstLine="680"/>
      <w:jc w:val="both"/>
      <w:textAlignment w:val="auto"/>
    </w:pPr>
    <w:rPr>
      <w:rFonts w:ascii="宋体" w:hAnsi="宋体" w:eastAsia="宋体"/>
      <w:b w:val="0"/>
      <w:color w:val="auto"/>
      <w:spacing w:val="0"/>
      <w:kern w:val="2"/>
      <w:szCs w:val="28"/>
    </w:rPr>
  </w:style>
  <w:style w:type="paragraph" w:customStyle="1" w:styleId="1404">
    <w:name w:val="样式 幼圆 小四 行距: 固定值 23 磅"/>
    <w:basedOn w:val="1"/>
    <w:qFormat/>
    <w:uiPriority w:val="0"/>
    <w:pPr>
      <w:spacing w:line="460" w:lineRule="exact"/>
      <w:ind w:firstLine="480" w:firstLineChars="200"/>
    </w:pPr>
    <w:rPr>
      <w:rFonts w:ascii="幼圆" w:hAnsi="Romantic"/>
      <w:sz w:val="24"/>
    </w:rPr>
  </w:style>
  <w:style w:type="paragraph" w:customStyle="1" w:styleId="1405">
    <w:name w:val="qilu"/>
    <w:basedOn w:val="1"/>
    <w:qFormat/>
    <w:uiPriority w:val="0"/>
    <w:pPr>
      <w:autoSpaceDE w:val="0"/>
      <w:autoSpaceDN w:val="0"/>
      <w:adjustRightInd w:val="0"/>
      <w:jc w:val="left"/>
      <w:textAlignment w:val="baseline"/>
    </w:pPr>
    <w:rPr>
      <w:rFonts w:ascii="宋体"/>
      <w:b/>
      <w:sz w:val="28"/>
    </w:rPr>
  </w:style>
  <w:style w:type="paragraph" w:customStyle="1" w:styleId="1406">
    <w:name w:val="样式 样式 目录 2 + 首行缩进:  2 字符 + 首行缩进:  2 字符"/>
    <w:basedOn w:val="1407"/>
    <w:qFormat/>
    <w:uiPriority w:val="0"/>
    <w:pPr>
      <w:tabs>
        <w:tab w:val="left" w:pos="960"/>
        <w:tab w:val="left" w:pos="1200"/>
      </w:tabs>
      <w:ind w:firstLine="400"/>
    </w:pPr>
  </w:style>
  <w:style w:type="paragraph" w:customStyle="1" w:styleId="1407">
    <w:name w:val="样式 目录 2 + 首行缩进:  2 字符"/>
    <w:basedOn w:val="75"/>
    <w:qFormat/>
    <w:uiPriority w:val="0"/>
    <w:pPr>
      <w:tabs>
        <w:tab w:val="left" w:pos="1200"/>
        <w:tab w:val="clear" w:pos="8303"/>
      </w:tabs>
      <w:spacing w:line="480" w:lineRule="exact"/>
    </w:pPr>
    <w:rPr>
      <w:rFonts w:cs="宋体"/>
      <w:smallCaps w:val="0"/>
    </w:rPr>
  </w:style>
  <w:style w:type="paragraph" w:customStyle="1" w:styleId="1408">
    <w:name w:val="样式 标题 2节 + 宋体 加粗"/>
    <w:basedOn w:val="4"/>
    <w:qFormat/>
    <w:uiPriority w:val="0"/>
    <w:pPr>
      <w:tabs>
        <w:tab w:val="clear" w:pos="1427"/>
      </w:tabs>
      <w:adjustRightInd/>
      <w:spacing w:before="156"/>
      <w:jc w:val="both"/>
      <w:textAlignment w:val="auto"/>
    </w:pPr>
    <w:rPr>
      <w:rFonts w:ascii="宋体" w:hAnsi="宋体"/>
      <w:bCs/>
      <w:kern w:val="2"/>
      <w:sz w:val="24"/>
    </w:rPr>
  </w:style>
  <w:style w:type="paragraph" w:customStyle="1" w:styleId="1409">
    <w:name w:val="样式"/>
    <w:basedOn w:val="1"/>
    <w:next w:val="35"/>
    <w:qFormat/>
    <w:uiPriority w:val="0"/>
    <w:pPr>
      <w:adjustRightInd w:val="0"/>
      <w:spacing w:line="360" w:lineRule="auto"/>
      <w:ind w:firstLine="480"/>
      <w:textAlignment w:val="baseline"/>
    </w:pPr>
    <w:rPr>
      <w:rFonts w:ascii="宋体"/>
      <w:sz w:val="24"/>
    </w:rPr>
  </w:style>
  <w:style w:type="paragraph" w:customStyle="1" w:styleId="1410">
    <w:name w:val="样式 燕山正文 + 首行缩进:  3.5 字符4"/>
    <w:basedOn w:val="1325"/>
    <w:qFormat/>
    <w:uiPriority w:val="0"/>
    <w:pPr>
      <w:ind w:firstLine="560"/>
    </w:pPr>
    <w:rPr>
      <w:bCs w:val="0"/>
      <w:sz w:val="28"/>
      <w:szCs w:val="20"/>
    </w:rPr>
  </w:style>
  <w:style w:type="paragraph" w:customStyle="1" w:styleId="1411">
    <w:name w:val="图题75"/>
    <w:basedOn w:val="1"/>
    <w:qFormat/>
    <w:uiPriority w:val="0"/>
    <w:pPr>
      <w:adjustRightInd w:val="0"/>
      <w:snapToGrid w:val="0"/>
      <w:ind w:firstLine="533" w:firstLineChars="222"/>
      <w:jc w:val="center"/>
    </w:pPr>
    <w:rPr>
      <w:rFonts w:ascii="黑体" w:hAnsi="宋体" w:eastAsia="黑体"/>
      <w:snapToGrid w:val="0"/>
      <w:sz w:val="24"/>
    </w:rPr>
  </w:style>
  <w:style w:type="paragraph" w:customStyle="1" w:styleId="1412">
    <w:name w:val="样式 标题 3 + 段前: 7.8 磅"/>
    <w:basedOn w:val="5"/>
    <w:qFormat/>
    <w:uiPriority w:val="0"/>
    <w:pPr>
      <w:tabs>
        <w:tab w:val="clear" w:pos="720"/>
      </w:tabs>
      <w:autoSpaceDE w:val="0"/>
      <w:autoSpaceDN w:val="0"/>
      <w:spacing w:before="100" w:afterLines="20" w:line="500" w:lineRule="exact"/>
      <w:ind w:left="0" w:firstLine="0"/>
      <w:textAlignment w:val="auto"/>
    </w:pPr>
    <w:rPr>
      <w:rFonts w:eastAsia="宋体"/>
      <w:bCs/>
      <w:color w:val="000000"/>
      <w:spacing w:val="0"/>
      <w:sz w:val="24"/>
      <w:szCs w:val="21"/>
    </w:rPr>
  </w:style>
  <w:style w:type="paragraph" w:customStyle="1" w:styleId="1413">
    <w:name w:val="正文紧－多段单行"/>
    <w:basedOn w:val="1"/>
    <w:qFormat/>
    <w:uiPriority w:val="0"/>
    <w:pPr>
      <w:spacing w:line="500" w:lineRule="exact"/>
      <w:ind w:firstLine="200" w:firstLineChars="200"/>
      <w:jc w:val="left"/>
    </w:pPr>
    <w:rPr>
      <w:rFonts w:ascii="宋体" w:hAnsi="宋体"/>
      <w:color w:val="000066"/>
      <w:sz w:val="24"/>
    </w:rPr>
  </w:style>
  <w:style w:type="paragraph" w:customStyle="1" w:styleId="1414">
    <w:name w:val="Char Char1 Char Char Char Char Char Char Char Char Char1 Char1"/>
    <w:basedOn w:val="1"/>
    <w:qFormat/>
    <w:uiPriority w:val="0"/>
  </w:style>
  <w:style w:type="paragraph" w:customStyle="1" w:styleId="1415">
    <w:name w:val="xl86"/>
    <w:basedOn w:val="1"/>
    <w:qFormat/>
    <w:uiPriority w:val="0"/>
    <w:pPr>
      <w:widowControl/>
      <w:pBdr>
        <w:top w:val="single" w:color="auto" w:sz="8" w:space="0"/>
        <w:left w:val="single" w:color="auto" w:sz="8" w:space="0"/>
        <w:bottom w:val="single" w:color="auto" w:sz="4" w:space="0"/>
      </w:pBdr>
      <w:spacing w:before="100" w:beforeAutospacing="1" w:after="100" w:afterAutospacing="1"/>
      <w:jc w:val="left"/>
    </w:pPr>
    <w:rPr>
      <w:rFonts w:eastAsia="Arial Unicode MS"/>
      <w:sz w:val="16"/>
      <w:szCs w:val="16"/>
    </w:rPr>
  </w:style>
  <w:style w:type="paragraph" w:customStyle="1" w:styleId="1416">
    <w:name w:val="Char911"/>
    <w:basedOn w:val="1"/>
    <w:qFormat/>
    <w:uiPriority w:val="0"/>
    <w:pPr>
      <w:ind w:left="-48"/>
    </w:pPr>
  </w:style>
  <w:style w:type="paragraph" w:customStyle="1" w:styleId="1417">
    <w:name w:val="标题412"/>
    <w:basedOn w:val="1"/>
    <w:qFormat/>
    <w:uiPriority w:val="0"/>
    <w:pPr>
      <w:adjustRightInd w:val="0"/>
      <w:snapToGrid w:val="0"/>
      <w:spacing w:line="300" w:lineRule="auto"/>
      <w:jc w:val="left"/>
    </w:pPr>
    <w:rPr>
      <w:rFonts w:ascii="黑体" w:hAnsi="宋体" w:eastAsia="黑体" w:cs="宋体"/>
      <w:bCs/>
      <w:sz w:val="24"/>
    </w:rPr>
  </w:style>
  <w:style w:type="paragraph" w:customStyle="1" w:styleId="1418">
    <w:name w:val="样式 表标题4.9 + 居中"/>
    <w:qFormat/>
    <w:uiPriority w:val="0"/>
    <w:pPr>
      <w:tabs>
        <w:tab w:val="left" w:pos="2444"/>
        <w:tab w:val="center" w:pos="4060"/>
        <w:tab w:val="right" w:pos="8261"/>
      </w:tabs>
      <w:ind w:left="1720" w:firstLine="4"/>
      <w:jc w:val="center"/>
    </w:pPr>
    <w:rPr>
      <w:rFonts w:ascii="Times New Roman" w:hAnsi="Times New Roman" w:eastAsia="宋体" w:cs="宋体"/>
      <w:bCs/>
      <w:lang w:val="en-US" w:eastAsia="zh-CN" w:bidi="ar-SA"/>
    </w:rPr>
  </w:style>
  <w:style w:type="paragraph" w:customStyle="1" w:styleId="1419">
    <w:name w:val="页眉中112"/>
    <w:basedOn w:val="47"/>
    <w:qFormat/>
    <w:uiPriority w:val="0"/>
    <w:pPr>
      <w:adjustRightInd w:val="0"/>
      <w:spacing w:line="300" w:lineRule="auto"/>
      <w:jc w:val="left"/>
    </w:pPr>
    <w:rPr>
      <w:rFonts w:ascii="黑体" w:hAnsi="宋体" w:eastAsia="黑体" w:cs="宋体"/>
      <w:bCs/>
      <w:sz w:val="24"/>
    </w:rPr>
  </w:style>
  <w:style w:type="paragraph" w:customStyle="1" w:styleId="1420">
    <w:name w:val="p20"/>
    <w:basedOn w:val="1"/>
    <w:qFormat/>
    <w:uiPriority w:val="0"/>
    <w:pPr>
      <w:widowControl/>
    </w:pPr>
    <w:rPr>
      <w:szCs w:val="21"/>
    </w:rPr>
  </w:style>
  <w:style w:type="paragraph" w:customStyle="1" w:styleId="1421">
    <w:name w:val="章标题(不加入目录内)"/>
    <w:basedOn w:val="85"/>
    <w:qFormat/>
    <w:uiPriority w:val="0"/>
    <w:pPr>
      <w:keepLines/>
      <w:pageBreakBefore/>
      <w:spacing w:after="120"/>
      <w:outlineLvl w:val="9"/>
    </w:pPr>
    <w:rPr>
      <w:rFonts w:eastAsia="黑体"/>
      <w:bCs w:val="0"/>
      <w:szCs w:val="20"/>
    </w:rPr>
  </w:style>
  <w:style w:type="paragraph" w:customStyle="1" w:styleId="1422">
    <w:name w:val="GB-1.1.1.1.1"/>
    <w:basedOn w:val="1423"/>
    <w:qFormat/>
    <w:uiPriority w:val="0"/>
    <w:pPr>
      <w:tabs>
        <w:tab w:val="left" w:pos="1680"/>
        <w:tab w:val="left" w:pos="4172"/>
      </w:tabs>
      <w:ind w:left="4172"/>
      <w:outlineLvl w:val="4"/>
    </w:pPr>
    <w:rPr>
      <w:szCs w:val="21"/>
    </w:rPr>
  </w:style>
  <w:style w:type="paragraph" w:customStyle="1" w:styleId="1423">
    <w:name w:val="GB-1.1.1.1"/>
    <w:basedOn w:val="1"/>
    <w:qFormat/>
    <w:uiPriority w:val="0"/>
    <w:pPr>
      <w:keepNext/>
      <w:widowControl/>
      <w:tabs>
        <w:tab w:val="left" w:pos="1680"/>
      </w:tabs>
      <w:snapToGrid w:val="0"/>
      <w:spacing w:line="360" w:lineRule="auto"/>
      <w:ind w:left="1680" w:hanging="420"/>
      <w:jc w:val="left"/>
      <w:outlineLvl w:val="3"/>
    </w:pPr>
    <w:rPr>
      <w:rFonts w:ascii="宋体" w:hAnsi="宋体"/>
    </w:rPr>
  </w:style>
  <w:style w:type="paragraph" w:customStyle="1" w:styleId="1424">
    <w:name w:val="VC的标题行"/>
    <w:basedOn w:val="4"/>
    <w:qFormat/>
    <w:uiPriority w:val="0"/>
    <w:pPr>
      <w:keepLines w:val="0"/>
      <w:widowControl/>
      <w:tabs>
        <w:tab w:val="left" w:pos="576"/>
        <w:tab w:val="clear" w:pos="1427"/>
      </w:tabs>
      <w:adjustRightInd/>
      <w:spacing w:beforeLines="0" w:afterLines="0"/>
      <w:jc w:val="center"/>
      <w:textAlignment w:val="auto"/>
    </w:pPr>
    <w:rPr>
      <w:rFonts w:ascii="Arial" w:hAnsi="Arial" w:cs="Arial"/>
      <w:bCs/>
      <w:kern w:val="2"/>
      <w:sz w:val="36"/>
      <w:szCs w:val="36"/>
    </w:rPr>
  </w:style>
  <w:style w:type="paragraph" w:customStyle="1" w:styleId="1425">
    <w:name w:val="样式 首行缩进:  2 字符 Char Char"/>
    <w:basedOn w:val="1"/>
    <w:qFormat/>
    <w:uiPriority w:val="0"/>
    <w:pPr>
      <w:spacing w:line="480" w:lineRule="exact"/>
      <w:ind w:firstLine="480" w:firstLineChars="200"/>
    </w:pPr>
    <w:rPr>
      <w:rFonts w:ascii="Arial" w:hAnsi="Arial"/>
      <w:sz w:val="24"/>
    </w:rPr>
  </w:style>
  <w:style w:type="paragraph" w:customStyle="1" w:styleId="1426">
    <w:name w:val="表内小441"/>
    <w:basedOn w:val="1427"/>
    <w:qFormat/>
    <w:uiPriority w:val="0"/>
    <w:pPr>
      <w:ind w:left="240" w:hanging="240"/>
      <w:jc w:val="both"/>
    </w:pPr>
    <w:rPr>
      <w:rFonts w:cs="Times New Roman"/>
    </w:rPr>
  </w:style>
  <w:style w:type="paragraph" w:customStyle="1" w:styleId="1427">
    <w:name w:val="表内文字大"/>
    <w:basedOn w:val="1"/>
    <w:qFormat/>
    <w:uiPriority w:val="0"/>
    <w:pPr>
      <w:adjustRightInd w:val="0"/>
      <w:snapToGrid w:val="0"/>
      <w:jc w:val="center"/>
    </w:pPr>
    <w:rPr>
      <w:rFonts w:ascii="宋体" w:hAnsi="Times" w:cs="宋体"/>
      <w:sz w:val="24"/>
    </w:rPr>
  </w:style>
  <w:style w:type="paragraph" w:customStyle="1" w:styleId="1428">
    <w:name w:val="xl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16"/>
      <w:szCs w:val="16"/>
    </w:rPr>
  </w:style>
  <w:style w:type="paragraph" w:customStyle="1" w:styleId="1429">
    <w:name w:val="页眉xx4"/>
    <w:basedOn w:val="58"/>
    <w:qFormat/>
    <w:uiPriority w:val="0"/>
    <w:pPr>
      <w:pBdr>
        <w:bottom w:val="single" w:color="auto" w:sz="2" w:space="1"/>
      </w:pBdr>
      <w:tabs>
        <w:tab w:val="clear" w:pos="4153"/>
      </w:tabs>
      <w:adjustRightInd w:val="0"/>
    </w:pPr>
    <w:rPr>
      <w:rFonts w:ascii="宋体" w:hAnsi="宋体"/>
      <w:sz w:val="21"/>
      <w:szCs w:val="20"/>
    </w:rPr>
  </w:style>
  <w:style w:type="paragraph" w:customStyle="1" w:styleId="1430">
    <w:name w:val="Char Char Char Char Char Char Char3"/>
    <w:basedOn w:val="1"/>
    <w:qFormat/>
    <w:uiPriority w:val="0"/>
    <w:pPr>
      <w:spacing w:line="360" w:lineRule="auto"/>
      <w:ind w:firstLine="200" w:firstLineChars="200"/>
    </w:pPr>
    <w:rPr>
      <w:rFonts w:ascii="宋体" w:hAnsi="宋体" w:cs="宋体"/>
      <w:sz w:val="24"/>
    </w:rPr>
  </w:style>
  <w:style w:type="paragraph" w:customStyle="1" w:styleId="1431">
    <w:name w:val="Bullet 3"/>
    <w:basedOn w:val="1"/>
    <w:next w:val="1"/>
    <w:qFormat/>
    <w:uiPriority w:val="0"/>
    <w:pPr>
      <w:widowControl/>
      <w:tabs>
        <w:tab w:val="left" w:pos="1440"/>
      </w:tabs>
      <w:ind w:left="3600" w:hanging="720"/>
      <w:jc w:val="left"/>
    </w:pPr>
    <w:rPr>
      <w:rFonts w:ascii="Arial" w:hAnsi="Arial"/>
    </w:rPr>
  </w:style>
  <w:style w:type="paragraph" w:customStyle="1" w:styleId="1432">
    <w:name w:val="目录222222"/>
    <w:qFormat/>
    <w:uiPriority w:val="0"/>
    <w:pPr>
      <w:keepLines/>
      <w:adjustRightInd w:val="0"/>
      <w:spacing w:line="480" w:lineRule="exact"/>
    </w:pPr>
    <w:rPr>
      <w:rFonts w:ascii="方正大标宋简体" w:hAnsi="Arial" w:eastAsia="宋体" w:cs="宋体"/>
      <w:szCs w:val="32"/>
      <w:lang w:val="en-US" w:eastAsia="zh-CN" w:bidi="ar-SA"/>
    </w:rPr>
  </w:style>
  <w:style w:type="paragraph" w:customStyle="1" w:styleId="1433">
    <w:name w:val="w正文"/>
    <w:basedOn w:val="1"/>
    <w:qFormat/>
    <w:uiPriority w:val="0"/>
    <w:pPr>
      <w:spacing w:line="360" w:lineRule="auto"/>
      <w:ind w:firstLine="496" w:firstLineChars="200"/>
    </w:pPr>
    <w:rPr>
      <w:spacing w:val="4"/>
      <w:sz w:val="24"/>
    </w:rPr>
  </w:style>
  <w:style w:type="paragraph" w:customStyle="1" w:styleId="1434">
    <w:name w:val="目录名称"/>
    <w:qFormat/>
    <w:uiPriority w:val="0"/>
    <w:pPr>
      <w:spacing w:line="360" w:lineRule="auto"/>
      <w:jc w:val="center"/>
    </w:pPr>
    <w:rPr>
      <w:rFonts w:ascii="Times New Roman" w:hAnsi="Times New Roman" w:eastAsia="黑体" w:cs="Times New Roman"/>
      <w:sz w:val="32"/>
      <w:lang w:val="en-US" w:eastAsia="zh-CN" w:bidi="ar-SA"/>
    </w:rPr>
  </w:style>
  <w:style w:type="paragraph" w:customStyle="1" w:styleId="1435">
    <w:name w:val="样式 表内小5 + 左侧:  0 厘米 悬挂缩进: 0.98 字符4"/>
    <w:basedOn w:val="1"/>
    <w:qFormat/>
    <w:uiPriority w:val="0"/>
    <w:pPr>
      <w:adjustRightInd w:val="0"/>
      <w:snapToGrid w:val="0"/>
      <w:spacing w:line="300" w:lineRule="auto"/>
      <w:ind w:left="289" w:leftChars="-200" w:hanging="769"/>
    </w:pPr>
    <w:rPr>
      <w:rFonts w:ascii="宋体" w:hAnsi="宋体" w:cs="宋体"/>
      <w:sz w:val="18"/>
    </w:rPr>
  </w:style>
  <w:style w:type="paragraph" w:customStyle="1" w:styleId="1436">
    <w:name w:val="chuang"/>
    <w:basedOn w:val="1"/>
    <w:qFormat/>
    <w:uiPriority w:val="0"/>
    <w:pPr>
      <w:ind w:firstLine="560"/>
    </w:pPr>
    <w:rPr>
      <w:sz w:val="28"/>
    </w:rPr>
  </w:style>
  <w:style w:type="paragraph" w:customStyle="1" w:styleId="1437">
    <w:name w:val="zxl正文首行缩进  2 字符 行距: Char"/>
    <w:basedOn w:val="1"/>
    <w:qFormat/>
    <w:uiPriority w:val="0"/>
    <w:pPr>
      <w:widowControl/>
      <w:tabs>
        <w:tab w:val="left" w:pos="-1843"/>
        <w:tab w:val="left" w:pos="1727"/>
        <w:tab w:val="left" w:pos="1884"/>
      </w:tabs>
      <w:ind w:firstLine="527"/>
      <w:textAlignment w:val="bottom"/>
      <w:outlineLvl w:val="0"/>
    </w:pPr>
    <w:rPr>
      <w:rFonts w:ascii="宋体" w:hAnsi="宋体"/>
      <w:sz w:val="24"/>
    </w:rPr>
  </w:style>
  <w:style w:type="paragraph" w:customStyle="1" w:styleId="1438">
    <w:name w:val="MFS表格文字"/>
    <w:basedOn w:val="34"/>
    <w:qFormat/>
    <w:uiPriority w:val="0"/>
    <w:pPr>
      <w:adjustRightInd w:val="0"/>
      <w:snapToGrid w:val="0"/>
      <w:spacing w:after="0" w:line="300" w:lineRule="auto"/>
    </w:pPr>
    <w:rPr>
      <w:rFonts w:eastAsia="楷体_GB2312"/>
      <w:spacing w:val="0"/>
      <w:kern w:val="2"/>
      <w:sz w:val="21"/>
      <w:szCs w:val="21"/>
    </w:rPr>
  </w:style>
  <w:style w:type="paragraph" w:customStyle="1" w:styleId="1439">
    <w:name w:val="样式 标题 2 + Times New Roman"/>
    <w:basedOn w:val="4"/>
    <w:qFormat/>
    <w:uiPriority w:val="0"/>
    <w:pPr>
      <w:tabs>
        <w:tab w:val="left" w:pos="840"/>
        <w:tab w:val="clear" w:pos="1427"/>
      </w:tabs>
      <w:spacing w:before="156" w:after="156" w:line="240" w:lineRule="auto"/>
      <w:ind w:hanging="420"/>
      <w:jc w:val="both"/>
      <w:textAlignment w:val="auto"/>
    </w:pPr>
    <w:rPr>
      <w:rFonts w:ascii="黑体" w:hAnsi="Arial" w:eastAsia="华文楷体"/>
      <w:b w:val="0"/>
      <w:bCs/>
      <w:kern w:val="2"/>
      <w:szCs w:val="32"/>
    </w:rPr>
  </w:style>
  <w:style w:type="paragraph" w:customStyle="1" w:styleId="1440">
    <w:name w:val="表标题16.7.1.1"/>
    <w:basedOn w:val="6"/>
    <w:qFormat/>
    <w:uiPriority w:val="0"/>
    <w:pPr>
      <w:keepNext w:val="0"/>
      <w:keepLines w:val="0"/>
      <w:tabs>
        <w:tab w:val="left" w:pos="1800"/>
      </w:tabs>
      <w:spacing w:before="120" w:after="120" w:line="312" w:lineRule="auto"/>
      <w:ind w:left="851" w:hanging="851"/>
    </w:pPr>
    <w:rPr>
      <w:sz w:val="24"/>
      <w:szCs w:val="24"/>
    </w:rPr>
  </w:style>
  <w:style w:type="paragraph" w:customStyle="1" w:styleId="1441">
    <w:name w:val="页眉中14"/>
    <w:basedOn w:val="1"/>
    <w:qFormat/>
    <w:uiPriority w:val="0"/>
    <w:pPr>
      <w:adjustRightInd w:val="0"/>
      <w:snapToGrid w:val="0"/>
      <w:spacing w:line="300" w:lineRule="auto"/>
      <w:jc w:val="left"/>
    </w:pPr>
    <w:rPr>
      <w:rFonts w:ascii="黑体" w:eastAsia="黑体"/>
      <w:bCs/>
      <w:sz w:val="24"/>
    </w:rPr>
  </w:style>
  <w:style w:type="paragraph" w:customStyle="1" w:styleId="1442">
    <w:name w:val="日期4"/>
    <w:basedOn w:val="1"/>
    <w:next w:val="1"/>
    <w:qFormat/>
    <w:uiPriority w:val="0"/>
    <w:pPr>
      <w:adjustRightInd w:val="0"/>
      <w:textAlignment w:val="baseline"/>
    </w:pPr>
  </w:style>
  <w:style w:type="paragraph" w:customStyle="1" w:styleId="1443">
    <w:name w:val="xl83"/>
    <w:basedOn w:val="1"/>
    <w:qFormat/>
    <w:uiPriority w:val="0"/>
    <w:pPr>
      <w:widowControl/>
      <w:pBdr>
        <w:top w:val="single" w:color="auto" w:sz="4" w:space="0"/>
      </w:pBdr>
      <w:spacing w:before="100" w:beforeAutospacing="1" w:after="100" w:afterAutospacing="1"/>
      <w:jc w:val="center"/>
      <w:textAlignment w:val="center"/>
    </w:pPr>
    <w:rPr>
      <w:rFonts w:ascii="Arial Unicode MS" w:hAnsi="Arial Unicode MS" w:eastAsia="Arial Unicode MS" w:cs="Arial Unicode MS"/>
      <w:sz w:val="16"/>
      <w:szCs w:val="16"/>
    </w:rPr>
  </w:style>
  <w:style w:type="paragraph" w:customStyle="1" w:styleId="1444">
    <w:name w:val="1 Char Char Char Char Char Char Char Char Char Char Char Char1 Char Char Char Char"/>
    <w:basedOn w:val="1"/>
    <w:qFormat/>
    <w:uiPriority w:val="0"/>
  </w:style>
  <w:style w:type="paragraph" w:customStyle="1" w:styleId="1445">
    <w:name w:val="图题22"/>
    <w:basedOn w:val="5"/>
    <w:qFormat/>
    <w:uiPriority w:val="0"/>
    <w:pPr>
      <w:keepNext w:val="0"/>
      <w:keepLines w:val="0"/>
      <w:tabs>
        <w:tab w:val="clear" w:pos="720"/>
      </w:tabs>
      <w:snapToGrid w:val="0"/>
      <w:spacing w:before="120"/>
      <w:ind w:left="0" w:firstLine="0"/>
      <w:jc w:val="center"/>
      <w:textAlignment w:val="auto"/>
    </w:pPr>
    <w:rPr>
      <w:rFonts w:ascii="黑体" w:hAnsi="宋体" w:cs="宋体"/>
      <w:b w:val="0"/>
      <w:bCs/>
      <w:color w:val="auto"/>
      <w:spacing w:val="0"/>
      <w:kern w:val="2"/>
      <w:szCs w:val="28"/>
    </w:rPr>
  </w:style>
  <w:style w:type="paragraph" w:customStyle="1" w:styleId="1446">
    <w:name w:val="表内5中44"/>
    <w:basedOn w:val="1106"/>
    <w:qFormat/>
    <w:uiPriority w:val="0"/>
    <w:pPr>
      <w:spacing w:line="240" w:lineRule="auto"/>
    </w:pPr>
    <w:rPr>
      <w:rFonts w:hAnsi="Times New Roman"/>
      <w:bCs/>
    </w:rPr>
  </w:style>
  <w:style w:type="paragraph" w:customStyle="1" w:styleId="1447">
    <w:name w:val="表样式"/>
    <w:basedOn w:val="1"/>
    <w:qFormat/>
    <w:uiPriority w:val="0"/>
    <w:pPr>
      <w:adjustRightInd w:val="0"/>
      <w:spacing w:line="240" w:lineRule="atLeast"/>
      <w:jc w:val="center"/>
      <w:textAlignment w:val="baseline"/>
    </w:pPr>
    <w:rPr>
      <w:rFonts w:ascii="宋体"/>
      <w:sz w:val="18"/>
    </w:rPr>
  </w:style>
  <w:style w:type="paragraph" w:customStyle="1" w:styleId="1448">
    <w:name w:val="样式4 宋体 Char"/>
    <w:basedOn w:val="1"/>
    <w:qFormat/>
    <w:uiPriority w:val="0"/>
  </w:style>
  <w:style w:type="paragraph" w:customStyle="1" w:styleId="1449">
    <w:name w:val="表题64"/>
    <w:basedOn w:val="35"/>
    <w:qFormat/>
    <w:uiPriority w:val="0"/>
    <w:pPr>
      <w:tabs>
        <w:tab w:val="left" w:pos="4305"/>
      </w:tabs>
      <w:adjustRightInd w:val="0"/>
      <w:snapToGrid w:val="0"/>
      <w:spacing w:after="0"/>
      <w:ind w:left="0" w:leftChars="0" w:firstLine="480" w:firstLineChars="200"/>
      <w:jc w:val="center"/>
    </w:pPr>
    <w:rPr>
      <w:rFonts w:ascii="黑体" w:hAnsi="宋体" w:eastAsia="黑体"/>
      <w:sz w:val="24"/>
      <w:szCs w:val="20"/>
    </w:rPr>
  </w:style>
  <w:style w:type="paragraph" w:customStyle="1" w:styleId="1450">
    <w:name w:val="批注文字1"/>
    <w:basedOn w:val="1"/>
    <w:qFormat/>
    <w:uiPriority w:val="0"/>
    <w:pPr>
      <w:spacing w:line="500" w:lineRule="exact"/>
      <w:ind w:firstLine="200" w:firstLineChars="200"/>
      <w:jc w:val="left"/>
    </w:pPr>
    <w:rPr>
      <w:sz w:val="24"/>
    </w:rPr>
  </w:style>
  <w:style w:type="paragraph" w:customStyle="1" w:styleId="1451">
    <w:name w:val="页号"/>
    <w:basedOn w:val="56"/>
    <w:qFormat/>
    <w:uiPriority w:val="0"/>
    <w:pPr>
      <w:tabs>
        <w:tab w:val="center" w:pos="4320"/>
        <w:tab w:val="right" w:pos="8640"/>
        <w:tab w:val="clear" w:pos="4153"/>
        <w:tab w:val="clear" w:pos="8306"/>
      </w:tabs>
      <w:adjustRightInd w:val="0"/>
      <w:snapToGrid/>
      <w:jc w:val="center"/>
      <w:textAlignment w:val="baseline"/>
    </w:pPr>
    <w:rPr>
      <w:rFonts w:ascii="Calibri" w:hAnsi="Calibri"/>
      <w:spacing w:val="3"/>
      <w:kern w:val="24"/>
      <w:sz w:val="24"/>
      <w:szCs w:val="20"/>
    </w:rPr>
  </w:style>
  <w:style w:type="paragraph" w:customStyle="1" w:styleId="1452">
    <w:name w:val="正文+首行缩进"/>
    <w:basedOn w:val="1"/>
    <w:qFormat/>
    <w:uiPriority w:val="0"/>
    <w:pPr>
      <w:overflowPunct w:val="0"/>
      <w:topLinePunct/>
      <w:adjustRightInd w:val="0"/>
      <w:spacing w:line="460" w:lineRule="atLeast"/>
      <w:ind w:firstLine="200" w:firstLineChars="200"/>
      <w:jc w:val="left"/>
      <w:textAlignment w:val="baseline"/>
    </w:pPr>
    <w:rPr>
      <w:sz w:val="28"/>
    </w:rPr>
  </w:style>
  <w:style w:type="paragraph" w:customStyle="1" w:styleId="1453">
    <w:name w:val="签名1"/>
    <w:basedOn w:val="1"/>
    <w:qFormat/>
    <w:uiPriority w:val="0"/>
    <w:pPr>
      <w:ind w:left="100" w:leftChars="2100"/>
    </w:pPr>
  </w:style>
  <w:style w:type="paragraph" w:customStyle="1" w:styleId="1454">
    <w:name w:val="图题43"/>
    <w:basedOn w:val="21"/>
    <w:qFormat/>
    <w:uiPriority w:val="0"/>
    <w:pPr>
      <w:tabs>
        <w:tab w:val="left" w:pos="5837"/>
      </w:tabs>
      <w:adjustRightInd w:val="0"/>
      <w:snapToGrid w:val="0"/>
      <w:ind w:firstLine="0" w:firstLineChars="0"/>
      <w:jc w:val="center"/>
    </w:pPr>
    <w:rPr>
      <w:rFonts w:ascii="方正大标宋简体" w:hAnsi="宋体" w:eastAsia="方正大标宋简体" w:cs="宋体"/>
      <w:szCs w:val="24"/>
    </w:rPr>
  </w:style>
  <w:style w:type="paragraph" w:customStyle="1" w:styleId="1455">
    <w:name w:val="样式 标题 1 + 两端对齐1"/>
    <w:basedOn w:val="3"/>
    <w:qFormat/>
    <w:uiPriority w:val="0"/>
    <w:pPr>
      <w:keepNext w:val="0"/>
      <w:spacing w:before="0" w:after="0" w:line="312" w:lineRule="auto"/>
    </w:pPr>
    <w:rPr>
      <w:rFonts w:eastAsia="黑体" w:cs="宋体"/>
      <w:sz w:val="28"/>
      <w:szCs w:val="20"/>
    </w:rPr>
  </w:style>
  <w:style w:type="paragraph" w:customStyle="1" w:styleId="1456">
    <w:name w:val="kyj正文首行缩进:  2 字符 Char Char Char Char Char Char"/>
    <w:basedOn w:val="1"/>
    <w:qFormat/>
    <w:uiPriority w:val="0"/>
    <w:pPr>
      <w:ind w:firstLine="560" w:firstLineChars="200"/>
      <w:jc w:val="left"/>
    </w:pPr>
    <w:rPr>
      <w:sz w:val="28"/>
    </w:rPr>
  </w:style>
  <w:style w:type="paragraph" w:customStyle="1" w:styleId="1457">
    <w:name w:val="表正文标题"/>
    <w:basedOn w:val="1458"/>
    <w:next w:val="1458"/>
    <w:qFormat/>
    <w:uiPriority w:val="0"/>
    <w:pPr>
      <w:spacing w:beforeLines="100"/>
      <w:ind w:firstLine="482"/>
    </w:pPr>
  </w:style>
  <w:style w:type="paragraph" w:customStyle="1" w:styleId="1458">
    <w:name w:val="表正文小标题"/>
    <w:basedOn w:val="1"/>
    <w:next w:val="1"/>
    <w:qFormat/>
    <w:uiPriority w:val="0"/>
    <w:pPr>
      <w:spacing w:after="120"/>
      <w:ind w:firstLine="200" w:firstLineChars="200"/>
      <w:outlineLvl w:val="2"/>
    </w:pPr>
    <w:rPr>
      <w:rFonts w:ascii="宋体" w:hAnsi="宋体"/>
      <w:b/>
      <w:bCs/>
      <w:sz w:val="24"/>
    </w:rPr>
  </w:style>
  <w:style w:type="paragraph" w:customStyle="1" w:styleId="1459">
    <w:name w:val="表内文字小5"/>
    <w:basedOn w:val="1"/>
    <w:qFormat/>
    <w:uiPriority w:val="0"/>
    <w:pPr>
      <w:adjustRightInd w:val="0"/>
      <w:snapToGrid w:val="0"/>
      <w:jc w:val="center"/>
    </w:pPr>
    <w:rPr>
      <w:rFonts w:ascii="宋体" w:hAnsi="Times"/>
    </w:rPr>
  </w:style>
  <w:style w:type="paragraph" w:customStyle="1" w:styleId="1460">
    <w:name w:val="Char Char Char Char Char Char Char Char1"/>
    <w:basedOn w:val="1"/>
    <w:qFormat/>
    <w:uiPriority w:val="0"/>
    <w:pPr>
      <w:spacing w:line="360" w:lineRule="auto"/>
    </w:pPr>
    <w:rPr>
      <w:rFonts w:eastAsia="仿宋_GB2312"/>
    </w:rPr>
  </w:style>
  <w:style w:type="paragraph" w:customStyle="1" w:styleId="1461">
    <w:name w:val="表内文字小43"/>
    <w:basedOn w:val="1"/>
    <w:qFormat/>
    <w:uiPriority w:val="0"/>
    <w:pPr>
      <w:adjustRightInd w:val="0"/>
      <w:snapToGrid w:val="0"/>
      <w:jc w:val="center"/>
    </w:pPr>
    <w:rPr>
      <w:rFonts w:ascii="宋体" w:hAnsi="Times"/>
    </w:rPr>
  </w:style>
  <w:style w:type="paragraph" w:customStyle="1" w:styleId="1462">
    <w:name w:val="Char Char Char Char Char Char Char Char Char Char Char Char Char Char Char Char Char Char1 Char Char Char Char Char Char Char4"/>
    <w:basedOn w:val="1"/>
    <w:next w:val="1"/>
    <w:qFormat/>
    <w:uiPriority w:val="0"/>
    <w:pPr>
      <w:keepNext/>
      <w:keepLines/>
      <w:widowControl/>
      <w:adjustRightInd w:val="0"/>
      <w:spacing w:before="40" w:after="40" w:line="360" w:lineRule="auto"/>
      <w:ind w:firstLine="482" w:firstLineChars="200"/>
      <w:textAlignment w:val="baseline"/>
    </w:pPr>
    <w:rPr>
      <w:rFonts w:cs="宋体"/>
      <w:b/>
      <w:sz w:val="24"/>
      <w:szCs w:val="28"/>
    </w:rPr>
  </w:style>
  <w:style w:type="paragraph" w:customStyle="1" w:styleId="1463">
    <w:name w:val="表首"/>
    <w:basedOn w:val="1"/>
    <w:qFormat/>
    <w:uiPriority w:val="0"/>
    <w:pPr>
      <w:keepNext/>
      <w:adjustRightInd w:val="0"/>
      <w:snapToGrid w:val="0"/>
      <w:spacing w:line="400" w:lineRule="exact"/>
      <w:ind w:firstLine="480"/>
      <w:jc w:val="center"/>
      <w:textAlignment w:val="baseline"/>
    </w:pPr>
    <w:rPr>
      <w:rFonts w:ascii="黑体" w:eastAsia="黑体" w:cs="宋体"/>
      <w:b/>
      <w:sz w:val="24"/>
    </w:rPr>
  </w:style>
  <w:style w:type="paragraph" w:customStyle="1" w:styleId="1464">
    <w:name w:val="福建正文缩进5"/>
    <w:basedOn w:val="21"/>
    <w:qFormat/>
    <w:uiPriority w:val="0"/>
    <w:pPr>
      <w:adjustRightInd w:val="0"/>
      <w:snapToGrid w:val="0"/>
      <w:spacing w:line="360" w:lineRule="auto"/>
      <w:ind w:firstLine="539" w:firstLineChars="0"/>
    </w:pPr>
    <w:rPr>
      <w:rFonts w:ascii="宋体"/>
      <w:szCs w:val="24"/>
    </w:rPr>
  </w:style>
  <w:style w:type="paragraph" w:customStyle="1" w:styleId="1465">
    <w:name w:val="表内文字大25"/>
    <w:basedOn w:val="1"/>
    <w:qFormat/>
    <w:uiPriority w:val="0"/>
    <w:pPr>
      <w:adjustRightInd w:val="0"/>
      <w:snapToGrid w:val="0"/>
      <w:jc w:val="center"/>
    </w:pPr>
    <w:rPr>
      <w:rFonts w:ascii="宋体" w:hAnsi="Times" w:cs="宋体"/>
      <w:sz w:val="24"/>
    </w:rPr>
  </w:style>
  <w:style w:type="paragraph" w:customStyle="1" w:styleId="1466">
    <w:name w:val="xl37"/>
    <w:basedOn w:val="1"/>
    <w:qFormat/>
    <w:uiPriority w:val="0"/>
    <w:pPr>
      <w:widowControl/>
      <w:pBdr>
        <w:top w:val="single" w:color="auto" w:sz="4" w:space="0"/>
        <w:bottom w:val="single" w:color="auto" w:sz="4" w:space="0"/>
      </w:pBdr>
      <w:spacing w:before="100" w:beforeAutospacing="1" w:after="100" w:afterAutospacing="1"/>
      <w:jc w:val="right"/>
    </w:pPr>
    <w:rPr>
      <w:rFonts w:ascii="宋体" w:hAnsi="宋体"/>
      <w:sz w:val="24"/>
    </w:rPr>
  </w:style>
  <w:style w:type="paragraph" w:customStyle="1" w:styleId="1467">
    <w:name w:val="表内519"/>
    <w:basedOn w:val="1"/>
    <w:qFormat/>
    <w:uiPriority w:val="0"/>
    <w:pPr>
      <w:adjustRightInd w:val="0"/>
      <w:snapToGrid w:val="0"/>
      <w:spacing w:line="300" w:lineRule="auto"/>
      <w:jc w:val="left"/>
    </w:pPr>
    <w:rPr>
      <w:rFonts w:ascii="宋体" w:hAnsi="宋体" w:cs="宋体"/>
    </w:rPr>
  </w:style>
  <w:style w:type="paragraph" w:customStyle="1" w:styleId="1468">
    <w:name w:val="Char Char Char Char1 Char Char Char2"/>
    <w:basedOn w:val="1"/>
    <w:qFormat/>
    <w:uiPriority w:val="0"/>
    <w:pPr>
      <w:widowControl/>
      <w:spacing w:after="160" w:line="240" w:lineRule="exact"/>
      <w:jc w:val="left"/>
    </w:pPr>
    <w:rPr>
      <w:rFonts w:ascii="Verdana" w:hAnsi="Verdana"/>
      <w:lang w:eastAsia="en-US"/>
    </w:rPr>
  </w:style>
  <w:style w:type="paragraph" w:customStyle="1" w:styleId="1469">
    <w:name w:val="页眉中71"/>
    <w:basedOn w:val="1"/>
    <w:qFormat/>
    <w:uiPriority w:val="0"/>
    <w:pPr>
      <w:adjustRightInd w:val="0"/>
      <w:snapToGrid w:val="0"/>
      <w:spacing w:line="300" w:lineRule="auto"/>
      <w:jc w:val="left"/>
    </w:pPr>
    <w:rPr>
      <w:rFonts w:ascii="黑体" w:eastAsia="黑体"/>
      <w:bCs/>
      <w:sz w:val="24"/>
    </w:rPr>
  </w:style>
  <w:style w:type="paragraph" w:customStyle="1" w:styleId="1470">
    <w:name w:val="列表编号 211"/>
    <w:basedOn w:val="1"/>
    <w:qFormat/>
    <w:uiPriority w:val="0"/>
    <w:pPr>
      <w:tabs>
        <w:tab w:val="left" w:pos="360"/>
      </w:tabs>
    </w:pPr>
  </w:style>
  <w:style w:type="paragraph" w:customStyle="1" w:styleId="1471">
    <w:name w:val="Char Char2 Char Char Char Char2"/>
    <w:basedOn w:val="1"/>
    <w:qFormat/>
    <w:uiPriority w:val="0"/>
    <w:rPr>
      <w:sz w:val="30"/>
      <w:szCs w:val="30"/>
    </w:rPr>
  </w:style>
  <w:style w:type="paragraph" w:customStyle="1" w:styleId="1472">
    <w:name w:val="Char Char Char2 Char Char Char Char"/>
    <w:basedOn w:val="1"/>
    <w:qFormat/>
    <w:uiPriority w:val="0"/>
  </w:style>
  <w:style w:type="paragraph" w:customStyle="1" w:styleId="1473">
    <w:name w:val="Char2 Char Char Char"/>
    <w:basedOn w:val="1"/>
    <w:qFormat/>
    <w:uiPriority w:val="0"/>
    <w:pPr>
      <w:spacing w:line="360" w:lineRule="auto"/>
      <w:ind w:firstLine="200" w:firstLineChars="200"/>
    </w:pPr>
    <w:rPr>
      <w:rFonts w:ascii="宋体" w:hAnsi="宋体" w:cs="宋体"/>
      <w:sz w:val="24"/>
    </w:rPr>
  </w:style>
  <w:style w:type="paragraph" w:customStyle="1" w:styleId="1474">
    <w:name w:val="表题8"/>
    <w:basedOn w:val="35"/>
    <w:qFormat/>
    <w:uiPriority w:val="0"/>
    <w:pPr>
      <w:tabs>
        <w:tab w:val="left" w:pos="4305"/>
      </w:tabs>
      <w:adjustRightInd w:val="0"/>
      <w:snapToGrid w:val="0"/>
      <w:spacing w:after="0"/>
      <w:ind w:left="0" w:leftChars="0"/>
      <w:jc w:val="center"/>
    </w:pPr>
    <w:rPr>
      <w:rFonts w:ascii="黑体" w:hAnsi="宋体" w:eastAsia="黑体"/>
      <w:sz w:val="24"/>
      <w:szCs w:val="20"/>
    </w:rPr>
  </w:style>
  <w:style w:type="paragraph" w:customStyle="1" w:styleId="1475">
    <w:name w:val="样式 图形标题 + (西文) 宋体 (中文) 宋体 小四 加粗"/>
    <w:qFormat/>
    <w:uiPriority w:val="0"/>
    <w:rPr>
      <w:rFonts w:ascii="黑体" w:hAnsi="黑体" w:eastAsia="黑体" w:cs="Times New Roman"/>
      <w:b/>
      <w:color w:val="000000"/>
      <w:lang w:val="en-US" w:eastAsia="zh-CN" w:bidi="ar-SA"/>
    </w:rPr>
  </w:style>
  <w:style w:type="paragraph" w:customStyle="1" w:styleId="1476">
    <w:name w:val="页眉中312"/>
    <w:basedOn w:val="1"/>
    <w:qFormat/>
    <w:uiPriority w:val="0"/>
    <w:pPr>
      <w:adjustRightInd w:val="0"/>
      <w:snapToGrid w:val="0"/>
      <w:spacing w:line="360" w:lineRule="auto"/>
      <w:jc w:val="center"/>
    </w:pPr>
    <w:rPr>
      <w:rFonts w:ascii="黑体" w:eastAsia="黑体"/>
      <w:bCs/>
      <w:sz w:val="24"/>
      <w:szCs w:val="28"/>
    </w:rPr>
  </w:style>
  <w:style w:type="paragraph" w:customStyle="1" w:styleId="1477">
    <w:name w:val="样式 燕山正文 + 首行缩进:  3.5 字符21"/>
    <w:basedOn w:val="1"/>
    <w:qFormat/>
    <w:uiPriority w:val="0"/>
    <w:pPr>
      <w:tabs>
        <w:tab w:val="left" w:pos="4680"/>
      </w:tabs>
      <w:adjustRightInd w:val="0"/>
      <w:snapToGrid w:val="0"/>
      <w:spacing w:line="360" w:lineRule="auto"/>
      <w:ind w:firstLine="200" w:firstLineChars="200"/>
    </w:pPr>
    <w:rPr>
      <w:rFonts w:ascii="宋体" w:hAnsi="宋体" w:cs="宋体"/>
      <w:color w:val="000000"/>
      <w:sz w:val="28"/>
    </w:rPr>
  </w:style>
  <w:style w:type="paragraph" w:customStyle="1" w:styleId="1478">
    <w:name w:val="标题464"/>
    <w:basedOn w:val="1"/>
    <w:qFormat/>
    <w:uiPriority w:val="0"/>
    <w:pPr>
      <w:adjustRightInd w:val="0"/>
      <w:snapToGrid w:val="0"/>
      <w:spacing w:line="360" w:lineRule="auto"/>
      <w:jc w:val="left"/>
    </w:pPr>
    <w:rPr>
      <w:rFonts w:ascii="黑体" w:eastAsia="黑体"/>
      <w:bCs/>
      <w:sz w:val="24"/>
    </w:rPr>
  </w:style>
  <w:style w:type="paragraph" w:customStyle="1" w:styleId="1479">
    <w:name w:val="样式 燕山正文 + 首行缩进:  3.5 字符7"/>
    <w:basedOn w:val="1325"/>
    <w:qFormat/>
    <w:uiPriority w:val="0"/>
    <w:pPr>
      <w:ind w:firstLine="560"/>
    </w:pPr>
    <w:rPr>
      <w:bCs w:val="0"/>
      <w:sz w:val="28"/>
      <w:szCs w:val="20"/>
    </w:rPr>
  </w:style>
  <w:style w:type="paragraph" w:customStyle="1" w:styleId="1480">
    <w:name w:val="页眉中"/>
    <w:basedOn w:val="47"/>
    <w:qFormat/>
    <w:uiPriority w:val="0"/>
    <w:pPr>
      <w:adjustRightInd w:val="0"/>
      <w:spacing w:line="300" w:lineRule="auto"/>
      <w:jc w:val="left"/>
    </w:pPr>
    <w:rPr>
      <w:rFonts w:ascii="黑体" w:hAnsi="宋体" w:eastAsia="黑体" w:cs="宋体"/>
      <w:sz w:val="24"/>
      <w:szCs w:val="24"/>
    </w:rPr>
  </w:style>
  <w:style w:type="paragraph" w:customStyle="1" w:styleId="1481">
    <w:name w:val="样式 标题 1 + 段前: 0.5 行 段后: 1 行4"/>
    <w:basedOn w:val="3"/>
    <w:qFormat/>
    <w:uiPriority w:val="0"/>
    <w:pPr>
      <w:keepLines w:val="0"/>
      <w:adjustRightInd w:val="0"/>
      <w:snapToGrid w:val="0"/>
      <w:spacing w:beforeLines="50" w:after="0" w:line="360" w:lineRule="auto"/>
      <w:jc w:val="center"/>
    </w:pPr>
    <w:rPr>
      <w:rFonts w:ascii="黑体" w:eastAsia="黑体" w:cs="宋体"/>
      <w:bCs w:val="0"/>
      <w:kern w:val="2"/>
      <w:sz w:val="32"/>
      <w:szCs w:val="20"/>
    </w:rPr>
  </w:style>
  <w:style w:type="paragraph" w:customStyle="1" w:styleId="1482">
    <w:name w:val="燕山正文22"/>
    <w:basedOn w:val="1"/>
    <w:qFormat/>
    <w:uiPriority w:val="0"/>
    <w:pPr>
      <w:tabs>
        <w:tab w:val="left" w:pos="4680"/>
      </w:tabs>
      <w:adjustRightInd w:val="0"/>
      <w:snapToGrid w:val="0"/>
      <w:spacing w:line="360" w:lineRule="auto"/>
      <w:ind w:firstLine="480" w:firstLineChars="200"/>
      <w:jc w:val="left"/>
    </w:pPr>
    <w:rPr>
      <w:rFonts w:ascii="宋体" w:hAnsi="宋体"/>
      <w:bCs/>
      <w:color w:val="000000"/>
      <w:sz w:val="24"/>
    </w:rPr>
  </w:style>
  <w:style w:type="paragraph" w:customStyle="1" w:styleId="1483">
    <w:name w:val="Char Char Char Char21"/>
    <w:basedOn w:val="1"/>
    <w:qFormat/>
    <w:uiPriority w:val="0"/>
    <w:rPr>
      <w:sz w:val="24"/>
    </w:rPr>
  </w:style>
  <w:style w:type="paragraph" w:customStyle="1" w:styleId="1484">
    <w:name w:val="表体"/>
    <w:basedOn w:val="1"/>
    <w:qFormat/>
    <w:uiPriority w:val="0"/>
    <w:pPr>
      <w:spacing w:before="40" w:after="40"/>
      <w:jc w:val="center"/>
    </w:pPr>
    <w:rPr>
      <w:color w:val="000080"/>
    </w:rPr>
  </w:style>
  <w:style w:type="paragraph" w:customStyle="1" w:styleId="1485">
    <w:name w:val="燕山正文31"/>
    <w:basedOn w:val="1"/>
    <w:qFormat/>
    <w:uiPriority w:val="0"/>
    <w:pPr>
      <w:tabs>
        <w:tab w:val="left" w:pos="4680"/>
      </w:tabs>
      <w:adjustRightInd w:val="0"/>
      <w:snapToGrid w:val="0"/>
      <w:spacing w:line="360" w:lineRule="auto"/>
      <w:ind w:firstLine="560" w:firstLineChars="200"/>
    </w:pPr>
    <w:rPr>
      <w:rFonts w:ascii="宋体" w:hAnsi="宋体"/>
      <w:color w:val="000000"/>
      <w:sz w:val="28"/>
      <w:szCs w:val="28"/>
    </w:rPr>
  </w:style>
  <w:style w:type="paragraph" w:customStyle="1" w:styleId="1486">
    <w:name w:val="xl44"/>
    <w:basedOn w:val="1"/>
    <w:qFormat/>
    <w:uiPriority w:val="0"/>
    <w:pPr>
      <w:widowControl/>
      <w:pBdr>
        <w:top w:val="single" w:color="auto" w:sz="4" w:space="0"/>
        <w:bottom w:val="single" w:color="auto" w:sz="8" w:space="0"/>
        <w:right w:val="single" w:color="auto" w:sz="4" w:space="0"/>
      </w:pBdr>
      <w:spacing w:before="100" w:beforeAutospacing="1" w:after="100" w:afterAutospacing="1"/>
      <w:jc w:val="center"/>
    </w:pPr>
    <w:rPr>
      <w:rFonts w:ascii="宋体" w:hAnsi="宋体"/>
      <w:sz w:val="24"/>
    </w:rPr>
  </w:style>
  <w:style w:type="paragraph" w:customStyle="1" w:styleId="1487">
    <w:name w:val="表标题3.10"/>
    <w:basedOn w:val="371"/>
    <w:qFormat/>
    <w:uiPriority w:val="0"/>
  </w:style>
  <w:style w:type="paragraph" w:customStyle="1" w:styleId="1488">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489">
    <w:name w:val="参加人员"/>
    <w:basedOn w:val="1"/>
    <w:qFormat/>
    <w:uiPriority w:val="0"/>
    <w:pPr>
      <w:spacing w:line="360" w:lineRule="auto"/>
    </w:pPr>
    <w:rPr>
      <w:sz w:val="24"/>
    </w:rPr>
  </w:style>
  <w:style w:type="paragraph" w:customStyle="1" w:styleId="1490">
    <w:name w:val="标题55"/>
    <w:basedOn w:val="1"/>
    <w:qFormat/>
    <w:uiPriority w:val="0"/>
    <w:pPr>
      <w:keepNext/>
      <w:keepLines/>
      <w:widowControl/>
      <w:adjustRightInd w:val="0"/>
      <w:snapToGrid w:val="0"/>
      <w:spacing w:line="360" w:lineRule="auto"/>
      <w:outlineLvl w:val="2"/>
    </w:pPr>
    <w:rPr>
      <w:b/>
      <w:snapToGrid w:val="0"/>
      <w:color w:val="000000"/>
      <w:sz w:val="18"/>
    </w:rPr>
  </w:style>
  <w:style w:type="paragraph" w:customStyle="1" w:styleId="1491">
    <w:name w:val="表中正文"/>
    <w:basedOn w:val="1"/>
    <w:qFormat/>
    <w:uiPriority w:val="0"/>
    <w:pPr>
      <w:autoSpaceDE w:val="0"/>
      <w:autoSpaceDN w:val="0"/>
      <w:adjustRightInd w:val="0"/>
      <w:snapToGrid w:val="0"/>
      <w:spacing w:line="300" w:lineRule="atLeast"/>
    </w:pPr>
    <w:rPr>
      <w:rFonts w:ascii="宋体"/>
    </w:rPr>
  </w:style>
  <w:style w:type="paragraph" w:customStyle="1" w:styleId="1492">
    <w:name w:val="标准符号 行距1.5倍"/>
    <w:qFormat/>
    <w:uiPriority w:val="0"/>
    <w:pPr>
      <w:adjustRightInd w:val="0"/>
      <w:snapToGrid w:val="0"/>
      <w:textAlignment w:val="center"/>
    </w:pPr>
    <w:rPr>
      <w:rFonts w:ascii="Calibri" w:hAnsi="Calibri" w:eastAsia="宋体" w:cs="宋体"/>
      <w:sz w:val="24"/>
      <w:szCs w:val="22"/>
      <w:lang w:val="en-US" w:eastAsia="zh-CN" w:bidi="ar-SA"/>
    </w:rPr>
  </w:style>
  <w:style w:type="paragraph" w:customStyle="1" w:styleId="1493">
    <w:name w:val="Char Char1 Char Char Char Char Char Char Char Char Char1 Char"/>
    <w:basedOn w:val="1"/>
    <w:qFormat/>
    <w:uiPriority w:val="0"/>
  </w:style>
  <w:style w:type="paragraph" w:customStyle="1" w:styleId="1494">
    <w:name w:val="图题注4"/>
    <w:basedOn w:val="22"/>
    <w:qFormat/>
    <w:uiPriority w:val="0"/>
    <w:pPr>
      <w:adjustRightInd/>
      <w:textAlignment w:val="auto"/>
    </w:pPr>
    <w:rPr>
      <w:rFonts w:hAnsi="Arial" w:cs="宋体"/>
      <w:b/>
      <w:bCs/>
      <w:kern w:val="2"/>
      <w:sz w:val="24"/>
      <w:szCs w:val="24"/>
    </w:rPr>
  </w:style>
  <w:style w:type="paragraph" w:customStyle="1" w:styleId="1495">
    <w:name w:val="页眉中82"/>
    <w:basedOn w:val="47"/>
    <w:qFormat/>
    <w:uiPriority w:val="0"/>
    <w:pPr>
      <w:adjustRightInd w:val="0"/>
      <w:spacing w:line="360" w:lineRule="auto"/>
      <w:jc w:val="left"/>
    </w:pPr>
    <w:rPr>
      <w:rFonts w:ascii="黑体" w:hAnsi="Times New Roman" w:eastAsia="黑体"/>
      <w:bCs/>
      <w:sz w:val="24"/>
      <w:szCs w:val="24"/>
    </w:rPr>
  </w:style>
  <w:style w:type="paragraph" w:customStyle="1" w:styleId="1496">
    <w:name w:val="表内文字25"/>
    <w:basedOn w:val="1"/>
    <w:qFormat/>
    <w:uiPriority w:val="0"/>
    <w:pPr>
      <w:widowControl/>
      <w:adjustRightInd w:val="0"/>
      <w:snapToGrid w:val="0"/>
      <w:jc w:val="center"/>
    </w:pPr>
    <w:rPr>
      <w:szCs w:val="21"/>
    </w:rPr>
  </w:style>
  <w:style w:type="paragraph" w:customStyle="1" w:styleId="1497">
    <w:name w:val="样式 标题 1 + 段前: 0.5 行 段后: 1 行3"/>
    <w:basedOn w:val="3"/>
    <w:qFormat/>
    <w:uiPriority w:val="0"/>
    <w:pPr>
      <w:keepLines w:val="0"/>
      <w:adjustRightInd w:val="0"/>
      <w:snapToGrid w:val="0"/>
      <w:spacing w:beforeLines="50" w:after="0" w:line="360" w:lineRule="auto"/>
      <w:jc w:val="center"/>
    </w:pPr>
    <w:rPr>
      <w:rFonts w:ascii="黑体" w:eastAsia="黑体" w:cs="宋体"/>
      <w:bCs w:val="0"/>
      <w:kern w:val="2"/>
      <w:sz w:val="32"/>
      <w:szCs w:val="20"/>
    </w:rPr>
  </w:style>
  <w:style w:type="paragraph" w:customStyle="1" w:styleId="1498">
    <w:name w:val="结束语1"/>
    <w:basedOn w:val="1"/>
    <w:qFormat/>
    <w:uiPriority w:val="0"/>
    <w:pPr>
      <w:ind w:left="100" w:leftChars="2100"/>
    </w:pPr>
  </w:style>
  <w:style w:type="paragraph" w:customStyle="1" w:styleId="1499">
    <w:name w:val="样式 标题 3 + 首行缩进:  0 字符"/>
    <w:basedOn w:val="5"/>
    <w:qFormat/>
    <w:uiPriority w:val="0"/>
    <w:pPr>
      <w:adjustRightInd/>
      <w:spacing w:beforeLines="50" w:afterLines="50" w:line="500" w:lineRule="exact"/>
      <w:ind w:left="720" w:hanging="720"/>
      <w:jc w:val="both"/>
      <w:textAlignment w:val="auto"/>
    </w:pPr>
    <w:rPr>
      <w:rFonts w:cs="宋体"/>
      <w:b w:val="0"/>
      <w:color w:val="auto"/>
      <w:spacing w:val="0"/>
      <w:kern w:val="2"/>
      <w:sz w:val="24"/>
    </w:rPr>
  </w:style>
  <w:style w:type="paragraph" w:customStyle="1" w:styleId="1500">
    <w:name w:val="正文缩2"/>
    <w:basedOn w:val="1"/>
    <w:qFormat/>
    <w:uiPriority w:val="0"/>
    <w:pPr>
      <w:adjustRightInd w:val="0"/>
      <w:snapToGrid w:val="0"/>
      <w:spacing w:line="480" w:lineRule="atLeast"/>
      <w:ind w:firstLine="567"/>
      <w:textAlignment w:val="baseline"/>
    </w:pPr>
    <w:rPr>
      <w:rFonts w:ascii="宋体"/>
      <w:color w:val="000080"/>
      <w:spacing w:val="6"/>
      <w:sz w:val="28"/>
    </w:rPr>
  </w:style>
  <w:style w:type="paragraph" w:customStyle="1" w:styleId="1501">
    <w:name w:val="样式 标准文本 首行缩进:2 字符 行距1.5倍 + 首行缩进:  2 字符2"/>
    <w:qFormat/>
    <w:uiPriority w:val="0"/>
    <w:pPr>
      <w:adjustRightInd w:val="0"/>
      <w:snapToGrid w:val="0"/>
      <w:ind w:firstLine="200" w:firstLineChars="200"/>
      <w:textAlignment w:val="center"/>
    </w:pPr>
    <w:rPr>
      <w:rFonts w:ascii="Calibri" w:hAnsi="Calibri" w:eastAsia="宋体" w:cs="宋体"/>
      <w:kern w:val="2"/>
      <w:sz w:val="24"/>
      <w:lang w:val="en-US" w:eastAsia="zh-CN" w:bidi="ar-SA"/>
    </w:rPr>
  </w:style>
  <w:style w:type="paragraph" w:customStyle="1" w:styleId="1502">
    <w:name w:val="Char Char1 Char Char Char Char Char Char1"/>
    <w:basedOn w:val="1"/>
    <w:qFormat/>
    <w:uiPriority w:val="0"/>
    <w:pPr>
      <w:widowControl/>
      <w:spacing w:after="160" w:line="240" w:lineRule="exact"/>
      <w:jc w:val="left"/>
    </w:pPr>
    <w:rPr>
      <w:rFonts w:ascii="Verdana" w:hAnsi="Verdana" w:eastAsia="仿宋_GB2312"/>
      <w:sz w:val="24"/>
      <w:lang w:eastAsia="en-US"/>
    </w:rPr>
  </w:style>
  <w:style w:type="paragraph" w:customStyle="1" w:styleId="1503">
    <w:name w:val="表标题5.5"/>
    <w:basedOn w:val="1"/>
    <w:qFormat/>
    <w:uiPriority w:val="0"/>
    <w:pPr>
      <w:tabs>
        <w:tab w:val="left" w:pos="2460"/>
      </w:tabs>
      <w:spacing w:beforeLines="100" w:line="0" w:lineRule="atLeast"/>
    </w:pPr>
    <w:rPr>
      <w:rFonts w:eastAsia="黑体"/>
      <w:b/>
      <w:sz w:val="24"/>
    </w:rPr>
  </w:style>
  <w:style w:type="paragraph" w:customStyle="1" w:styleId="1504">
    <w:name w:val="样式 首行缩进:  2 字符4"/>
    <w:basedOn w:val="1"/>
    <w:qFormat/>
    <w:uiPriority w:val="0"/>
    <w:pPr>
      <w:spacing w:line="360" w:lineRule="auto"/>
      <w:ind w:firstLine="200" w:firstLineChars="200"/>
    </w:pPr>
    <w:rPr>
      <w:rFonts w:cs="宋体"/>
      <w:sz w:val="24"/>
    </w:rPr>
  </w:style>
  <w:style w:type="paragraph" w:customStyle="1" w:styleId="1505">
    <w:name w:val="表内小5中"/>
    <w:basedOn w:val="1"/>
    <w:qFormat/>
    <w:uiPriority w:val="0"/>
    <w:pPr>
      <w:adjustRightInd w:val="0"/>
      <w:snapToGrid w:val="0"/>
      <w:jc w:val="center"/>
    </w:pPr>
    <w:rPr>
      <w:rFonts w:ascii="宋体" w:hAnsi="宋体"/>
      <w:sz w:val="18"/>
    </w:rPr>
  </w:style>
  <w:style w:type="paragraph" w:customStyle="1" w:styleId="1506">
    <w:name w:val="样式 标题5 + 段前: 0.5 行 段后: 0.5 行"/>
    <w:basedOn w:val="1122"/>
    <w:qFormat/>
    <w:uiPriority w:val="0"/>
    <w:pPr>
      <w:keepNext w:val="0"/>
      <w:keepLines w:val="0"/>
      <w:widowControl w:val="0"/>
      <w:autoSpaceDE w:val="0"/>
      <w:autoSpaceDN w:val="0"/>
      <w:ind w:firstLine="567"/>
      <w:jc w:val="left"/>
      <w:textAlignment w:val="bottom"/>
      <w:outlineLvl w:val="4"/>
    </w:pPr>
    <w:rPr>
      <w:rFonts w:ascii="宋体" w:hAnsi="宋体"/>
      <w:b w:val="0"/>
      <w:bCs/>
      <w:snapToGrid/>
      <w:sz w:val="28"/>
      <w:szCs w:val="28"/>
    </w:rPr>
  </w:style>
  <w:style w:type="paragraph" w:customStyle="1" w:styleId="1507">
    <w:name w:val="Char Char Char Char Char Char Char Char Char Char Char Char Char Char Char Char1"/>
    <w:basedOn w:val="1"/>
    <w:qFormat/>
    <w:uiPriority w:val="0"/>
    <w:pPr>
      <w:spacing w:line="360" w:lineRule="auto"/>
      <w:ind w:firstLine="200" w:firstLineChars="200"/>
    </w:pPr>
    <w:rPr>
      <w:rFonts w:ascii="宋体" w:hAnsi="宋体" w:cs="宋体"/>
      <w:sz w:val="24"/>
    </w:rPr>
  </w:style>
  <w:style w:type="paragraph" w:customStyle="1" w:styleId="1508">
    <w:name w:val="环评表样式1"/>
    <w:basedOn w:val="85"/>
    <w:qFormat/>
    <w:uiPriority w:val="0"/>
    <w:pPr>
      <w:adjustRightInd w:val="0"/>
      <w:spacing w:before="360" w:after="360" w:line="160" w:lineRule="atLeast"/>
      <w:textAlignment w:val="baseline"/>
    </w:pPr>
    <w:rPr>
      <w:rFonts w:ascii="黑体" w:eastAsia="黑体"/>
      <w:bCs w:val="0"/>
      <w:sz w:val="48"/>
      <w:szCs w:val="20"/>
    </w:rPr>
  </w:style>
  <w:style w:type="paragraph" w:customStyle="1" w:styleId="1509">
    <w:name w:val="表内5中15"/>
    <w:basedOn w:val="1510"/>
    <w:qFormat/>
    <w:uiPriority w:val="0"/>
    <w:pPr>
      <w:widowControl/>
      <w:tabs>
        <w:tab w:val="left" w:pos="4305"/>
      </w:tabs>
    </w:pPr>
    <w:rPr>
      <w:sz w:val="21"/>
      <w:szCs w:val="21"/>
    </w:rPr>
  </w:style>
  <w:style w:type="paragraph" w:customStyle="1" w:styleId="1510">
    <w:name w:val="表题"/>
    <w:basedOn w:val="35"/>
    <w:qFormat/>
    <w:uiPriority w:val="0"/>
    <w:pPr>
      <w:tabs>
        <w:tab w:val="left" w:pos="4305"/>
      </w:tabs>
      <w:adjustRightInd w:val="0"/>
      <w:snapToGrid w:val="0"/>
      <w:spacing w:after="0" w:line="460" w:lineRule="exact"/>
      <w:ind w:left="0" w:leftChars="0" w:firstLine="480" w:firstLineChars="200"/>
      <w:jc w:val="center"/>
    </w:pPr>
    <w:rPr>
      <w:rFonts w:ascii="黑体" w:hAnsi="宋体" w:eastAsia="黑体" w:cs="宋体"/>
      <w:sz w:val="24"/>
    </w:rPr>
  </w:style>
  <w:style w:type="paragraph" w:customStyle="1" w:styleId="1511">
    <w:name w:val="样式 0 + 首行缩进:  2 字符"/>
    <w:basedOn w:val="1"/>
    <w:qFormat/>
    <w:uiPriority w:val="0"/>
    <w:pPr>
      <w:spacing w:line="520" w:lineRule="exact"/>
      <w:ind w:firstLine="560" w:firstLineChars="200"/>
    </w:pPr>
    <w:rPr>
      <w:rFonts w:ascii="宋体" w:hAnsi="宋体"/>
      <w:color w:val="000000"/>
      <w:sz w:val="28"/>
      <w:szCs w:val="28"/>
    </w:rPr>
  </w:style>
  <w:style w:type="paragraph" w:customStyle="1" w:styleId="1512">
    <w:name w:val="图题13"/>
    <w:basedOn w:val="1"/>
    <w:qFormat/>
    <w:uiPriority w:val="0"/>
    <w:pPr>
      <w:jc w:val="center"/>
    </w:pPr>
    <w:rPr>
      <w:rFonts w:ascii="方正大标宋简体" w:eastAsia="方正大标宋简体"/>
      <w:sz w:val="24"/>
    </w:rPr>
  </w:style>
  <w:style w:type="paragraph" w:customStyle="1" w:styleId="1513">
    <w:name w:val="表头 Char Char"/>
    <w:basedOn w:val="1"/>
    <w:qFormat/>
    <w:uiPriority w:val="0"/>
    <w:pPr>
      <w:spacing w:line="440" w:lineRule="exact"/>
      <w:jc w:val="center"/>
    </w:pPr>
    <w:rPr>
      <w:spacing w:val="34"/>
      <w:sz w:val="24"/>
    </w:rPr>
  </w:style>
  <w:style w:type="paragraph" w:customStyle="1" w:styleId="1514">
    <w:name w:val="样式 节 + 段前: 0.5 行 段后: 0.5 行"/>
    <w:basedOn w:val="4"/>
    <w:qFormat/>
    <w:uiPriority w:val="0"/>
    <w:pPr>
      <w:tabs>
        <w:tab w:val="left" w:pos="840"/>
        <w:tab w:val="clear" w:pos="1427"/>
      </w:tabs>
      <w:adjustRightInd/>
      <w:spacing w:beforeLines="150" w:after="156" w:line="240" w:lineRule="auto"/>
      <w:ind w:left="839" w:hanging="839"/>
      <w:jc w:val="both"/>
      <w:textAlignment w:val="auto"/>
      <w:outlineLvl w:val="2"/>
    </w:pPr>
    <w:rPr>
      <w:rFonts w:ascii="宋体" w:hAnsi="宋体"/>
      <w:b w:val="0"/>
      <w:kern w:val="2"/>
    </w:rPr>
  </w:style>
  <w:style w:type="paragraph" w:customStyle="1" w:styleId="1515">
    <w:name w:val="页脚2"/>
    <w:basedOn w:val="56"/>
    <w:qFormat/>
    <w:uiPriority w:val="0"/>
    <w:pPr>
      <w:spacing w:line="240" w:lineRule="atLeast"/>
      <w:ind w:right="360"/>
    </w:pPr>
    <w:rPr>
      <w:rFonts w:ascii="仿宋_GB2312" w:hAnsi="Calibri"/>
      <w:b/>
      <w:sz w:val="21"/>
      <w:szCs w:val="21"/>
    </w:rPr>
  </w:style>
  <w:style w:type="paragraph" w:customStyle="1" w:styleId="1516">
    <w:name w:val="abc"/>
    <w:basedOn w:val="1"/>
    <w:qFormat/>
    <w:uiPriority w:val="0"/>
    <w:pPr>
      <w:adjustRightInd w:val="0"/>
      <w:snapToGrid w:val="0"/>
      <w:spacing w:line="460" w:lineRule="atLeast"/>
      <w:ind w:firstLine="200" w:firstLineChars="200"/>
    </w:pPr>
    <w:rPr>
      <w:rFonts w:ascii="宋体" w:hAnsi="宋体"/>
      <w:snapToGrid w:val="0"/>
      <w:color w:val="000000"/>
      <w:sz w:val="28"/>
      <w:szCs w:val="28"/>
    </w:rPr>
  </w:style>
  <w:style w:type="paragraph" w:customStyle="1" w:styleId="1517">
    <w:name w:val="xl56"/>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宋体" w:hAnsi="宋体"/>
      <w:sz w:val="48"/>
      <w:szCs w:val="48"/>
    </w:rPr>
  </w:style>
  <w:style w:type="paragraph" w:customStyle="1" w:styleId="1518">
    <w:name w:val="表题91"/>
    <w:basedOn w:val="47"/>
    <w:qFormat/>
    <w:uiPriority w:val="0"/>
    <w:pPr>
      <w:adjustRightInd w:val="0"/>
      <w:spacing w:line="300" w:lineRule="auto"/>
      <w:jc w:val="center"/>
    </w:pPr>
    <w:rPr>
      <w:rFonts w:ascii="黑体" w:eastAsia="黑体"/>
      <w:sz w:val="24"/>
    </w:rPr>
  </w:style>
  <w:style w:type="paragraph" w:customStyle="1" w:styleId="1519">
    <w:name w:val="表头11"/>
    <w:basedOn w:val="1"/>
    <w:qFormat/>
    <w:uiPriority w:val="0"/>
    <w:pPr>
      <w:snapToGrid w:val="0"/>
    </w:pPr>
    <w:rPr>
      <w:rFonts w:ascii="宋体" w:hAnsi="宋体" w:cs="宋体"/>
      <w:b/>
      <w:bCs/>
      <w:snapToGrid w:val="0"/>
      <w:color w:val="000000"/>
      <w:szCs w:val="21"/>
    </w:rPr>
  </w:style>
  <w:style w:type="paragraph" w:customStyle="1" w:styleId="1520">
    <w:name w:val="图题注7"/>
    <w:basedOn w:val="22"/>
    <w:qFormat/>
    <w:uiPriority w:val="0"/>
    <w:pPr>
      <w:adjustRightInd/>
      <w:textAlignment w:val="auto"/>
    </w:pPr>
    <w:rPr>
      <w:rFonts w:hAnsi="Arial" w:cs="宋体"/>
      <w:b/>
      <w:bCs/>
      <w:kern w:val="2"/>
      <w:sz w:val="24"/>
      <w:szCs w:val="24"/>
    </w:rPr>
  </w:style>
  <w:style w:type="paragraph" w:customStyle="1" w:styleId="1521">
    <w:name w:val="XCHG论文正文"/>
    <w:basedOn w:val="1"/>
    <w:qFormat/>
    <w:uiPriority w:val="0"/>
    <w:pPr>
      <w:spacing w:line="288" w:lineRule="auto"/>
      <w:ind w:firstLine="480" w:firstLineChars="200"/>
    </w:pPr>
    <w:rPr>
      <w:color w:val="000000"/>
      <w:sz w:val="24"/>
    </w:rPr>
  </w:style>
  <w:style w:type="paragraph" w:customStyle="1" w:styleId="1522">
    <w:name w:val="xl60"/>
    <w:basedOn w:val="1"/>
    <w:qFormat/>
    <w:uiPriority w:val="0"/>
    <w:pPr>
      <w:widowControl/>
      <w:pBdr>
        <w:left w:val="single" w:color="auto" w:sz="8" w:space="0"/>
        <w:right w:val="single" w:color="auto" w:sz="4" w:space="0"/>
      </w:pBdr>
      <w:spacing w:before="100" w:beforeAutospacing="1" w:after="100" w:afterAutospacing="1"/>
      <w:jc w:val="center"/>
      <w:textAlignment w:val="top"/>
    </w:pPr>
    <w:rPr>
      <w:sz w:val="24"/>
    </w:rPr>
  </w:style>
  <w:style w:type="paragraph" w:customStyle="1" w:styleId="1523">
    <w:name w:val="单级编号"/>
    <w:basedOn w:val="3"/>
    <w:qFormat/>
    <w:uiPriority w:val="0"/>
    <w:pPr>
      <w:tabs>
        <w:tab w:val="left" w:pos="360"/>
      </w:tabs>
      <w:spacing w:before="240" w:after="240" w:line="180" w:lineRule="auto"/>
      <w:ind w:hanging="200" w:hangingChars="200"/>
      <w:jc w:val="left"/>
    </w:pPr>
    <w:rPr>
      <w:rFonts w:eastAsia="黑体"/>
      <w:b w:val="0"/>
      <w:bCs w:val="0"/>
      <w:spacing w:val="8"/>
      <w:sz w:val="32"/>
      <w:szCs w:val="20"/>
    </w:rPr>
  </w:style>
  <w:style w:type="paragraph" w:customStyle="1" w:styleId="1524">
    <w:name w:val="表内文字1"/>
    <w:basedOn w:val="1"/>
    <w:qFormat/>
    <w:uiPriority w:val="0"/>
    <w:pPr>
      <w:widowControl/>
      <w:adjustRightInd w:val="0"/>
      <w:snapToGrid w:val="0"/>
      <w:spacing w:line="420" w:lineRule="exact"/>
      <w:jc w:val="center"/>
    </w:pPr>
    <w:rPr>
      <w:rFonts w:ascii="宋体"/>
      <w:spacing w:val="10"/>
      <w:sz w:val="18"/>
    </w:rPr>
  </w:style>
  <w:style w:type="paragraph" w:customStyle="1" w:styleId="1525">
    <w:name w:val="Char Char Char Char Char Char4"/>
    <w:basedOn w:val="1"/>
    <w:qFormat/>
    <w:uiPriority w:val="0"/>
    <w:pPr>
      <w:spacing w:line="480" w:lineRule="exact"/>
    </w:pPr>
  </w:style>
  <w:style w:type="paragraph" w:customStyle="1" w:styleId="1526">
    <w:name w:val="样式 表内5 + (符号) 宋体 两端对齐 行距: 单倍行距7"/>
    <w:basedOn w:val="1"/>
    <w:qFormat/>
    <w:uiPriority w:val="0"/>
    <w:pPr>
      <w:adjustRightInd w:val="0"/>
      <w:snapToGrid w:val="0"/>
      <w:jc w:val="center"/>
    </w:pPr>
    <w:rPr>
      <w:rFonts w:ascii="宋体" w:hAnsi="宋体" w:cs="宋体"/>
    </w:rPr>
  </w:style>
  <w:style w:type="paragraph" w:customStyle="1" w:styleId="1527">
    <w:name w:val="样式 标题 2节 + 宋体 加粗 左"/>
    <w:basedOn w:val="4"/>
    <w:qFormat/>
    <w:uiPriority w:val="0"/>
    <w:pPr>
      <w:tabs>
        <w:tab w:val="clear" w:pos="1427"/>
      </w:tabs>
      <w:adjustRightInd/>
      <w:textAlignment w:val="auto"/>
    </w:pPr>
    <w:rPr>
      <w:rFonts w:ascii="宋体" w:hAnsi="宋体"/>
      <w:b w:val="0"/>
      <w:bCs/>
      <w:kern w:val="2"/>
      <w:sz w:val="24"/>
    </w:rPr>
  </w:style>
  <w:style w:type="paragraph" w:customStyle="1" w:styleId="1528">
    <w:name w:val="Char Char Char Char Char Char Char Char Char Char Char Char Char Char Char Char Char Char Char1"/>
    <w:basedOn w:val="1"/>
    <w:qFormat/>
    <w:uiPriority w:val="0"/>
  </w:style>
  <w:style w:type="paragraph" w:customStyle="1" w:styleId="1529">
    <w:name w:val="表格内容格式"/>
    <w:basedOn w:val="1"/>
    <w:qFormat/>
    <w:uiPriority w:val="0"/>
    <w:pPr>
      <w:adjustRightInd w:val="0"/>
      <w:spacing w:line="240" w:lineRule="atLeast"/>
      <w:jc w:val="center"/>
      <w:textAlignment w:val="baseline"/>
    </w:pPr>
    <w:rPr>
      <w:color w:val="000000"/>
    </w:rPr>
  </w:style>
  <w:style w:type="paragraph" w:customStyle="1" w:styleId="1530">
    <w:name w:val="表内文字小61"/>
    <w:basedOn w:val="1"/>
    <w:qFormat/>
    <w:uiPriority w:val="0"/>
    <w:pPr>
      <w:adjustRightInd w:val="0"/>
      <w:snapToGrid w:val="0"/>
      <w:jc w:val="center"/>
    </w:pPr>
    <w:rPr>
      <w:rFonts w:ascii="宋体" w:hAnsi="Times"/>
    </w:rPr>
  </w:style>
  <w:style w:type="paragraph" w:customStyle="1" w:styleId="1531">
    <w:name w:val="纯文本31"/>
    <w:basedOn w:val="1"/>
    <w:qFormat/>
    <w:uiPriority w:val="0"/>
    <w:pPr>
      <w:adjustRightInd w:val="0"/>
      <w:textAlignment w:val="baseline"/>
    </w:pPr>
    <w:rPr>
      <w:rFonts w:ascii="宋体" w:hAnsi="Courier New"/>
    </w:rPr>
  </w:style>
  <w:style w:type="paragraph" w:customStyle="1" w:styleId="1532">
    <w:name w:val="正文2 Char"/>
    <w:basedOn w:val="1"/>
    <w:qFormat/>
    <w:uiPriority w:val="0"/>
    <w:pPr>
      <w:spacing w:line="500" w:lineRule="exact"/>
      <w:ind w:firstLine="560" w:firstLineChars="200"/>
    </w:pPr>
    <w:rPr>
      <w:rFonts w:ascii="楷体_GB2312" w:eastAsia="楷体_GB2312"/>
      <w:spacing w:val="0"/>
      <w:sz w:val="28"/>
    </w:rPr>
  </w:style>
  <w:style w:type="paragraph" w:customStyle="1" w:styleId="1533">
    <w:name w:val="正文标题3"/>
    <w:basedOn w:val="5"/>
    <w:qFormat/>
    <w:uiPriority w:val="0"/>
    <w:pPr>
      <w:tabs>
        <w:tab w:val="clear" w:pos="720"/>
      </w:tabs>
      <w:adjustRightInd/>
      <w:spacing w:line="240" w:lineRule="auto"/>
      <w:ind w:left="0" w:firstLine="0"/>
      <w:jc w:val="both"/>
      <w:textAlignment w:val="auto"/>
    </w:pPr>
    <w:rPr>
      <w:b w:val="0"/>
      <w:bCs/>
      <w:color w:val="auto"/>
      <w:spacing w:val="0"/>
      <w:kern w:val="2"/>
      <w:szCs w:val="32"/>
    </w:rPr>
  </w:style>
  <w:style w:type="paragraph" w:customStyle="1" w:styleId="1534">
    <w:name w:val="xl135"/>
    <w:basedOn w:val="1"/>
    <w:qFormat/>
    <w:uiPriority w:val="0"/>
    <w:pPr>
      <w:widowControl/>
      <w:pBdr>
        <w:top w:val="single" w:color="auto" w:sz="4" w:space="0"/>
        <w:left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1535">
    <w:name w:val="表题95"/>
    <w:basedOn w:val="47"/>
    <w:qFormat/>
    <w:uiPriority w:val="0"/>
    <w:pPr>
      <w:adjustRightInd w:val="0"/>
      <w:spacing w:line="300" w:lineRule="auto"/>
      <w:jc w:val="center"/>
    </w:pPr>
    <w:rPr>
      <w:rFonts w:ascii="黑体" w:eastAsia="黑体"/>
      <w:sz w:val="24"/>
    </w:rPr>
  </w:style>
  <w:style w:type="paragraph" w:customStyle="1" w:styleId="1536">
    <w:name w:val="ljw正文"/>
    <w:basedOn w:val="1"/>
    <w:qFormat/>
    <w:uiPriority w:val="0"/>
    <w:pPr>
      <w:adjustRightInd w:val="0"/>
      <w:snapToGrid w:val="0"/>
      <w:spacing w:afterLines="50" w:line="300" w:lineRule="auto"/>
      <w:ind w:firstLine="480" w:firstLineChars="200"/>
    </w:pPr>
    <w:rPr>
      <w:rFonts w:ascii="宋体" w:hAnsi="宋体"/>
      <w:bCs/>
      <w:sz w:val="24"/>
      <w:szCs w:val="28"/>
    </w:rPr>
  </w:style>
  <w:style w:type="paragraph" w:customStyle="1" w:styleId="1537">
    <w:name w:val="索引 312"/>
    <w:basedOn w:val="1"/>
    <w:next w:val="1"/>
    <w:qFormat/>
    <w:uiPriority w:val="0"/>
    <w:pPr>
      <w:ind w:left="400" w:leftChars="400"/>
    </w:pPr>
    <w:rPr>
      <w:sz w:val="24"/>
    </w:rPr>
  </w:style>
  <w:style w:type="paragraph" w:customStyle="1" w:styleId="1538">
    <w:name w:val="xl139"/>
    <w:basedOn w:val="1"/>
    <w:qFormat/>
    <w:uiPriority w:val="0"/>
    <w:pPr>
      <w:widowControl/>
      <w:pBdr>
        <w:left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1539">
    <w:name w:val="正文格式7"/>
    <w:basedOn w:val="1"/>
    <w:qFormat/>
    <w:uiPriority w:val="0"/>
    <w:pPr>
      <w:adjustRightInd w:val="0"/>
      <w:snapToGrid w:val="0"/>
      <w:spacing w:line="360" w:lineRule="auto"/>
      <w:ind w:firstLine="480" w:firstLineChars="200"/>
    </w:pPr>
    <w:rPr>
      <w:rFonts w:ascii="宋体" w:cs="宋体"/>
      <w:sz w:val="24"/>
    </w:rPr>
  </w:style>
  <w:style w:type="paragraph" w:customStyle="1" w:styleId="1540">
    <w:name w:val="样式 左侧:  2 字符"/>
    <w:basedOn w:val="1"/>
    <w:next w:val="87"/>
    <w:qFormat/>
    <w:uiPriority w:val="0"/>
    <w:pPr>
      <w:spacing w:line="440" w:lineRule="exact"/>
      <w:ind w:left="200" w:leftChars="200"/>
      <w:jc w:val="left"/>
    </w:pPr>
    <w:rPr>
      <w:rFonts w:cs="宋体"/>
      <w:sz w:val="24"/>
    </w:rPr>
  </w:style>
  <w:style w:type="paragraph" w:customStyle="1" w:styleId="1541">
    <w:name w:val="表题15"/>
    <w:basedOn w:val="35"/>
    <w:qFormat/>
    <w:uiPriority w:val="0"/>
    <w:pPr>
      <w:tabs>
        <w:tab w:val="left" w:pos="4305"/>
      </w:tabs>
      <w:adjustRightInd w:val="0"/>
      <w:snapToGrid w:val="0"/>
      <w:spacing w:after="0"/>
      <w:ind w:left="0" w:leftChars="0"/>
      <w:jc w:val="center"/>
    </w:pPr>
    <w:rPr>
      <w:rFonts w:ascii="宋体" w:hAnsi="宋体"/>
      <w:sz w:val="24"/>
      <w:szCs w:val="20"/>
    </w:rPr>
  </w:style>
  <w:style w:type="paragraph" w:customStyle="1" w:styleId="1542">
    <w:name w:val="页眉中105"/>
    <w:basedOn w:val="1"/>
    <w:qFormat/>
    <w:uiPriority w:val="0"/>
    <w:pPr>
      <w:adjustRightInd w:val="0"/>
      <w:snapToGrid w:val="0"/>
      <w:spacing w:line="300" w:lineRule="auto"/>
      <w:jc w:val="left"/>
    </w:pPr>
    <w:rPr>
      <w:rFonts w:ascii="黑体" w:eastAsia="黑体"/>
      <w:bCs/>
      <w:sz w:val="24"/>
    </w:rPr>
  </w:style>
  <w:style w:type="paragraph" w:customStyle="1" w:styleId="1543">
    <w:name w:val="样式 正文 首行缩进:  2 字符 + 首行缩进:  2 字符"/>
    <w:basedOn w:val="1"/>
    <w:qFormat/>
    <w:uiPriority w:val="0"/>
    <w:pPr>
      <w:spacing w:line="360" w:lineRule="auto"/>
      <w:ind w:firstLine="480" w:firstLineChars="200"/>
    </w:pPr>
    <w:rPr>
      <w:rFonts w:hAnsi="宋体"/>
      <w:sz w:val="24"/>
    </w:rPr>
  </w:style>
  <w:style w:type="paragraph" w:customStyle="1" w:styleId="1544">
    <w:name w:val="食疗标题2"/>
    <w:basedOn w:val="4"/>
    <w:qFormat/>
    <w:uiPriority w:val="0"/>
    <w:pPr>
      <w:tabs>
        <w:tab w:val="clear" w:pos="1427"/>
      </w:tabs>
      <w:overflowPunct w:val="0"/>
      <w:adjustRightInd/>
      <w:spacing w:before="156" w:after="156" w:line="312" w:lineRule="atLeast"/>
      <w:jc w:val="both"/>
      <w:textAlignment w:val="auto"/>
    </w:pPr>
    <w:rPr>
      <w:rFonts w:ascii="宋体" w:hAnsi="宋体"/>
      <w:b w:val="0"/>
      <w:bCs/>
      <w:snapToGrid w:val="0"/>
      <w:color w:val="008000"/>
      <w:sz w:val="30"/>
      <w:szCs w:val="24"/>
    </w:rPr>
  </w:style>
  <w:style w:type="paragraph" w:customStyle="1" w:styleId="1545">
    <w:name w:val="样式 燕山正文 + 首行缩进:  3.5 字符15"/>
    <w:basedOn w:val="1"/>
    <w:qFormat/>
    <w:uiPriority w:val="0"/>
    <w:pPr>
      <w:tabs>
        <w:tab w:val="left" w:pos="4680"/>
      </w:tabs>
      <w:adjustRightInd w:val="0"/>
      <w:snapToGrid w:val="0"/>
      <w:spacing w:line="360" w:lineRule="auto"/>
      <w:ind w:firstLine="200" w:firstLineChars="200"/>
    </w:pPr>
    <w:rPr>
      <w:rFonts w:ascii="宋体" w:hAnsi="宋体" w:cs="宋体"/>
      <w:color w:val="000000"/>
      <w:sz w:val="28"/>
    </w:rPr>
  </w:style>
  <w:style w:type="paragraph" w:customStyle="1" w:styleId="1546">
    <w:name w:val="xl11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sz w:val="24"/>
    </w:rPr>
  </w:style>
  <w:style w:type="paragraph" w:customStyle="1" w:styleId="1547">
    <w:name w:val="样式 首行缩进:  2 字符2"/>
    <w:basedOn w:val="1"/>
    <w:qFormat/>
    <w:uiPriority w:val="0"/>
    <w:pPr>
      <w:spacing w:line="480" w:lineRule="exact"/>
      <w:ind w:firstLine="200" w:firstLineChars="200"/>
    </w:pPr>
    <w:rPr>
      <w:rFonts w:cs="宋体"/>
      <w:sz w:val="24"/>
    </w:rPr>
  </w:style>
  <w:style w:type="paragraph" w:customStyle="1" w:styleId="1548">
    <w:name w:val="font12"/>
    <w:basedOn w:val="1"/>
    <w:qFormat/>
    <w:uiPriority w:val="0"/>
    <w:pPr>
      <w:widowControl/>
      <w:spacing w:before="100" w:beforeAutospacing="1" w:after="100" w:afterAutospacing="1"/>
      <w:jc w:val="left"/>
    </w:pPr>
    <w:rPr>
      <w:rFonts w:eastAsia="Arial Unicode MS"/>
      <w:b/>
      <w:bCs/>
    </w:rPr>
  </w:style>
  <w:style w:type="paragraph" w:customStyle="1" w:styleId="1549">
    <w:name w:val="样式 标题 2 + 段前: 1 行 段后: 0.5 行"/>
    <w:basedOn w:val="4"/>
    <w:qFormat/>
    <w:uiPriority w:val="0"/>
    <w:pPr>
      <w:tabs>
        <w:tab w:val="left" w:pos="840"/>
        <w:tab w:val="clear" w:pos="1427"/>
      </w:tabs>
      <w:spacing w:beforeLines="100" w:after="156"/>
      <w:textAlignment w:val="auto"/>
    </w:pPr>
    <w:rPr>
      <w:rFonts w:ascii="Arial" w:hAnsi="Arial" w:eastAsia="楷体_GB2312" w:cs="宋体"/>
      <w:bCs/>
      <w:kern w:val="2"/>
    </w:rPr>
  </w:style>
  <w:style w:type="paragraph" w:customStyle="1" w:styleId="1550">
    <w:name w:val="16.9.2.1"/>
    <w:basedOn w:val="801"/>
    <w:qFormat/>
    <w:uiPriority w:val="0"/>
    <w:pPr>
      <w:tabs>
        <w:tab w:val="left" w:pos="455"/>
        <w:tab w:val="left" w:pos="1680"/>
        <w:tab w:val="left" w:pos="4582"/>
      </w:tabs>
      <w:ind w:left="1680" w:hanging="420"/>
    </w:pPr>
  </w:style>
  <w:style w:type="paragraph" w:customStyle="1" w:styleId="1551">
    <w:name w:val="xl41"/>
    <w:basedOn w:val="1"/>
    <w:qFormat/>
    <w:uiPriority w:val="0"/>
    <w:pPr>
      <w:widowControl/>
      <w:pBdr>
        <w:top w:val="single" w:color="auto" w:sz="4" w:space="0"/>
        <w:left w:val="single" w:color="auto" w:sz="4" w:space="0"/>
        <w:bottom w:val="single" w:color="auto" w:sz="8" w:space="0"/>
      </w:pBdr>
      <w:spacing w:before="100" w:beforeAutospacing="1" w:after="100" w:afterAutospacing="1"/>
      <w:jc w:val="center"/>
    </w:pPr>
    <w:rPr>
      <w:rFonts w:ascii="宋体" w:hAnsi="宋体"/>
      <w:sz w:val="24"/>
    </w:rPr>
  </w:style>
  <w:style w:type="paragraph" w:customStyle="1" w:styleId="1552">
    <w:name w:val="表内宋523"/>
    <w:basedOn w:val="1553"/>
    <w:qFormat/>
    <w:uiPriority w:val="0"/>
    <w:pPr>
      <w:jc w:val="both"/>
    </w:pPr>
  </w:style>
  <w:style w:type="paragraph" w:customStyle="1" w:styleId="1553">
    <w:name w:val="表内宋5中"/>
    <w:basedOn w:val="1"/>
    <w:qFormat/>
    <w:uiPriority w:val="0"/>
    <w:pPr>
      <w:adjustRightInd w:val="0"/>
      <w:snapToGrid w:val="0"/>
      <w:jc w:val="center"/>
      <w:textAlignment w:val="baseline"/>
    </w:pPr>
    <w:rPr>
      <w:rFonts w:ascii="宋体" w:hAnsi="宋体"/>
    </w:rPr>
  </w:style>
  <w:style w:type="paragraph" w:customStyle="1" w:styleId="1554">
    <w:name w:val="图题9"/>
    <w:basedOn w:val="21"/>
    <w:qFormat/>
    <w:uiPriority w:val="0"/>
    <w:pPr>
      <w:adjustRightInd w:val="0"/>
      <w:snapToGrid w:val="0"/>
      <w:ind w:firstLine="0" w:firstLineChars="0"/>
      <w:jc w:val="center"/>
    </w:pPr>
    <w:rPr>
      <w:rFonts w:ascii="方正大标宋简体" w:eastAsia="方正大标宋简体"/>
      <w:szCs w:val="24"/>
    </w:rPr>
  </w:style>
  <w:style w:type="paragraph" w:customStyle="1" w:styleId="1555">
    <w:name w:val="征文格式"/>
    <w:basedOn w:val="1"/>
    <w:qFormat/>
    <w:uiPriority w:val="0"/>
    <w:pPr>
      <w:spacing w:line="264" w:lineRule="auto"/>
      <w:ind w:firstLine="459"/>
    </w:pPr>
    <w:rPr>
      <w:szCs w:val="21"/>
    </w:rPr>
  </w:style>
  <w:style w:type="paragraph" w:customStyle="1" w:styleId="1556">
    <w:name w:val="样式 7.3.2.1 + 黑色 段前: 6 磅"/>
    <w:basedOn w:val="1557"/>
    <w:qFormat/>
    <w:uiPriority w:val="0"/>
    <w:pPr>
      <w:tabs>
        <w:tab w:val="left" w:pos="360"/>
        <w:tab w:val="left" w:pos="2160"/>
        <w:tab w:val="left" w:pos="2414"/>
      </w:tabs>
      <w:spacing w:before="120"/>
      <w:ind w:left="0" w:firstLine="0"/>
    </w:pPr>
    <w:rPr>
      <w:rFonts w:cs="宋体"/>
      <w:color w:val="000000"/>
      <w:szCs w:val="24"/>
    </w:rPr>
  </w:style>
  <w:style w:type="paragraph" w:customStyle="1" w:styleId="1557">
    <w:name w:val="13.3.2.1标题4"/>
    <w:basedOn w:val="1"/>
    <w:qFormat/>
    <w:uiPriority w:val="0"/>
    <w:pPr>
      <w:keepNext/>
      <w:keepLines/>
      <w:tabs>
        <w:tab w:val="left" w:pos="2414"/>
      </w:tabs>
      <w:spacing w:line="360" w:lineRule="auto"/>
      <w:ind w:left="1133" w:firstLine="997"/>
      <w:outlineLvl w:val="3"/>
    </w:pPr>
    <w:rPr>
      <w:rFonts w:eastAsia="黑体"/>
      <w:b/>
      <w:bCs/>
      <w:color w:val="FF0000"/>
      <w:sz w:val="24"/>
    </w:rPr>
  </w:style>
  <w:style w:type="paragraph" w:customStyle="1" w:styleId="1558">
    <w:name w:val="样式 标题 2 + 首行缩进:  2 字符"/>
    <w:basedOn w:val="4"/>
    <w:qFormat/>
    <w:uiPriority w:val="0"/>
    <w:pPr>
      <w:tabs>
        <w:tab w:val="clear" w:pos="1427"/>
      </w:tabs>
      <w:adjustRightInd/>
      <w:spacing w:beforeLines="0" w:afterLines="0" w:line="240" w:lineRule="auto"/>
      <w:jc w:val="both"/>
      <w:textAlignment w:val="auto"/>
    </w:pPr>
    <w:rPr>
      <w:rFonts w:ascii="Arial" w:hAnsi="Arial"/>
      <w:bCs/>
      <w:kern w:val="2"/>
      <w:sz w:val="32"/>
    </w:rPr>
  </w:style>
  <w:style w:type="paragraph" w:customStyle="1" w:styleId="1559">
    <w:name w:val="1-1"/>
    <w:basedOn w:val="1"/>
    <w:qFormat/>
    <w:uiPriority w:val="0"/>
    <w:pPr>
      <w:widowControl/>
      <w:tabs>
        <w:tab w:val="left" w:pos="885"/>
      </w:tabs>
      <w:ind w:left="885" w:hanging="405"/>
      <w:jc w:val="left"/>
    </w:pPr>
    <w:rPr>
      <w:rFonts w:ascii="Arial" w:hAnsi="Arial" w:eastAsia="Times New Roman"/>
      <w:sz w:val="22"/>
      <w:lang w:eastAsia="it-IT"/>
    </w:rPr>
  </w:style>
  <w:style w:type="paragraph" w:customStyle="1" w:styleId="1560">
    <w:name w:val="Char1 Char Char Char Char Char Char2"/>
    <w:basedOn w:val="1"/>
    <w:qFormat/>
    <w:uiPriority w:val="0"/>
    <w:pPr>
      <w:tabs>
        <w:tab w:val="left" w:pos="900"/>
      </w:tabs>
      <w:ind w:left="900" w:hanging="420"/>
    </w:pPr>
  </w:style>
  <w:style w:type="paragraph" w:customStyle="1" w:styleId="1561">
    <w:name w:val="表内文字小23"/>
    <w:basedOn w:val="1"/>
    <w:qFormat/>
    <w:uiPriority w:val="0"/>
    <w:pPr>
      <w:adjustRightInd w:val="0"/>
      <w:snapToGrid w:val="0"/>
      <w:jc w:val="center"/>
    </w:pPr>
    <w:rPr>
      <w:rFonts w:ascii="宋体" w:hAnsi="Times"/>
      <w:bCs/>
      <w:color w:val="003366"/>
    </w:rPr>
  </w:style>
  <w:style w:type="paragraph" w:customStyle="1" w:styleId="1562">
    <w:name w:val="标题452"/>
    <w:basedOn w:val="1"/>
    <w:qFormat/>
    <w:uiPriority w:val="0"/>
    <w:pPr>
      <w:adjustRightInd w:val="0"/>
      <w:snapToGrid w:val="0"/>
      <w:spacing w:line="360" w:lineRule="auto"/>
      <w:jc w:val="left"/>
    </w:pPr>
    <w:rPr>
      <w:rFonts w:ascii="黑体" w:eastAsia="黑体"/>
      <w:bCs/>
      <w:sz w:val="24"/>
    </w:rPr>
  </w:style>
  <w:style w:type="paragraph" w:customStyle="1" w:styleId="1563">
    <w:name w:val="环评章标题"/>
    <w:basedOn w:val="1"/>
    <w:qFormat/>
    <w:uiPriority w:val="0"/>
    <w:pPr>
      <w:widowControl/>
      <w:tabs>
        <w:tab w:val="left" w:pos="-164"/>
        <w:tab w:val="left" w:pos="2136"/>
      </w:tabs>
      <w:snapToGrid w:val="0"/>
      <w:spacing w:line="480" w:lineRule="auto"/>
      <w:ind w:left="-164" w:hanging="425"/>
      <w:jc w:val="center"/>
    </w:pPr>
    <w:rPr>
      <w:rFonts w:eastAsia="黑体" w:cs="Times"/>
      <w:sz w:val="30"/>
    </w:rPr>
  </w:style>
  <w:style w:type="paragraph" w:customStyle="1" w:styleId="1564">
    <w:name w:val="Char81"/>
    <w:basedOn w:val="1"/>
    <w:qFormat/>
    <w:uiPriority w:val="0"/>
    <w:pPr>
      <w:ind w:left="-48"/>
    </w:pPr>
  </w:style>
  <w:style w:type="paragraph" w:customStyle="1" w:styleId="1565">
    <w:name w:val="chuang2"/>
    <w:basedOn w:val="1"/>
    <w:qFormat/>
    <w:uiPriority w:val="0"/>
    <w:rPr>
      <w:rFonts w:eastAsia="黑体"/>
      <w:sz w:val="30"/>
    </w:rPr>
  </w:style>
  <w:style w:type="paragraph" w:customStyle="1" w:styleId="1566">
    <w:name w:val="样式 目录2 + 分散对齐 左侧:  -2 字符"/>
    <w:basedOn w:val="1"/>
    <w:qFormat/>
    <w:uiPriority w:val="0"/>
    <w:pPr>
      <w:adjustRightInd w:val="0"/>
      <w:snapToGrid w:val="0"/>
      <w:spacing w:line="360" w:lineRule="auto"/>
      <w:ind w:left="420" w:leftChars="200"/>
      <w:jc w:val="distribute"/>
    </w:pPr>
    <w:rPr>
      <w:rFonts w:ascii="宋体" w:hAnsi="宋体" w:cs="宋体"/>
    </w:rPr>
  </w:style>
  <w:style w:type="paragraph" w:customStyle="1" w:styleId="1567">
    <w:name w:val="Char9"/>
    <w:basedOn w:val="1"/>
    <w:qFormat/>
    <w:uiPriority w:val="0"/>
    <w:pPr>
      <w:ind w:left="-48"/>
    </w:pPr>
  </w:style>
  <w:style w:type="paragraph" w:customStyle="1" w:styleId="1568">
    <w:name w:val="Char Char Char Char Char Char Char Char Char1"/>
    <w:basedOn w:val="1"/>
    <w:qFormat/>
    <w:uiPriority w:val="0"/>
  </w:style>
  <w:style w:type="paragraph" w:customStyle="1" w:styleId="1569">
    <w:name w:val="标题434"/>
    <w:basedOn w:val="1"/>
    <w:qFormat/>
    <w:uiPriority w:val="0"/>
    <w:pPr>
      <w:adjustRightInd w:val="0"/>
      <w:snapToGrid w:val="0"/>
      <w:spacing w:line="300" w:lineRule="auto"/>
      <w:jc w:val="left"/>
    </w:pPr>
    <w:rPr>
      <w:rFonts w:ascii="黑体" w:hAnsi="宋体" w:eastAsia="黑体" w:cs="宋体"/>
      <w:sz w:val="24"/>
    </w:rPr>
  </w:style>
  <w:style w:type="paragraph" w:customStyle="1" w:styleId="1570">
    <w:name w:val="表后空行"/>
    <w:basedOn w:val="1"/>
    <w:next w:val="1"/>
    <w:qFormat/>
    <w:uiPriority w:val="0"/>
    <w:rPr>
      <w:kern w:val="18"/>
      <w:sz w:val="18"/>
    </w:rPr>
  </w:style>
  <w:style w:type="paragraph" w:customStyle="1" w:styleId="1571">
    <w:name w:val="表内554"/>
    <w:basedOn w:val="1572"/>
    <w:qFormat/>
    <w:uiPriority w:val="0"/>
    <w:pPr>
      <w:spacing w:line="300" w:lineRule="auto"/>
      <w:jc w:val="both"/>
    </w:pPr>
    <w:rPr>
      <w:color w:val="000000"/>
    </w:rPr>
  </w:style>
  <w:style w:type="paragraph" w:customStyle="1" w:styleId="1572">
    <w:name w:val="表内5中"/>
    <w:basedOn w:val="1510"/>
    <w:qFormat/>
    <w:uiPriority w:val="0"/>
    <w:pPr>
      <w:tabs>
        <w:tab w:val="clear" w:pos="4305"/>
      </w:tabs>
    </w:pPr>
    <w:rPr>
      <w:rFonts w:ascii="宋体" w:hAnsi="Times New Roman" w:eastAsia="宋体" w:cs="Times New Roman"/>
      <w:sz w:val="21"/>
      <w:szCs w:val="21"/>
    </w:rPr>
  </w:style>
  <w:style w:type="paragraph" w:customStyle="1" w:styleId="1573">
    <w:name w:val="zxz5"/>
    <w:next w:val="1"/>
    <w:qFormat/>
    <w:uiPriority w:val="0"/>
    <w:pPr>
      <w:tabs>
        <w:tab w:val="left" w:pos="0"/>
      </w:tabs>
      <w:jc w:val="center"/>
    </w:pPr>
    <w:rPr>
      <w:rFonts w:ascii="宋体" w:hAnsi="宋体" w:eastAsia="Times New Roman" w:cs="宋体"/>
      <w:bCs/>
      <w:kern w:val="2"/>
      <w:sz w:val="18"/>
      <w:szCs w:val="18"/>
      <w:lang w:val="en-US" w:eastAsia="zh-CN" w:bidi="ar-SA"/>
    </w:rPr>
  </w:style>
  <w:style w:type="paragraph" w:customStyle="1" w:styleId="1574">
    <w:name w:val="段标"/>
    <w:basedOn w:val="1"/>
    <w:qFormat/>
    <w:uiPriority w:val="0"/>
    <w:pPr>
      <w:adjustRightInd w:val="0"/>
      <w:spacing w:line="360" w:lineRule="auto"/>
      <w:ind w:firstLine="567"/>
      <w:jc w:val="left"/>
      <w:textAlignment w:val="baseline"/>
    </w:pPr>
    <w:rPr>
      <w:sz w:val="28"/>
    </w:rPr>
  </w:style>
  <w:style w:type="paragraph" w:customStyle="1" w:styleId="1575">
    <w:name w:val="font0"/>
    <w:basedOn w:val="1"/>
    <w:qFormat/>
    <w:uiPriority w:val="0"/>
    <w:pPr>
      <w:widowControl/>
      <w:spacing w:before="100" w:beforeAutospacing="1" w:after="100" w:afterAutospacing="1"/>
      <w:jc w:val="left"/>
    </w:pPr>
    <w:rPr>
      <w:rFonts w:hint="eastAsia" w:ascii="宋体" w:hAnsi="宋体"/>
      <w:sz w:val="24"/>
    </w:rPr>
  </w:style>
  <w:style w:type="paragraph" w:customStyle="1" w:styleId="1576">
    <w:name w:val="待核实小1"/>
    <w:basedOn w:val="1427"/>
    <w:qFormat/>
    <w:uiPriority w:val="0"/>
    <w:rPr>
      <w:rFonts w:cs="Times New Roman"/>
      <w:color w:val="000080"/>
      <w:sz w:val="21"/>
    </w:rPr>
  </w:style>
  <w:style w:type="paragraph" w:customStyle="1" w:styleId="1577">
    <w:name w:val="普通(网站)1"/>
    <w:basedOn w:val="1"/>
    <w:qFormat/>
    <w:uiPriority w:val="0"/>
    <w:pPr>
      <w:widowControl/>
      <w:spacing w:before="100" w:after="100"/>
      <w:jc w:val="left"/>
    </w:pPr>
    <w:rPr>
      <w:rFonts w:hint="eastAsia" w:ascii="Arial Unicode MS" w:hAnsi="Arial Unicode MS" w:eastAsia="Arial Unicode MS"/>
      <w:sz w:val="24"/>
    </w:rPr>
  </w:style>
  <w:style w:type="paragraph" w:customStyle="1" w:styleId="1578">
    <w:name w:val="Char Char Char Char8"/>
    <w:basedOn w:val="1"/>
    <w:qFormat/>
    <w:uiPriority w:val="0"/>
  </w:style>
  <w:style w:type="paragraph" w:customStyle="1" w:styleId="1579">
    <w:name w:val="表16.5"/>
    <w:basedOn w:val="1"/>
    <w:qFormat/>
    <w:uiPriority w:val="0"/>
    <w:pPr>
      <w:tabs>
        <w:tab w:val="center" w:pos="4060"/>
        <w:tab w:val="left" w:pos="4680"/>
        <w:tab w:val="right" w:pos="8261"/>
      </w:tabs>
      <w:suppressAutoHyphens/>
      <w:adjustRightInd w:val="0"/>
      <w:spacing w:beforeLines="100" w:line="0" w:lineRule="atLeast"/>
      <w:ind w:left="4020" w:hanging="420"/>
    </w:pPr>
    <w:rPr>
      <w:rFonts w:ascii="黑体" w:eastAsia="黑体" w:cs="宋体"/>
      <w:b/>
      <w:bCs/>
      <w:sz w:val="24"/>
    </w:rPr>
  </w:style>
  <w:style w:type="paragraph" w:customStyle="1" w:styleId="1580">
    <w:name w:val="标题四"/>
    <w:basedOn w:val="22"/>
    <w:qFormat/>
    <w:uiPriority w:val="0"/>
    <w:pPr>
      <w:adjustRightInd/>
      <w:spacing w:beforeLines="50" w:line="480" w:lineRule="exact"/>
      <w:jc w:val="both"/>
      <w:textAlignment w:val="auto"/>
    </w:pPr>
    <w:rPr>
      <w:rFonts w:ascii="宋体" w:hAnsi="宋体" w:eastAsia="宋体"/>
      <w:b/>
      <w:kern w:val="0"/>
      <w:sz w:val="24"/>
      <w:szCs w:val="20"/>
    </w:rPr>
  </w:style>
  <w:style w:type="paragraph" w:customStyle="1" w:styleId="1581">
    <w:name w:val="评价单位"/>
    <w:basedOn w:val="1"/>
    <w:qFormat/>
    <w:uiPriority w:val="0"/>
    <w:pPr>
      <w:spacing w:line="600" w:lineRule="exact"/>
      <w:jc w:val="center"/>
    </w:pPr>
    <w:rPr>
      <w:rFonts w:ascii="宋体" w:hAnsi="宋体" w:eastAsia="黑体"/>
      <w:spacing w:val="34"/>
      <w:sz w:val="28"/>
    </w:rPr>
  </w:style>
  <w:style w:type="paragraph" w:customStyle="1" w:styleId="1582">
    <w:name w:val="表内宋5"/>
    <w:basedOn w:val="82"/>
    <w:qFormat/>
    <w:uiPriority w:val="0"/>
    <w:pPr>
      <w:widowControl/>
      <w:adjustRightInd w:val="0"/>
      <w:snapToGrid w:val="0"/>
    </w:pPr>
    <w:rPr>
      <w:rFonts w:ascii="宋体" w:hAnsi="宋体" w:cs="宋体"/>
      <w:color w:val="000000"/>
      <w:sz w:val="21"/>
    </w:rPr>
  </w:style>
  <w:style w:type="paragraph" w:customStyle="1" w:styleId="1583">
    <w:name w:val="样式 标题 4 + 字距调整小四"/>
    <w:basedOn w:val="6"/>
    <w:qFormat/>
    <w:uiPriority w:val="0"/>
    <w:pPr>
      <w:spacing w:line="460" w:lineRule="exact"/>
    </w:pPr>
    <w:rPr>
      <w:kern w:val="24"/>
    </w:rPr>
  </w:style>
  <w:style w:type="paragraph" w:customStyle="1" w:styleId="1584">
    <w:name w:val="dandan6-13正文 Char Char"/>
    <w:basedOn w:val="1"/>
    <w:next w:val="1"/>
    <w:qFormat/>
    <w:uiPriority w:val="0"/>
    <w:pPr>
      <w:keepNext/>
      <w:keepLines/>
      <w:widowControl/>
      <w:adjustRightInd w:val="0"/>
      <w:spacing w:before="40" w:after="40" w:line="360" w:lineRule="auto"/>
      <w:ind w:firstLine="200" w:firstLineChars="200"/>
      <w:textAlignment w:val="baseline"/>
    </w:pPr>
    <w:rPr>
      <w:rFonts w:cs="宋体"/>
      <w:sz w:val="24"/>
      <w:szCs w:val="28"/>
    </w:rPr>
  </w:style>
  <w:style w:type="paragraph" w:customStyle="1" w:styleId="1585">
    <w:name w:val="表内533"/>
    <w:basedOn w:val="1"/>
    <w:qFormat/>
    <w:uiPriority w:val="0"/>
    <w:pPr>
      <w:adjustRightInd w:val="0"/>
      <w:snapToGrid w:val="0"/>
      <w:spacing w:line="300" w:lineRule="auto"/>
      <w:jc w:val="left"/>
    </w:pPr>
    <w:rPr>
      <w:rFonts w:ascii="宋体"/>
    </w:rPr>
  </w:style>
  <w:style w:type="paragraph" w:customStyle="1" w:styleId="1586">
    <w:name w:val="图表名"/>
    <w:basedOn w:val="1"/>
    <w:qFormat/>
    <w:uiPriority w:val="0"/>
    <w:pPr>
      <w:adjustRightInd w:val="0"/>
      <w:snapToGrid w:val="0"/>
      <w:spacing w:line="360" w:lineRule="auto"/>
      <w:jc w:val="center"/>
    </w:pPr>
    <w:rPr>
      <w:rFonts w:eastAsia="黑体"/>
      <w:snapToGrid w:val="0"/>
      <w:color w:val="000000"/>
      <w:sz w:val="28"/>
      <w:szCs w:val="28"/>
    </w:rPr>
  </w:style>
  <w:style w:type="paragraph" w:customStyle="1" w:styleId="1587">
    <w:name w:val="Char Char Char2 Char"/>
    <w:basedOn w:val="1"/>
    <w:qFormat/>
    <w:uiPriority w:val="0"/>
  </w:style>
  <w:style w:type="paragraph" w:customStyle="1" w:styleId="1588">
    <w:name w:val="纯文本6"/>
    <w:basedOn w:val="1"/>
    <w:qFormat/>
    <w:uiPriority w:val="0"/>
    <w:pPr>
      <w:adjustRightInd w:val="0"/>
      <w:textAlignment w:val="baseline"/>
    </w:pPr>
    <w:rPr>
      <w:rFonts w:ascii="宋体" w:hAnsi="Courier New"/>
    </w:rPr>
  </w:style>
  <w:style w:type="paragraph" w:customStyle="1" w:styleId="1589">
    <w:name w:val="Char Char Char Char Char Char Char Char Char Char Char Char Char Char Char Char Char Char Char Char2"/>
    <w:basedOn w:val="1"/>
    <w:qFormat/>
    <w:uiPriority w:val="0"/>
  </w:style>
  <w:style w:type="paragraph" w:customStyle="1" w:styleId="1590">
    <w:name w:val="表题28"/>
    <w:basedOn w:val="47"/>
    <w:qFormat/>
    <w:uiPriority w:val="0"/>
    <w:pPr>
      <w:adjustRightInd w:val="0"/>
      <w:spacing w:line="300" w:lineRule="auto"/>
      <w:jc w:val="center"/>
    </w:pPr>
    <w:rPr>
      <w:rFonts w:ascii="黑体" w:eastAsia="黑体"/>
      <w:sz w:val="24"/>
    </w:rPr>
  </w:style>
  <w:style w:type="paragraph" w:customStyle="1" w:styleId="1591">
    <w:name w:val="页眉中36"/>
    <w:basedOn w:val="47"/>
    <w:qFormat/>
    <w:uiPriority w:val="0"/>
    <w:pPr>
      <w:adjustRightInd w:val="0"/>
      <w:spacing w:line="300" w:lineRule="auto"/>
      <w:jc w:val="left"/>
    </w:pPr>
    <w:rPr>
      <w:rFonts w:ascii="黑体" w:hAnsi="宋体" w:eastAsia="黑体"/>
      <w:sz w:val="24"/>
    </w:rPr>
  </w:style>
  <w:style w:type="paragraph" w:customStyle="1" w:styleId="1592">
    <w:name w:val="目录333333333"/>
    <w:qFormat/>
    <w:uiPriority w:val="0"/>
    <w:pPr>
      <w:spacing w:line="460" w:lineRule="exact"/>
    </w:pPr>
    <w:rPr>
      <w:rFonts w:ascii="Times New Roman" w:hAnsi="Times New Roman" w:eastAsia="宋体" w:cs="Times New Roman"/>
      <w:lang w:val="en-US" w:eastAsia="zh-CN" w:bidi="ar-SA"/>
    </w:rPr>
  </w:style>
  <w:style w:type="paragraph" w:customStyle="1" w:styleId="1593">
    <w:name w:val="标题 53"/>
    <w:basedOn w:val="1"/>
    <w:next w:val="1"/>
    <w:qFormat/>
    <w:uiPriority w:val="0"/>
    <w:pPr>
      <w:adjustRightInd w:val="0"/>
      <w:snapToGrid w:val="0"/>
      <w:spacing w:line="440" w:lineRule="atLeast"/>
      <w:ind w:firstLine="567"/>
      <w:textAlignment w:val="baseline"/>
    </w:pPr>
    <w:rPr>
      <w:rFonts w:hint="eastAsia"/>
      <w:sz w:val="24"/>
    </w:rPr>
  </w:style>
  <w:style w:type="paragraph" w:customStyle="1" w:styleId="1594">
    <w:name w:val="河石管道 表头"/>
    <w:qFormat/>
    <w:uiPriority w:val="0"/>
    <w:pPr>
      <w:jc w:val="center"/>
    </w:pPr>
    <w:rPr>
      <w:rFonts w:ascii="Times New Roman" w:hAnsi="Times New Roman" w:eastAsia="宋体" w:cs="Times New Roman"/>
      <w:b/>
      <w:bCs/>
      <w:sz w:val="18"/>
      <w:lang w:val="en-US" w:eastAsia="zh-CN" w:bidi="ar-SA"/>
    </w:rPr>
  </w:style>
  <w:style w:type="paragraph" w:customStyle="1" w:styleId="1595">
    <w:name w:val="表中文字中修改3"/>
    <w:basedOn w:val="1596"/>
    <w:qFormat/>
    <w:uiPriority w:val="0"/>
    <w:pPr>
      <w:adjustRightInd w:val="0"/>
    </w:pPr>
    <w:rPr>
      <w:color w:val="000000"/>
    </w:rPr>
  </w:style>
  <w:style w:type="paragraph" w:customStyle="1" w:styleId="1596">
    <w:name w:val="表中文字"/>
    <w:basedOn w:val="1"/>
    <w:qFormat/>
    <w:uiPriority w:val="0"/>
    <w:pPr>
      <w:widowControl/>
      <w:spacing w:line="240" w:lineRule="atLeast"/>
      <w:ind w:left="-24" w:leftChars="-10" w:right="-48" w:rightChars="-20"/>
      <w:jc w:val="center"/>
    </w:pPr>
    <w:rPr>
      <w:rFonts w:ascii="宋体"/>
      <w:szCs w:val="21"/>
    </w:rPr>
  </w:style>
  <w:style w:type="paragraph" w:customStyle="1" w:styleId="1597">
    <w:name w:val="日期11"/>
    <w:basedOn w:val="1"/>
    <w:next w:val="1"/>
    <w:qFormat/>
    <w:uiPriority w:val="0"/>
    <w:pPr>
      <w:adjustRightInd w:val="0"/>
      <w:textAlignment w:val="baseline"/>
    </w:pPr>
    <w:rPr>
      <w:rFonts w:ascii="宋体" w:hAnsi="Dutch801 Rm BT"/>
      <w:sz w:val="24"/>
    </w:rPr>
  </w:style>
  <w:style w:type="paragraph" w:customStyle="1" w:styleId="1598">
    <w:name w:val="xl61"/>
    <w:basedOn w:val="1"/>
    <w:qFormat/>
    <w:uiPriority w:val="0"/>
    <w:pPr>
      <w:widowControl/>
      <w:pBdr>
        <w:top w:val="single" w:color="auto" w:sz="4" w:space="0"/>
        <w:left w:val="single" w:color="auto" w:sz="8" w:space="0"/>
        <w:right w:val="single" w:color="auto" w:sz="4" w:space="0"/>
      </w:pBdr>
      <w:spacing w:before="100" w:beforeAutospacing="1" w:after="100" w:afterAutospacing="1"/>
      <w:jc w:val="center"/>
      <w:textAlignment w:val="center"/>
    </w:pPr>
    <w:rPr>
      <w:rFonts w:eastAsia="Arial Unicode MS"/>
    </w:rPr>
  </w:style>
  <w:style w:type="paragraph" w:customStyle="1" w:styleId="1599">
    <w:name w:val="表内文字26"/>
    <w:basedOn w:val="1"/>
    <w:qFormat/>
    <w:uiPriority w:val="0"/>
    <w:pPr>
      <w:widowControl/>
      <w:adjustRightInd w:val="0"/>
      <w:snapToGrid w:val="0"/>
      <w:jc w:val="center"/>
    </w:pPr>
    <w:rPr>
      <w:szCs w:val="21"/>
    </w:rPr>
  </w:style>
  <w:style w:type="paragraph" w:customStyle="1" w:styleId="1600">
    <w:name w:val="Char Char Char Char Char Char Char2"/>
    <w:basedOn w:val="1"/>
    <w:qFormat/>
    <w:uiPriority w:val="0"/>
    <w:pPr>
      <w:spacing w:line="360" w:lineRule="auto"/>
      <w:ind w:firstLine="200" w:firstLineChars="200"/>
    </w:pPr>
    <w:rPr>
      <w:rFonts w:ascii="宋体" w:hAnsi="宋体" w:cs="宋体"/>
      <w:sz w:val="24"/>
    </w:rPr>
  </w:style>
  <w:style w:type="paragraph" w:customStyle="1" w:styleId="1601">
    <w:name w:val="样式 正文缩进正文缩进 Chars4 Chars4标题4表正文正文非缩进特点正文缩进 Char1 Char正文..."/>
    <w:basedOn w:val="21"/>
    <w:qFormat/>
    <w:uiPriority w:val="0"/>
    <w:pPr>
      <w:spacing w:afterLines="20" w:line="400" w:lineRule="exact"/>
      <w:ind w:firstLine="482" w:firstLineChars="0"/>
    </w:pPr>
    <w:rPr>
      <w:rFonts w:ascii="黑体" w:hAnsi="黑体" w:eastAsia="黑体" w:cs="宋体"/>
      <w:color w:val="FF0000"/>
      <w:szCs w:val="22"/>
    </w:rPr>
  </w:style>
  <w:style w:type="paragraph" w:customStyle="1" w:styleId="1602">
    <w:name w:val="正文表标题"/>
    <w:qFormat/>
    <w:uiPriority w:val="0"/>
    <w:pPr>
      <w:tabs>
        <w:tab w:val="left" w:pos="420"/>
      </w:tabs>
      <w:ind w:left="420" w:hanging="420"/>
      <w:jc w:val="center"/>
    </w:pPr>
    <w:rPr>
      <w:rFonts w:ascii="黑体" w:hAnsi="Times New Roman" w:eastAsia="黑体" w:cs="Times New Roman"/>
      <w:sz w:val="21"/>
      <w:lang w:val="en-US" w:eastAsia="zh-CN" w:bidi="ar-SA"/>
    </w:rPr>
  </w:style>
  <w:style w:type="paragraph" w:customStyle="1" w:styleId="1603">
    <w:name w:val="条(三级)13"/>
    <w:basedOn w:val="1"/>
    <w:next w:val="1"/>
    <w:qFormat/>
    <w:uiPriority w:val="0"/>
    <w:pPr>
      <w:keepNext/>
      <w:keepLines/>
      <w:adjustRightInd w:val="0"/>
      <w:snapToGrid w:val="0"/>
      <w:spacing w:line="460" w:lineRule="exact"/>
      <w:textAlignment w:val="baseline"/>
    </w:pPr>
    <w:rPr>
      <w:rFonts w:hAnsi="Arial"/>
      <w:spacing w:val="3"/>
      <w:kern w:val="24"/>
      <w:sz w:val="18"/>
    </w:rPr>
  </w:style>
  <w:style w:type="paragraph" w:customStyle="1" w:styleId="1604">
    <w:name w:val="表内宋525"/>
    <w:basedOn w:val="1553"/>
    <w:qFormat/>
    <w:uiPriority w:val="0"/>
    <w:pPr>
      <w:jc w:val="both"/>
    </w:pPr>
  </w:style>
  <w:style w:type="paragraph" w:customStyle="1" w:styleId="1605">
    <w:name w:val="需要资料5"/>
    <w:basedOn w:val="1"/>
    <w:qFormat/>
    <w:uiPriority w:val="0"/>
    <w:pPr>
      <w:adjustRightInd w:val="0"/>
      <w:snapToGrid w:val="0"/>
      <w:spacing w:line="360" w:lineRule="auto"/>
      <w:ind w:firstLine="480" w:firstLineChars="200"/>
    </w:pPr>
    <w:rPr>
      <w:rFonts w:ascii="黑体" w:eastAsia="黑体"/>
      <w:color w:val="0000FF"/>
      <w:sz w:val="24"/>
    </w:rPr>
  </w:style>
  <w:style w:type="paragraph" w:customStyle="1" w:styleId="1606">
    <w:name w:val="表内宋5中19"/>
    <w:basedOn w:val="1"/>
    <w:qFormat/>
    <w:uiPriority w:val="0"/>
    <w:pPr>
      <w:adjustRightInd w:val="0"/>
      <w:snapToGrid w:val="0"/>
      <w:spacing w:line="360" w:lineRule="auto"/>
      <w:textAlignment w:val="baseline"/>
    </w:pPr>
    <w:rPr>
      <w:rFonts w:ascii="宋体" w:hAnsi="宋体"/>
      <w:szCs w:val="21"/>
    </w:rPr>
  </w:style>
  <w:style w:type="paragraph" w:customStyle="1" w:styleId="1607">
    <w:name w:val="海尔标题3 + 加粗"/>
    <w:basedOn w:val="607"/>
    <w:qFormat/>
    <w:uiPriority w:val="0"/>
    <w:pPr>
      <w:ind w:firstLine="0" w:firstLineChars="0"/>
    </w:pPr>
    <w:rPr>
      <w:rFonts w:eastAsia="黑体"/>
      <w:b/>
      <w:bCs/>
    </w:rPr>
  </w:style>
  <w:style w:type="paragraph" w:customStyle="1" w:styleId="1608">
    <w:name w:val="中文报告书样式5"/>
    <w:basedOn w:val="1"/>
    <w:qFormat/>
    <w:uiPriority w:val="0"/>
    <w:pPr>
      <w:adjustRightInd w:val="0"/>
      <w:spacing w:line="480" w:lineRule="atLeast"/>
      <w:ind w:firstLine="482"/>
      <w:textAlignment w:val="baseline"/>
    </w:pPr>
    <w:rPr>
      <w:rFonts w:ascii="宋体" w:hAnsi="宋体"/>
      <w:kern w:val="24"/>
      <w:sz w:val="24"/>
    </w:rPr>
  </w:style>
  <w:style w:type="paragraph" w:customStyle="1" w:styleId="1609">
    <w:name w:val="海尔标题2"/>
    <w:basedOn w:val="4"/>
    <w:qFormat/>
    <w:uiPriority w:val="0"/>
    <w:pPr>
      <w:tabs>
        <w:tab w:val="left" w:pos="696"/>
        <w:tab w:val="clear" w:pos="1427"/>
      </w:tabs>
      <w:adjustRightInd/>
      <w:spacing w:beforeLines="0" w:afterLines="0" w:line="240" w:lineRule="atLeast"/>
      <w:textAlignment w:val="auto"/>
    </w:pPr>
    <w:rPr>
      <w:rFonts w:ascii="黑体" w:hAnsi="宋体"/>
      <w:kern w:val="2"/>
      <w:sz w:val="32"/>
    </w:rPr>
  </w:style>
  <w:style w:type="paragraph" w:customStyle="1" w:styleId="1610">
    <w:name w:val="表内510"/>
    <w:basedOn w:val="1572"/>
    <w:qFormat/>
    <w:uiPriority w:val="0"/>
    <w:pPr>
      <w:spacing w:line="300" w:lineRule="auto"/>
      <w:jc w:val="both"/>
    </w:pPr>
    <w:rPr>
      <w:szCs w:val="24"/>
    </w:rPr>
  </w:style>
  <w:style w:type="paragraph" w:customStyle="1" w:styleId="1611">
    <w:name w:val="小五表文"/>
    <w:qFormat/>
    <w:uiPriority w:val="0"/>
    <w:pPr>
      <w:widowControl w:val="0"/>
      <w:tabs>
        <w:tab w:val="left" w:pos="810"/>
      </w:tabs>
      <w:jc w:val="center"/>
    </w:pPr>
    <w:rPr>
      <w:rFonts w:ascii="宋体" w:hAnsi="宋体" w:eastAsia="宋体" w:cs="Times New Roman"/>
      <w:kern w:val="2"/>
      <w:sz w:val="21"/>
      <w:lang w:val="en-US" w:eastAsia="zh-CN" w:bidi="ar-SA"/>
    </w:rPr>
  </w:style>
  <w:style w:type="paragraph" w:customStyle="1" w:styleId="1612">
    <w:name w:val="表内文字大43"/>
    <w:basedOn w:val="1"/>
    <w:qFormat/>
    <w:uiPriority w:val="0"/>
    <w:pPr>
      <w:adjustRightInd w:val="0"/>
      <w:snapToGrid w:val="0"/>
      <w:jc w:val="center"/>
    </w:pPr>
    <w:rPr>
      <w:rFonts w:ascii="宋体" w:hAnsi="Times"/>
      <w:sz w:val="24"/>
    </w:rPr>
  </w:style>
  <w:style w:type="paragraph" w:customStyle="1" w:styleId="1613">
    <w:name w:val="xl122"/>
    <w:basedOn w:val="1"/>
    <w:qFormat/>
    <w:uiPriority w:val="0"/>
    <w:pPr>
      <w:widowControl/>
      <w:pBdr>
        <w:top w:val="single" w:color="auto" w:sz="4" w:space="0"/>
        <w:left w:val="single" w:color="auto" w:sz="4" w:space="0"/>
        <w:right w:val="single" w:color="auto" w:sz="4" w:space="0"/>
      </w:pBdr>
      <w:shd w:val="clear" w:color="000000" w:fill="FFFF00"/>
      <w:spacing w:before="100" w:beforeAutospacing="1" w:after="100" w:afterAutospacing="1"/>
      <w:jc w:val="center"/>
      <w:textAlignment w:val="center"/>
    </w:pPr>
    <w:rPr>
      <w:color w:val="000000"/>
      <w:sz w:val="18"/>
      <w:szCs w:val="18"/>
    </w:rPr>
  </w:style>
  <w:style w:type="paragraph" w:customStyle="1" w:styleId="1614">
    <w:name w:val="couv"/>
    <w:basedOn w:val="1"/>
    <w:qFormat/>
    <w:uiPriority w:val="0"/>
    <w:pPr>
      <w:widowControl/>
      <w:spacing w:before="120" w:after="120"/>
      <w:ind w:firstLine="200" w:firstLineChars="200"/>
      <w:jc w:val="center"/>
    </w:pPr>
    <w:rPr>
      <w:b/>
      <w:sz w:val="40"/>
      <w:lang w:val="en-GB"/>
    </w:rPr>
  </w:style>
  <w:style w:type="paragraph" w:customStyle="1" w:styleId="1615">
    <w:name w:val="图题24"/>
    <w:basedOn w:val="5"/>
    <w:qFormat/>
    <w:uiPriority w:val="0"/>
    <w:pPr>
      <w:keepNext w:val="0"/>
      <w:keepLines w:val="0"/>
      <w:tabs>
        <w:tab w:val="clear" w:pos="720"/>
      </w:tabs>
      <w:snapToGrid w:val="0"/>
      <w:spacing w:before="120"/>
      <w:ind w:left="0" w:firstLine="0"/>
      <w:jc w:val="center"/>
      <w:textAlignment w:val="auto"/>
    </w:pPr>
    <w:rPr>
      <w:rFonts w:ascii="黑体" w:hAnsi="宋体" w:cs="宋体"/>
      <w:b w:val="0"/>
      <w:bCs/>
      <w:color w:val="auto"/>
      <w:spacing w:val="0"/>
      <w:kern w:val="2"/>
      <w:szCs w:val="28"/>
    </w:rPr>
  </w:style>
  <w:style w:type="paragraph" w:customStyle="1" w:styleId="1616">
    <w:name w:val="表内5中56"/>
    <w:basedOn w:val="1"/>
    <w:qFormat/>
    <w:uiPriority w:val="0"/>
    <w:pPr>
      <w:adjustRightInd w:val="0"/>
      <w:snapToGrid w:val="0"/>
      <w:jc w:val="center"/>
    </w:pPr>
    <w:rPr>
      <w:rFonts w:ascii="宋体"/>
    </w:rPr>
  </w:style>
  <w:style w:type="paragraph" w:customStyle="1" w:styleId="1617">
    <w:name w:val="页眉xx"/>
    <w:basedOn w:val="58"/>
    <w:qFormat/>
    <w:uiPriority w:val="0"/>
    <w:pPr>
      <w:pBdr>
        <w:bottom w:val="single" w:color="auto" w:sz="2" w:space="1"/>
      </w:pBdr>
      <w:tabs>
        <w:tab w:val="clear" w:pos="4153"/>
      </w:tabs>
      <w:adjustRightInd w:val="0"/>
    </w:pPr>
    <w:rPr>
      <w:rFonts w:ascii="宋体" w:hAnsi="宋体"/>
      <w:sz w:val="21"/>
      <w:szCs w:val="20"/>
    </w:rPr>
  </w:style>
  <w:style w:type="paragraph" w:customStyle="1" w:styleId="1618">
    <w:name w:val="正文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619">
    <w:name w:val="GB-条文"/>
    <w:qFormat/>
    <w:uiPriority w:val="0"/>
    <w:pPr>
      <w:widowControl w:val="0"/>
      <w:adjustRightInd w:val="0"/>
      <w:snapToGrid w:val="0"/>
      <w:spacing w:line="360" w:lineRule="auto"/>
      <w:ind w:firstLine="420" w:firstLineChars="200"/>
      <w:jc w:val="both"/>
    </w:pPr>
    <w:rPr>
      <w:rFonts w:ascii="宋体" w:hAnsi="宋体" w:eastAsia="宋体" w:cs="Times New Roman"/>
      <w:sz w:val="21"/>
      <w:lang w:val="en-US" w:eastAsia="zh-CN" w:bidi="ar-SA"/>
    </w:rPr>
  </w:style>
  <w:style w:type="paragraph" w:customStyle="1" w:styleId="1620">
    <w:name w:val="表内5105"/>
    <w:qFormat/>
    <w:uiPriority w:val="0"/>
    <w:pPr>
      <w:spacing w:line="300" w:lineRule="auto"/>
      <w:jc w:val="both"/>
    </w:pPr>
    <w:rPr>
      <w:rFonts w:ascii="Times New Roman" w:hAnsi="Times New Roman" w:eastAsia="宋体" w:cs="Times New Roman"/>
      <w:szCs w:val="24"/>
      <w:lang w:val="en-US" w:eastAsia="zh-CN" w:bidi="ar-SA"/>
    </w:rPr>
  </w:style>
  <w:style w:type="paragraph" w:customStyle="1" w:styleId="1621">
    <w:name w:val="xl118"/>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1622">
    <w:name w:val="标准公文"/>
    <w:qFormat/>
    <w:uiPriority w:val="0"/>
    <w:pPr>
      <w:widowControl w:val="0"/>
      <w:spacing w:line="520" w:lineRule="exact"/>
      <w:jc w:val="center"/>
    </w:pPr>
    <w:rPr>
      <w:rFonts w:ascii="宋体" w:hAnsi="宋体" w:eastAsia="宋体" w:cs="Times New Roman"/>
      <w:sz w:val="28"/>
      <w:szCs w:val="34"/>
      <w:lang w:val="en-US" w:eastAsia="zh-CN" w:bidi="ar-SA"/>
    </w:rPr>
  </w:style>
  <w:style w:type="paragraph" w:customStyle="1" w:styleId="1623">
    <w:name w:val="表题124"/>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1624">
    <w:name w:val="表题133"/>
    <w:basedOn w:val="35"/>
    <w:qFormat/>
    <w:uiPriority w:val="0"/>
    <w:pPr>
      <w:tabs>
        <w:tab w:val="left" w:pos="4305"/>
      </w:tabs>
      <w:adjustRightInd w:val="0"/>
      <w:snapToGrid w:val="0"/>
      <w:spacing w:after="0"/>
      <w:ind w:left="0" w:leftChars="0" w:firstLine="480" w:firstLineChars="200"/>
      <w:jc w:val="center"/>
    </w:pPr>
    <w:rPr>
      <w:rFonts w:ascii="黑体" w:hAnsi="宋体" w:eastAsia="黑体"/>
      <w:sz w:val="24"/>
      <w:szCs w:val="20"/>
    </w:rPr>
  </w:style>
  <w:style w:type="paragraph" w:customStyle="1" w:styleId="1625">
    <w:name w:val="样式 页眉 + 宋体 黑色 段前: 0 磅 段后: 0 磅 行距: 固定值 12 磅2"/>
    <w:basedOn w:val="58"/>
    <w:qFormat/>
    <w:uiPriority w:val="0"/>
    <w:pPr>
      <w:pBdr>
        <w:bottom w:val="none" w:color="auto" w:sz="0" w:space="0"/>
      </w:pBdr>
      <w:tabs>
        <w:tab w:val="clear" w:pos="4153"/>
        <w:tab w:val="clear" w:pos="8306"/>
      </w:tabs>
      <w:snapToGrid/>
      <w:spacing w:line="240" w:lineRule="exact"/>
    </w:pPr>
    <w:rPr>
      <w:rFonts w:ascii="宋体" w:hAnsi="宋体"/>
      <w:color w:val="000000"/>
      <w:sz w:val="21"/>
      <w:szCs w:val="20"/>
    </w:rPr>
  </w:style>
  <w:style w:type="paragraph" w:customStyle="1" w:styleId="1626">
    <w:name w:val="表标题5.14"/>
    <w:basedOn w:val="1"/>
    <w:qFormat/>
    <w:uiPriority w:val="0"/>
    <w:pPr>
      <w:tabs>
        <w:tab w:val="left" w:pos="993"/>
      </w:tabs>
      <w:spacing w:beforeLines="100" w:line="0" w:lineRule="atLeast"/>
      <w:ind w:left="993" w:hanging="420"/>
    </w:pPr>
    <w:rPr>
      <w:rFonts w:eastAsia="黑体"/>
      <w:b/>
      <w:sz w:val="24"/>
    </w:rPr>
  </w:style>
  <w:style w:type="paragraph" w:customStyle="1" w:styleId="1627">
    <w:name w:val="xl82"/>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sz w:val="16"/>
      <w:szCs w:val="16"/>
    </w:rPr>
  </w:style>
  <w:style w:type="paragraph" w:customStyle="1" w:styleId="1628">
    <w:name w:val="表题75"/>
    <w:basedOn w:val="35"/>
    <w:qFormat/>
    <w:uiPriority w:val="0"/>
    <w:pPr>
      <w:tabs>
        <w:tab w:val="left" w:pos="4305"/>
      </w:tabs>
      <w:adjustRightInd w:val="0"/>
      <w:snapToGrid w:val="0"/>
      <w:spacing w:after="0"/>
      <w:ind w:left="0" w:leftChars="0"/>
      <w:jc w:val="center"/>
    </w:pPr>
    <w:rPr>
      <w:rFonts w:ascii="黑体" w:hAnsi="宋体" w:eastAsia="黑体"/>
      <w:sz w:val="24"/>
    </w:rPr>
  </w:style>
  <w:style w:type="paragraph" w:customStyle="1" w:styleId="1629">
    <w:name w:val="标题425"/>
    <w:basedOn w:val="1"/>
    <w:qFormat/>
    <w:uiPriority w:val="0"/>
    <w:pPr>
      <w:adjustRightInd w:val="0"/>
      <w:snapToGrid w:val="0"/>
      <w:spacing w:line="300" w:lineRule="auto"/>
      <w:jc w:val="left"/>
    </w:pPr>
    <w:rPr>
      <w:rFonts w:ascii="宋体" w:hAnsi="宋体"/>
      <w:sz w:val="24"/>
    </w:rPr>
  </w:style>
  <w:style w:type="paragraph" w:customStyle="1" w:styleId="1630">
    <w:name w:val="Char Char Char Char Char Char1 Char Char Char1 Char1"/>
    <w:basedOn w:val="1"/>
    <w:qFormat/>
    <w:uiPriority w:val="0"/>
    <w:pPr>
      <w:adjustRightInd w:val="0"/>
      <w:snapToGrid w:val="0"/>
      <w:spacing w:line="360" w:lineRule="auto"/>
      <w:ind w:firstLine="200" w:firstLineChars="200"/>
      <w:jc w:val="left"/>
    </w:pPr>
    <w:rPr>
      <w:rFonts w:ascii="仿宋_GB2312" w:hAnsi="仿宋_GB2312" w:eastAsia="仿宋_GB2312" w:cs="宋体"/>
      <w:sz w:val="24"/>
    </w:rPr>
  </w:style>
  <w:style w:type="paragraph" w:customStyle="1" w:styleId="1631">
    <w:name w:val="。"/>
    <w:basedOn w:val="1"/>
    <w:qFormat/>
    <w:uiPriority w:val="0"/>
    <w:rPr>
      <w:rFonts w:eastAsia="仿宋_GB2312"/>
      <w:sz w:val="32"/>
    </w:rPr>
  </w:style>
  <w:style w:type="paragraph" w:customStyle="1" w:styleId="1632">
    <w:name w:val="样式 标题 31.1.1条标题 3 Char Char标题 3 Char标3可研-标题 3§1.1.1.. (1..."/>
    <w:basedOn w:val="5"/>
    <w:qFormat/>
    <w:uiPriority w:val="0"/>
    <w:pPr>
      <w:keepNext w:val="0"/>
      <w:keepLines w:val="0"/>
      <w:tabs>
        <w:tab w:val="left" w:pos="180"/>
        <w:tab w:val="left" w:pos="628"/>
        <w:tab w:val="clear" w:pos="720"/>
      </w:tabs>
      <w:autoSpaceDE w:val="0"/>
      <w:autoSpaceDN w:val="0"/>
      <w:snapToGrid w:val="0"/>
      <w:spacing w:before="120"/>
      <w:ind w:left="0" w:firstLine="0"/>
      <w:jc w:val="both"/>
      <w:textAlignment w:val="auto"/>
    </w:pPr>
    <w:rPr>
      <w:rFonts w:ascii="宋体" w:hAnsi="宋体" w:eastAsia="宋体" w:cs="宋体"/>
      <w:b w:val="0"/>
      <w:color w:val="auto"/>
      <w:spacing w:val="3"/>
      <w:kern w:val="2"/>
      <w:szCs w:val="28"/>
      <w:lang w:val="zh-CN"/>
    </w:rPr>
  </w:style>
  <w:style w:type="paragraph" w:customStyle="1" w:styleId="1633">
    <w:name w:val="标题 611"/>
    <w:basedOn w:val="1"/>
    <w:next w:val="1"/>
    <w:qFormat/>
    <w:uiPriority w:val="0"/>
    <w:pPr>
      <w:adjustRightInd w:val="0"/>
      <w:snapToGrid w:val="0"/>
      <w:spacing w:line="480" w:lineRule="atLeast"/>
      <w:ind w:left="3" w:firstLine="567"/>
      <w:textAlignment w:val="baseline"/>
    </w:pPr>
    <w:rPr>
      <w:rFonts w:hint="eastAsia" w:ascii="Arial" w:hAnsi="Arial"/>
      <w:sz w:val="24"/>
    </w:rPr>
  </w:style>
  <w:style w:type="paragraph" w:customStyle="1" w:styleId="1634">
    <w:name w:val="表、图名宋旭峰"/>
    <w:basedOn w:val="295"/>
    <w:qFormat/>
    <w:uiPriority w:val="0"/>
    <w:pPr>
      <w:tabs>
        <w:tab w:val="clear" w:pos="1021"/>
      </w:tabs>
      <w:spacing w:line="360" w:lineRule="auto"/>
    </w:pPr>
    <w:rPr>
      <w:rFonts w:ascii="黑体" w:hAnsi="Times New Roman" w:eastAsia="黑体"/>
      <w:b/>
      <w:color w:val="0000FF"/>
      <w:kern w:val="0"/>
      <w:sz w:val="24"/>
      <w:szCs w:val="24"/>
    </w:rPr>
  </w:style>
  <w:style w:type="paragraph" w:customStyle="1" w:styleId="1635">
    <w:name w:val="表内518"/>
    <w:basedOn w:val="1572"/>
    <w:qFormat/>
    <w:uiPriority w:val="0"/>
    <w:pPr>
      <w:spacing w:line="300" w:lineRule="auto"/>
      <w:jc w:val="both"/>
    </w:pPr>
    <w:rPr>
      <w:color w:val="000000"/>
    </w:rPr>
  </w:style>
  <w:style w:type="paragraph" w:customStyle="1" w:styleId="1636">
    <w:name w:val="Char1"/>
    <w:basedOn w:val="1"/>
    <w:qFormat/>
    <w:uiPriority w:val="0"/>
    <w:rPr>
      <w:spacing w:val="0"/>
      <w:kern w:val="2"/>
      <w:sz w:val="21"/>
      <w:szCs w:val="24"/>
    </w:rPr>
  </w:style>
  <w:style w:type="paragraph" w:customStyle="1" w:styleId="1637">
    <w:name w:val="样式 样式 题注 + (西文) 宋体 + 段后: 1 行"/>
    <w:basedOn w:val="1"/>
    <w:qFormat/>
    <w:uiPriority w:val="0"/>
    <w:pPr>
      <w:keepNext/>
      <w:spacing w:line="360" w:lineRule="auto"/>
      <w:ind w:firstLine="200" w:firstLineChars="200"/>
      <w:jc w:val="left"/>
    </w:pPr>
    <w:rPr>
      <w:rFonts w:ascii="宋体" w:hAnsi="宋体" w:cs="宋体"/>
      <w:color w:val="000000"/>
      <w:sz w:val="28"/>
    </w:rPr>
  </w:style>
  <w:style w:type="paragraph" w:customStyle="1" w:styleId="1638">
    <w:name w:val="样式 表内5 + (符号) 宋体 两端对齐 行距: 单倍行距4"/>
    <w:basedOn w:val="1106"/>
    <w:qFormat/>
    <w:uiPriority w:val="0"/>
    <w:pPr>
      <w:spacing w:line="240" w:lineRule="auto"/>
    </w:pPr>
  </w:style>
  <w:style w:type="paragraph" w:customStyle="1" w:styleId="1639">
    <w:name w:val="标题样式5"/>
    <w:basedOn w:val="7"/>
    <w:qFormat/>
    <w:uiPriority w:val="0"/>
    <w:pPr>
      <w:adjustRightInd/>
      <w:snapToGrid/>
      <w:spacing w:before="0" w:after="0" w:line="360" w:lineRule="auto"/>
      <w:ind w:firstLine="0" w:firstLineChars="0"/>
    </w:pPr>
    <w:rPr>
      <w:rFonts w:ascii="黑体" w:eastAsia="黑体"/>
      <w:bCs/>
      <w:spacing w:val="0"/>
      <w:szCs w:val="28"/>
    </w:rPr>
  </w:style>
  <w:style w:type="paragraph" w:customStyle="1" w:styleId="1640">
    <w:name w:val="表题92"/>
    <w:basedOn w:val="47"/>
    <w:qFormat/>
    <w:uiPriority w:val="0"/>
    <w:pPr>
      <w:adjustRightInd w:val="0"/>
      <w:spacing w:line="300" w:lineRule="auto"/>
      <w:jc w:val="center"/>
    </w:pPr>
    <w:rPr>
      <w:rFonts w:ascii="黑体" w:eastAsia="黑体"/>
      <w:sz w:val="24"/>
    </w:rPr>
  </w:style>
  <w:style w:type="paragraph" w:customStyle="1" w:styleId="1641">
    <w:name w:val="表目"/>
    <w:basedOn w:val="1"/>
    <w:qFormat/>
    <w:uiPriority w:val="0"/>
    <w:pPr>
      <w:adjustRightInd w:val="0"/>
      <w:spacing w:line="480" w:lineRule="atLeast"/>
      <w:ind w:left="-105" w:leftChars="-50" w:right="-105" w:rightChars="-50"/>
      <w:jc w:val="center"/>
      <w:textAlignment w:val="baseline"/>
    </w:pPr>
    <w:rPr>
      <w:rFonts w:ascii="Arial" w:hAnsi="Arial" w:eastAsia="仿宋_GB2312" w:cs="Arial"/>
      <w:sz w:val="24"/>
    </w:rPr>
  </w:style>
  <w:style w:type="paragraph" w:customStyle="1" w:styleId="1642">
    <w:name w:val="表内5104"/>
    <w:basedOn w:val="1572"/>
    <w:qFormat/>
    <w:uiPriority w:val="0"/>
    <w:pPr>
      <w:spacing w:line="300" w:lineRule="auto"/>
      <w:jc w:val="both"/>
    </w:pPr>
    <w:rPr>
      <w:szCs w:val="24"/>
    </w:rPr>
  </w:style>
  <w:style w:type="paragraph" w:customStyle="1" w:styleId="1643">
    <w:name w:val="样式 表标题3.10 + 段前: 1 行"/>
    <w:basedOn w:val="1487"/>
    <w:qFormat/>
    <w:uiPriority w:val="0"/>
    <w:pPr>
      <w:tabs>
        <w:tab w:val="left" w:pos="360"/>
        <w:tab w:val="left" w:pos="827"/>
        <w:tab w:val="left" w:pos="885"/>
        <w:tab w:val="clear" w:pos="4060"/>
        <w:tab w:val="clear" w:pos="8261"/>
      </w:tabs>
      <w:ind w:left="885" w:hanging="405"/>
    </w:pPr>
    <w:rPr>
      <w:rFonts w:cs="宋体"/>
      <w:bCs/>
      <w:spacing w:val="0"/>
    </w:rPr>
  </w:style>
  <w:style w:type="paragraph" w:customStyle="1" w:styleId="1644">
    <w:name w:val="待定小13"/>
    <w:basedOn w:val="1645"/>
    <w:qFormat/>
    <w:uiPriority w:val="0"/>
    <w:pPr>
      <w:tabs>
        <w:tab w:val="left" w:pos="4305"/>
      </w:tabs>
      <w:spacing w:line="240" w:lineRule="auto"/>
      <w:ind w:firstLine="0" w:firstLineChars="200"/>
    </w:pPr>
    <w:rPr>
      <w:rFonts w:cs="Times New Roman"/>
      <w:color w:val="0000FF"/>
      <w:sz w:val="21"/>
      <w:szCs w:val="20"/>
    </w:rPr>
  </w:style>
  <w:style w:type="paragraph" w:customStyle="1" w:styleId="1645">
    <w:name w:val="等核实"/>
    <w:basedOn w:val="35"/>
    <w:qFormat/>
    <w:uiPriority w:val="0"/>
    <w:pPr>
      <w:tabs>
        <w:tab w:val="left" w:pos="4305"/>
      </w:tabs>
      <w:adjustRightInd w:val="0"/>
      <w:snapToGrid w:val="0"/>
      <w:spacing w:after="0" w:line="360" w:lineRule="auto"/>
      <w:ind w:left="0" w:leftChars="0" w:firstLine="561"/>
    </w:pPr>
    <w:rPr>
      <w:rFonts w:ascii="宋体" w:hAnsi="宋体" w:cs="宋体"/>
      <w:color w:val="000000"/>
      <w:sz w:val="24"/>
    </w:rPr>
  </w:style>
  <w:style w:type="paragraph" w:customStyle="1" w:styleId="1646">
    <w:name w:val="2 Char Char Char Char Char Char Char Char Char Char"/>
    <w:basedOn w:val="1"/>
    <w:qFormat/>
    <w:uiPriority w:val="0"/>
  </w:style>
  <w:style w:type="paragraph" w:customStyle="1" w:styleId="1647">
    <w:name w:val="Char Char Char1 Char Char Char1 Char Char Char Char Char Char1 Char Char Char1 Char"/>
    <w:basedOn w:val="1"/>
    <w:qFormat/>
    <w:uiPriority w:val="0"/>
  </w:style>
  <w:style w:type="paragraph" w:customStyle="1" w:styleId="1648">
    <w:name w:val="样式8"/>
    <w:basedOn w:val="1"/>
    <w:qFormat/>
    <w:uiPriority w:val="0"/>
    <w:pPr>
      <w:widowControl/>
      <w:spacing w:line="360" w:lineRule="auto"/>
      <w:ind w:firstLine="562" w:firstLineChars="200"/>
      <w:jc w:val="center"/>
    </w:pPr>
    <w:rPr>
      <w:sz w:val="18"/>
      <w:szCs w:val="18"/>
    </w:rPr>
  </w:style>
  <w:style w:type="paragraph" w:customStyle="1" w:styleId="1649">
    <w:name w:val="Char64"/>
    <w:basedOn w:val="1"/>
    <w:qFormat/>
    <w:uiPriority w:val="0"/>
    <w:pPr>
      <w:ind w:left="-48"/>
    </w:pPr>
  </w:style>
  <w:style w:type="paragraph" w:customStyle="1" w:styleId="1650">
    <w:name w:val="1char"/>
    <w:basedOn w:val="1"/>
    <w:qFormat/>
    <w:uiPriority w:val="0"/>
    <w:pPr>
      <w:widowControl/>
      <w:spacing w:before="100" w:beforeAutospacing="1" w:after="100" w:afterAutospacing="1"/>
      <w:jc w:val="left"/>
    </w:pPr>
    <w:rPr>
      <w:rFonts w:ascii="Arial Unicode MS" w:hAnsi="Arial Unicode MS"/>
      <w:sz w:val="24"/>
    </w:rPr>
  </w:style>
  <w:style w:type="paragraph" w:customStyle="1" w:styleId="1651">
    <w:name w:val="Char1 Char Char Char Char Char Char Char Char Char"/>
    <w:basedOn w:val="1"/>
    <w:qFormat/>
    <w:uiPriority w:val="0"/>
    <w:pPr>
      <w:widowControl/>
      <w:adjustRightInd w:val="0"/>
      <w:spacing w:after="160" w:line="240" w:lineRule="exact"/>
      <w:jc w:val="left"/>
      <w:textAlignment w:val="baseline"/>
    </w:pPr>
    <w:rPr>
      <w:rFonts w:ascii="Verdana" w:hAnsi="Verdana" w:eastAsia="仿宋_GB2312"/>
      <w:sz w:val="24"/>
      <w:lang w:eastAsia="en-US"/>
    </w:rPr>
  </w:style>
  <w:style w:type="paragraph" w:customStyle="1" w:styleId="1652">
    <w:name w:val="表格03"/>
    <w:basedOn w:val="1"/>
    <w:qFormat/>
    <w:uiPriority w:val="0"/>
    <w:pPr>
      <w:spacing w:line="400" w:lineRule="exact"/>
      <w:jc w:val="center"/>
    </w:pPr>
    <w:rPr>
      <w:szCs w:val="21"/>
    </w:rPr>
  </w:style>
  <w:style w:type="paragraph" w:customStyle="1" w:styleId="1653">
    <w:name w:val="标题431"/>
    <w:basedOn w:val="1"/>
    <w:qFormat/>
    <w:uiPriority w:val="0"/>
    <w:pPr>
      <w:adjustRightInd w:val="0"/>
      <w:snapToGrid w:val="0"/>
      <w:spacing w:line="360" w:lineRule="auto"/>
      <w:jc w:val="left"/>
    </w:pPr>
    <w:rPr>
      <w:rFonts w:ascii="宋体" w:hAnsi="宋体" w:cs="宋体"/>
      <w:b/>
      <w:sz w:val="28"/>
      <w:szCs w:val="28"/>
    </w:rPr>
  </w:style>
  <w:style w:type="paragraph" w:customStyle="1" w:styleId="1654">
    <w:name w:val="样式 标题 2二级标题标题 lxb2标题21.1H2h2第一层条二级标题 Char单位名4.1SeHea..."/>
    <w:basedOn w:val="1272"/>
    <w:next w:val="1272"/>
    <w:qFormat/>
    <w:uiPriority w:val="0"/>
    <w:pPr>
      <w:adjustRightInd/>
      <w:snapToGrid/>
      <w:spacing w:line="360" w:lineRule="auto"/>
      <w:ind w:firstLine="0" w:firstLineChars="0"/>
    </w:pPr>
    <w:rPr>
      <w:rFonts w:eastAsia="黑体" w:cs="宋体"/>
      <w:b/>
      <w:szCs w:val="24"/>
    </w:rPr>
  </w:style>
  <w:style w:type="paragraph" w:customStyle="1" w:styleId="1655">
    <w:name w:val="表内5中25"/>
    <w:basedOn w:val="1"/>
    <w:qFormat/>
    <w:uiPriority w:val="0"/>
    <w:pPr>
      <w:adjustRightInd w:val="0"/>
      <w:snapToGrid w:val="0"/>
      <w:jc w:val="center"/>
    </w:pPr>
    <w:rPr>
      <w:rFonts w:ascii="宋体"/>
      <w:color w:val="000000"/>
      <w:szCs w:val="21"/>
    </w:rPr>
  </w:style>
  <w:style w:type="paragraph" w:customStyle="1" w:styleId="1656">
    <w:name w:val="Char Char Char Char Char Char Char Char Char Char Char1 Char Char Char Char Char Char Char Char Char Char Char Char Char Char Char Char1"/>
    <w:basedOn w:val="1"/>
    <w:qFormat/>
    <w:uiPriority w:val="0"/>
  </w:style>
  <w:style w:type="paragraph" w:customStyle="1" w:styleId="1657">
    <w:name w:val="表格文字（对中）"/>
    <w:basedOn w:val="21"/>
    <w:qFormat/>
    <w:uiPriority w:val="0"/>
    <w:pPr>
      <w:ind w:firstLine="0" w:firstLineChars="0"/>
      <w:jc w:val="center"/>
    </w:pPr>
    <w:rPr>
      <w:sz w:val="21"/>
      <w:szCs w:val="24"/>
    </w:rPr>
  </w:style>
  <w:style w:type="paragraph" w:customStyle="1" w:styleId="1658">
    <w:name w:val="首缩3"/>
    <w:basedOn w:val="1"/>
    <w:qFormat/>
    <w:uiPriority w:val="0"/>
    <w:pPr>
      <w:adjustRightInd w:val="0"/>
      <w:snapToGrid w:val="0"/>
      <w:spacing w:line="500" w:lineRule="exact"/>
      <w:ind w:firstLine="200" w:firstLineChars="200"/>
    </w:pPr>
    <w:rPr>
      <w:rFonts w:eastAsia="仿宋_GB2312"/>
      <w:snapToGrid w:val="0"/>
      <w:sz w:val="28"/>
    </w:rPr>
  </w:style>
  <w:style w:type="paragraph" w:customStyle="1" w:styleId="1659">
    <w:name w:val="Char Char1 Char Char Char Char Char Char"/>
    <w:basedOn w:val="1"/>
    <w:qFormat/>
    <w:uiPriority w:val="0"/>
    <w:pPr>
      <w:widowControl/>
      <w:spacing w:after="160" w:line="240" w:lineRule="exact"/>
      <w:jc w:val="left"/>
    </w:pPr>
    <w:rPr>
      <w:rFonts w:ascii="Verdana" w:hAnsi="Verdana" w:eastAsia="仿宋_GB2312"/>
      <w:sz w:val="24"/>
      <w:lang w:eastAsia="en-US"/>
    </w:rPr>
  </w:style>
  <w:style w:type="paragraph" w:customStyle="1" w:styleId="1660">
    <w:name w:val="表内555"/>
    <w:basedOn w:val="1572"/>
    <w:qFormat/>
    <w:uiPriority w:val="0"/>
    <w:pPr>
      <w:spacing w:line="300" w:lineRule="auto"/>
      <w:jc w:val="both"/>
    </w:pPr>
    <w:rPr>
      <w:color w:val="000000"/>
    </w:rPr>
  </w:style>
  <w:style w:type="paragraph" w:customStyle="1" w:styleId="1661">
    <w:name w:val="正文两端对齐"/>
    <w:basedOn w:val="1"/>
    <w:qFormat/>
    <w:uiPriority w:val="0"/>
    <w:pPr>
      <w:spacing w:line="400" w:lineRule="exact"/>
    </w:pPr>
    <w:rPr>
      <w:sz w:val="24"/>
    </w:rPr>
  </w:style>
  <w:style w:type="paragraph" w:customStyle="1" w:styleId="1662">
    <w:name w:val="待定小6"/>
    <w:basedOn w:val="1663"/>
    <w:qFormat/>
    <w:uiPriority w:val="0"/>
    <w:rPr>
      <w:color w:val="000000"/>
    </w:rPr>
  </w:style>
  <w:style w:type="paragraph" w:customStyle="1" w:styleId="1663">
    <w:name w:val="表内文字小"/>
    <w:basedOn w:val="1"/>
    <w:qFormat/>
    <w:uiPriority w:val="0"/>
    <w:pPr>
      <w:adjustRightInd w:val="0"/>
      <w:snapToGrid w:val="0"/>
      <w:jc w:val="center"/>
    </w:pPr>
    <w:rPr>
      <w:rFonts w:ascii="宋体" w:hAnsi="Times" w:cs="宋体"/>
      <w:bCs/>
      <w:color w:val="003366"/>
    </w:rPr>
  </w:style>
  <w:style w:type="paragraph" w:customStyle="1" w:styleId="1664">
    <w:name w:val="列出段落1"/>
    <w:basedOn w:val="1"/>
    <w:qFormat/>
    <w:uiPriority w:val="34"/>
    <w:pPr>
      <w:ind w:firstLine="420" w:firstLineChars="200"/>
    </w:pPr>
    <w:rPr>
      <w:rFonts w:ascii="Calibri" w:hAnsi="Calibri"/>
      <w:szCs w:val="22"/>
    </w:rPr>
  </w:style>
  <w:style w:type="paragraph" w:customStyle="1" w:styleId="1665">
    <w:name w:val="表7.4"/>
    <w:basedOn w:val="1"/>
    <w:qFormat/>
    <w:uiPriority w:val="0"/>
    <w:pPr>
      <w:tabs>
        <w:tab w:val="left" w:pos="420"/>
        <w:tab w:val="left" w:pos="1653"/>
        <w:tab w:val="center" w:pos="4060"/>
        <w:tab w:val="right" w:pos="8261"/>
      </w:tabs>
      <w:suppressAutoHyphens/>
      <w:adjustRightInd w:val="0"/>
      <w:spacing w:beforeLines="100" w:line="0" w:lineRule="atLeast"/>
      <w:ind w:left="993" w:hanging="420"/>
      <w:jc w:val="center"/>
    </w:pPr>
    <w:rPr>
      <w:rFonts w:ascii="黑体" w:eastAsia="黑体" w:cs="宋体"/>
      <w:b/>
      <w:bCs/>
      <w:spacing w:val="6"/>
      <w:sz w:val="24"/>
    </w:rPr>
  </w:style>
  <w:style w:type="paragraph" w:customStyle="1" w:styleId="1666">
    <w:name w:val="样式 标题 2标题21.1标题 21.1标题 2 Char1节_Heading 2二级标题，黑粗，小三，序号H...1"/>
    <w:basedOn w:val="4"/>
    <w:qFormat/>
    <w:uiPriority w:val="0"/>
    <w:pPr>
      <w:widowControl/>
      <w:tabs>
        <w:tab w:val="clear" w:pos="1427"/>
      </w:tabs>
      <w:wordWrap w:val="0"/>
      <w:overflowPunct w:val="0"/>
      <w:spacing w:beforeLines="0" w:afterLines="0" w:line="500" w:lineRule="atLeast"/>
      <w:jc w:val="center"/>
      <w:textAlignment w:val="center"/>
    </w:pPr>
    <w:rPr>
      <w:rFonts w:ascii="Arial" w:hAnsi="Arial"/>
      <w:color w:val="C00000"/>
      <w:sz w:val="30"/>
    </w:rPr>
  </w:style>
  <w:style w:type="paragraph" w:customStyle="1" w:styleId="1667">
    <w:name w:val="xl72"/>
    <w:basedOn w:val="1"/>
    <w:qFormat/>
    <w:uiPriority w:val="0"/>
    <w:pPr>
      <w:widowControl/>
      <w:pBdr>
        <w:left w:val="single" w:color="auto" w:sz="4" w:space="0"/>
        <w:bottom w:val="single" w:color="auto" w:sz="8" w:space="0"/>
        <w:right w:val="single" w:color="auto" w:sz="8" w:space="0"/>
      </w:pBdr>
      <w:spacing w:before="100" w:beforeAutospacing="1" w:after="100" w:afterAutospacing="1"/>
      <w:jc w:val="left"/>
      <w:textAlignment w:val="center"/>
    </w:pPr>
    <w:rPr>
      <w:rFonts w:ascii="Arial Unicode MS" w:hAnsi="Arial Unicode MS" w:eastAsia="Arial Unicode MS"/>
      <w:sz w:val="24"/>
    </w:rPr>
  </w:style>
  <w:style w:type="paragraph" w:customStyle="1" w:styleId="1668">
    <w:name w:val="福建正文缩进14"/>
    <w:basedOn w:val="21"/>
    <w:qFormat/>
    <w:uiPriority w:val="0"/>
    <w:pPr>
      <w:autoSpaceDE w:val="0"/>
      <w:autoSpaceDN w:val="0"/>
      <w:adjustRightInd w:val="0"/>
      <w:snapToGrid w:val="0"/>
      <w:spacing w:line="360" w:lineRule="auto"/>
      <w:ind w:firstLine="539" w:firstLineChars="0"/>
    </w:pPr>
    <w:rPr>
      <w:rFonts w:ascii="宋体" w:hAnsi="宋体"/>
      <w:szCs w:val="24"/>
    </w:rPr>
  </w:style>
  <w:style w:type="paragraph" w:customStyle="1" w:styleId="1669">
    <w:name w:val="样式 黑体 四号 行距: 固定值 26 磅"/>
    <w:basedOn w:val="1"/>
    <w:qFormat/>
    <w:uiPriority w:val="0"/>
    <w:pPr>
      <w:snapToGrid w:val="0"/>
      <w:spacing w:before="240" w:line="480" w:lineRule="exact"/>
    </w:pPr>
    <w:rPr>
      <w:rFonts w:ascii="宋体" w:hAnsi="宋体"/>
      <w:b/>
      <w:bCs/>
      <w:sz w:val="28"/>
    </w:rPr>
  </w:style>
  <w:style w:type="paragraph" w:customStyle="1" w:styleId="1670">
    <w:name w:val="标题53"/>
    <w:basedOn w:val="1"/>
    <w:qFormat/>
    <w:uiPriority w:val="0"/>
    <w:pPr>
      <w:keepNext/>
      <w:keepLines/>
      <w:widowControl/>
      <w:adjustRightInd w:val="0"/>
      <w:snapToGrid w:val="0"/>
      <w:spacing w:line="360" w:lineRule="auto"/>
      <w:outlineLvl w:val="2"/>
    </w:pPr>
    <w:rPr>
      <w:b/>
      <w:snapToGrid w:val="0"/>
      <w:color w:val="000000"/>
      <w:sz w:val="18"/>
    </w:rPr>
  </w:style>
  <w:style w:type="paragraph" w:customStyle="1" w:styleId="1671">
    <w:name w:val="标题410"/>
    <w:basedOn w:val="1"/>
    <w:qFormat/>
    <w:uiPriority w:val="0"/>
    <w:pPr>
      <w:adjustRightInd w:val="0"/>
      <w:snapToGrid w:val="0"/>
      <w:spacing w:line="300" w:lineRule="auto"/>
      <w:jc w:val="left"/>
    </w:pPr>
    <w:rPr>
      <w:rFonts w:ascii="黑体" w:hAnsi="宋体" w:eastAsia="黑体" w:cs="宋体"/>
      <w:sz w:val="24"/>
    </w:rPr>
  </w:style>
  <w:style w:type="paragraph" w:customStyle="1" w:styleId="1672">
    <w:name w:val="样式 样式 正文首行缩进 + 首行缩进:  2 字符2 + 首行缩进:  2 字符1"/>
    <w:basedOn w:val="1"/>
    <w:qFormat/>
    <w:uiPriority w:val="0"/>
    <w:pPr>
      <w:tabs>
        <w:tab w:val="left" w:pos="628"/>
        <w:tab w:val="left" w:pos="1727"/>
        <w:tab w:val="left" w:pos="1884"/>
        <w:tab w:val="left" w:pos="2660"/>
        <w:tab w:val="left" w:pos="5460"/>
      </w:tabs>
      <w:snapToGrid w:val="0"/>
      <w:spacing w:line="360" w:lineRule="auto"/>
      <w:ind w:firstLine="200" w:firstLineChars="200"/>
      <w:jc w:val="left"/>
    </w:pPr>
    <w:rPr>
      <w:rFonts w:ascii="宋体" w:hAnsi="宋体" w:cs="宋体"/>
      <w:color w:val="000000"/>
      <w:sz w:val="28"/>
    </w:rPr>
  </w:style>
  <w:style w:type="paragraph" w:customStyle="1" w:styleId="1673">
    <w:name w:val="Char35"/>
    <w:basedOn w:val="1"/>
    <w:qFormat/>
    <w:uiPriority w:val="0"/>
    <w:pPr>
      <w:ind w:left="-48"/>
    </w:pPr>
  </w:style>
  <w:style w:type="paragraph" w:customStyle="1" w:styleId="1674">
    <w:name w:val="4444"/>
    <w:basedOn w:val="1"/>
    <w:qFormat/>
    <w:uiPriority w:val="0"/>
    <w:pPr>
      <w:spacing w:beforeLines="50" w:line="360" w:lineRule="auto"/>
      <w:jc w:val="left"/>
    </w:pPr>
    <w:rPr>
      <w:rFonts w:ascii="宋体" w:hAnsi="宋体"/>
      <w:b/>
      <w:sz w:val="28"/>
      <w:szCs w:val="28"/>
    </w:rPr>
  </w:style>
  <w:style w:type="paragraph" w:customStyle="1" w:styleId="1675">
    <w:name w:val="页眉中142"/>
    <w:basedOn w:val="1"/>
    <w:qFormat/>
    <w:uiPriority w:val="0"/>
    <w:pPr>
      <w:adjustRightInd w:val="0"/>
      <w:snapToGrid w:val="0"/>
      <w:spacing w:line="300" w:lineRule="auto"/>
      <w:jc w:val="left"/>
    </w:pPr>
    <w:rPr>
      <w:rFonts w:ascii="黑体" w:eastAsia="黑体"/>
      <w:bCs/>
      <w:sz w:val="24"/>
    </w:rPr>
  </w:style>
  <w:style w:type="paragraph" w:customStyle="1" w:styleId="1676">
    <w:name w:val="表内54"/>
    <w:basedOn w:val="1"/>
    <w:qFormat/>
    <w:uiPriority w:val="0"/>
    <w:pPr>
      <w:adjustRightInd w:val="0"/>
      <w:snapToGrid w:val="0"/>
      <w:spacing w:line="300" w:lineRule="auto"/>
      <w:jc w:val="center"/>
    </w:pPr>
    <w:rPr>
      <w:rFonts w:ascii="宋体" w:hAnsi="宋体" w:cs="宋体"/>
    </w:rPr>
  </w:style>
  <w:style w:type="paragraph" w:customStyle="1" w:styleId="1677">
    <w:name w:val="正文样式3"/>
    <w:basedOn w:val="1"/>
    <w:qFormat/>
    <w:uiPriority w:val="0"/>
    <w:pPr>
      <w:adjustRightInd w:val="0"/>
      <w:spacing w:line="20" w:lineRule="atLeast"/>
      <w:jc w:val="center"/>
      <w:textAlignment w:val="baseline"/>
    </w:pPr>
    <w:rPr>
      <w:sz w:val="24"/>
    </w:rPr>
  </w:style>
  <w:style w:type="paragraph" w:customStyle="1" w:styleId="1678">
    <w:name w:val="HP3"/>
    <w:basedOn w:val="5"/>
    <w:qFormat/>
    <w:uiPriority w:val="0"/>
    <w:pPr>
      <w:tabs>
        <w:tab w:val="clear" w:pos="720"/>
      </w:tabs>
      <w:adjustRightInd/>
      <w:spacing w:before="260" w:after="260" w:line="240" w:lineRule="auto"/>
      <w:ind w:left="0" w:firstLine="0"/>
    </w:pPr>
    <w:rPr>
      <w:rFonts w:ascii="宋体" w:hAnsi="宋体" w:eastAsia="宋体"/>
      <w:bCs/>
      <w:color w:val="auto"/>
      <w:spacing w:val="0"/>
      <w:kern w:val="2"/>
      <w:sz w:val="24"/>
      <w:szCs w:val="24"/>
      <w:u w:color="000000"/>
    </w:rPr>
  </w:style>
  <w:style w:type="paragraph" w:customStyle="1" w:styleId="1679">
    <w:name w:val="样式 小四 加粗 行距: 1.5 倍行距"/>
    <w:basedOn w:val="1"/>
    <w:qFormat/>
    <w:uiPriority w:val="0"/>
    <w:pPr>
      <w:spacing w:line="360" w:lineRule="auto"/>
    </w:pPr>
    <w:rPr>
      <w:rFonts w:cs="宋体"/>
      <w:b/>
      <w:bCs/>
      <w:sz w:val="24"/>
    </w:rPr>
  </w:style>
  <w:style w:type="paragraph" w:customStyle="1" w:styleId="1680">
    <w:name w:val="xl57"/>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宋体" w:hAnsi="宋体"/>
      <w:sz w:val="48"/>
      <w:szCs w:val="48"/>
    </w:rPr>
  </w:style>
  <w:style w:type="paragraph" w:customStyle="1" w:styleId="1681">
    <w:name w:val="正文15"/>
    <w:basedOn w:val="1"/>
    <w:qFormat/>
    <w:uiPriority w:val="0"/>
    <w:pPr>
      <w:adjustRightInd w:val="0"/>
      <w:snapToGrid w:val="0"/>
      <w:spacing w:after="120"/>
      <w:jc w:val="center"/>
      <w:textAlignment w:val="baseline"/>
    </w:pPr>
    <w:rPr>
      <w:sz w:val="18"/>
    </w:rPr>
  </w:style>
  <w:style w:type="paragraph" w:customStyle="1" w:styleId="1682">
    <w:name w:val="标题 111"/>
    <w:basedOn w:val="1"/>
    <w:next w:val="4"/>
    <w:qFormat/>
    <w:uiPriority w:val="0"/>
    <w:pPr>
      <w:adjustRightInd w:val="0"/>
      <w:spacing w:before="120" w:line="440" w:lineRule="exact"/>
    </w:pPr>
    <w:rPr>
      <w:rFonts w:ascii="Arial" w:hAnsi="Arial" w:eastAsia="黑体"/>
      <w:b/>
      <w:color w:val="000000"/>
      <w:kern w:val="44"/>
      <w:sz w:val="30"/>
    </w:rPr>
  </w:style>
  <w:style w:type="paragraph" w:customStyle="1" w:styleId="1683">
    <w:name w:val="左侧"/>
    <w:qFormat/>
    <w:uiPriority w:val="0"/>
    <w:pPr>
      <w:spacing w:line="280" w:lineRule="exact"/>
      <w:jc w:val="center"/>
    </w:pPr>
    <w:rPr>
      <w:rFonts w:ascii="Batang" w:hAnsi="Batang" w:eastAsia="宋体" w:cs="Times New Roman"/>
      <w:color w:val="000000"/>
      <w:sz w:val="21"/>
      <w:lang w:val="en-US" w:eastAsia="zh-CN" w:bidi="ar-SA"/>
    </w:rPr>
  </w:style>
  <w:style w:type="paragraph" w:customStyle="1" w:styleId="1684">
    <w:name w:val="黑体"/>
    <w:basedOn w:val="1"/>
    <w:qFormat/>
    <w:uiPriority w:val="0"/>
    <w:pPr>
      <w:tabs>
        <w:tab w:val="left" w:pos="6660"/>
      </w:tabs>
      <w:spacing w:after="48" w:line="420" w:lineRule="exact"/>
    </w:pPr>
    <w:rPr>
      <w:rFonts w:ascii="宋体"/>
      <w:sz w:val="24"/>
    </w:rPr>
  </w:style>
  <w:style w:type="paragraph" w:customStyle="1" w:styleId="1685">
    <w:name w:val="表标题5.3"/>
    <w:basedOn w:val="1"/>
    <w:qFormat/>
    <w:uiPriority w:val="0"/>
    <w:pPr>
      <w:tabs>
        <w:tab w:val="left" w:pos="420"/>
      </w:tabs>
      <w:spacing w:beforeLines="100" w:line="0" w:lineRule="atLeast"/>
      <w:ind w:left="420" w:hanging="420"/>
    </w:pPr>
    <w:rPr>
      <w:rFonts w:eastAsia="黑体"/>
      <w:b/>
      <w:sz w:val="24"/>
    </w:rPr>
  </w:style>
  <w:style w:type="paragraph" w:customStyle="1" w:styleId="1686">
    <w:name w:val="样式 标题 3 + (中文) 宋体 加粗 左侧:  1.25 厘米 行距: 固定值 20 磅"/>
    <w:basedOn w:val="5"/>
    <w:qFormat/>
    <w:uiPriority w:val="0"/>
    <w:pPr>
      <w:tabs>
        <w:tab w:val="left" w:pos="1429"/>
      </w:tabs>
      <w:adjustRightInd/>
      <w:snapToGrid w:val="0"/>
      <w:spacing w:before="60" w:line="400" w:lineRule="exact"/>
      <w:ind w:left="709" w:hanging="720"/>
      <w:jc w:val="both"/>
      <w:textAlignment w:val="auto"/>
    </w:pPr>
    <w:rPr>
      <w:rFonts w:ascii="宋体" w:hAnsi="宋体" w:eastAsia="宋体" w:cs="宋体"/>
      <w:b w:val="0"/>
      <w:bCs/>
      <w:color w:val="auto"/>
      <w:spacing w:val="0"/>
      <w:kern w:val="2"/>
      <w:sz w:val="24"/>
    </w:rPr>
  </w:style>
  <w:style w:type="paragraph" w:customStyle="1" w:styleId="1687">
    <w:name w:val="初设正文"/>
    <w:basedOn w:val="1"/>
    <w:qFormat/>
    <w:uiPriority w:val="0"/>
    <w:pPr>
      <w:spacing w:after="120" w:line="440" w:lineRule="exact"/>
      <w:ind w:left="425" w:firstLine="425"/>
    </w:pPr>
    <w:rPr>
      <w:rFonts w:ascii="Arial" w:hAnsi="Arial"/>
      <w:sz w:val="24"/>
    </w:rPr>
  </w:style>
  <w:style w:type="paragraph" w:customStyle="1" w:styleId="1688">
    <w:name w:val="CM7"/>
    <w:basedOn w:val="641"/>
    <w:next w:val="641"/>
    <w:qFormat/>
    <w:uiPriority w:val="0"/>
    <w:pPr>
      <w:spacing w:line="460" w:lineRule="atLeast"/>
    </w:pPr>
    <w:rPr>
      <w:rFonts w:ascii="黑体" w:eastAsia="黑体" w:cs="Times New Roman"/>
      <w:color w:val="auto"/>
      <w:sz w:val="20"/>
    </w:rPr>
  </w:style>
  <w:style w:type="paragraph" w:customStyle="1" w:styleId="1689">
    <w:name w:val="表题73"/>
    <w:basedOn w:val="35"/>
    <w:qFormat/>
    <w:uiPriority w:val="0"/>
    <w:pPr>
      <w:tabs>
        <w:tab w:val="left" w:pos="4305"/>
      </w:tabs>
      <w:adjustRightInd w:val="0"/>
      <w:snapToGrid w:val="0"/>
      <w:spacing w:after="0"/>
      <w:ind w:left="0" w:leftChars="0"/>
      <w:jc w:val="center"/>
    </w:pPr>
    <w:rPr>
      <w:rFonts w:ascii="黑体" w:hAnsi="宋体" w:eastAsia="黑体"/>
      <w:sz w:val="24"/>
    </w:rPr>
  </w:style>
  <w:style w:type="paragraph" w:customStyle="1" w:styleId="1690">
    <w:name w:val="Char Char Char Char Char Char Char Char Char Char Char Char Char Char Char Char Char Char Char Char Char1 Char"/>
    <w:basedOn w:val="1"/>
    <w:next w:val="1"/>
    <w:qFormat/>
    <w:uiPriority w:val="0"/>
    <w:pPr>
      <w:keepNext/>
      <w:keepLines/>
      <w:widowControl/>
      <w:adjustRightInd w:val="0"/>
      <w:spacing w:before="40" w:after="40" w:line="360" w:lineRule="auto"/>
      <w:ind w:firstLine="482" w:firstLineChars="200"/>
      <w:textAlignment w:val="baseline"/>
    </w:pPr>
    <w:rPr>
      <w:rFonts w:cs="宋体"/>
      <w:b/>
      <w:sz w:val="24"/>
      <w:szCs w:val="28"/>
    </w:rPr>
  </w:style>
  <w:style w:type="paragraph" w:customStyle="1" w:styleId="1691">
    <w:name w:val="燕山正文25"/>
    <w:basedOn w:val="1"/>
    <w:qFormat/>
    <w:uiPriority w:val="0"/>
    <w:pPr>
      <w:tabs>
        <w:tab w:val="left" w:pos="4680"/>
      </w:tabs>
      <w:adjustRightInd w:val="0"/>
      <w:snapToGrid w:val="0"/>
      <w:spacing w:line="360" w:lineRule="auto"/>
      <w:ind w:firstLine="480" w:firstLineChars="200"/>
      <w:jc w:val="left"/>
    </w:pPr>
    <w:rPr>
      <w:rFonts w:ascii="宋体" w:hAnsi="宋体"/>
      <w:bCs/>
      <w:color w:val="000000"/>
      <w:sz w:val="24"/>
    </w:rPr>
  </w:style>
  <w:style w:type="paragraph" w:customStyle="1" w:styleId="1692">
    <w:name w:val="表中文字中修改"/>
    <w:basedOn w:val="1596"/>
    <w:qFormat/>
    <w:uiPriority w:val="0"/>
    <w:pPr>
      <w:adjustRightInd w:val="0"/>
    </w:pPr>
    <w:rPr>
      <w:color w:val="000000"/>
    </w:rPr>
  </w:style>
  <w:style w:type="paragraph" w:customStyle="1" w:styleId="1693">
    <w:name w:val="索引 111"/>
    <w:basedOn w:val="1"/>
    <w:next w:val="1"/>
    <w:qFormat/>
    <w:uiPriority w:val="0"/>
    <w:rPr>
      <w:sz w:val="24"/>
    </w:rPr>
  </w:style>
  <w:style w:type="paragraph" w:customStyle="1" w:styleId="1694">
    <w:name w:val="Char Char Char Char Char Char1 Char4"/>
    <w:basedOn w:val="1"/>
    <w:qFormat/>
    <w:uiPriority w:val="0"/>
  </w:style>
  <w:style w:type="paragraph" w:customStyle="1" w:styleId="1695">
    <w:name w:val="正文文本 32"/>
    <w:basedOn w:val="1"/>
    <w:qFormat/>
    <w:uiPriority w:val="0"/>
    <w:pPr>
      <w:adjustRightInd w:val="0"/>
      <w:textAlignment w:val="baseline"/>
    </w:pPr>
    <w:rPr>
      <w:sz w:val="24"/>
    </w:rPr>
  </w:style>
  <w:style w:type="paragraph" w:customStyle="1" w:styleId="1696">
    <w:name w:val="xl58"/>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宋体" w:hAnsi="宋体"/>
      <w:sz w:val="48"/>
      <w:szCs w:val="48"/>
    </w:rPr>
  </w:style>
  <w:style w:type="paragraph" w:customStyle="1" w:styleId="1697">
    <w:name w:val="燕山正文14"/>
    <w:basedOn w:val="1"/>
    <w:qFormat/>
    <w:uiPriority w:val="0"/>
    <w:pPr>
      <w:tabs>
        <w:tab w:val="left" w:pos="4680"/>
      </w:tabs>
      <w:adjustRightInd w:val="0"/>
      <w:snapToGrid w:val="0"/>
      <w:spacing w:line="360" w:lineRule="auto"/>
      <w:ind w:firstLine="480" w:firstLineChars="200"/>
    </w:pPr>
    <w:rPr>
      <w:rFonts w:ascii="宋体" w:hAnsi="宋体" w:cs="宋体"/>
      <w:bCs/>
      <w:color w:val="000000"/>
      <w:sz w:val="24"/>
    </w:rPr>
  </w:style>
  <w:style w:type="paragraph" w:customStyle="1" w:styleId="1698">
    <w:name w:val="样式 标题 3 + 首行缩进:  0 字符1"/>
    <w:basedOn w:val="5"/>
    <w:qFormat/>
    <w:uiPriority w:val="0"/>
    <w:pPr>
      <w:adjustRightInd/>
      <w:spacing w:beforeLines="50" w:afterLines="50" w:line="500" w:lineRule="exact"/>
      <w:ind w:left="720" w:hanging="720"/>
      <w:jc w:val="both"/>
      <w:textAlignment w:val="auto"/>
    </w:pPr>
    <w:rPr>
      <w:rFonts w:cs="宋体"/>
      <w:b w:val="0"/>
      <w:color w:val="auto"/>
      <w:spacing w:val="0"/>
      <w:kern w:val="2"/>
      <w:sz w:val="24"/>
    </w:rPr>
  </w:style>
  <w:style w:type="paragraph" w:customStyle="1" w:styleId="1699">
    <w:name w:val="Char Char Char1 Char4"/>
    <w:basedOn w:val="4"/>
    <w:next w:val="4"/>
    <w:qFormat/>
    <w:uiPriority w:val="0"/>
    <w:pPr>
      <w:tabs>
        <w:tab w:val="left" w:pos="576"/>
        <w:tab w:val="left" w:pos="768"/>
        <w:tab w:val="clear" w:pos="1427"/>
      </w:tabs>
      <w:spacing w:beforeLines="100" w:afterLines="100" w:line="324" w:lineRule="auto"/>
      <w:ind w:left="576"/>
      <w:jc w:val="both"/>
      <w:textAlignment w:val="auto"/>
    </w:pPr>
    <w:rPr>
      <w:rFonts w:ascii="黑体" w:hAnsi="Arial" w:eastAsia="华文中宋" w:cs="宋体"/>
      <w:b w:val="0"/>
      <w:color w:val="000000"/>
      <w:sz w:val="44"/>
      <w:szCs w:val="44"/>
    </w:rPr>
  </w:style>
  <w:style w:type="paragraph" w:customStyle="1" w:styleId="1700">
    <w:name w:val="1 标题 1章标题 +"/>
    <w:basedOn w:val="3"/>
    <w:qFormat/>
    <w:uiPriority w:val="0"/>
    <w:pPr>
      <w:spacing w:before="240" w:after="360" w:line="480" w:lineRule="auto"/>
      <w:jc w:val="center"/>
    </w:pPr>
    <w:rPr>
      <w:kern w:val="0"/>
      <w:sz w:val="32"/>
      <w:szCs w:val="36"/>
    </w:rPr>
  </w:style>
  <w:style w:type="paragraph" w:customStyle="1" w:styleId="1701">
    <w:name w:val="标题 511"/>
    <w:basedOn w:val="1"/>
    <w:next w:val="1"/>
    <w:qFormat/>
    <w:uiPriority w:val="0"/>
    <w:pPr>
      <w:adjustRightInd w:val="0"/>
      <w:snapToGrid w:val="0"/>
      <w:spacing w:line="440" w:lineRule="atLeast"/>
      <w:ind w:firstLine="567"/>
      <w:textAlignment w:val="baseline"/>
    </w:pPr>
    <w:rPr>
      <w:rFonts w:hint="eastAsia"/>
      <w:sz w:val="24"/>
    </w:rPr>
  </w:style>
  <w:style w:type="paragraph" w:customStyle="1" w:styleId="1702">
    <w:name w:val="表题38"/>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1703">
    <w:name w:val="表内宋56"/>
    <w:basedOn w:val="82"/>
    <w:qFormat/>
    <w:uiPriority w:val="0"/>
    <w:pPr>
      <w:widowControl/>
      <w:adjustRightInd w:val="0"/>
      <w:snapToGrid w:val="0"/>
      <w:spacing w:before="100" w:beforeAutospacing="1" w:after="100" w:afterAutospacing="1"/>
    </w:pPr>
    <w:rPr>
      <w:rFonts w:ascii="宋体" w:hAnsi="宋体"/>
      <w:color w:val="000000"/>
      <w:sz w:val="21"/>
    </w:rPr>
  </w:style>
  <w:style w:type="paragraph" w:customStyle="1" w:styleId="1704">
    <w:name w:val="表标题5.12"/>
    <w:basedOn w:val="1"/>
    <w:qFormat/>
    <w:uiPriority w:val="0"/>
    <w:pPr>
      <w:tabs>
        <w:tab w:val="center" w:pos="4060"/>
        <w:tab w:val="right" w:pos="8261"/>
      </w:tabs>
      <w:suppressAutoHyphens/>
      <w:adjustRightInd w:val="0"/>
      <w:spacing w:beforeLines="100" w:line="0" w:lineRule="atLeast"/>
    </w:pPr>
    <w:rPr>
      <w:rFonts w:ascii="黑体" w:eastAsia="黑体"/>
      <w:b/>
      <w:spacing w:val="6"/>
      <w:sz w:val="24"/>
      <w:szCs w:val="26"/>
    </w:rPr>
  </w:style>
  <w:style w:type="paragraph" w:customStyle="1" w:styleId="1705">
    <w:name w:val="书章标题"/>
    <w:basedOn w:val="21"/>
    <w:next w:val="1458"/>
    <w:qFormat/>
    <w:uiPriority w:val="0"/>
    <w:pPr>
      <w:spacing w:afterLines="200"/>
      <w:ind w:firstLine="0" w:firstLineChars="0"/>
      <w:jc w:val="center"/>
      <w:textAlignment w:val="center"/>
      <w:outlineLvl w:val="1"/>
    </w:pPr>
    <w:rPr>
      <w:rFonts w:ascii="黑体" w:hAnsi="宋体" w:eastAsia="黑体"/>
      <w:bCs/>
      <w:sz w:val="44"/>
      <w:szCs w:val="24"/>
    </w:rPr>
  </w:style>
  <w:style w:type="paragraph" w:customStyle="1" w:styleId="1706">
    <w:name w:val="二级编号"/>
    <w:qFormat/>
    <w:uiPriority w:val="0"/>
    <w:pPr>
      <w:tabs>
        <w:tab w:val="left" w:pos="360"/>
        <w:tab w:val="left" w:pos="425"/>
        <w:tab w:val="left" w:pos="900"/>
      </w:tabs>
      <w:spacing w:before="240" w:after="240"/>
      <w:ind w:left="1800" w:hanging="200"/>
      <w:outlineLvl w:val="1"/>
    </w:pPr>
    <w:rPr>
      <w:rFonts w:ascii="Times New Roman" w:hAnsi="Times New Roman" w:eastAsia="宋体" w:cs="Times New Roman"/>
      <w:b/>
      <w:sz w:val="32"/>
      <w:lang w:val="en-US" w:eastAsia="zh-CN" w:bidi="ar-SA"/>
    </w:rPr>
  </w:style>
  <w:style w:type="paragraph" w:customStyle="1" w:styleId="1707">
    <w:name w:val="表内文字11"/>
    <w:basedOn w:val="1"/>
    <w:qFormat/>
    <w:uiPriority w:val="0"/>
    <w:pPr>
      <w:widowControl/>
      <w:adjustRightInd w:val="0"/>
      <w:snapToGrid w:val="0"/>
      <w:spacing w:line="420" w:lineRule="exact"/>
      <w:jc w:val="center"/>
    </w:pPr>
    <w:rPr>
      <w:rFonts w:ascii="宋体"/>
      <w:spacing w:val="10"/>
      <w:sz w:val="18"/>
    </w:rPr>
  </w:style>
  <w:style w:type="paragraph" w:customStyle="1" w:styleId="1708">
    <w:name w:val="zhengwen"/>
    <w:basedOn w:val="1"/>
    <w:qFormat/>
    <w:uiPriority w:val="0"/>
    <w:pPr>
      <w:spacing w:line="420" w:lineRule="exact"/>
      <w:jc w:val="center"/>
      <w:outlineLvl w:val="0"/>
    </w:pPr>
    <w:rPr>
      <w:b/>
      <w:color w:val="000000"/>
    </w:rPr>
  </w:style>
  <w:style w:type="paragraph" w:customStyle="1" w:styleId="1709">
    <w:name w:val="样式 左侧:  0.44 厘米 首行缩进:  2 字符 右侧:  0.44 厘米1"/>
    <w:basedOn w:val="1"/>
    <w:qFormat/>
    <w:uiPriority w:val="0"/>
    <w:pPr>
      <w:spacing w:line="420" w:lineRule="exact"/>
      <w:ind w:right="249"/>
    </w:pPr>
    <w:rPr>
      <w:rFonts w:cs="宋体"/>
      <w:sz w:val="24"/>
    </w:rPr>
  </w:style>
  <w:style w:type="paragraph" w:customStyle="1" w:styleId="1710">
    <w:name w:val="Char28"/>
    <w:basedOn w:val="1"/>
    <w:qFormat/>
    <w:uiPriority w:val="0"/>
    <w:pPr>
      <w:adjustRightInd w:val="0"/>
      <w:snapToGrid w:val="0"/>
      <w:spacing w:line="360" w:lineRule="auto"/>
      <w:ind w:firstLine="200" w:firstLineChars="200"/>
    </w:pPr>
    <w:rPr>
      <w:rFonts w:ascii="黑体" w:eastAsia="黑体"/>
      <w:sz w:val="24"/>
    </w:rPr>
  </w:style>
  <w:style w:type="paragraph" w:customStyle="1" w:styleId="1711">
    <w:name w:val="正文居中2"/>
    <w:basedOn w:val="1"/>
    <w:qFormat/>
    <w:uiPriority w:val="0"/>
    <w:pPr>
      <w:adjustRightInd w:val="0"/>
      <w:snapToGrid w:val="0"/>
      <w:spacing w:line="480" w:lineRule="atLeast"/>
      <w:jc w:val="center"/>
    </w:pPr>
    <w:rPr>
      <w:rFonts w:ascii="宋体"/>
      <w:snapToGrid w:val="0"/>
      <w:spacing w:val="6"/>
      <w:sz w:val="28"/>
    </w:rPr>
  </w:style>
  <w:style w:type="paragraph" w:customStyle="1" w:styleId="1712">
    <w:name w:val="表题34"/>
    <w:basedOn w:val="35"/>
    <w:qFormat/>
    <w:uiPriority w:val="0"/>
    <w:pPr>
      <w:tabs>
        <w:tab w:val="left" w:pos="4305"/>
      </w:tabs>
      <w:adjustRightInd w:val="0"/>
      <w:snapToGrid w:val="0"/>
      <w:spacing w:after="0"/>
      <w:ind w:left="0" w:leftChars="0"/>
      <w:jc w:val="center"/>
    </w:pPr>
    <w:rPr>
      <w:rFonts w:ascii="宋体" w:hAnsi="宋体"/>
      <w:sz w:val="24"/>
      <w:szCs w:val="20"/>
    </w:rPr>
  </w:style>
  <w:style w:type="paragraph" w:customStyle="1" w:styleId="1713">
    <w:name w:val="表内宋5中7"/>
    <w:basedOn w:val="1"/>
    <w:qFormat/>
    <w:uiPriority w:val="0"/>
    <w:pPr>
      <w:adjustRightInd w:val="0"/>
      <w:snapToGrid w:val="0"/>
      <w:jc w:val="center"/>
      <w:textAlignment w:val="baseline"/>
    </w:pPr>
    <w:rPr>
      <w:rFonts w:ascii="宋体" w:hAnsi="宋体"/>
    </w:rPr>
  </w:style>
  <w:style w:type="paragraph" w:customStyle="1" w:styleId="1714">
    <w:name w:val="表格下方正文"/>
    <w:basedOn w:val="1"/>
    <w:qFormat/>
    <w:uiPriority w:val="0"/>
    <w:pPr>
      <w:spacing w:before="400" w:line="460" w:lineRule="exact"/>
      <w:ind w:firstLine="200" w:firstLineChars="200"/>
    </w:pPr>
    <w:rPr>
      <w:sz w:val="24"/>
    </w:rPr>
  </w:style>
  <w:style w:type="paragraph" w:customStyle="1" w:styleId="1715">
    <w:name w:val="图号5"/>
    <w:basedOn w:val="1"/>
    <w:qFormat/>
    <w:uiPriority w:val="0"/>
    <w:pPr>
      <w:jc w:val="center"/>
    </w:pPr>
    <w:rPr>
      <w:rFonts w:ascii="黑体" w:eastAsia="黑体"/>
      <w:sz w:val="24"/>
    </w:rPr>
  </w:style>
  <w:style w:type="paragraph" w:customStyle="1" w:styleId="1716">
    <w:name w:val="表内文字大45"/>
    <w:basedOn w:val="1"/>
    <w:qFormat/>
    <w:uiPriority w:val="0"/>
    <w:pPr>
      <w:adjustRightInd w:val="0"/>
      <w:snapToGrid w:val="0"/>
      <w:jc w:val="center"/>
    </w:pPr>
    <w:rPr>
      <w:rFonts w:ascii="宋体" w:hAnsi="Times"/>
      <w:sz w:val="24"/>
    </w:rPr>
  </w:style>
  <w:style w:type="paragraph" w:customStyle="1" w:styleId="1717">
    <w:name w:val="font1"/>
    <w:basedOn w:val="1"/>
    <w:qFormat/>
    <w:uiPriority w:val="0"/>
    <w:pPr>
      <w:widowControl/>
      <w:spacing w:before="100" w:beforeAutospacing="1" w:after="100" w:afterAutospacing="1"/>
      <w:jc w:val="left"/>
    </w:pPr>
    <w:rPr>
      <w:rFonts w:hint="eastAsia" w:ascii="宋体" w:hAnsi="宋体"/>
      <w:sz w:val="24"/>
    </w:rPr>
  </w:style>
  <w:style w:type="paragraph" w:customStyle="1" w:styleId="1718">
    <w:name w:val="cucd-3"/>
    <w:next w:val="503"/>
    <w:qFormat/>
    <w:uiPriority w:val="0"/>
    <w:pPr>
      <w:tabs>
        <w:tab w:val="left" w:pos="-164"/>
        <w:tab w:val="left" w:pos="0"/>
      </w:tabs>
      <w:spacing w:line="360" w:lineRule="auto"/>
      <w:ind w:left="-164" w:hanging="425"/>
      <w:jc w:val="both"/>
      <w:outlineLvl w:val="2"/>
    </w:pPr>
    <w:rPr>
      <w:rFonts w:ascii="Times New Roman" w:hAnsi="Times New Roman" w:eastAsia="宋体" w:cs="Times New Roman"/>
      <w:b/>
      <w:color w:val="000000"/>
      <w:sz w:val="24"/>
      <w:szCs w:val="24"/>
      <w:lang w:val="en-US" w:eastAsia="zh-CN" w:bidi="ar-SA"/>
    </w:rPr>
  </w:style>
  <w:style w:type="paragraph" w:customStyle="1" w:styleId="1719">
    <w:name w:val="序列样式1"/>
    <w:basedOn w:val="1"/>
    <w:qFormat/>
    <w:uiPriority w:val="0"/>
    <w:pPr>
      <w:tabs>
        <w:tab w:val="left" w:pos="851"/>
      </w:tabs>
      <w:spacing w:after="48" w:line="400" w:lineRule="exact"/>
      <w:ind w:left="851" w:hanging="567"/>
    </w:pPr>
    <w:rPr>
      <w:sz w:val="24"/>
    </w:rPr>
  </w:style>
  <w:style w:type="paragraph" w:customStyle="1" w:styleId="1720">
    <w:name w:val="Char123"/>
    <w:basedOn w:val="1"/>
    <w:qFormat/>
    <w:uiPriority w:val="0"/>
    <w:pPr>
      <w:spacing w:line="480" w:lineRule="exact"/>
      <w:ind w:left="-48"/>
    </w:pPr>
  </w:style>
  <w:style w:type="paragraph" w:customStyle="1" w:styleId="1721">
    <w:name w:val="右五"/>
    <w:next w:val="1"/>
    <w:qFormat/>
    <w:uiPriority w:val="0"/>
    <w:pPr>
      <w:jc w:val="right"/>
    </w:pPr>
    <w:rPr>
      <w:rFonts w:ascii="Times New Roman" w:hAnsi="Times New Roman" w:eastAsia="宋体" w:cs="Times New Roman"/>
      <w:lang w:val="en-US" w:eastAsia="zh-CN" w:bidi="ar-SA"/>
    </w:rPr>
  </w:style>
  <w:style w:type="paragraph" w:customStyle="1" w:styleId="1722">
    <w:name w:val="正文缩进2"/>
    <w:basedOn w:val="1"/>
    <w:qFormat/>
    <w:uiPriority w:val="0"/>
    <w:pPr>
      <w:adjustRightInd w:val="0"/>
      <w:spacing w:line="480" w:lineRule="exact"/>
    </w:pPr>
    <w:rPr>
      <w:rFonts w:hint="eastAsia"/>
      <w:kern w:val="28"/>
      <w:sz w:val="24"/>
    </w:rPr>
  </w:style>
  <w:style w:type="paragraph" w:customStyle="1" w:styleId="1723">
    <w:name w:val="登记表标题"/>
    <w:basedOn w:val="1"/>
    <w:qFormat/>
    <w:uiPriority w:val="0"/>
    <w:pPr>
      <w:autoSpaceDE w:val="0"/>
      <w:autoSpaceDN w:val="0"/>
      <w:adjustRightInd w:val="0"/>
      <w:jc w:val="center"/>
      <w:outlineLvl w:val="0"/>
    </w:pPr>
    <w:rPr>
      <w:rFonts w:eastAsia="黑体"/>
      <w:color w:val="000000"/>
      <w:sz w:val="30"/>
      <w:szCs w:val="30"/>
    </w:rPr>
  </w:style>
  <w:style w:type="paragraph" w:customStyle="1" w:styleId="1724">
    <w:name w:val="列出段落2"/>
    <w:basedOn w:val="1"/>
    <w:qFormat/>
    <w:uiPriority w:val="0"/>
    <w:pPr>
      <w:ind w:firstLine="420" w:firstLineChars="200"/>
    </w:pPr>
    <w:rPr>
      <w:rFonts w:ascii="Calibri" w:hAnsi="Calibri"/>
    </w:rPr>
  </w:style>
  <w:style w:type="paragraph" w:customStyle="1" w:styleId="1725">
    <w:name w:val="样式 表标题5.3 + 居中 段前: 1 行"/>
    <w:basedOn w:val="1685"/>
    <w:qFormat/>
    <w:uiPriority w:val="0"/>
    <w:pPr>
      <w:tabs>
        <w:tab w:val="left" w:pos="2100"/>
        <w:tab w:val="clear" w:pos="420"/>
      </w:tabs>
      <w:spacing w:beforeLines="0"/>
      <w:ind w:left="2100"/>
      <w:jc w:val="center"/>
    </w:pPr>
    <w:rPr>
      <w:rFonts w:cs="宋体"/>
      <w:bCs/>
    </w:rPr>
  </w:style>
  <w:style w:type="paragraph" w:customStyle="1" w:styleId="1726">
    <w:name w:val="Char121"/>
    <w:basedOn w:val="1"/>
    <w:qFormat/>
    <w:uiPriority w:val="0"/>
    <w:pPr>
      <w:ind w:left="-48"/>
    </w:pPr>
  </w:style>
  <w:style w:type="paragraph" w:customStyle="1" w:styleId="1727">
    <w:name w:val="小表"/>
    <w:basedOn w:val="1"/>
    <w:qFormat/>
    <w:uiPriority w:val="0"/>
    <w:pPr>
      <w:widowControl/>
      <w:overflowPunct w:val="0"/>
      <w:autoSpaceDE w:val="0"/>
      <w:autoSpaceDN w:val="0"/>
      <w:adjustRightInd w:val="0"/>
      <w:jc w:val="center"/>
    </w:pPr>
    <w:rPr>
      <w:rFonts w:ascii="宋体"/>
      <w:spacing w:val="0"/>
      <w:sz w:val="21"/>
    </w:rPr>
  </w:style>
  <w:style w:type="paragraph" w:customStyle="1" w:styleId="1728">
    <w:name w:val="xl133"/>
    <w:basedOn w:val="1"/>
    <w:qFormat/>
    <w:uiPriority w:val="0"/>
    <w:pPr>
      <w:widowControl/>
      <w:pBdr>
        <w:left w:val="single" w:color="auto" w:sz="4" w:space="0"/>
        <w:right w:val="single" w:color="auto" w:sz="4" w:space="0"/>
      </w:pBdr>
      <w:shd w:val="clear" w:color="000000" w:fill="FFFF00"/>
      <w:spacing w:before="100" w:beforeAutospacing="1" w:after="100" w:afterAutospacing="1"/>
      <w:jc w:val="center"/>
      <w:textAlignment w:val="center"/>
    </w:pPr>
    <w:rPr>
      <w:sz w:val="18"/>
      <w:szCs w:val="18"/>
    </w:rPr>
  </w:style>
  <w:style w:type="paragraph" w:customStyle="1" w:styleId="1729">
    <w:name w:val="福建正文缩进32"/>
    <w:basedOn w:val="21"/>
    <w:qFormat/>
    <w:uiPriority w:val="0"/>
    <w:pPr>
      <w:autoSpaceDE w:val="0"/>
      <w:autoSpaceDN w:val="0"/>
      <w:adjustRightInd w:val="0"/>
      <w:snapToGrid w:val="0"/>
      <w:spacing w:line="360" w:lineRule="auto"/>
      <w:ind w:firstLine="539" w:firstLineChars="0"/>
    </w:pPr>
    <w:rPr>
      <w:rFonts w:ascii="宋体" w:hAnsi="宋体"/>
      <w:szCs w:val="24"/>
    </w:rPr>
  </w:style>
  <w:style w:type="paragraph" w:customStyle="1" w:styleId="1730">
    <w:name w:val="表5.16"/>
    <w:basedOn w:val="544"/>
    <w:qFormat/>
    <w:uiPriority w:val="0"/>
    <w:pPr>
      <w:tabs>
        <w:tab w:val="left" w:pos="420"/>
        <w:tab w:val="clear" w:pos="4060"/>
        <w:tab w:val="clear" w:pos="8261"/>
      </w:tabs>
      <w:jc w:val="both"/>
    </w:pPr>
  </w:style>
  <w:style w:type="paragraph" w:customStyle="1" w:styleId="1731">
    <w:name w:val="(文字) (文字)"/>
    <w:basedOn w:val="1"/>
    <w:qFormat/>
    <w:uiPriority w:val="0"/>
    <w:rPr>
      <w:sz w:val="24"/>
    </w:rPr>
  </w:style>
  <w:style w:type="paragraph" w:customStyle="1" w:styleId="1732">
    <w:name w:val="9点"/>
    <w:basedOn w:val="1"/>
    <w:qFormat/>
    <w:uiPriority w:val="0"/>
    <w:pPr>
      <w:spacing w:line="360" w:lineRule="exact"/>
    </w:pPr>
  </w:style>
  <w:style w:type="paragraph" w:customStyle="1" w:styleId="1733">
    <w:name w:val="列出段落11"/>
    <w:basedOn w:val="1"/>
    <w:qFormat/>
    <w:uiPriority w:val="34"/>
    <w:pPr>
      <w:ind w:firstLine="420" w:firstLineChars="200"/>
    </w:pPr>
    <w:rPr>
      <w:rFonts w:ascii="Calibri" w:hAnsi="Calibri"/>
      <w:szCs w:val="22"/>
    </w:rPr>
  </w:style>
  <w:style w:type="paragraph" w:customStyle="1" w:styleId="1734">
    <w:name w:val="Char Char1 Char Char Char"/>
    <w:basedOn w:val="1"/>
    <w:qFormat/>
    <w:uiPriority w:val="0"/>
  </w:style>
  <w:style w:type="paragraph" w:customStyle="1" w:styleId="1735">
    <w:name w:val="Char Char Char Char Char Char Char Char Char Char Char Char Char Char Char Char Char1"/>
    <w:basedOn w:val="1"/>
    <w:qFormat/>
    <w:uiPriority w:val="0"/>
  </w:style>
  <w:style w:type="paragraph" w:customStyle="1" w:styleId="1736">
    <w:name w:val="表内文字大11"/>
    <w:basedOn w:val="1"/>
    <w:qFormat/>
    <w:uiPriority w:val="0"/>
    <w:pPr>
      <w:adjustRightInd w:val="0"/>
      <w:snapToGrid w:val="0"/>
      <w:jc w:val="center"/>
    </w:pPr>
    <w:rPr>
      <w:rFonts w:ascii="宋体" w:hAnsi="Times"/>
      <w:sz w:val="24"/>
    </w:rPr>
  </w:style>
  <w:style w:type="paragraph" w:customStyle="1" w:styleId="1737">
    <w:name w:val="CM26"/>
    <w:basedOn w:val="641"/>
    <w:next w:val="641"/>
    <w:qFormat/>
    <w:uiPriority w:val="0"/>
    <w:pPr>
      <w:spacing w:after="258"/>
    </w:pPr>
    <w:rPr>
      <w:rFonts w:ascii="黑体" w:eastAsia="黑体" w:cs="Times New Roman"/>
      <w:color w:val="auto"/>
      <w:sz w:val="20"/>
    </w:rPr>
  </w:style>
  <w:style w:type="paragraph" w:customStyle="1" w:styleId="1738">
    <w:name w:val="Char1011"/>
    <w:basedOn w:val="1"/>
    <w:qFormat/>
    <w:uiPriority w:val="0"/>
    <w:pPr>
      <w:ind w:left="-48"/>
    </w:pPr>
  </w:style>
  <w:style w:type="paragraph" w:customStyle="1" w:styleId="1739">
    <w:name w:val="图题4"/>
    <w:basedOn w:val="21"/>
    <w:qFormat/>
    <w:uiPriority w:val="0"/>
    <w:pPr>
      <w:tabs>
        <w:tab w:val="left" w:pos="5837"/>
      </w:tabs>
      <w:adjustRightInd w:val="0"/>
      <w:snapToGrid w:val="0"/>
      <w:ind w:firstLine="0" w:firstLineChars="0"/>
      <w:jc w:val="center"/>
    </w:pPr>
    <w:rPr>
      <w:rFonts w:ascii="方正大标宋简体" w:hAnsi="宋体" w:eastAsia="方正大标宋简体" w:cs="宋体"/>
      <w:b/>
      <w:szCs w:val="24"/>
    </w:rPr>
  </w:style>
  <w:style w:type="paragraph" w:customStyle="1" w:styleId="1740">
    <w:name w:val="字元 字元1"/>
    <w:basedOn w:val="1"/>
    <w:qFormat/>
    <w:uiPriority w:val="0"/>
  </w:style>
  <w:style w:type="paragraph" w:customStyle="1" w:styleId="1741">
    <w:name w:val="页眉中13"/>
    <w:basedOn w:val="1"/>
    <w:qFormat/>
    <w:uiPriority w:val="0"/>
    <w:pPr>
      <w:adjustRightInd w:val="0"/>
      <w:snapToGrid w:val="0"/>
      <w:spacing w:line="300" w:lineRule="auto"/>
      <w:jc w:val="left"/>
    </w:pPr>
    <w:rPr>
      <w:rFonts w:ascii="黑体" w:eastAsia="黑体"/>
      <w:bCs/>
      <w:sz w:val="24"/>
    </w:rPr>
  </w:style>
  <w:style w:type="paragraph" w:customStyle="1" w:styleId="1742">
    <w:name w:val="CM11"/>
    <w:basedOn w:val="641"/>
    <w:next w:val="641"/>
    <w:qFormat/>
    <w:uiPriority w:val="0"/>
    <w:pPr>
      <w:spacing w:line="460" w:lineRule="atLeast"/>
    </w:pPr>
    <w:rPr>
      <w:rFonts w:ascii="黑体" w:eastAsia="黑体" w:cs="Times New Roman"/>
      <w:color w:val="auto"/>
      <w:sz w:val="20"/>
    </w:rPr>
  </w:style>
  <w:style w:type="paragraph" w:customStyle="1" w:styleId="1743">
    <w:name w:val="标题 811"/>
    <w:basedOn w:val="1"/>
    <w:next w:val="1"/>
    <w:qFormat/>
    <w:uiPriority w:val="0"/>
    <w:pPr>
      <w:keepNext/>
      <w:keepLines/>
      <w:adjustRightInd w:val="0"/>
      <w:spacing w:line="480" w:lineRule="atLeast"/>
      <w:ind w:firstLine="567"/>
      <w:textAlignment w:val="baseline"/>
    </w:pPr>
    <w:rPr>
      <w:rFonts w:hint="eastAsia" w:ascii="Arial" w:hAnsi="Arial"/>
      <w:sz w:val="24"/>
    </w:rPr>
  </w:style>
  <w:style w:type="paragraph" w:customStyle="1" w:styleId="1744">
    <w:name w:val="正文文本最新 Char Char"/>
    <w:basedOn w:val="1"/>
    <w:qFormat/>
    <w:uiPriority w:val="0"/>
    <w:pPr>
      <w:spacing w:line="360" w:lineRule="auto"/>
      <w:ind w:firstLine="200" w:firstLineChars="200"/>
    </w:pPr>
    <w:rPr>
      <w:bCs/>
      <w:sz w:val="28"/>
    </w:rPr>
  </w:style>
  <w:style w:type="paragraph" w:customStyle="1" w:styleId="1745">
    <w:name w:val="Char Char Char Char1 Char Char Char3"/>
    <w:basedOn w:val="1"/>
    <w:qFormat/>
    <w:uiPriority w:val="0"/>
    <w:pPr>
      <w:widowControl/>
      <w:spacing w:after="160" w:line="240" w:lineRule="exact"/>
      <w:jc w:val="left"/>
    </w:pPr>
    <w:rPr>
      <w:rFonts w:ascii="Verdana" w:hAnsi="Verdana"/>
      <w:lang w:eastAsia="en-US"/>
    </w:rPr>
  </w:style>
  <w:style w:type="paragraph" w:customStyle="1" w:styleId="1746">
    <w:name w:val="Char Char Char Char Char Char Char Char Char Char Char Char Char Char Char Char Char Char1 Char Char Char Char Char Char Char2"/>
    <w:basedOn w:val="1"/>
    <w:next w:val="1"/>
    <w:qFormat/>
    <w:uiPriority w:val="0"/>
    <w:pPr>
      <w:keepNext/>
      <w:keepLines/>
      <w:widowControl/>
      <w:adjustRightInd w:val="0"/>
      <w:spacing w:before="40" w:after="40" w:line="360" w:lineRule="auto"/>
      <w:ind w:firstLine="482" w:firstLineChars="200"/>
    </w:pPr>
    <w:rPr>
      <w:rFonts w:cs="宋体"/>
      <w:b/>
      <w:sz w:val="24"/>
      <w:szCs w:val="28"/>
    </w:rPr>
  </w:style>
  <w:style w:type="paragraph" w:customStyle="1" w:styleId="1747">
    <w:name w:val="目录3333333333"/>
    <w:basedOn w:val="1"/>
    <w:qFormat/>
    <w:uiPriority w:val="0"/>
    <w:pPr>
      <w:jc w:val="center"/>
    </w:pPr>
    <w:rPr>
      <w:rFonts w:ascii="黑体" w:hAnsi="宋体" w:eastAsia="黑体"/>
      <w:b/>
      <w:sz w:val="36"/>
      <w:szCs w:val="36"/>
    </w:rPr>
  </w:style>
  <w:style w:type="paragraph" w:customStyle="1" w:styleId="1748">
    <w:name w:val="样式 黑体 小二 居中 行距: 固定值 21 磅"/>
    <w:basedOn w:val="1"/>
    <w:qFormat/>
    <w:uiPriority w:val="0"/>
    <w:pPr>
      <w:jc w:val="center"/>
    </w:pPr>
    <w:rPr>
      <w:rFonts w:ascii="黑体" w:eastAsia="黑体"/>
      <w:sz w:val="36"/>
    </w:rPr>
  </w:style>
  <w:style w:type="paragraph" w:customStyle="1" w:styleId="1749">
    <w:name w:val="hb1"/>
    <w:basedOn w:val="1"/>
    <w:qFormat/>
    <w:uiPriority w:val="0"/>
    <w:pPr>
      <w:adjustRightInd w:val="0"/>
      <w:snapToGrid w:val="0"/>
      <w:spacing w:line="500" w:lineRule="exact"/>
      <w:ind w:right="113"/>
      <w:jc w:val="center"/>
      <w:textAlignment w:val="baseline"/>
      <w:outlineLvl w:val="0"/>
    </w:pPr>
    <w:rPr>
      <w:rFonts w:ascii="黑体" w:hAnsi="宋体" w:eastAsia="黑体"/>
      <w:bCs/>
      <w:sz w:val="30"/>
      <w:szCs w:val="18"/>
    </w:rPr>
  </w:style>
  <w:style w:type="paragraph" w:customStyle="1" w:styleId="1750">
    <w:name w:val="xl114"/>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cs="宋体"/>
      <w:color w:val="000000"/>
      <w:sz w:val="18"/>
      <w:szCs w:val="18"/>
    </w:rPr>
  </w:style>
  <w:style w:type="paragraph" w:customStyle="1" w:styleId="1751">
    <w:name w:val="神华4.1"/>
    <w:basedOn w:val="1"/>
    <w:next w:val="1"/>
    <w:qFormat/>
    <w:uiPriority w:val="0"/>
    <w:pPr>
      <w:tabs>
        <w:tab w:val="left" w:pos="431"/>
      </w:tabs>
      <w:spacing w:line="360" w:lineRule="auto"/>
      <w:ind w:left="431" w:hanging="431"/>
    </w:pPr>
    <w:rPr>
      <w:rFonts w:ascii="宋体" w:hAnsi="宋体" w:cs="宋体"/>
      <w:sz w:val="24"/>
    </w:rPr>
  </w:style>
  <w:style w:type="paragraph" w:customStyle="1" w:styleId="1752">
    <w:name w:val="表内5中18"/>
    <w:basedOn w:val="1"/>
    <w:qFormat/>
    <w:uiPriority w:val="0"/>
    <w:pPr>
      <w:adjustRightInd w:val="0"/>
      <w:snapToGrid w:val="0"/>
      <w:jc w:val="center"/>
    </w:pPr>
    <w:rPr>
      <w:rFonts w:ascii="宋体"/>
    </w:rPr>
  </w:style>
  <w:style w:type="paragraph" w:customStyle="1" w:styleId="1753">
    <w:name w:val="标题 2 + (西文) 黑体 (中文) 黑体 四号 非加粗"/>
    <w:basedOn w:val="4"/>
    <w:next w:val="5"/>
    <w:qFormat/>
    <w:uiPriority w:val="0"/>
    <w:pPr>
      <w:tabs>
        <w:tab w:val="left" w:pos="1320"/>
        <w:tab w:val="clear" w:pos="1427"/>
      </w:tabs>
      <w:adjustRightInd/>
      <w:spacing w:before="156" w:line="240" w:lineRule="auto"/>
      <w:ind w:left="1320" w:hanging="420"/>
      <w:jc w:val="both"/>
      <w:textAlignment w:val="auto"/>
    </w:pPr>
    <w:rPr>
      <w:b w:val="0"/>
      <w:kern w:val="2"/>
    </w:rPr>
  </w:style>
  <w:style w:type="paragraph" w:customStyle="1" w:styleId="1754">
    <w:name w:val="Char141"/>
    <w:basedOn w:val="1"/>
    <w:qFormat/>
    <w:uiPriority w:val="0"/>
    <w:pPr>
      <w:ind w:left="-48"/>
    </w:pPr>
  </w:style>
  <w:style w:type="paragraph" w:customStyle="1" w:styleId="1755">
    <w:name w:val="页眉中23"/>
    <w:basedOn w:val="1"/>
    <w:qFormat/>
    <w:uiPriority w:val="0"/>
    <w:pPr>
      <w:adjustRightInd w:val="0"/>
      <w:snapToGrid w:val="0"/>
      <w:jc w:val="center"/>
    </w:pPr>
    <w:rPr>
      <w:rFonts w:ascii="黑体" w:eastAsia="黑体"/>
      <w:bCs/>
    </w:rPr>
  </w:style>
  <w:style w:type="paragraph" w:customStyle="1" w:styleId="1756">
    <w:name w:val="表内序号1"/>
    <w:basedOn w:val="1"/>
    <w:qFormat/>
    <w:uiPriority w:val="0"/>
    <w:pPr>
      <w:widowControl/>
      <w:adjustRightInd w:val="0"/>
      <w:snapToGrid w:val="0"/>
      <w:spacing w:line="360" w:lineRule="auto"/>
      <w:ind w:firstLine="288"/>
    </w:pPr>
    <w:rPr>
      <w:sz w:val="18"/>
    </w:rPr>
  </w:style>
  <w:style w:type="paragraph" w:customStyle="1" w:styleId="1757">
    <w:name w:val="表内小424"/>
    <w:basedOn w:val="1427"/>
    <w:qFormat/>
    <w:uiPriority w:val="0"/>
    <w:pPr>
      <w:ind w:left="240" w:hanging="240"/>
      <w:jc w:val="both"/>
    </w:pPr>
  </w:style>
  <w:style w:type="paragraph" w:customStyle="1" w:styleId="1758">
    <w:name w:val="xl29"/>
    <w:basedOn w:val="1"/>
    <w:qFormat/>
    <w:uiPriority w:val="0"/>
    <w:pPr>
      <w:widowControl/>
      <w:spacing w:before="100" w:beforeAutospacing="1" w:after="100" w:afterAutospacing="1"/>
      <w:jc w:val="center"/>
    </w:pPr>
    <w:rPr>
      <w:rFonts w:ascii="宋体" w:hAnsi="宋体"/>
      <w:b/>
      <w:bCs/>
      <w:sz w:val="16"/>
      <w:szCs w:val="16"/>
    </w:rPr>
  </w:style>
  <w:style w:type="paragraph" w:customStyle="1" w:styleId="1759">
    <w:name w:val="表标题8.2"/>
    <w:basedOn w:val="1"/>
    <w:qFormat/>
    <w:uiPriority w:val="0"/>
    <w:pPr>
      <w:spacing w:beforeLines="100" w:line="0" w:lineRule="atLeast"/>
    </w:pPr>
    <w:rPr>
      <w:rFonts w:eastAsia="黑体"/>
      <w:b/>
      <w:sz w:val="24"/>
    </w:rPr>
  </w:style>
  <w:style w:type="paragraph" w:customStyle="1" w:styleId="1760">
    <w:name w:val="dandan6-13正文 Char Char Char Char Char"/>
    <w:basedOn w:val="1"/>
    <w:next w:val="1"/>
    <w:qFormat/>
    <w:uiPriority w:val="0"/>
    <w:pPr>
      <w:keepNext/>
      <w:keepLines/>
      <w:widowControl/>
      <w:adjustRightInd w:val="0"/>
      <w:spacing w:before="40" w:after="40" w:line="360" w:lineRule="auto"/>
      <w:ind w:firstLine="200" w:firstLineChars="200"/>
      <w:textAlignment w:val="baseline"/>
    </w:pPr>
    <w:rPr>
      <w:rFonts w:cs="宋体"/>
      <w:sz w:val="24"/>
      <w:szCs w:val="28"/>
    </w:rPr>
  </w:style>
  <w:style w:type="paragraph" w:customStyle="1" w:styleId="1761">
    <w:name w:val="Char Char Char Char Char Char Char Char Char Char Char Char"/>
    <w:basedOn w:val="1"/>
    <w:qFormat/>
    <w:uiPriority w:val="0"/>
  </w:style>
  <w:style w:type="paragraph" w:customStyle="1" w:styleId="1762">
    <w:name w:val="页眉中85"/>
    <w:basedOn w:val="47"/>
    <w:qFormat/>
    <w:uiPriority w:val="0"/>
    <w:pPr>
      <w:adjustRightInd w:val="0"/>
      <w:spacing w:line="360" w:lineRule="auto"/>
      <w:jc w:val="left"/>
    </w:pPr>
    <w:rPr>
      <w:rFonts w:ascii="黑体" w:hAnsi="Times New Roman" w:eastAsia="黑体"/>
      <w:bCs/>
      <w:sz w:val="24"/>
      <w:szCs w:val="24"/>
    </w:rPr>
  </w:style>
  <w:style w:type="paragraph" w:customStyle="1" w:styleId="1763">
    <w:name w:val="页眉中95"/>
    <w:basedOn w:val="1"/>
    <w:qFormat/>
    <w:uiPriority w:val="0"/>
    <w:pPr>
      <w:adjustRightInd w:val="0"/>
      <w:snapToGrid w:val="0"/>
      <w:spacing w:line="300" w:lineRule="auto"/>
      <w:jc w:val="left"/>
    </w:pPr>
    <w:rPr>
      <w:rFonts w:ascii="黑体" w:eastAsia="黑体"/>
      <w:bCs/>
      <w:sz w:val="24"/>
    </w:rPr>
  </w:style>
  <w:style w:type="paragraph" w:customStyle="1" w:styleId="1764">
    <w:name w:val="引文目录11"/>
    <w:basedOn w:val="1"/>
    <w:next w:val="1"/>
    <w:qFormat/>
    <w:uiPriority w:val="0"/>
    <w:pPr>
      <w:ind w:left="420" w:leftChars="200"/>
    </w:pPr>
    <w:rPr>
      <w:sz w:val="24"/>
    </w:rPr>
  </w:style>
  <w:style w:type="paragraph" w:customStyle="1" w:styleId="1765">
    <w:name w:val="Char Char Char1 Char Char Char Char Char Char Char Char Char Char Char Char1 Char Char Char Char Char Char Char Char Char Char11"/>
    <w:basedOn w:val="1"/>
    <w:qFormat/>
    <w:uiPriority w:val="0"/>
  </w:style>
  <w:style w:type="paragraph" w:customStyle="1" w:styleId="1766">
    <w:name w:val="表题118"/>
    <w:basedOn w:val="1"/>
    <w:qFormat/>
    <w:uiPriority w:val="0"/>
    <w:pPr>
      <w:adjustRightInd w:val="0"/>
      <w:snapToGrid w:val="0"/>
      <w:jc w:val="center"/>
      <w:textAlignment w:val="baseline"/>
    </w:pPr>
    <w:rPr>
      <w:rFonts w:ascii="黑体" w:hAnsi="宋体" w:eastAsia="黑体"/>
      <w:sz w:val="24"/>
    </w:rPr>
  </w:style>
  <w:style w:type="paragraph" w:customStyle="1" w:styleId="1767">
    <w:name w:val="样式 标题 2标题 2 Char + (西文) Times New Roman (中文) 宋体"/>
    <w:basedOn w:val="4"/>
    <w:qFormat/>
    <w:uiPriority w:val="0"/>
    <w:pPr>
      <w:tabs>
        <w:tab w:val="clear" w:pos="1427"/>
      </w:tabs>
      <w:adjustRightInd/>
      <w:spacing w:beforeLines="0" w:afterLines="0"/>
      <w:jc w:val="both"/>
      <w:textAlignment w:val="auto"/>
    </w:pPr>
    <w:rPr>
      <w:rFonts w:ascii="宋体" w:hAnsi="宋体"/>
      <w:bCs/>
      <w:color w:val="000000"/>
      <w:kern w:val="2"/>
      <w:sz w:val="30"/>
      <w:szCs w:val="30"/>
    </w:rPr>
  </w:style>
  <w:style w:type="paragraph" w:customStyle="1" w:styleId="1768">
    <w:name w:val="日期14"/>
    <w:basedOn w:val="1"/>
    <w:next w:val="1"/>
    <w:qFormat/>
    <w:uiPriority w:val="0"/>
    <w:pPr>
      <w:adjustRightInd w:val="0"/>
      <w:spacing w:line="312" w:lineRule="atLeast"/>
      <w:textAlignment w:val="baseline"/>
    </w:pPr>
    <w:rPr>
      <w:rFonts w:eastAsia="楷体_GB2312"/>
      <w:sz w:val="28"/>
    </w:rPr>
  </w:style>
  <w:style w:type="paragraph" w:customStyle="1" w:styleId="1769">
    <w:name w:val="Char Char Char14"/>
    <w:basedOn w:val="1"/>
    <w:next w:val="1"/>
    <w:qFormat/>
    <w:uiPriority w:val="0"/>
    <w:pPr>
      <w:keepNext/>
      <w:keepLines/>
      <w:widowControl/>
      <w:adjustRightInd w:val="0"/>
      <w:spacing w:before="40" w:after="40" w:line="360" w:lineRule="auto"/>
      <w:ind w:firstLine="200" w:firstLineChars="200"/>
      <w:outlineLvl w:val="3"/>
    </w:pPr>
    <w:rPr>
      <w:rFonts w:eastAsia="仿宋_GB2312" w:cs="宋体"/>
      <w:b/>
      <w:sz w:val="24"/>
      <w:szCs w:val="28"/>
    </w:rPr>
  </w:style>
  <w:style w:type="paragraph" w:customStyle="1" w:styleId="1770">
    <w:name w:val="dandan6-13正文 Char Char Char Char Char Char1 Char Char Char Char Char Char"/>
    <w:basedOn w:val="1"/>
    <w:next w:val="1"/>
    <w:qFormat/>
    <w:uiPriority w:val="0"/>
    <w:pPr>
      <w:keepNext/>
      <w:keepLines/>
      <w:widowControl/>
      <w:adjustRightInd w:val="0"/>
      <w:spacing w:before="40" w:after="40" w:line="360" w:lineRule="auto"/>
      <w:ind w:firstLine="200" w:firstLineChars="200"/>
      <w:textAlignment w:val="baseline"/>
    </w:pPr>
    <w:rPr>
      <w:rFonts w:cs="宋体"/>
      <w:sz w:val="24"/>
      <w:szCs w:val="28"/>
    </w:rPr>
  </w:style>
  <w:style w:type="paragraph" w:customStyle="1" w:styleId="1771">
    <w:name w:val="简单回函地址"/>
    <w:basedOn w:val="1"/>
    <w:qFormat/>
    <w:uiPriority w:val="0"/>
  </w:style>
  <w:style w:type="paragraph" w:customStyle="1" w:styleId="1772">
    <w:name w:val="正文文字居中2"/>
    <w:basedOn w:val="1"/>
    <w:qFormat/>
    <w:uiPriority w:val="0"/>
    <w:pPr>
      <w:spacing w:before="120" w:after="60"/>
      <w:jc w:val="center"/>
    </w:pPr>
    <w:rPr>
      <w:rFonts w:ascii="楷体_GB2312" w:eastAsia="楷体_GB2312"/>
      <w:spacing w:val="10"/>
      <w:sz w:val="24"/>
    </w:rPr>
  </w:style>
  <w:style w:type="paragraph" w:customStyle="1" w:styleId="1773">
    <w:name w:val="InstÀÀll2"/>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1774">
    <w:name w:val="表内宋5中42"/>
    <w:basedOn w:val="1"/>
    <w:qFormat/>
    <w:uiPriority w:val="0"/>
    <w:pPr>
      <w:adjustRightInd w:val="0"/>
      <w:snapToGrid w:val="0"/>
      <w:jc w:val="center"/>
      <w:textAlignment w:val="baseline"/>
    </w:pPr>
    <w:rPr>
      <w:rFonts w:ascii="宋体" w:hAnsi="宋体"/>
    </w:rPr>
  </w:style>
  <w:style w:type="paragraph" w:customStyle="1" w:styleId="1775">
    <w:name w:val="表居中（中文）"/>
    <w:basedOn w:val="1"/>
    <w:qFormat/>
    <w:uiPriority w:val="0"/>
    <w:pPr>
      <w:adjustRightInd w:val="0"/>
      <w:spacing w:line="380" w:lineRule="atLeast"/>
      <w:jc w:val="center"/>
      <w:textAlignment w:val="baseline"/>
    </w:pPr>
    <w:rPr>
      <w:rFonts w:eastAsia="楷体_GB2312"/>
    </w:rPr>
  </w:style>
  <w:style w:type="paragraph" w:customStyle="1" w:styleId="1776">
    <w:name w:val="样式 标题 3H3h33rd level第二层条Re标题 3 Char3条标题1.1.1 Char标题 3 Ch..."/>
    <w:basedOn w:val="5"/>
    <w:qFormat/>
    <w:uiPriority w:val="0"/>
    <w:pPr>
      <w:tabs>
        <w:tab w:val="clear" w:pos="720"/>
      </w:tabs>
      <w:snapToGrid w:val="0"/>
      <w:spacing w:line="480" w:lineRule="exact"/>
      <w:ind w:left="0" w:firstLine="0"/>
      <w:textAlignment w:val="auto"/>
    </w:pPr>
    <w:rPr>
      <w:b w:val="0"/>
      <w:snapToGrid w:val="0"/>
      <w:color w:val="auto"/>
      <w:spacing w:val="0"/>
      <w:kern w:val="20"/>
      <w:sz w:val="24"/>
      <w:szCs w:val="32"/>
    </w:rPr>
  </w:style>
  <w:style w:type="paragraph" w:customStyle="1" w:styleId="1777">
    <w:name w:val="列表 41"/>
    <w:basedOn w:val="1"/>
    <w:qFormat/>
    <w:uiPriority w:val="0"/>
    <w:pPr>
      <w:overflowPunct w:val="0"/>
      <w:snapToGrid w:val="0"/>
      <w:spacing w:line="480" w:lineRule="exact"/>
      <w:ind w:firstLine="560" w:firstLineChars="200"/>
    </w:pPr>
    <w:rPr>
      <w:rFonts w:ascii="Arial" w:hAnsi="Arial" w:eastAsia="仿宋_GB2312"/>
      <w:sz w:val="28"/>
    </w:rPr>
  </w:style>
  <w:style w:type="paragraph" w:customStyle="1" w:styleId="1778">
    <w:name w:val="Char1 Char Char Char2"/>
    <w:basedOn w:val="1"/>
    <w:qFormat/>
    <w:uiPriority w:val="0"/>
    <w:pPr>
      <w:spacing w:line="360" w:lineRule="auto"/>
      <w:ind w:firstLine="200" w:firstLineChars="200"/>
    </w:pPr>
    <w:rPr>
      <w:rFonts w:ascii="宋体" w:hAnsi="宋体" w:cs="宋体"/>
      <w:sz w:val="24"/>
    </w:rPr>
  </w:style>
  <w:style w:type="paragraph" w:customStyle="1" w:styleId="1779">
    <w:name w:val="特殊标题３"/>
    <w:basedOn w:val="1"/>
    <w:qFormat/>
    <w:uiPriority w:val="0"/>
    <w:pPr>
      <w:overflowPunct w:val="0"/>
      <w:autoSpaceDE w:val="0"/>
      <w:autoSpaceDN w:val="0"/>
      <w:adjustRightInd w:val="0"/>
      <w:spacing w:line="360" w:lineRule="auto"/>
      <w:textAlignment w:val="baseline"/>
    </w:pPr>
    <w:rPr>
      <w:rFonts w:eastAsia="仿宋_GB2312"/>
      <w:sz w:val="28"/>
    </w:rPr>
  </w:style>
  <w:style w:type="paragraph" w:customStyle="1" w:styleId="1780">
    <w:name w:val="样式 首行缩进:  0.85 厘米 段后: 3.1 磅 行距: 固定值 20 磅"/>
    <w:basedOn w:val="1"/>
    <w:qFormat/>
    <w:uiPriority w:val="0"/>
    <w:pPr>
      <w:spacing w:afterLines="20" w:line="400" w:lineRule="exact"/>
      <w:ind w:firstLine="482"/>
    </w:pPr>
    <w:rPr>
      <w:rFonts w:cs="宋体"/>
      <w:sz w:val="24"/>
    </w:rPr>
  </w:style>
  <w:style w:type="paragraph" w:customStyle="1" w:styleId="1781">
    <w:name w:val="燕山正文21"/>
    <w:basedOn w:val="1"/>
    <w:qFormat/>
    <w:uiPriority w:val="0"/>
    <w:pPr>
      <w:tabs>
        <w:tab w:val="left" w:pos="4680"/>
      </w:tabs>
      <w:adjustRightInd w:val="0"/>
      <w:snapToGrid w:val="0"/>
      <w:spacing w:line="360" w:lineRule="auto"/>
      <w:ind w:firstLine="480" w:firstLineChars="200"/>
      <w:jc w:val="left"/>
    </w:pPr>
    <w:rPr>
      <w:rFonts w:ascii="宋体" w:hAnsi="宋体"/>
      <w:bCs/>
      <w:color w:val="000000"/>
      <w:sz w:val="24"/>
    </w:rPr>
  </w:style>
  <w:style w:type="paragraph" w:customStyle="1" w:styleId="1782">
    <w:name w:val="标-4"/>
    <w:basedOn w:val="1"/>
    <w:qFormat/>
    <w:uiPriority w:val="0"/>
    <w:pPr>
      <w:spacing w:before="120"/>
      <w:ind w:left="851" w:hanging="851"/>
    </w:pPr>
    <w:rPr>
      <w:sz w:val="24"/>
    </w:rPr>
  </w:style>
  <w:style w:type="paragraph" w:customStyle="1" w:styleId="1783">
    <w:name w:val="Char10"/>
    <w:basedOn w:val="1"/>
    <w:qFormat/>
    <w:uiPriority w:val="0"/>
    <w:pPr>
      <w:ind w:left="-48"/>
    </w:pPr>
  </w:style>
  <w:style w:type="paragraph" w:customStyle="1" w:styleId="1784">
    <w:name w:val="小四宋居中1.0"/>
    <w:basedOn w:val="1"/>
    <w:next w:val="1"/>
    <w:qFormat/>
    <w:uiPriority w:val="0"/>
    <w:pPr>
      <w:spacing w:line="360" w:lineRule="exact"/>
      <w:jc w:val="center"/>
    </w:pPr>
    <w:rPr>
      <w:rFonts w:ascii="仿宋_GB2312" w:eastAsia="仿宋_GB2312"/>
    </w:rPr>
  </w:style>
  <w:style w:type="paragraph" w:customStyle="1" w:styleId="1785">
    <w:name w:val="Char Char Char Char Char Char Char Char Char Char Char Char Char Char Char Char Char Char Char Char Char Char Char Char Char Char Char Char Char Char Char Char Char Char Char Char Char Char Char Char Char Char"/>
    <w:basedOn w:val="1"/>
    <w:qFormat/>
    <w:uiPriority w:val="0"/>
  </w:style>
  <w:style w:type="paragraph" w:customStyle="1" w:styleId="1786">
    <w:name w:val="TOC 标题1"/>
    <w:basedOn w:val="3"/>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1787">
    <w:name w:val="表标题1.7－2"/>
    <w:basedOn w:val="1"/>
    <w:qFormat/>
    <w:uiPriority w:val="0"/>
    <w:pPr>
      <w:tabs>
        <w:tab w:val="left" w:pos="1931"/>
      </w:tabs>
      <w:spacing w:beforeLines="100" w:line="0" w:lineRule="atLeast"/>
      <w:ind w:left="1271" w:hanging="420"/>
    </w:pPr>
    <w:rPr>
      <w:color w:val="000000"/>
      <w:sz w:val="24"/>
    </w:rPr>
  </w:style>
  <w:style w:type="paragraph" w:customStyle="1" w:styleId="1788">
    <w:name w:val="标题49"/>
    <w:basedOn w:val="1"/>
    <w:qFormat/>
    <w:uiPriority w:val="0"/>
    <w:pPr>
      <w:adjustRightInd w:val="0"/>
      <w:snapToGrid w:val="0"/>
      <w:spacing w:line="300" w:lineRule="auto"/>
      <w:jc w:val="left"/>
    </w:pPr>
    <w:rPr>
      <w:rFonts w:ascii="宋体" w:hAnsi="宋体"/>
      <w:sz w:val="24"/>
    </w:rPr>
  </w:style>
  <w:style w:type="paragraph" w:customStyle="1" w:styleId="1789">
    <w:name w:val="xl38"/>
    <w:basedOn w:val="1"/>
    <w:qFormat/>
    <w:uiPriority w:val="0"/>
    <w:pPr>
      <w:widowControl/>
      <w:pBdr>
        <w:top w:val="single" w:color="auto" w:sz="4" w:space="0"/>
        <w:bottom w:val="single" w:color="auto" w:sz="4" w:space="0"/>
        <w:right w:val="single" w:color="auto" w:sz="4" w:space="0"/>
      </w:pBdr>
      <w:spacing w:before="100" w:beforeAutospacing="1" w:after="100" w:afterAutospacing="1"/>
      <w:jc w:val="right"/>
    </w:pPr>
    <w:rPr>
      <w:rFonts w:ascii="宋体" w:hAnsi="宋体"/>
      <w:sz w:val="24"/>
    </w:rPr>
  </w:style>
  <w:style w:type="paragraph" w:customStyle="1" w:styleId="1790">
    <w:name w:val="haydonli"/>
    <w:basedOn w:val="1"/>
    <w:qFormat/>
    <w:uiPriority w:val="0"/>
    <w:pPr>
      <w:snapToGrid w:val="0"/>
      <w:spacing w:line="360" w:lineRule="auto"/>
      <w:ind w:firstLine="480" w:firstLineChars="200"/>
    </w:pPr>
    <w:rPr>
      <w:snapToGrid w:val="0"/>
      <w:sz w:val="24"/>
    </w:rPr>
  </w:style>
  <w:style w:type="paragraph" w:customStyle="1" w:styleId="1791">
    <w:name w:val="页眉中30"/>
    <w:basedOn w:val="1"/>
    <w:qFormat/>
    <w:uiPriority w:val="0"/>
    <w:pPr>
      <w:adjustRightInd w:val="0"/>
      <w:snapToGrid w:val="0"/>
      <w:spacing w:line="300" w:lineRule="auto"/>
      <w:jc w:val="left"/>
    </w:pPr>
    <w:rPr>
      <w:rFonts w:ascii="黑体" w:eastAsia="黑体"/>
      <w:bCs/>
      <w:sz w:val="24"/>
    </w:rPr>
  </w:style>
  <w:style w:type="paragraph" w:customStyle="1" w:styleId="1792">
    <w:name w:val="正文格式4"/>
    <w:basedOn w:val="1"/>
    <w:qFormat/>
    <w:uiPriority w:val="0"/>
    <w:pPr>
      <w:adjustRightInd w:val="0"/>
      <w:snapToGrid w:val="0"/>
      <w:spacing w:line="360" w:lineRule="auto"/>
      <w:ind w:firstLine="480" w:firstLineChars="200"/>
    </w:pPr>
    <w:rPr>
      <w:rFonts w:ascii="宋体" w:cs="宋体"/>
      <w:sz w:val="24"/>
    </w:rPr>
  </w:style>
  <w:style w:type="paragraph" w:customStyle="1" w:styleId="1793">
    <w:name w:val="样式 列表 + 左侧:  0 厘米 悬挂缩进: 2 字符"/>
    <w:basedOn w:val="67"/>
    <w:qFormat/>
    <w:uiPriority w:val="0"/>
    <w:pPr>
      <w:autoSpaceDE w:val="0"/>
      <w:autoSpaceDN w:val="0"/>
      <w:snapToGrid w:val="0"/>
      <w:spacing w:line="440" w:lineRule="atLeast"/>
      <w:ind w:left="0" w:firstLine="0" w:firstLineChars="0"/>
      <w:jc w:val="center"/>
    </w:pPr>
  </w:style>
  <w:style w:type="paragraph" w:customStyle="1" w:styleId="1794">
    <w:name w:val="样式 标题 3 + (符号) Times New Roman 四号 两端对齐 段前: 12 磅 行距: 1.5 倍行距5"/>
    <w:basedOn w:val="5"/>
    <w:qFormat/>
    <w:uiPriority w:val="0"/>
    <w:pPr>
      <w:keepNext w:val="0"/>
      <w:keepLines w:val="0"/>
      <w:tabs>
        <w:tab w:val="clear" w:pos="720"/>
      </w:tabs>
      <w:snapToGrid w:val="0"/>
      <w:spacing w:before="120" w:afterLines="50"/>
      <w:ind w:left="0" w:firstLine="0"/>
      <w:jc w:val="both"/>
      <w:textAlignment w:val="auto"/>
    </w:pPr>
    <w:rPr>
      <w:rFonts w:ascii="黑体" w:cs="宋体"/>
      <w:color w:val="auto"/>
      <w:spacing w:val="0"/>
      <w:kern w:val="2"/>
      <w:szCs w:val="28"/>
    </w:rPr>
  </w:style>
  <w:style w:type="paragraph" w:customStyle="1" w:styleId="1795">
    <w:name w:val="需要资料"/>
    <w:basedOn w:val="1"/>
    <w:qFormat/>
    <w:uiPriority w:val="0"/>
    <w:pPr>
      <w:adjustRightInd w:val="0"/>
      <w:snapToGrid w:val="0"/>
      <w:spacing w:line="360" w:lineRule="auto"/>
      <w:ind w:firstLine="480" w:firstLineChars="200"/>
    </w:pPr>
    <w:rPr>
      <w:rFonts w:ascii="黑体" w:eastAsia="黑体"/>
      <w:color w:val="0000FF"/>
      <w:sz w:val="24"/>
    </w:rPr>
  </w:style>
  <w:style w:type="paragraph" w:customStyle="1" w:styleId="1796">
    <w:name w:val="表内宋526"/>
    <w:basedOn w:val="1553"/>
    <w:qFormat/>
    <w:uiPriority w:val="0"/>
    <w:pPr>
      <w:jc w:val="both"/>
    </w:pPr>
  </w:style>
  <w:style w:type="paragraph" w:customStyle="1" w:styleId="1797">
    <w:name w:val="_正文格式"/>
    <w:basedOn w:val="1"/>
    <w:qFormat/>
    <w:uiPriority w:val="0"/>
    <w:pPr>
      <w:spacing w:line="480" w:lineRule="exact"/>
      <w:ind w:firstLine="567"/>
    </w:pPr>
    <w:rPr>
      <w:rFonts w:eastAsia="仿宋_GB2312"/>
      <w:sz w:val="28"/>
    </w:rPr>
  </w:style>
  <w:style w:type="paragraph" w:customStyle="1" w:styleId="1798">
    <w:name w:val="表内文字小12"/>
    <w:basedOn w:val="1"/>
    <w:qFormat/>
    <w:uiPriority w:val="0"/>
    <w:pPr>
      <w:adjustRightInd w:val="0"/>
      <w:snapToGrid w:val="0"/>
      <w:jc w:val="center"/>
    </w:pPr>
    <w:rPr>
      <w:rFonts w:ascii="宋体" w:hAnsi="Times" w:cs="宋体"/>
    </w:rPr>
  </w:style>
  <w:style w:type="paragraph" w:customStyle="1" w:styleId="1799">
    <w:name w:val="Char2 Char Char Char Char Char Char Char Char Char1"/>
    <w:basedOn w:val="1"/>
    <w:qFormat/>
    <w:uiPriority w:val="0"/>
  </w:style>
  <w:style w:type="paragraph" w:customStyle="1" w:styleId="1800">
    <w:name w:val="GB-1.1"/>
    <w:qFormat/>
    <w:uiPriority w:val="0"/>
    <w:pPr>
      <w:keepNext/>
      <w:tabs>
        <w:tab w:val="left" w:pos="360"/>
      </w:tabs>
      <w:spacing w:beforeLines="50" w:afterLines="50"/>
      <w:outlineLvl w:val="1"/>
    </w:pPr>
    <w:rPr>
      <w:rFonts w:ascii="黑体" w:hAnsi="宋体" w:eastAsia="黑体" w:cs="Times New Roman"/>
      <w:sz w:val="21"/>
      <w:lang w:val="en-US" w:eastAsia="zh-CN" w:bidi="ar-SA"/>
    </w:rPr>
  </w:style>
  <w:style w:type="paragraph" w:customStyle="1" w:styleId="1801">
    <w:name w:val="样式 燕山正文 + 首行缩进:  3.5 字符24"/>
    <w:basedOn w:val="1"/>
    <w:qFormat/>
    <w:uiPriority w:val="0"/>
    <w:pPr>
      <w:tabs>
        <w:tab w:val="left" w:pos="4680"/>
      </w:tabs>
      <w:adjustRightInd w:val="0"/>
      <w:snapToGrid w:val="0"/>
      <w:spacing w:line="360" w:lineRule="auto"/>
      <w:ind w:firstLine="200" w:firstLineChars="200"/>
    </w:pPr>
    <w:rPr>
      <w:rFonts w:ascii="宋体" w:hAnsi="宋体" w:cs="宋体"/>
      <w:color w:val="000000"/>
      <w:sz w:val="28"/>
    </w:rPr>
  </w:style>
  <w:style w:type="paragraph" w:customStyle="1" w:styleId="1802">
    <w:name w:val="图表名称3"/>
    <w:basedOn w:val="87"/>
    <w:qFormat/>
    <w:uiPriority w:val="0"/>
    <w:pPr>
      <w:adjustRightInd w:val="0"/>
      <w:snapToGrid w:val="0"/>
      <w:ind w:firstLine="0" w:firstLineChars="0"/>
      <w:jc w:val="center"/>
    </w:pPr>
    <w:rPr>
      <w:rFonts w:ascii="宋体" w:hAnsi="宋体"/>
      <w:sz w:val="24"/>
      <w:szCs w:val="21"/>
    </w:rPr>
  </w:style>
  <w:style w:type="paragraph" w:customStyle="1" w:styleId="1803">
    <w:name w:val="表内5中51"/>
    <w:basedOn w:val="1"/>
    <w:qFormat/>
    <w:uiPriority w:val="0"/>
    <w:pPr>
      <w:adjustRightInd w:val="0"/>
      <w:snapToGrid w:val="0"/>
      <w:jc w:val="center"/>
    </w:pPr>
    <w:rPr>
      <w:rFonts w:ascii="宋体"/>
    </w:rPr>
  </w:style>
  <w:style w:type="paragraph" w:customStyle="1" w:styleId="1804">
    <w:name w:val="样式 标准文本 首行缩进:2 字符 行距1.5倍 + 首行缩进:  2 字符"/>
    <w:qFormat/>
    <w:uiPriority w:val="0"/>
    <w:pPr>
      <w:adjustRightInd w:val="0"/>
      <w:snapToGrid w:val="0"/>
      <w:spacing w:line="360" w:lineRule="auto"/>
      <w:ind w:firstLine="200" w:firstLineChars="200"/>
      <w:textAlignment w:val="center"/>
    </w:pPr>
    <w:rPr>
      <w:rFonts w:ascii="Calibri" w:hAnsi="Calibri" w:eastAsia="宋体" w:cs="宋体"/>
      <w:kern w:val="2"/>
      <w:sz w:val="24"/>
      <w:lang w:val="en-US" w:eastAsia="zh-CN" w:bidi="ar-SA"/>
    </w:rPr>
  </w:style>
  <w:style w:type="paragraph" w:customStyle="1" w:styleId="1805">
    <w:name w:val="表内5114"/>
    <w:basedOn w:val="1"/>
    <w:qFormat/>
    <w:uiPriority w:val="0"/>
    <w:pPr>
      <w:adjustRightInd w:val="0"/>
      <w:snapToGrid w:val="0"/>
      <w:spacing w:line="300" w:lineRule="auto"/>
      <w:jc w:val="left"/>
    </w:pPr>
    <w:rPr>
      <w:rFonts w:ascii="宋体" w:hAnsi="宋体" w:cs="宋体"/>
    </w:rPr>
  </w:style>
  <w:style w:type="paragraph" w:customStyle="1" w:styleId="1806">
    <w:name w:val="等核实32"/>
    <w:basedOn w:val="35"/>
    <w:qFormat/>
    <w:uiPriority w:val="0"/>
    <w:pPr>
      <w:tabs>
        <w:tab w:val="left" w:pos="4305"/>
      </w:tabs>
      <w:adjustRightInd w:val="0"/>
      <w:snapToGrid w:val="0"/>
      <w:spacing w:after="0" w:line="360" w:lineRule="auto"/>
      <w:ind w:left="0" w:leftChars="0" w:firstLine="480" w:firstLineChars="200"/>
    </w:pPr>
    <w:rPr>
      <w:rFonts w:ascii="宋体" w:hAnsi="宋体"/>
      <w:color w:val="0000FF"/>
      <w:sz w:val="24"/>
      <w:szCs w:val="20"/>
    </w:rPr>
  </w:style>
  <w:style w:type="paragraph" w:customStyle="1" w:styleId="1807">
    <w:name w:val="样式 正文首行缩进 2 + 首行缩进:  2 字符1"/>
    <w:basedOn w:val="37"/>
    <w:next w:val="37"/>
    <w:qFormat/>
    <w:uiPriority w:val="0"/>
    <w:pPr>
      <w:spacing w:after="0" w:line="440" w:lineRule="exact"/>
      <w:ind w:left="0" w:leftChars="0" w:firstLine="200"/>
      <w:jc w:val="left"/>
    </w:pPr>
    <w:rPr>
      <w:rFonts w:cs="宋体"/>
      <w:color w:val="000000"/>
      <w:sz w:val="24"/>
    </w:rPr>
  </w:style>
  <w:style w:type="paragraph" w:customStyle="1" w:styleId="1808">
    <w:name w:val="表内文字大8"/>
    <w:basedOn w:val="1"/>
    <w:qFormat/>
    <w:uiPriority w:val="0"/>
    <w:pPr>
      <w:adjustRightInd w:val="0"/>
      <w:snapToGrid w:val="0"/>
      <w:jc w:val="center"/>
    </w:pPr>
    <w:rPr>
      <w:rFonts w:ascii="宋体" w:hAnsi="Times"/>
      <w:sz w:val="24"/>
    </w:rPr>
  </w:style>
  <w:style w:type="paragraph" w:customStyle="1" w:styleId="1809">
    <w:name w:val="xl136"/>
    <w:basedOn w:val="1"/>
    <w:qFormat/>
    <w:uiPriority w:val="0"/>
    <w:pPr>
      <w:widowControl/>
      <w:pBdr>
        <w:left w:val="single" w:color="auto" w:sz="4" w:space="0"/>
        <w:right w:val="single" w:color="auto" w:sz="4" w:space="0"/>
      </w:pBdr>
      <w:shd w:val="clear" w:color="000000" w:fill="FFFF00"/>
      <w:spacing w:before="100" w:beforeAutospacing="1" w:after="100" w:afterAutospacing="1"/>
      <w:jc w:val="center"/>
      <w:textAlignment w:val="center"/>
    </w:pPr>
    <w:rPr>
      <w:color w:val="000000"/>
      <w:sz w:val="18"/>
      <w:szCs w:val="18"/>
    </w:rPr>
  </w:style>
  <w:style w:type="paragraph" w:customStyle="1" w:styleId="1810">
    <w:name w:val="Char Char Char Char Char Char5"/>
    <w:basedOn w:val="1"/>
    <w:qFormat/>
    <w:uiPriority w:val="0"/>
  </w:style>
  <w:style w:type="paragraph" w:customStyle="1" w:styleId="1811">
    <w:name w:val="表内宋515"/>
    <w:basedOn w:val="82"/>
    <w:qFormat/>
    <w:uiPriority w:val="0"/>
    <w:pPr>
      <w:widowControl/>
      <w:adjustRightInd w:val="0"/>
      <w:snapToGrid w:val="0"/>
    </w:pPr>
    <w:rPr>
      <w:rFonts w:ascii="宋体" w:hAnsi="宋体" w:cs="宋体"/>
      <w:color w:val="000000"/>
      <w:sz w:val="21"/>
    </w:rPr>
  </w:style>
  <w:style w:type="paragraph" w:customStyle="1" w:styleId="1812">
    <w:name w:val="CM27"/>
    <w:basedOn w:val="641"/>
    <w:next w:val="641"/>
    <w:qFormat/>
    <w:uiPriority w:val="0"/>
    <w:pPr>
      <w:spacing w:line="313" w:lineRule="atLeast"/>
    </w:pPr>
    <w:rPr>
      <w:rFonts w:ascii="黑体" w:eastAsia="黑体" w:cs="Times New Roman"/>
      <w:color w:val="auto"/>
    </w:rPr>
  </w:style>
  <w:style w:type="paragraph" w:customStyle="1" w:styleId="1813">
    <w:name w:val="纯文本表内文字"/>
    <w:basedOn w:val="47"/>
    <w:qFormat/>
    <w:uiPriority w:val="0"/>
    <w:rPr>
      <w:rFonts w:ascii="Arial" w:hAnsi="Arial"/>
      <w:snapToGrid w:val="0"/>
      <w:spacing w:val="10"/>
    </w:rPr>
  </w:style>
  <w:style w:type="paragraph" w:customStyle="1" w:styleId="1814">
    <w:name w:val="福建正文缩进34"/>
    <w:basedOn w:val="21"/>
    <w:qFormat/>
    <w:uiPriority w:val="0"/>
    <w:pPr>
      <w:autoSpaceDE w:val="0"/>
      <w:autoSpaceDN w:val="0"/>
      <w:adjustRightInd w:val="0"/>
      <w:snapToGrid w:val="0"/>
      <w:spacing w:line="360" w:lineRule="auto"/>
      <w:ind w:firstLine="539" w:firstLineChars="0"/>
    </w:pPr>
    <w:rPr>
      <w:rFonts w:ascii="宋体" w:hAnsi="宋体"/>
      <w:szCs w:val="24"/>
    </w:rPr>
  </w:style>
  <w:style w:type="paragraph" w:customStyle="1" w:styleId="1815">
    <w:name w:val="正文居中5"/>
    <w:basedOn w:val="1"/>
    <w:qFormat/>
    <w:uiPriority w:val="0"/>
    <w:pPr>
      <w:adjustRightInd w:val="0"/>
      <w:snapToGrid w:val="0"/>
      <w:spacing w:line="480" w:lineRule="atLeast"/>
      <w:jc w:val="center"/>
    </w:pPr>
    <w:rPr>
      <w:rFonts w:ascii="宋体"/>
      <w:snapToGrid w:val="0"/>
      <w:spacing w:val="6"/>
      <w:sz w:val="28"/>
    </w:rPr>
  </w:style>
  <w:style w:type="paragraph" w:customStyle="1" w:styleId="1816">
    <w:name w:val="t4"/>
    <w:basedOn w:val="1"/>
    <w:qFormat/>
    <w:uiPriority w:val="0"/>
    <w:pPr>
      <w:adjustRightInd w:val="0"/>
      <w:spacing w:line="360" w:lineRule="auto"/>
      <w:ind w:left="960" w:leftChars="150" w:firstLine="840" w:firstLineChars="200"/>
      <w:textAlignment w:val="baseline"/>
    </w:pPr>
    <w:rPr>
      <w:rFonts w:ascii="宋体"/>
      <w:sz w:val="28"/>
    </w:rPr>
  </w:style>
  <w:style w:type="paragraph" w:customStyle="1" w:styleId="1817">
    <w:name w:val="样式 表内小5 + 左侧:  0 厘米 悬挂缩进: 0.98 字符2"/>
    <w:basedOn w:val="1"/>
    <w:qFormat/>
    <w:uiPriority w:val="0"/>
    <w:pPr>
      <w:adjustRightInd w:val="0"/>
      <w:snapToGrid w:val="0"/>
      <w:spacing w:line="300" w:lineRule="auto"/>
      <w:ind w:left="289" w:leftChars="-200" w:hanging="769"/>
    </w:pPr>
    <w:rPr>
      <w:rFonts w:ascii="宋体" w:hAnsi="宋体" w:cs="宋体"/>
      <w:sz w:val="18"/>
    </w:rPr>
  </w:style>
  <w:style w:type="paragraph" w:customStyle="1" w:styleId="1818">
    <w:name w:val="标题424"/>
    <w:basedOn w:val="1"/>
    <w:qFormat/>
    <w:uiPriority w:val="0"/>
    <w:pPr>
      <w:adjustRightInd w:val="0"/>
      <w:snapToGrid w:val="0"/>
      <w:spacing w:line="300" w:lineRule="auto"/>
      <w:jc w:val="left"/>
    </w:pPr>
    <w:rPr>
      <w:rFonts w:ascii="宋体" w:hAnsi="宋体"/>
      <w:sz w:val="24"/>
    </w:rPr>
  </w:style>
  <w:style w:type="paragraph" w:customStyle="1" w:styleId="1819">
    <w:name w:val="表题126"/>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1820">
    <w:name w:val="Char Char1 Char Char Char Char Char Char Char3"/>
    <w:basedOn w:val="1"/>
    <w:qFormat/>
    <w:uiPriority w:val="0"/>
    <w:pPr>
      <w:spacing w:line="480" w:lineRule="exact"/>
    </w:pPr>
  </w:style>
  <w:style w:type="paragraph" w:customStyle="1" w:styleId="1821">
    <w:name w:val="样式 标题 2 + 段前: 0.5 行 段后: 0.5 行1"/>
    <w:basedOn w:val="4"/>
    <w:qFormat/>
    <w:uiPriority w:val="0"/>
    <w:pPr>
      <w:keepNext w:val="0"/>
      <w:keepLines w:val="0"/>
      <w:tabs>
        <w:tab w:val="left" w:pos="1460"/>
        <w:tab w:val="clear" w:pos="1427"/>
      </w:tabs>
      <w:adjustRightInd/>
      <w:spacing w:before="156" w:after="156" w:line="500" w:lineRule="exact"/>
      <w:ind w:left="578" w:hanging="578"/>
      <w:jc w:val="both"/>
      <w:textAlignment w:val="auto"/>
    </w:pPr>
    <w:rPr>
      <w:rFonts w:ascii="Arial" w:hAnsi="Arial" w:eastAsia="楷体_GB2312"/>
      <w:bCs/>
      <w:spacing w:val="34"/>
      <w:kern w:val="2"/>
      <w:sz w:val="36"/>
    </w:rPr>
  </w:style>
  <w:style w:type="paragraph" w:customStyle="1" w:styleId="1822">
    <w:name w:val="目次、标准名称标题"/>
    <w:basedOn w:val="1"/>
    <w:next w:val="1"/>
    <w:qFormat/>
    <w:uiPriority w:val="0"/>
    <w:pPr>
      <w:widowControl/>
      <w:shd w:val="clear" w:color="FFFFFF" w:fill="FFFFFF"/>
      <w:spacing w:before="640" w:after="560" w:line="460" w:lineRule="exact"/>
      <w:jc w:val="center"/>
      <w:outlineLvl w:val="0"/>
    </w:pPr>
    <w:rPr>
      <w:rFonts w:ascii="黑体" w:eastAsia="黑体"/>
      <w:sz w:val="32"/>
    </w:rPr>
  </w:style>
  <w:style w:type="paragraph" w:customStyle="1" w:styleId="1823">
    <w:name w:val="表内5中53"/>
    <w:basedOn w:val="1"/>
    <w:qFormat/>
    <w:uiPriority w:val="0"/>
    <w:pPr>
      <w:adjustRightInd w:val="0"/>
      <w:snapToGrid w:val="0"/>
      <w:jc w:val="center"/>
    </w:pPr>
    <w:rPr>
      <w:rFonts w:ascii="宋体"/>
    </w:rPr>
  </w:style>
  <w:style w:type="paragraph" w:customStyle="1" w:styleId="1824">
    <w:name w:val="正文17"/>
    <w:basedOn w:val="1"/>
    <w:qFormat/>
    <w:uiPriority w:val="0"/>
    <w:pPr>
      <w:adjustRightInd w:val="0"/>
      <w:spacing w:line="480" w:lineRule="exact"/>
      <w:jc w:val="center"/>
      <w:textAlignment w:val="baseline"/>
    </w:pPr>
    <w:rPr>
      <w:rFonts w:ascii="宋体" w:hAnsi="宋体" w:eastAsia="Times New Roman"/>
      <w:sz w:val="24"/>
    </w:rPr>
  </w:style>
  <w:style w:type="paragraph" w:customStyle="1" w:styleId="1825">
    <w:name w:val="标题 42"/>
    <w:basedOn w:val="1"/>
    <w:next w:val="1"/>
    <w:qFormat/>
    <w:uiPriority w:val="0"/>
    <w:pPr>
      <w:adjustRightInd w:val="0"/>
      <w:spacing w:line="440" w:lineRule="atLeast"/>
      <w:ind w:left="198" w:firstLine="567"/>
      <w:textAlignment w:val="baseline"/>
    </w:pPr>
    <w:rPr>
      <w:rFonts w:hint="eastAsia" w:hAnsi="宋体"/>
      <w:kern w:val="28"/>
      <w:sz w:val="24"/>
    </w:rPr>
  </w:style>
  <w:style w:type="paragraph" w:customStyle="1" w:styleId="1826">
    <w:name w:val="s1"/>
    <w:basedOn w:val="1"/>
    <w:qFormat/>
    <w:uiPriority w:val="0"/>
    <w:pPr>
      <w:autoSpaceDE w:val="0"/>
      <w:autoSpaceDN w:val="0"/>
      <w:adjustRightInd w:val="0"/>
      <w:spacing w:before="240" w:line="360" w:lineRule="atLeast"/>
      <w:jc w:val="left"/>
    </w:pPr>
    <w:rPr>
      <w:rFonts w:ascii="宋体"/>
    </w:rPr>
  </w:style>
  <w:style w:type="paragraph" w:customStyle="1" w:styleId="1827">
    <w:name w:val="样式 宋体 小四 首行缩进:  1 厘米"/>
    <w:basedOn w:val="1"/>
    <w:qFormat/>
    <w:uiPriority w:val="0"/>
    <w:pPr>
      <w:spacing w:line="500" w:lineRule="exact"/>
      <w:ind w:firstLine="482"/>
    </w:pPr>
    <w:rPr>
      <w:rFonts w:ascii="宋体" w:hAnsi="宋体"/>
      <w:color w:val="FF6600"/>
      <w:sz w:val="24"/>
    </w:rPr>
  </w:style>
  <w:style w:type="paragraph" w:customStyle="1" w:styleId="1828">
    <w:name w:val="Header Base"/>
    <w:basedOn w:val="1"/>
    <w:qFormat/>
    <w:uiPriority w:val="0"/>
    <w:pPr>
      <w:keepLines/>
      <w:widowControl/>
      <w:tabs>
        <w:tab w:val="center" w:pos="4320"/>
        <w:tab w:val="right" w:pos="8640"/>
      </w:tabs>
      <w:spacing w:line="180" w:lineRule="atLeast"/>
    </w:pPr>
    <w:rPr>
      <w:rFonts w:ascii="Arial" w:hAnsi="Arial"/>
      <w:spacing w:val="-5"/>
    </w:rPr>
  </w:style>
  <w:style w:type="paragraph" w:customStyle="1" w:styleId="1829">
    <w:name w:val="样式 小四 首行缩进:  0 厘米 行距: 最小值 12 磅"/>
    <w:basedOn w:val="1"/>
    <w:qFormat/>
    <w:uiPriority w:val="0"/>
    <w:pPr>
      <w:adjustRightInd w:val="0"/>
      <w:spacing w:line="240" w:lineRule="atLeast"/>
      <w:textAlignment w:val="baseline"/>
    </w:pPr>
    <w:rPr>
      <w:sz w:val="24"/>
    </w:rPr>
  </w:style>
  <w:style w:type="paragraph" w:customStyle="1" w:styleId="1830">
    <w:name w:val="待定小3"/>
    <w:qFormat/>
    <w:uiPriority w:val="0"/>
    <w:rPr>
      <w:rFonts w:ascii="Times New Roman" w:hAnsi="Times New Roman" w:eastAsia="宋体" w:cs="Times New Roman"/>
      <w:color w:val="000000"/>
      <w:lang w:val="en-US" w:eastAsia="zh-CN" w:bidi="ar-SA"/>
    </w:rPr>
  </w:style>
  <w:style w:type="paragraph" w:customStyle="1" w:styleId="1831">
    <w:name w:val="xl134"/>
    <w:basedOn w:val="1"/>
    <w:qFormat/>
    <w:uiPriority w:val="0"/>
    <w:pPr>
      <w:widowControl/>
      <w:pBdr>
        <w:left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1832">
    <w:name w:val="xl144"/>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1833">
    <w:name w:val="样式 正文文本正文文字 Char"/>
    <w:basedOn w:val="34"/>
    <w:qFormat/>
    <w:uiPriority w:val="0"/>
    <w:pPr>
      <w:spacing w:after="0" w:line="240" w:lineRule="atLeast"/>
      <w:jc w:val="center"/>
    </w:pPr>
    <w:rPr>
      <w:bCs/>
      <w:spacing w:val="0"/>
      <w:kern w:val="2"/>
      <w:sz w:val="21"/>
      <w:szCs w:val="24"/>
    </w:rPr>
  </w:style>
  <w:style w:type="paragraph" w:customStyle="1" w:styleId="1834">
    <w:name w:val="gliederutext"/>
    <w:basedOn w:val="1"/>
    <w:qFormat/>
    <w:uiPriority w:val="0"/>
    <w:pPr>
      <w:widowControl/>
      <w:spacing w:after="170"/>
      <w:ind w:left="850"/>
    </w:pPr>
    <w:rPr>
      <w:rFonts w:ascii="Helv" w:hAnsi="Helv"/>
      <w:color w:val="000000"/>
      <w:sz w:val="22"/>
      <w:szCs w:val="22"/>
    </w:rPr>
  </w:style>
  <w:style w:type="paragraph" w:customStyle="1" w:styleId="1835">
    <w:name w:val="样式 表格 + 宋体 居中"/>
    <w:basedOn w:val="1114"/>
    <w:qFormat/>
    <w:uiPriority w:val="0"/>
    <w:pPr>
      <w:widowControl/>
      <w:adjustRightInd/>
      <w:spacing w:before="0" w:after="0"/>
      <w:jc w:val="center"/>
      <w:textAlignment w:val="center"/>
    </w:pPr>
    <w:rPr>
      <w:rFonts w:ascii="Times New Roman" w:eastAsia="宋体"/>
    </w:rPr>
  </w:style>
  <w:style w:type="paragraph" w:customStyle="1" w:styleId="1836">
    <w:name w:val="图题3"/>
    <w:basedOn w:val="21"/>
    <w:qFormat/>
    <w:uiPriority w:val="0"/>
    <w:pPr>
      <w:adjustRightInd w:val="0"/>
      <w:snapToGrid w:val="0"/>
      <w:ind w:firstLine="0" w:firstLineChars="0"/>
      <w:jc w:val="center"/>
    </w:pPr>
    <w:rPr>
      <w:rFonts w:ascii="方正大标宋简体" w:eastAsia="方正大标宋简体"/>
      <w:b/>
      <w:szCs w:val="24"/>
    </w:rPr>
  </w:style>
  <w:style w:type="paragraph" w:customStyle="1" w:styleId="1837">
    <w:name w:val="页眉中32"/>
    <w:basedOn w:val="1"/>
    <w:qFormat/>
    <w:uiPriority w:val="0"/>
    <w:pPr>
      <w:adjustRightInd w:val="0"/>
      <w:snapToGrid w:val="0"/>
      <w:spacing w:line="360" w:lineRule="auto"/>
      <w:jc w:val="center"/>
    </w:pPr>
    <w:rPr>
      <w:rFonts w:ascii="黑体" w:eastAsia="黑体"/>
      <w:bCs/>
      <w:sz w:val="24"/>
      <w:szCs w:val="28"/>
    </w:rPr>
  </w:style>
  <w:style w:type="paragraph" w:customStyle="1" w:styleId="1838">
    <w:name w:val="样式 haydonli + 首行缩进:  2 字符"/>
    <w:basedOn w:val="1"/>
    <w:qFormat/>
    <w:uiPriority w:val="0"/>
    <w:pPr>
      <w:adjustRightInd w:val="0"/>
      <w:snapToGrid w:val="0"/>
      <w:spacing w:line="360" w:lineRule="auto"/>
      <w:ind w:firstLine="480" w:firstLineChars="200"/>
    </w:pPr>
    <w:rPr>
      <w:rFonts w:ascii="宋体" w:hAnsi="宋体" w:cs="宋体"/>
      <w:sz w:val="24"/>
    </w:rPr>
  </w:style>
  <w:style w:type="paragraph" w:customStyle="1" w:styleId="1839">
    <w:name w:val="环标3"/>
    <w:basedOn w:val="5"/>
    <w:qFormat/>
    <w:uiPriority w:val="0"/>
    <w:pPr>
      <w:keepNext w:val="0"/>
      <w:keepLines w:val="0"/>
      <w:tabs>
        <w:tab w:val="clear" w:pos="720"/>
      </w:tabs>
      <w:spacing w:line="312" w:lineRule="atLeast"/>
      <w:ind w:left="0" w:firstLine="0"/>
      <w:jc w:val="both"/>
    </w:pPr>
    <w:rPr>
      <w:rFonts w:ascii="宋体" w:hAnsi="Courier New" w:eastAsia="宋体"/>
      <w:b w:val="0"/>
      <w:color w:val="auto"/>
      <w:spacing w:val="0"/>
      <w:sz w:val="24"/>
    </w:rPr>
  </w:style>
  <w:style w:type="paragraph" w:customStyle="1" w:styleId="1840">
    <w:name w:val="2222222222222"/>
    <w:basedOn w:val="47"/>
    <w:qFormat/>
    <w:uiPriority w:val="0"/>
    <w:pPr>
      <w:snapToGrid/>
      <w:spacing w:line="440" w:lineRule="exact"/>
    </w:pPr>
    <w:rPr>
      <w:rFonts w:hAnsi="宋体" w:cs="宋体"/>
      <w:b/>
      <w:sz w:val="24"/>
      <w:szCs w:val="24"/>
    </w:rPr>
  </w:style>
  <w:style w:type="paragraph" w:customStyle="1" w:styleId="1841">
    <w:name w:val="正文01"/>
    <w:basedOn w:val="1"/>
    <w:qFormat/>
    <w:uiPriority w:val="0"/>
    <w:pPr>
      <w:spacing w:before="60" w:line="460" w:lineRule="exact"/>
      <w:ind w:firstLine="200" w:firstLineChars="200"/>
    </w:pPr>
    <w:rPr>
      <w:rFonts w:ascii="Arial" w:hAnsi="Arial"/>
      <w:sz w:val="24"/>
    </w:rPr>
  </w:style>
  <w:style w:type="paragraph" w:customStyle="1" w:styleId="1842">
    <w:name w:val="燕山正文32"/>
    <w:basedOn w:val="1"/>
    <w:qFormat/>
    <w:uiPriority w:val="0"/>
    <w:pPr>
      <w:tabs>
        <w:tab w:val="left" w:pos="4680"/>
      </w:tabs>
      <w:adjustRightInd w:val="0"/>
      <w:snapToGrid w:val="0"/>
      <w:spacing w:line="360" w:lineRule="auto"/>
      <w:ind w:firstLine="560" w:firstLineChars="200"/>
    </w:pPr>
    <w:rPr>
      <w:rFonts w:ascii="宋体" w:hAnsi="宋体"/>
      <w:color w:val="000000"/>
      <w:sz w:val="28"/>
      <w:szCs w:val="28"/>
    </w:rPr>
  </w:style>
  <w:style w:type="paragraph" w:customStyle="1" w:styleId="1843">
    <w:name w:val="表题12"/>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1844">
    <w:name w:val="表题85"/>
    <w:basedOn w:val="35"/>
    <w:qFormat/>
    <w:uiPriority w:val="0"/>
    <w:pPr>
      <w:tabs>
        <w:tab w:val="left" w:pos="4305"/>
      </w:tabs>
      <w:adjustRightInd w:val="0"/>
      <w:snapToGrid w:val="0"/>
      <w:spacing w:after="0"/>
      <w:ind w:left="0" w:leftChars="0"/>
      <w:jc w:val="center"/>
    </w:pPr>
    <w:rPr>
      <w:rFonts w:ascii="黑体" w:hAnsi="宋体" w:eastAsia="黑体"/>
      <w:sz w:val="24"/>
      <w:szCs w:val="20"/>
    </w:rPr>
  </w:style>
  <w:style w:type="paragraph" w:customStyle="1" w:styleId="1845">
    <w:name w:val="表题93"/>
    <w:basedOn w:val="47"/>
    <w:qFormat/>
    <w:uiPriority w:val="0"/>
    <w:pPr>
      <w:adjustRightInd w:val="0"/>
      <w:spacing w:line="300" w:lineRule="auto"/>
      <w:jc w:val="center"/>
    </w:pPr>
    <w:rPr>
      <w:rFonts w:ascii="黑体" w:eastAsia="黑体"/>
      <w:sz w:val="24"/>
    </w:rPr>
  </w:style>
  <w:style w:type="paragraph" w:customStyle="1" w:styleId="1846">
    <w:name w:val="表内573"/>
    <w:basedOn w:val="1572"/>
    <w:qFormat/>
    <w:uiPriority w:val="0"/>
    <w:pPr>
      <w:spacing w:line="300" w:lineRule="auto"/>
      <w:jc w:val="both"/>
    </w:pPr>
    <w:rPr>
      <w:szCs w:val="24"/>
    </w:rPr>
  </w:style>
  <w:style w:type="paragraph" w:customStyle="1" w:styleId="1847">
    <w:name w:val="三级标题1.1.1"/>
    <w:basedOn w:val="1"/>
    <w:qFormat/>
    <w:uiPriority w:val="0"/>
    <w:pPr>
      <w:spacing w:before="80" w:after="80" w:line="360" w:lineRule="auto"/>
      <w:outlineLvl w:val="2"/>
    </w:pPr>
    <w:rPr>
      <w:rFonts w:eastAsia="黑体" w:cs="宋体"/>
      <w:b/>
      <w:bCs/>
      <w:sz w:val="28"/>
    </w:rPr>
  </w:style>
  <w:style w:type="paragraph" w:customStyle="1" w:styleId="1848">
    <w:name w:val="表题74"/>
    <w:basedOn w:val="35"/>
    <w:qFormat/>
    <w:uiPriority w:val="0"/>
    <w:pPr>
      <w:tabs>
        <w:tab w:val="left" w:pos="4305"/>
      </w:tabs>
      <w:adjustRightInd w:val="0"/>
      <w:snapToGrid w:val="0"/>
      <w:spacing w:beforeLines="50" w:afterLines="50"/>
      <w:ind w:left="0" w:leftChars="0"/>
      <w:jc w:val="center"/>
    </w:pPr>
    <w:rPr>
      <w:rFonts w:ascii="宋体" w:hAnsi="宋体"/>
      <w:b/>
      <w:szCs w:val="21"/>
    </w:rPr>
  </w:style>
  <w:style w:type="paragraph" w:customStyle="1" w:styleId="1849">
    <w:name w:val="表题22"/>
    <w:basedOn w:val="1"/>
    <w:qFormat/>
    <w:uiPriority w:val="0"/>
    <w:pPr>
      <w:widowControl/>
      <w:adjustRightInd w:val="0"/>
      <w:snapToGrid w:val="0"/>
      <w:jc w:val="center"/>
    </w:pPr>
    <w:rPr>
      <w:rFonts w:ascii="黑体" w:hAnsi="宋体" w:eastAsia="黑体" w:cs="宋体"/>
      <w:sz w:val="24"/>
    </w:rPr>
  </w:style>
  <w:style w:type="paragraph" w:customStyle="1" w:styleId="1850">
    <w:name w:val="表内5中13"/>
    <w:basedOn w:val="1510"/>
    <w:qFormat/>
    <w:uiPriority w:val="0"/>
    <w:pPr>
      <w:widowControl/>
      <w:tabs>
        <w:tab w:val="clear" w:pos="4305"/>
      </w:tabs>
    </w:pPr>
    <w:rPr>
      <w:sz w:val="21"/>
      <w:szCs w:val="21"/>
    </w:rPr>
  </w:style>
  <w:style w:type="paragraph" w:customStyle="1" w:styleId="1851">
    <w:name w:val="福建正文缩进9"/>
    <w:basedOn w:val="21"/>
    <w:qFormat/>
    <w:uiPriority w:val="0"/>
    <w:pPr>
      <w:autoSpaceDE w:val="0"/>
      <w:autoSpaceDN w:val="0"/>
      <w:adjustRightInd w:val="0"/>
      <w:snapToGrid w:val="0"/>
      <w:spacing w:line="360" w:lineRule="auto"/>
      <w:ind w:firstLine="539" w:firstLineChars="0"/>
    </w:pPr>
    <w:rPr>
      <w:rFonts w:ascii="宋体" w:hAnsi="宋体"/>
      <w:szCs w:val="24"/>
    </w:rPr>
  </w:style>
  <w:style w:type="paragraph" w:customStyle="1" w:styleId="1852">
    <w:name w:val="xl80"/>
    <w:basedOn w:val="1"/>
    <w:qFormat/>
    <w:uiPriority w:val="0"/>
    <w:pPr>
      <w:widowControl/>
      <w:pBdr>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sz w:val="16"/>
      <w:szCs w:val="16"/>
    </w:rPr>
  </w:style>
  <w:style w:type="paragraph" w:customStyle="1" w:styleId="1853">
    <w:name w:val="In Table"/>
    <w:basedOn w:val="1"/>
    <w:qFormat/>
    <w:uiPriority w:val="0"/>
    <w:pPr>
      <w:tabs>
        <w:tab w:val="left" w:pos="2200"/>
        <w:tab w:val="left" w:pos="3960"/>
        <w:tab w:val="left" w:pos="5280"/>
      </w:tabs>
      <w:spacing w:before="96" w:after="96" w:line="0" w:lineRule="atLeast"/>
      <w:jc w:val="center"/>
    </w:pPr>
    <w:rPr>
      <w:rFonts w:ascii="Tahoma" w:hAnsi="Tahoma" w:eastAsia="华文中宋"/>
    </w:rPr>
  </w:style>
  <w:style w:type="paragraph" w:customStyle="1" w:styleId="1854">
    <w:name w:val="自定义正文 Char Char Char Char"/>
    <w:qFormat/>
    <w:uiPriority w:val="0"/>
    <w:pPr>
      <w:widowControl w:val="0"/>
      <w:topLinePunct/>
      <w:adjustRightInd w:val="0"/>
      <w:snapToGrid w:val="0"/>
      <w:spacing w:line="360" w:lineRule="auto"/>
      <w:ind w:firstLine="510"/>
      <w:jc w:val="both"/>
    </w:pPr>
    <w:rPr>
      <w:rFonts w:ascii="Times New Roman" w:hAnsi="Times New Roman" w:eastAsia="Times New Roman" w:cs="Times New Roman"/>
      <w:kern w:val="2"/>
      <w:position w:val="-28"/>
      <w:sz w:val="28"/>
      <w:szCs w:val="28"/>
      <w:lang w:val="en-US" w:eastAsia="zh-CN" w:bidi="ar-SA"/>
    </w:rPr>
  </w:style>
  <w:style w:type="paragraph" w:customStyle="1" w:styleId="1855">
    <w:name w:val="样式 样式 样式 标题 2 + 段前: 0.5 行 段后: 0.5 行 + 段前: 0.5 行 段后: 0.5 行 +"/>
    <w:basedOn w:val="1"/>
    <w:qFormat/>
    <w:uiPriority w:val="0"/>
    <w:pPr>
      <w:widowControl/>
      <w:tabs>
        <w:tab w:val="left" w:pos="540"/>
        <w:tab w:val="left" w:pos="720"/>
      </w:tabs>
      <w:spacing w:line="360" w:lineRule="auto"/>
      <w:ind w:left="720" w:hanging="540"/>
      <w:outlineLvl w:val="1"/>
    </w:pPr>
    <w:rPr>
      <w:rFonts w:eastAsia="黑体" w:cs="宋体"/>
      <w:b/>
      <w:bCs/>
      <w:sz w:val="28"/>
    </w:rPr>
  </w:style>
  <w:style w:type="paragraph" w:customStyle="1" w:styleId="1856">
    <w:name w:val="正文修改"/>
    <w:basedOn w:val="1325"/>
    <w:qFormat/>
    <w:uiPriority w:val="0"/>
    <w:pPr>
      <w:ind w:right="210" w:rightChars="100" w:firstLine="209" w:firstLineChars="87"/>
    </w:pPr>
    <w:rPr>
      <w:bCs w:val="0"/>
    </w:rPr>
  </w:style>
  <w:style w:type="paragraph" w:customStyle="1" w:styleId="1857">
    <w:name w:val="调研内容"/>
    <w:basedOn w:val="1"/>
    <w:qFormat/>
    <w:uiPriority w:val="0"/>
    <w:pPr>
      <w:spacing w:line="360" w:lineRule="auto"/>
    </w:pPr>
  </w:style>
  <w:style w:type="paragraph" w:customStyle="1" w:styleId="1858">
    <w:name w:val="等核实1"/>
    <w:basedOn w:val="35"/>
    <w:qFormat/>
    <w:uiPriority w:val="0"/>
    <w:pPr>
      <w:tabs>
        <w:tab w:val="left" w:pos="4305"/>
      </w:tabs>
      <w:adjustRightInd w:val="0"/>
      <w:snapToGrid w:val="0"/>
      <w:spacing w:after="0" w:line="360" w:lineRule="auto"/>
      <w:ind w:left="0" w:leftChars="0" w:firstLine="567"/>
    </w:pPr>
    <w:rPr>
      <w:rFonts w:ascii="宋体" w:hAnsi="宋体"/>
      <w:color w:val="0000FF"/>
      <w:sz w:val="24"/>
      <w:szCs w:val="20"/>
    </w:rPr>
  </w:style>
  <w:style w:type="paragraph" w:customStyle="1" w:styleId="1859">
    <w:name w:val="图文字"/>
    <w:basedOn w:val="1"/>
    <w:qFormat/>
    <w:uiPriority w:val="0"/>
    <w:pPr>
      <w:spacing w:line="280" w:lineRule="exact"/>
      <w:jc w:val="center"/>
    </w:pPr>
    <w:rPr>
      <w:rFonts w:ascii="宋体" w:hAnsi="宋体"/>
    </w:rPr>
  </w:style>
  <w:style w:type="paragraph" w:customStyle="1" w:styleId="1860">
    <w:name w:val="页眉中115"/>
    <w:basedOn w:val="1"/>
    <w:qFormat/>
    <w:uiPriority w:val="0"/>
    <w:pPr>
      <w:adjustRightInd w:val="0"/>
      <w:snapToGrid w:val="0"/>
      <w:spacing w:line="300" w:lineRule="auto"/>
      <w:jc w:val="left"/>
    </w:pPr>
    <w:rPr>
      <w:rFonts w:ascii="黑体" w:hAnsi="宋体" w:eastAsia="黑体"/>
      <w:sz w:val="24"/>
    </w:rPr>
  </w:style>
  <w:style w:type="paragraph" w:customStyle="1" w:styleId="1861">
    <w:name w:val="表内535"/>
    <w:basedOn w:val="1"/>
    <w:qFormat/>
    <w:uiPriority w:val="0"/>
    <w:pPr>
      <w:adjustRightInd w:val="0"/>
      <w:snapToGrid w:val="0"/>
      <w:spacing w:line="300" w:lineRule="auto"/>
      <w:jc w:val="left"/>
    </w:pPr>
    <w:rPr>
      <w:rFonts w:ascii="宋体"/>
    </w:rPr>
  </w:style>
  <w:style w:type="paragraph" w:customStyle="1" w:styleId="1862">
    <w:name w:val="标题 421"/>
    <w:basedOn w:val="1"/>
    <w:next w:val="1"/>
    <w:qFormat/>
    <w:uiPriority w:val="0"/>
    <w:pPr>
      <w:adjustRightInd w:val="0"/>
      <w:spacing w:line="440" w:lineRule="atLeast"/>
      <w:ind w:left="198" w:firstLine="567"/>
      <w:textAlignment w:val="baseline"/>
    </w:pPr>
    <w:rPr>
      <w:rFonts w:hint="eastAsia" w:hAnsi="宋体"/>
      <w:kern w:val="28"/>
      <w:sz w:val="24"/>
    </w:rPr>
  </w:style>
  <w:style w:type="paragraph" w:customStyle="1" w:styleId="1863">
    <w:name w:val="表内宋5中4"/>
    <w:basedOn w:val="1"/>
    <w:qFormat/>
    <w:uiPriority w:val="0"/>
    <w:pPr>
      <w:adjustRightInd w:val="0"/>
      <w:snapToGrid w:val="0"/>
      <w:jc w:val="center"/>
      <w:textAlignment w:val="baseline"/>
    </w:pPr>
    <w:rPr>
      <w:rFonts w:ascii="宋体" w:hAnsi="宋体"/>
    </w:rPr>
  </w:style>
  <w:style w:type="paragraph" w:customStyle="1" w:styleId="1864">
    <w:name w:val="xl30"/>
    <w:basedOn w:val="1"/>
    <w:qFormat/>
    <w:uiPriority w:val="0"/>
    <w:pPr>
      <w:widowControl/>
      <w:spacing w:before="100" w:beforeAutospacing="1" w:after="100" w:afterAutospacing="1"/>
      <w:jc w:val="left"/>
    </w:pPr>
    <w:rPr>
      <w:rFonts w:ascii="宋体" w:hAnsi="宋体"/>
      <w:sz w:val="16"/>
      <w:szCs w:val="16"/>
    </w:rPr>
  </w:style>
  <w:style w:type="paragraph" w:customStyle="1" w:styleId="1865">
    <w:name w:val="样式 样式 表格标题 + 段前: 0.5 行 + 段前: 0.5 行"/>
    <w:basedOn w:val="1866"/>
    <w:qFormat/>
    <w:uiPriority w:val="0"/>
    <w:rPr>
      <w:bCs w:val="0"/>
    </w:rPr>
  </w:style>
  <w:style w:type="paragraph" w:customStyle="1" w:styleId="1866">
    <w:name w:val="样式 表格标题 + 段前: 0.5 行"/>
    <w:basedOn w:val="21"/>
    <w:qFormat/>
    <w:uiPriority w:val="0"/>
    <w:pPr>
      <w:autoSpaceDE w:val="0"/>
      <w:autoSpaceDN w:val="0"/>
      <w:adjustRightInd w:val="0"/>
      <w:spacing w:beforeLines="50" w:line="400" w:lineRule="exact"/>
      <w:ind w:firstLine="0" w:firstLineChars="0"/>
      <w:jc w:val="center"/>
    </w:pPr>
    <w:rPr>
      <w:rFonts w:ascii="宋体" w:hAnsi="Calibri" w:eastAsia="黑体" w:cs="宋体"/>
      <w:bCs/>
      <w:szCs w:val="22"/>
      <w:lang w:val="zh-CN"/>
    </w:rPr>
  </w:style>
  <w:style w:type="paragraph" w:customStyle="1" w:styleId="1867">
    <w:name w:val="样式 燕山正文 + 首行缩进:  3.5 字符23"/>
    <w:basedOn w:val="1"/>
    <w:qFormat/>
    <w:uiPriority w:val="0"/>
    <w:pPr>
      <w:tabs>
        <w:tab w:val="left" w:pos="4680"/>
      </w:tabs>
      <w:adjustRightInd w:val="0"/>
      <w:snapToGrid w:val="0"/>
      <w:spacing w:line="360" w:lineRule="auto"/>
      <w:ind w:firstLine="200" w:firstLineChars="200"/>
    </w:pPr>
    <w:rPr>
      <w:rFonts w:ascii="宋体" w:hAnsi="宋体" w:cs="宋体"/>
      <w:color w:val="000000"/>
      <w:sz w:val="28"/>
    </w:rPr>
  </w:style>
  <w:style w:type="paragraph" w:customStyle="1" w:styleId="1868">
    <w:name w:val="Pa8"/>
    <w:basedOn w:val="1"/>
    <w:next w:val="1"/>
    <w:qFormat/>
    <w:uiPriority w:val="0"/>
    <w:pPr>
      <w:autoSpaceDE w:val="0"/>
      <w:autoSpaceDN w:val="0"/>
      <w:adjustRightInd w:val="0"/>
      <w:spacing w:before="140" w:after="140" w:line="211" w:lineRule="atLeast"/>
      <w:jc w:val="left"/>
    </w:pPr>
    <w:rPr>
      <w:rFonts w:ascii="宋体"/>
      <w:sz w:val="24"/>
    </w:rPr>
  </w:style>
  <w:style w:type="paragraph" w:customStyle="1" w:styleId="1869">
    <w:name w:val="Char Char1 Char Char"/>
    <w:basedOn w:val="1"/>
    <w:qFormat/>
    <w:uiPriority w:val="0"/>
  </w:style>
  <w:style w:type="paragraph" w:customStyle="1" w:styleId="1870">
    <w:name w:val="表字"/>
    <w:basedOn w:val="1"/>
    <w:qFormat/>
    <w:uiPriority w:val="0"/>
    <w:pPr>
      <w:jc w:val="center"/>
    </w:pPr>
    <w:rPr>
      <w:rFonts w:ascii="宋体"/>
    </w:rPr>
  </w:style>
  <w:style w:type="paragraph" w:customStyle="1" w:styleId="1871">
    <w:name w:val="Char Char Char Char Char Char1 Char Char Char Char Char Char Char"/>
    <w:basedOn w:val="1"/>
    <w:qFormat/>
    <w:uiPriority w:val="0"/>
  </w:style>
  <w:style w:type="paragraph" w:customStyle="1" w:styleId="1872">
    <w:name w:val="表内文字小10"/>
    <w:basedOn w:val="1"/>
    <w:qFormat/>
    <w:uiPriority w:val="0"/>
    <w:pPr>
      <w:adjustRightInd w:val="0"/>
      <w:snapToGrid w:val="0"/>
      <w:jc w:val="center"/>
    </w:pPr>
    <w:rPr>
      <w:rFonts w:ascii="宋体" w:hAnsi="Times" w:cs="宋体"/>
      <w:bCs/>
      <w:color w:val="003366"/>
    </w:rPr>
  </w:style>
  <w:style w:type="paragraph" w:customStyle="1" w:styleId="1873">
    <w:name w:val="表题18"/>
    <w:basedOn w:val="35"/>
    <w:qFormat/>
    <w:uiPriority w:val="0"/>
    <w:pPr>
      <w:tabs>
        <w:tab w:val="left" w:pos="4305"/>
      </w:tabs>
      <w:adjustRightInd w:val="0"/>
      <w:snapToGrid w:val="0"/>
      <w:spacing w:after="0"/>
      <w:ind w:left="0" w:leftChars="0"/>
      <w:jc w:val="center"/>
    </w:pPr>
    <w:rPr>
      <w:rFonts w:ascii="黑体" w:hAnsi="宋体" w:eastAsia="黑体"/>
      <w:color w:val="000000"/>
      <w:sz w:val="24"/>
      <w:szCs w:val="20"/>
    </w:rPr>
  </w:style>
  <w:style w:type="paragraph" w:customStyle="1" w:styleId="1874">
    <w:name w:val="标题419"/>
    <w:basedOn w:val="1"/>
    <w:qFormat/>
    <w:uiPriority w:val="0"/>
    <w:pPr>
      <w:adjustRightInd w:val="0"/>
      <w:snapToGrid w:val="0"/>
      <w:spacing w:line="360" w:lineRule="auto"/>
      <w:jc w:val="left"/>
    </w:pPr>
    <w:rPr>
      <w:rFonts w:ascii="黑体" w:eastAsia="黑体"/>
      <w:bCs/>
      <w:sz w:val="24"/>
    </w:rPr>
  </w:style>
  <w:style w:type="paragraph" w:customStyle="1" w:styleId="1875">
    <w:name w:val="xl69"/>
    <w:basedOn w:val="1"/>
    <w:qFormat/>
    <w:uiPriority w:val="0"/>
    <w:pPr>
      <w:widowControl/>
      <w:pBdr>
        <w:left w:val="single" w:color="auto" w:sz="4" w:space="0"/>
        <w:bottom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szCs w:val="21"/>
    </w:rPr>
  </w:style>
  <w:style w:type="paragraph" w:customStyle="1" w:styleId="1876">
    <w:name w:val="xl91"/>
    <w:basedOn w:val="1"/>
    <w:qFormat/>
    <w:uiPriority w:val="0"/>
    <w:pPr>
      <w:widowControl/>
      <w:pBdr>
        <w:top w:val="single" w:color="auto" w:sz="4" w:space="0"/>
        <w:bottom w:val="single" w:color="auto" w:sz="8" w:space="0"/>
        <w:right w:val="single" w:color="auto" w:sz="4" w:space="0"/>
      </w:pBdr>
      <w:spacing w:before="100" w:beforeAutospacing="1" w:after="100" w:afterAutospacing="1"/>
      <w:jc w:val="left"/>
    </w:pPr>
    <w:rPr>
      <w:rFonts w:eastAsia="Arial Unicode MS"/>
      <w:sz w:val="16"/>
      <w:szCs w:val="16"/>
    </w:rPr>
  </w:style>
  <w:style w:type="paragraph" w:customStyle="1" w:styleId="1877">
    <w:name w:val="燕山正文23"/>
    <w:basedOn w:val="1"/>
    <w:qFormat/>
    <w:uiPriority w:val="0"/>
    <w:pPr>
      <w:tabs>
        <w:tab w:val="left" w:pos="4680"/>
      </w:tabs>
      <w:adjustRightInd w:val="0"/>
      <w:snapToGrid w:val="0"/>
      <w:spacing w:line="360" w:lineRule="auto"/>
      <w:ind w:firstLine="480" w:firstLineChars="200"/>
      <w:jc w:val="left"/>
    </w:pPr>
    <w:rPr>
      <w:rFonts w:ascii="宋体" w:hAnsi="宋体"/>
      <w:bCs/>
      <w:color w:val="000000"/>
      <w:sz w:val="24"/>
    </w:rPr>
  </w:style>
  <w:style w:type="paragraph" w:customStyle="1" w:styleId="1878">
    <w:name w:val="表内55"/>
    <w:basedOn w:val="1572"/>
    <w:qFormat/>
    <w:uiPriority w:val="0"/>
    <w:pPr>
      <w:spacing w:line="300" w:lineRule="auto"/>
      <w:jc w:val="both"/>
    </w:pPr>
    <w:rPr>
      <w:color w:val="000000"/>
    </w:rPr>
  </w:style>
  <w:style w:type="paragraph" w:customStyle="1" w:styleId="1879">
    <w:name w:val="表内文字小52"/>
    <w:basedOn w:val="1"/>
    <w:qFormat/>
    <w:uiPriority w:val="0"/>
    <w:pPr>
      <w:adjustRightInd w:val="0"/>
      <w:snapToGrid w:val="0"/>
      <w:jc w:val="center"/>
    </w:pPr>
    <w:rPr>
      <w:rFonts w:ascii="宋体" w:hAnsi="Times"/>
    </w:rPr>
  </w:style>
  <w:style w:type="paragraph" w:customStyle="1" w:styleId="1880">
    <w:name w:val="18"/>
    <w:basedOn w:val="1"/>
    <w:qFormat/>
    <w:uiPriority w:val="0"/>
    <w:pPr>
      <w:widowControl/>
      <w:spacing w:before="100" w:beforeAutospacing="1" w:after="100" w:afterAutospacing="1"/>
      <w:jc w:val="left"/>
    </w:pPr>
    <w:rPr>
      <w:rFonts w:ascii="宋体" w:hAnsi="宋体"/>
      <w:sz w:val="27"/>
    </w:rPr>
  </w:style>
  <w:style w:type="paragraph" w:customStyle="1" w:styleId="1881">
    <w:name w:val="样式 样式 样式 标题 2节标题 1.1标题 2 Char节标题2H2h2第一层条节标题二级 标题 2MVA2（一）... + ..."/>
    <w:basedOn w:val="1882"/>
    <w:qFormat/>
    <w:uiPriority w:val="0"/>
    <w:pPr>
      <w:tabs>
        <w:tab w:val="left" w:pos="454"/>
      </w:tabs>
      <w:spacing w:beforeLines="0"/>
      <w:ind w:hanging="756"/>
    </w:pPr>
  </w:style>
  <w:style w:type="paragraph" w:customStyle="1" w:styleId="1882">
    <w:name w:val="样式 样式 标题 2节标题 1.1标题 2 Char节标题2H2h2第一层条节标题二级 标题 2MVA2（一）... + 段前:..."/>
    <w:basedOn w:val="1"/>
    <w:qFormat/>
    <w:uiPriority w:val="0"/>
    <w:pPr>
      <w:keepNext/>
      <w:keepLines/>
      <w:adjustRightInd w:val="0"/>
      <w:snapToGrid w:val="0"/>
      <w:spacing w:beforeLines="50" w:line="300" w:lineRule="auto"/>
      <w:ind w:left="756" w:hanging="576"/>
      <w:textAlignment w:val="baseline"/>
      <w:outlineLvl w:val="1"/>
    </w:pPr>
    <w:rPr>
      <w:rFonts w:eastAsia="仿宋_GB2312" w:cs="宋体"/>
      <w:b/>
      <w:bCs/>
      <w:snapToGrid w:val="0"/>
      <w:color w:val="000000"/>
      <w:sz w:val="28"/>
    </w:rPr>
  </w:style>
  <w:style w:type="paragraph" w:customStyle="1" w:styleId="1883">
    <w:name w:val="0"/>
    <w:basedOn w:val="1"/>
    <w:qFormat/>
    <w:uiPriority w:val="0"/>
    <w:pPr>
      <w:widowControl/>
      <w:snapToGrid w:val="0"/>
      <w:spacing w:line="365" w:lineRule="atLeast"/>
      <w:ind w:left="1"/>
      <w:textAlignment w:val="bottom"/>
    </w:pPr>
  </w:style>
  <w:style w:type="paragraph" w:customStyle="1" w:styleId="1884">
    <w:name w:val="正文tan"/>
    <w:basedOn w:val="1"/>
    <w:qFormat/>
    <w:uiPriority w:val="0"/>
    <w:pPr>
      <w:spacing w:line="480" w:lineRule="exact"/>
      <w:ind w:firstLine="480" w:firstLineChars="200"/>
    </w:pPr>
    <w:rPr>
      <w:rFonts w:hAnsi="宋体" w:cs="宋体"/>
      <w:sz w:val="24"/>
    </w:rPr>
  </w:style>
  <w:style w:type="paragraph" w:customStyle="1" w:styleId="1885">
    <w:name w:val="页眉中3"/>
    <w:basedOn w:val="47"/>
    <w:qFormat/>
    <w:uiPriority w:val="0"/>
    <w:pPr>
      <w:adjustRightInd w:val="0"/>
      <w:spacing w:line="300" w:lineRule="auto"/>
      <w:jc w:val="left"/>
    </w:pPr>
    <w:rPr>
      <w:rFonts w:ascii="黑体" w:hAnsi="宋体" w:eastAsia="黑体"/>
      <w:sz w:val="24"/>
    </w:rPr>
  </w:style>
  <w:style w:type="paragraph" w:customStyle="1" w:styleId="1886">
    <w:name w:val="正文楷体"/>
    <w:basedOn w:val="1"/>
    <w:qFormat/>
    <w:uiPriority w:val="0"/>
    <w:rPr>
      <w:rFonts w:eastAsia="楷体_GB2312"/>
    </w:rPr>
  </w:style>
  <w:style w:type="paragraph" w:customStyle="1" w:styleId="1887">
    <w:name w:val="图目"/>
    <w:basedOn w:val="1"/>
    <w:qFormat/>
    <w:uiPriority w:val="0"/>
    <w:pPr>
      <w:snapToGrid w:val="0"/>
      <w:spacing w:before="360" w:after="360" w:line="440" w:lineRule="atLeast"/>
      <w:jc w:val="center"/>
    </w:pPr>
    <w:rPr>
      <w:rFonts w:ascii="黑体" w:hAnsi="Arial" w:eastAsia="黑体"/>
      <w:sz w:val="24"/>
    </w:rPr>
  </w:style>
  <w:style w:type="paragraph" w:customStyle="1" w:styleId="1888">
    <w:name w:val="正文113"/>
    <w:basedOn w:val="1"/>
    <w:qFormat/>
    <w:uiPriority w:val="0"/>
    <w:pPr>
      <w:adjustRightInd w:val="0"/>
      <w:snapToGrid w:val="0"/>
      <w:spacing w:after="120"/>
      <w:jc w:val="center"/>
      <w:textAlignment w:val="baseline"/>
    </w:pPr>
    <w:rPr>
      <w:sz w:val="18"/>
    </w:rPr>
  </w:style>
  <w:style w:type="paragraph" w:customStyle="1" w:styleId="1889">
    <w:name w:val="页眉中313"/>
    <w:basedOn w:val="1"/>
    <w:qFormat/>
    <w:uiPriority w:val="0"/>
    <w:pPr>
      <w:adjustRightInd w:val="0"/>
      <w:snapToGrid w:val="0"/>
      <w:spacing w:line="360" w:lineRule="auto"/>
      <w:jc w:val="center"/>
    </w:pPr>
    <w:rPr>
      <w:rFonts w:ascii="黑体" w:eastAsia="黑体"/>
      <w:bCs/>
      <w:sz w:val="24"/>
      <w:szCs w:val="28"/>
    </w:rPr>
  </w:style>
  <w:style w:type="paragraph" w:customStyle="1" w:styleId="1890">
    <w:name w:val="样式 标题 2 + 段前: 0.5 行"/>
    <w:basedOn w:val="4"/>
    <w:qFormat/>
    <w:uiPriority w:val="0"/>
    <w:pPr>
      <w:keepNext w:val="0"/>
      <w:keepLines w:val="0"/>
      <w:tabs>
        <w:tab w:val="clear" w:pos="1427"/>
      </w:tabs>
      <w:adjustRightInd/>
      <w:spacing w:before="156"/>
      <w:jc w:val="both"/>
    </w:pPr>
    <w:rPr>
      <w:rFonts w:ascii="宋体" w:hAnsi="宋体"/>
      <w:bCs/>
      <w:snapToGrid w:val="0"/>
      <w:color w:val="000000"/>
      <w:kern w:val="2"/>
      <w:szCs w:val="28"/>
    </w:rPr>
  </w:style>
  <w:style w:type="paragraph" w:customStyle="1" w:styleId="1891">
    <w:name w:val="表题14"/>
    <w:basedOn w:val="1"/>
    <w:qFormat/>
    <w:uiPriority w:val="0"/>
    <w:pPr>
      <w:widowControl/>
      <w:adjustRightInd w:val="0"/>
      <w:snapToGrid w:val="0"/>
      <w:jc w:val="center"/>
    </w:pPr>
    <w:rPr>
      <w:rFonts w:ascii="黑体" w:hAnsi="宋体" w:eastAsia="黑体" w:cs="宋体"/>
      <w:sz w:val="24"/>
    </w:rPr>
  </w:style>
  <w:style w:type="paragraph" w:customStyle="1" w:styleId="1892">
    <w:name w:val="标题451"/>
    <w:basedOn w:val="1"/>
    <w:qFormat/>
    <w:uiPriority w:val="0"/>
    <w:pPr>
      <w:adjustRightInd w:val="0"/>
      <w:snapToGrid w:val="0"/>
      <w:spacing w:line="360" w:lineRule="auto"/>
      <w:jc w:val="left"/>
    </w:pPr>
    <w:rPr>
      <w:rFonts w:ascii="黑体" w:eastAsia="黑体"/>
      <w:bCs/>
      <w:sz w:val="24"/>
    </w:rPr>
  </w:style>
  <w:style w:type="paragraph" w:customStyle="1" w:styleId="1893">
    <w:name w:val="样式 标题 3 + (西文) Times New Roman (中文) 宋体 行距: 固定值 24 磅2"/>
    <w:basedOn w:val="5"/>
    <w:qFormat/>
    <w:uiPriority w:val="0"/>
    <w:pPr>
      <w:keepNext w:val="0"/>
      <w:keepLines w:val="0"/>
      <w:tabs>
        <w:tab w:val="left" w:pos="1560"/>
        <w:tab w:val="left" w:pos="1680"/>
        <w:tab w:val="clear" w:pos="720"/>
      </w:tabs>
      <w:adjustRightInd/>
      <w:spacing w:line="480" w:lineRule="exact"/>
      <w:ind w:left="851" w:hanging="284"/>
      <w:jc w:val="both"/>
      <w:textAlignment w:val="auto"/>
    </w:pPr>
    <w:rPr>
      <w:rFonts w:eastAsia="宋体" w:cs="宋体"/>
      <w:bCs/>
      <w:color w:val="auto"/>
      <w:spacing w:val="0"/>
      <w:kern w:val="2"/>
    </w:rPr>
  </w:style>
  <w:style w:type="paragraph" w:customStyle="1" w:styleId="1894">
    <w:name w:val="CM18"/>
    <w:basedOn w:val="641"/>
    <w:next w:val="641"/>
    <w:qFormat/>
    <w:uiPriority w:val="0"/>
    <w:pPr>
      <w:spacing w:after="50"/>
    </w:pPr>
    <w:rPr>
      <w:rFonts w:ascii="Times New Roman" w:cs="Times New Roman"/>
      <w:color w:val="auto"/>
    </w:rPr>
  </w:style>
  <w:style w:type="paragraph" w:customStyle="1" w:styleId="1895">
    <w:name w:val="表内文字小65"/>
    <w:basedOn w:val="1"/>
    <w:qFormat/>
    <w:uiPriority w:val="0"/>
    <w:pPr>
      <w:adjustRightInd w:val="0"/>
      <w:snapToGrid w:val="0"/>
      <w:jc w:val="center"/>
    </w:pPr>
    <w:rPr>
      <w:rFonts w:ascii="宋体" w:hAnsi="Times"/>
    </w:rPr>
  </w:style>
  <w:style w:type="paragraph" w:customStyle="1" w:styleId="1896">
    <w:name w:val="框图格式2"/>
    <w:basedOn w:val="1"/>
    <w:qFormat/>
    <w:uiPriority w:val="0"/>
    <w:rPr>
      <w:sz w:val="18"/>
    </w:rPr>
  </w:style>
  <w:style w:type="paragraph" w:customStyle="1" w:styleId="1897">
    <w:name w:val="表内宋521"/>
    <w:basedOn w:val="1553"/>
    <w:qFormat/>
    <w:uiPriority w:val="0"/>
    <w:pPr>
      <w:jc w:val="both"/>
    </w:pPr>
  </w:style>
  <w:style w:type="paragraph" w:customStyle="1" w:styleId="1898">
    <w:name w:val="表内宋5中2"/>
    <w:basedOn w:val="1"/>
    <w:qFormat/>
    <w:uiPriority w:val="0"/>
    <w:pPr>
      <w:adjustRightInd w:val="0"/>
      <w:snapToGrid w:val="0"/>
      <w:jc w:val="center"/>
      <w:textAlignment w:val="baseline"/>
    </w:pPr>
    <w:rPr>
      <w:rFonts w:ascii="宋体" w:hAnsi="宋体"/>
    </w:rPr>
  </w:style>
  <w:style w:type="paragraph" w:customStyle="1" w:styleId="1899">
    <w:name w:val="图题注6"/>
    <w:basedOn w:val="22"/>
    <w:qFormat/>
    <w:uiPriority w:val="0"/>
    <w:pPr>
      <w:adjustRightInd/>
      <w:textAlignment w:val="auto"/>
    </w:pPr>
    <w:rPr>
      <w:rFonts w:hAnsi="Arial" w:cs="宋体"/>
      <w:b/>
      <w:bCs/>
      <w:kern w:val="2"/>
      <w:sz w:val="24"/>
      <w:szCs w:val="24"/>
    </w:rPr>
  </w:style>
  <w:style w:type="paragraph" w:customStyle="1" w:styleId="1900">
    <w:name w:val="xl84"/>
    <w:basedOn w:val="1"/>
    <w:qFormat/>
    <w:uiPriority w:val="0"/>
    <w:pPr>
      <w:widowControl/>
      <w:pBdr>
        <w:bottom w:val="single" w:color="auto" w:sz="4" w:space="0"/>
      </w:pBdr>
      <w:spacing w:before="100" w:beforeAutospacing="1" w:after="100" w:afterAutospacing="1"/>
      <w:jc w:val="center"/>
      <w:textAlignment w:val="center"/>
    </w:pPr>
    <w:rPr>
      <w:rFonts w:ascii="Arial Unicode MS" w:hAnsi="Arial Unicode MS" w:eastAsia="Arial Unicode MS" w:cs="Arial Unicode MS"/>
      <w:sz w:val="16"/>
      <w:szCs w:val="16"/>
    </w:rPr>
  </w:style>
  <w:style w:type="paragraph" w:customStyle="1" w:styleId="1901">
    <w:name w:val="正文仿宋小四"/>
    <w:basedOn w:val="1"/>
    <w:qFormat/>
    <w:uiPriority w:val="0"/>
    <w:pPr>
      <w:adjustRightInd w:val="0"/>
      <w:snapToGrid w:val="0"/>
      <w:spacing w:line="360" w:lineRule="auto"/>
      <w:ind w:firstLine="480" w:firstLineChars="200"/>
    </w:pPr>
    <w:rPr>
      <w:rFonts w:eastAsia="仿宋_GB2312"/>
      <w:sz w:val="24"/>
    </w:rPr>
  </w:style>
  <w:style w:type="paragraph" w:customStyle="1" w:styleId="1902">
    <w:name w:val="样式13"/>
    <w:basedOn w:val="35"/>
    <w:qFormat/>
    <w:uiPriority w:val="0"/>
    <w:pPr>
      <w:adjustRightInd w:val="0"/>
      <w:snapToGrid w:val="0"/>
      <w:spacing w:after="0"/>
      <w:ind w:left="0" w:leftChars="0"/>
    </w:pPr>
    <w:rPr>
      <w:rFonts w:ascii="方正大标宋简体" w:hAnsi="宋体" w:eastAsia="方正大标宋简体" w:cs="宋体"/>
      <w:color w:val="0000FF"/>
      <w:sz w:val="24"/>
    </w:rPr>
  </w:style>
  <w:style w:type="paragraph" w:customStyle="1" w:styleId="1903">
    <w:name w:val="char"/>
    <w:basedOn w:val="1"/>
    <w:qFormat/>
    <w:uiPriority w:val="0"/>
    <w:pPr>
      <w:widowControl/>
      <w:spacing w:after="160" w:line="240" w:lineRule="exact"/>
      <w:jc w:val="left"/>
    </w:pPr>
  </w:style>
  <w:style w:type="paragraph" w:customStyle="1" w:styleId="1904">
    <w:name w:val="图题注1"/>
    <w:basedOn w:val="22"/>
    <w:qFormat/>
    <w:uiPriority w:val="0"/>
    <w:pPr>
      <w:adjustRightInd/>
      <w:textAlignment w:val="auto"/>
    </w:pPr>
    <w:rPr>
      <w:rFonts w:hAnsi="Arial" w:cs="宋体"/>
      <w:b/>
      <w:bCs/>
      <w:kern w:val="2"/>
      <w:sz w:val="24"/>
      <w:szCs w:val="24"/>
    </w:rPr>
  </w:style>
  <w:style w:type="paragraph" w:customStyle="1" w:styleId="1905">
    <w:name w:val="_Style 4"/>
    <w:basedOn w:val="1"/>
    <w:qFormat/>
    <w:uiPriority w:val="0"/>
  </w:style>
  <w:style w:type="paragraph" w:customStyle="1" w:styleId="1906">
    <w:name w:val="16.9.4.1"/>
    <w:basedOn w:val="6"/>
    <w:qFormat/>
    <w:uiPriority w:val="0"/>
    <w:pPr>
      <w:keepNext w:val="0"/>
      <w:keepLines w:val="0"/>
      <w:tabs>
        <w:tab w:val="left" w:pos="1800"/>
      </w:tabs>
      <w:spacing w:before="120" w:after="120" w:line="312" w:lineRule="auto"/>
      <w:ind w:left="851" w:hanging="851"/>
    </w:pPr>
    <w:rPr>
      <w:sz w:val="24"/>
      <w:szCs w:val="24"/>
    </w:rPr>
  </w:style>
  <w:style w:type="paragraph" w:customStyle="1" w:styleId="1907">
    <w:name w:val="消息标题号"/>
    <w:basedOn w:val="80"/>
    <w:next w:val="80"/>
    <w:qFormat/>
    <w:uiPriority w:val="0"/>
    <w:pPr>
      <w:keepLines/>
      <w:widowControl/>
      <w:pBdr>
        <w:top w:val="none" w:color="auto" w:sz="0" w:space="0"/>
        <w:left w:val="none" w:color="auto" w:sz="0" w:space="0"/>
        <w:bottom w:val="none" w:color="auto" w:sz="0" w:space="0"/>
        <w:right w:val="none" w:color="auto" w:sz="0" w:space="0"/>
      </w:pBdr>
      <w:shd w:val="clear" w:color="auto" w:fill="auto"/>
      <w:spacing w:before="40" w:line="140" w:lineRule="atLeast"/>
      <w:ind w:left="0" w:leftChars="0" w:firstLine="0" w:firstLineChars="0"/>
      <w:jc w:val="left"/>
    </w:pPr>
    <w:rPr>
      <w:rFonts w:ascii="Garamond" w:hAnsi="Garamond" w:eastAsia="楷体_GB2312"/>
      <w:b/>
      <w:caps/>
      <w:position w:val="6"/>
      <w:sz w:val="21"/>
      <w:szCs w:val="20"/>
      <w:shd w:val="pct20" w:color="auto" w:fill="auto"/>
    </w:rPr>
  </w:style>
  <w:style w:type="paragraph" w:customStyle="1" w:styleId="1908">
    <w:name w:val="正文图小四"/>
    <w:basedOn w:val="1"/>
    <w:qFormat/>
    <w:uiPriority w:val="0"/>
    <w:pPr>
      <w:adjustRightInd w:val="0"/>
      <w:snapToGrid w:val="0"/>
      <w:jc w:val="center"/>
      <w:textAlignment w:val="baseline"/>
    </w:pPr>
    <w:rPr>
      <w:rFonts w:ascii="宋体"/>
      <w:sz w:val="24"/>
    </w:rPr>
  </w:style>
  <w:style w:type="paragraph" w:customStyle="1" w:styleId="1909">
    <w:name w:val="页眉中65"/>
    <w:basedOn w:val="47"/>
    <w:qFormat/>
    <w:uiPriority w:val="0"/>
    <w:pPr>
      <w:adjustRightInd w:val="0"/>
      <w:spacing w:line="360" w:lineRule="auto"/>
      <w:jc w:val="left"/>
    </w:pPr>
    <w:rPr>
      <w:rFonts w:hAnsi="宋体"/>
      <w:bCs/>
      <w:sz w:val="24"/>
      <w:szCs w:val="24"/>
    </w:rPr>
  </w:style>
  <w:style w:type="paragraph" w:customStyle="1" w:styleId="1910">
    <w:name w:val="表标题"/>
    <w:basedOn w:val="87"/>
    <w:qFormat/>
    <w:uiPriority w:val="0"/>
    <w:pPr>
      <w:autoSpaceDE w:val="0"/>
      <w:autoSpaceDN w:val="0"/>
      <w:adjustRightInd w:val="0"/>
    </w:pPr>
    <w:rPr>
      <w:rFonts w:ascii="宋体"/>
      <w:color w:val="000000"/>
      <w:spacing w:val="-20"/>
      <w:sz w:val="24"/>
      <w:szCs w:val="21"/>
    </w:rPr>
  </w:style>
  <w:style w:type="paragraph" w:customStyle="1" w:styleId="1911">
    <w:name w:val="页眉中119"/>
    <w:basedOn w:val="1"/>
    <w:qFormat/>
    <w:uiPriority w:val="0"/>
    <w:pPr>
      <w:adjustRightInd w:val="0"/>
      <w:snapToGrid w:val="0"/>
      <w:spacing w:line="300" w:lineRule="auto"/>
      <w:jc w:val="left"/>
    </w:pPr>
    <w:rPr>
      <w:rFonts w:ascii="黑体" w:hAnsi="宋体" w:eastAsia="黑体"/>
      <w:sz w:val="24"/>
    </w:rPr>
  </w:style>
  <w:style w:type="paragraph" w:customStyle="1" w:styleId="1912">
    <w:name w:val="CM6"/>
    <w:basedOn w:val="641"/>
    <w:next w:val="641"/>
    <w:qFormat/>
    <w:uiPriority w:val="0"/>
    <w:pPr>
      <w:spacing w:line="440" w:lineRule="atLeast"/>
    </w:pPr>
    <w:rPr>
      <w:rFonts w:ascii="黑体" w:eastAsia="黑体" w:cs="Times New Roman"/>
      <w:color w:val="auto"/>
      <w:sz w:val="20"/>
    </w:rPr>
  </w:style>
  <w:style w:type="paragraph" w:customStyle="1" w:styleId="1913">
    <w:name w:val="首缩2"/>
    <w:basedOn w:val="1"/>
    <w:qFormat/>
    <w:uiPriority w:val="0"/>
    <w:pPr>
      <w:adjustRightInd w:val="0"/>
      <w:snapToGrid w:val="0"/>
      <w:spacing w:line="500" w:lineRule="exact"/>
      <w:ind w:firstLine="200" w:firstLineChars="200"/>
    </w:pPr>
    <w:rPr>
      <w:rFonts w:eastAsia="仿宋_GB2312"/>
      <w:snapToGrid w:val="0"/>
      <w:sz w:val="28"/>
    </w:rPr>
  </w:style>
  <w:style w:type="paragraph" w:customStyle="1" w:styleId="1914">
    <w:name w:val="Char Char Char Char Char Char Char Char Char Char Char Char11"/>
    <w:basedOn w:val="1"/>
    <w:qFormat/>
    <w:uiPriority w:val="0"/>
  </w:style>
  <w:style w:type="paragraph" w:customStyle="1" w:styleId="1915">
    <w:name w:val="日期15"/>
    <w:basedOn w:val="1"/>
    <w:next w:val="1"/>
    <w:qFormat/>
    <w:uiPriority w:val="0"/>
    <w:pPr>
      <w:adjustRightInd w:val="0"/>
    </w:pPr>
    <w:rPr>
      <w:rFonts w:hint="eastAsia" w:ascii="宋体" w:hAnsi="宋体"/>
      <w:spacing w:val="0"/>
      <w:sz w:val="32"/>
    </w:rPr>
  </w:style>
  <w:style w:type="paragraph" w:customStyle="1" w:styleId="1916">
    <w:name w:val="1 Char Char Char Char Char Char Char Char Char Char Char Char Char Char Char Char Char Char Char Char Char"/>
    <w:basedOn w:val="1"/>
    <w:qFormat/>
    <w:uiPriority w:val="0"/>
  </w:style>
  <w:style w:type="paragraph" w:customStyle="1" w:styleId="1917">
    <w:name w:val="正文文本32"/>
    <w:basedOn w:val="1"/>
    <w:qFormat/>
    <w:uiPriority w:val="0"/>
    <w:pPr>
      <w:overflowPunct w:val="0"/>
      <w:snapToGrid w:val="0"/>
      <w:spacing w:after="120" w:line="480" w:lineRule="exact"/>
      <w:ind w:firstLine="480"/>
    </w:pPr>
    <w:rPr>
      <w:rFonts w:ascii="Arial" w:hAnsi="Arial" w:eastAsia="仿宋_GB2312"/>
      <w:sz w:val="28"/>
    </w:rPr>
  </w:style>
  <w:style w:type="paragraph" w:customStyle="1" w:styleId="1918">
    <w:name w:val="样式 标题 2 + 段前: 0.5 行 段后: 0.5 行3"/>
    <w:basedOn w:val="4"/>
    <w:qFormat/>
    <w:uiPriority w:val="0"/>
    <w:pPr>
      <w:keepNext w:val="0"/>
      <w:keepLines w:val="0"/>
      <w:tabs>
        <w:tab w:val="left" w:pos="1460"/>
        <w:tab w:val="clear" w:pos="1427"/>
      </w:tabs>
      <w:adjustRightInd/>
      <w:spacing w:before="156" w:after="156" w:line="500" w:lineRule="exact"/>
      <w:ind w:left="578" w:hanging="578"/>
      <w:jc w:val="both"/>
      <w:textAlignment w:val="auto"/>
    </w:pPr>
    <w:rPr>
      <w:rFonts w:ascii="Arial" w:hAnsi="Arial" w:eastAsia="楷体_GB2312"/>
      <w:bCs/>
      <w:spacing w:val="34"/>
      <w:kern w:val="2"/>
      <w:sz w:val="36"/>
    </w:rPr>
  </w:style>
  <w:style w:type="paragraph" w:customStyle="1" w:styleId="1919">
    <w:name w:val="dandan6-13正文"/>
    <w:basedOn w:val="1"/>
    <w:next w:val="1"/>
    <w:qFormat/>
    <w:uiPriority w:val="0"/>
    <w:pPr>
      <w:keepNext/>
      <w:keepLines/>
      <w:widowControl/>
      <w:adjustRightInd w:val="0"/>
      <w:spacing w:before="40" w:after="40" w:line="360" w:lineRule="auto"/>
      <w:ind w:firstLine="200" w:firstLineChars="200"/>
    </w:pPr>
    <w:rPr>
      <w:rFonts w:cs="宋体"/>
      <w:sz w:val="24"/>
      <w:szCs w:val="28"/>
    </w:rPr>
  </w:style>
  <w:style w:type="paragraph" w:customStyle="1" w:styleId="1920">
    <w:name w:val="页眉中1"/>
    <w:basedOn w:val="47"/>
    <w:qFormat/>
    <w:uiPriority w:val="0"/>
    <w:pPr>
      <w:adjustRightInd w:val="0"/>
      <w:spacing w:line="300" w:lineRule="auto"/>
      <w:jc w:val="left"/>
    </w:pPr>
    <w:rPr>
      <w:rFonts w:ascii="黑体" w:hAnsi="宋体" w:eastAsia="黑体" w:cs="宋体"/>
      <w:bCs/>
      <w:sz w:val="24"/>
    </w:rPr>
  </w:style>
  <w:style w:type="paragraph" w:customStyle="1" w:styleId="1921">
    <w:name w:val="HTML 预设格式1"/>
    <w:basedOn w:val="1"/>
    <w:qFormat/>
    <w:uiPriority w:val="99"/>
    <w:rPr>
      <w:rFonts w:ascii="Courier New" w:hAnsi="Courier New" w:cs="Courier New"/>
    </w:rPr>
  </w:style>
  <w:style w:type="paragraph" w:customStyle="1" w:styleId="1922">
    <w:name w:val="正文图五"/>
    <w:basedOn w:val="1"/>
    <w:qFormat/>
    <w:uiPriority w:val="0"/>
    <w:pPr>
      <w:adjustRightInd w:val="0"/>
      <w:snapToGrid w:val="0"/>
      <w:jc w:val="center"/>
    </w:pPr>
    <w:rPr>
      <w:rFonts w:eastAsia="仿宋_GB2312"/>
      <w:snapToGrid w:val="0"/>
      <w:spacing w:val="6"/>
    </w:rPr>
  </w:style>
  <w:style w:type="paragraph" w:customStyle="1" w:styleId="1923">
    <w:name w:val="样式 样式4 + 宋体"/>
    <w:basedOn w:val="1"/>
    <w:qFormat/>
    <w:uiPriority w:val="0"/>
    <w:pPr>
      <w:keepNext/>
      <w:keepLines/>
      <w:tabs>
        <w:tab w:val="left" w:pos="1494"/>
      </w:tabs>
      <w:spacing w:before="260" w:line="440" w:lineRule="exact"/>
      <w:ind w:left="360"/>
      <w:outlineLvl w:val="2"/>
    </w:pPr>
    <w:rPr>
      <w:rFonts w:ascii="宋体" w:hAnsi="宋体"/>
      <w:sz w:val="24"/>
      <w:szCs w:val="32"/>
    </w:rPr>
  </w:style>
  <w:style w:type="paragraph" w:customStyle="1" w:styleId="1924">
    <w:name w:val="表内528"/>
    <w:basedOn w:val="1"/>
    <w:qFormat/>
    <w:uiPriority w:val="0"/>
    <w:pPr>
      <w:adjustRightInd w:val="0"/>
      <w:snapToGrid w:val="0"/>
      <w:jc w:val="center"/>
    </w:pPr>
    <w:rPr>
      <w:rFonts w:ascii="宋体"/>
    </w:rPr>
  </w:style>
  <w:style w:type="paragraph" w:customStyle="1" w:styleId="1925">
    <w:name w:val="Char2 Char Char Char Char Char Char Char Char Char Char Char Char Char Char Char Char Char Char Char Char Char Char Char Char Char Char Char Char Char Char Char Char Char Char Char Char Char Char Char Char Char Char Char Char Char Char Char Char"/>
    <w:basedOn w:val="1"/>
    <w:qFormat/>
    <w:uiPriority w:val="0"/>
  </w:style>
  <w:style w:type="paragraph" w:customStyle="1" w:styleId="1926">
    <w:name w:val="表题27"/>
    <w:basedOn w:val="35"/>
    <w:qFormat/>
    <w:uiPriority w:val="0"/>
    <w:pPr>
      <w:tabs>
        <w:tab w:val="left" w:pos="4305"/>
      </w:tabs>
      <w:adjustRightInd w:val="0"/>
      <w:snapToGrid w:val="0"/>
      <w:spacing w:after="0"/>
      <w:ind w:left="0" w:leftChars="0"/>
      <w:jc w:val="center"/>
    </w:pPr>
    <w:rPr>
      <w:rFonts w:ascii="黑体" w:hAnsi="宋体" w:eastAsia="黑体"/>
      <w:sz w:val="24"/>
      <w:szCs w:val="20"/>
    </w:rPr>
  </w:style>
  <w:style w:type="paragraph" w:customStyle="1" w:styleId="1927">
    <w:name w:val="符号后文字2"/>
    <w:basedOn w:val="1"/>
    <w:qFormat/>
    <w:uiPriority w:val="0"/>
    <w:pPr>
      <w:spacing w:before="62" w:line="400" w:lineRule="exact"/>
    </w:pPr>
    <w:rPr>
      <w:color w:val="FF0000"/>
      <w:sz w:val="24"/>
    </w:rPr>
  </w:style>
  <w:style w:type="paragraph" w:customStyle="1" w:styleId="1928">
    <w:name w:val="样式 正文首行缩进 + (符号) 宋体 四号 段后: 0 磅 行距: 1.5 倍行距"/>
    <w:basedOn w:val="87"/>
    <w:qFormat/>
    <w:uiPriority w:val="0"/>
    <w:pPr>
      <w:spacing w:line="360" w:lineRule="auto"/>
      <w:ind w:firstLine="560" w:firstLineChars="200"/>
    </w:pPr>
    <w:rPr>
      <w:rFonts w:ascii="宋体" w:hAnsi="宋体" w:cs="宋体"/>
      <w:sz w:val="28"/>
      <w:szCs w:val="20"/>
    </w:rPr>
  </w:style>
  <w:style w:type="paragraph" w:customStyle="1" w:styleId="1929">
    <w:name w:val="10"/>
    <w:basedOn w:val="1"/>
    <w:next w:val="41"/>
    <w:qFormat/>
    <w:uiPriority w:val="0"/>
    <w:pPr>
      <w:adjustRightInd w:val="0"/>
      <w:spacing w:afterLines="20" w:line="400" w:lineRule="exact"/>
      <w:jc w:val="center"/>
      <w:textAlignment w:val="baseline"/>
    </w:pPr>
    <w:rPr>
      <w:b/>
    </w:rPr>
  </w:style>
  <w:style w:type="paragraph" w:customStyle="1" w:styleId="1930">
    <w:name w:val="正文居中五号"/>
    <w:basedOn w:val="1"/>
    <w:qFormat/>
    <w:uiPriority w:val="0"/>
    <w:pPr>
      <w:spacing w:line="400" w:lineRule="exact"/>
      <w:jc w:val="center"/>
    </w:pPr>
    <w:rPr>
      <w:rFonts w:cs="宋体"/>
    </w:rPr>
  </w:style>
  <w:style w:type="paragraph" w:customStyle="1" w:styleId="1931">
    <w:name w:val="前言、引言标题"/>
    <w:next w:val="1"/>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1932">
    <w:name w:val="Char31"/>
    <w:basedOn w:val="1"/>
    <w:qFormat/>
    <w:uiPriority w:val="0"/>
  </w:style>
  <w:style w:type="paragraph" w:customStyle="1" w:styleId="1933">
    <w:name w:val="等核实10"/>
    <w:basedOn w:val="35"/>
    <w:qFormat/>
    <w:uiPriority w:val="0"/>
    <w:pPr>
      <w:tabs>
        <w:tab w:val="left" w:pos="4305"/>
      </w:tabs>
      <w:adjustRightInd w:val="0"/>
      <w:snapToGrid w:val="0"/>
      <w:spacing w:after="0" w:line="300" w:lineRule="auto"/>
      <w:ind w:left="0" w:leftChars="0" w:firstLine="567"/>
    </w:pPr>
    <w:rPr>
      <w:rFonts w:ascii="宋体" w:hAnsi="宋体"/>
      <w:color w:val="0000FF"/>
      <w:sz w:val="28"/>
      <w:szCs w:val="20"/>
    </w:rPr>
  </w:style>
  <w:style w:type="paragraph" w:customStyle="1" w:styleId="1934">
    <w:name w:val="标题414"/>
    <w:basedOn w:val="1"/>
    <w:qFormat/>
    <w:uiPriority w:val="0"/>
    <w:pPr>
      <w:adjustRightInd w:val="0"/>
      <w:snapToGrid w:val="0"/>
      <w:spacing w:line="300" w:lineRule="auto"/>
      <w:jc w:val="left"/>
    </w:pPr>
    <w:rPr>
      <w:rFonts w:ascii="黑体" w:hAnsi="宋体" w:eastAsia="黑体" w:cs="宋体"/>
      <w:bCs/>
      <w:sz w:val="24"/>
    </w:rPr>
  </w:style>
  <w:style w:type="paragraph" w:customStyle="1" w:styleId="1935">
    <w:name w:val="C0 Plain Text"/>
    <w:basedOn w:val="1"/>
    <w:qFormat/>
    <w:uiPriority w:val="0"/>
    <w:pPr>
      <w:widowControl/>
      <w:overflowPunct w:val="0"/>
      <w:autoSpaceDE w:val="0"/>
      <w:autoSpaceDN w:val="0"/>
      <w:adjustRightInd w:val="0"/>
      <w:spacing w:before="120" w:after="120"/>
      <w:textAlignment w:val="baseline"/>
    </w:pPr>
    <w:rPr>
      <w:sz w:val="24"/>
      <w:lang w:val="en-GB" w:eastAsia="en-US"/>
    </w:rPr>
  </w:style>
  <w:style w:type="paragraph" w:customStyle="1" w:styleId="1936">
    <w:name w:val="图题注5"/>
    <w:basedOn w:val="22"/>
    <w:qFormat/>
    <w:uiPriority w:val="0"/>
    <w:pPr>
      <w:adjustRightInd/>
      <w:textAlignment w:val="auto"/>
    </w:pPr>
    <w:rPr>
      <w:rFonts w:hAnsi="Arial" w:cs="宋体"/>
      <w:b/>
      <w:bCs/>
      <w:kern w:val="2"/>
      <w:sz w:val="24"/>
      <w:szCs w:val="24"/>
    </w:rPr>
  </w:style>
  <w:style w:type="paragraph" w:customStyle="1" w:styleId="1937">
    <w:name w:val="等核实42"/>
    <w:basedOn w:val="35"/>
    <w:qFormat/>
    <w:uiPriority w:val="0"/>
    <w:pPr>
      <w:tabs>
        <w:tab w:val="left" w:pos="4305"/>
      </w:tabs>
      <w:adjustRightInd w:val="0"/>
      <w:snapToGrid w:val="0"/>
      <w:spacing w:after="0" w:line="300" w:lineRule="auto"/>
      <w:ind w:left="0" w:leftChars="0" w:firstLine="567"/>
    </w:pPr>
    <w:rPr>
      <w:rFonts w:ascii="宋体" w:hAnsi="宋体"/>
      <w:color w:val="0000FF"/>
      <w:sz w:val="28"/>
      <w:szCs w:val="20"/>
    </w:rPr>
  </w:style>
  <w:style w:type="paragraph" w:customStyle="1" w:styleId="1938">
    <w:name w:val="hp2"/>
    <w:basedOn w:val="4"/>
    <w:qFormat/>
    <w:uiPriority w:val="0"/>
    <w:pPr>
      <w:tabs>
        <w:tab w:val="clear" w:pos="1427"/>
      </w:tabs>
      <w:spacing w:beforeLines="0" w:afterLines="0" w:line="416" w:lineRule="atLeast"/>
    </w:pPr>
    <w:rPr>
      <w:rFonts w:ascii="黑体" w:hAnsi="宋体"/>
      <w:b w:val="0"/>
      <w:sz w:val="24"/>
      <w:szCs w:val="24"/>
    </w:rPr>
  </w:style>
  <w:style w:type="paragraph" w:customStyle="1" w:styleId="1939">
    <w:name w:val="样式 四号 首行缩进:  1.01 厘米"/>
    <w:basedOn w:val="1"/>
    <w:qFormat/>
    <w:uiPriority w:val="0"/>
    <w:pPr>
      <w:ind w:firstLine="570"/>
    </w:pPr>
    <w:rPr>
      <w:sz w:val="28"/>
      <w:szCs w:val="28"/>
    </w:rPr>
  </w:style>
  <w:style w:type="paragraph" w:customStyle="1" w:styleId="1940">
    <w:name w:val="表格内"/>
    <w:basedOn w:val="1"/>
    <w:qFormat/>
    <w:uiPriority w:val="0"/>
    <w:pPr>
      <w:adjustRightInd w:val="0"/>
      <w:spacing w:line="240" w:lineRule="atLeast"/>
      <w:jc w:val="center"/>
      <w:textAlignment w:val="baseline"/>
    </w:pPr>
    <w:rPr>
      <w:rFonts w:ascii="宋体"/>
      <w:sz w:val="28"/>
    </w:rPr>
  </w:style>
  <w:style w:type="paragraph" w:customStyle="1" w:styleId="1941">
    <w:name w:val="p9"/>
    <w:basedOn w:val="1"/>
    <w:qFormat/>
    <w:uiPriority w:val="0"/>
    <w:pPr>
      <w:widowControl/>
      <w:spacing w:before="100" w:beforeAutospacing="1" w:after="100" w:afterAutospacing="1"/>
      <w:jc w:val="left"/>
    </w:pPr>
    <w:rPr>
      <w:rFonts w:hint="eastAsia" w:ascii="宋体" w:hAnsi="宋体"/>
      <w:sz w:val="18"/>
      <w:szCs w:val="18"/>
    </w:rPr>
  </w:style>
  <w:style w:type="paragraph" w:customStyle="1" w:styleId="1942">
    <w:name w:val="lwbt3"/>
    <w:basedOn w:val="5"/>
    <w:qFormat/>
    <w:uiPriority w:val="0"/>
    <w:pPr>
      <w:keepNext w:val="0"/>
      <w:keepLines w:val="0"/>
      <w:widowControl/>
      <w:tabs>
        <w:tab w:val="clear" w:pos="720"/>
      </w:tabs>
      <w:overflowPunct w:val="0"/>
      <w:snapToGrid w:val="0"/>
      <w:spacing w:line="440" w:lineRule="exact"/>
      <w:ind w:left="0" w:firstLine="0"/>
      <w:textAlignment w:val="auto"/>
    </w:pPr>
    <w:rPr>
      <w:rFonts w:ascii="Arial" w:hAnsi="Arial" w:eastAsia="宋体"/>
      <w:color w:val="auto"/>
      <w:spacing w:val="0"/>
      <w:sz w:val="24"/>
    </w:rPr>
  </w:style>
  <w:style w:type="paragraph" w:customStyle="1" w:styleId="1943">
    <w:name w:val="样式 标题 3 + (西文) Times New Roman (中文) 宋体 段前: 12.5 磅 行距: 固定值 24 磅"/>
    <w:basedOn w:val="5"/>
    <w:qFormat/>
    <w:uiPriority w:val="0"/>
    <w:pPr>
      <w:keepNext w:val="0"/>
      <w:keepLines w:val="0"/>
      <w:tabs>
        <w:tab w:val="left" w:pos="1560"/>
        <w:tab w:val="left" w:pos="1680"/>
        <w:tab w:val="clear" w:pos="720"/>
      </w:tabs>
      <w:adjustRightInd/>
      <w:spacing w:before="250" w:line="480" w:lineRule="exact"/>
      <w:ind w:left="851" w:hanging="284"/>
      <w:jc w:val="both"/>
      <w:textAlignment w:val="auto"/>
    </w:pPr>
    <w:rPr>
      <w:rFonts w:eastAsia="宋体" w:cs="宋体"/>
      <w:bCs/>
      <w:color w:val="auto"/>
      <w:spacing w:val="0"/>
      <w:kern w:val="2"/>
    </w:rPr>
  </w:style>
  <w:style w:type="paragraph" w:customStyle="1" w:styleId="1944">
    <w:name w:val="表格目录"/>
    <w:basedOn w:val="1"/>
    <w:next w:val="1"/>
    <w:qFormat/>
    <w:uiPriority w:val="0"/>
    <w:pPr>
      <w:spacing w:beforeLines="50" w:after="20"/>
      <w:ind w:firstLine="200" w:firstLineChars="200"/>
      <w:jc w:val="center"/>
    </w:pPr>
    <w:rPr>
      <w:b/>
      <w:bCs/>
      <w:iCs/>
      <w:sz w:val="24"/>
    </w:rPr>
  </w:style>
  <w:style w:type="paragraph" w:customStyle="1" w:styleId="1945">
    <w:name w:val="样式 标题 2标题21.1H2h2第一层条2Header 2nd PageA.B.C.h2 main head..."/>
    <w:basedOn w:val="4"/>
    <w:qFormat/>
    <w:uiPriority w:val="0"/>
    <w:pPr>
      <w:tabs>
        <w:tab w:val="clear" w:pos="1427"/>
      </w:tabs>
      <w:adjustRightInd/>
      <w:jc w:val="both"/>
      <w:textAlignment w:val="auto"/>
    </w:pPr>
    <w:rPr>
      <w:kern w:val="2"/>
      <w:sz w:val="30"/>
      <w:szCs w:val="30"/>
    </w:rPr>
  </w:style>
  <w:style w:type="paragraph" w:customStyle="1" w:styleId="1946">
    <w:name w:val="图号4"/>
    <w:basedOn w:val="1"/>
    <w:qFormat/>
    <w:uiPriority w:val="0"/>
    <w:pPr>
      <w:jc w:val="center"/>
    </w:pPr>
    <w:rPr>
      <w:rFonts w:ascii="黑体" w:eastAsia="黑体"/>
      <w:sz w:val="24"/>
    </w:rPr>
  </w:style>
  <w:style w:type="paragraph" w:customStyle="1" w:styleId="1947">
    <w:name w:val="正文段落（缩进）"/>
    <w:basedOn w:val="1"/>
    <w:next w:val="47"/>
    <w:qFormat/>
    <w:uiPriority w:val="0"/>
    <w:pPr>
      <w:spacing w:line="360" w:lineRule="auto"/>
      <w:jc w:val="left"/>
    </w:pPr>
    <w:rPr>
      <w:sz w:val="24"/>
    </w:rPr>
  </w:style>
  <w:style w:type="paragraph" w:customStyle="1" w:styleId="1948">
    <w:name w:val="表内文字大31"/>
    <w:basedOn w:val="1"/>
    <w:qFormat/>
    <w:uiPriority w:val="0"/>
    <w:pPr>
      <w:adjustRightInd w:val="0"/>
      <w:snapToGrid w:val="0"/>
      <w:jc w:val="center"/>
    </w:pPr>
    <w:rPr>
      <w:rFonts w:ascii="宋体" w:hAnsi="Times"/>
      <w:sz w:val="24"/>
    </w:rPr>
  </w:style>
  <w:style w:type="paragraph" w:customStyle="1" w:styleId="1949">
    <w:name w:val="样式 样式 正文首行缩进正文首行缩进 Char + 首行缩进:  2 字符 + 首行缩进:  2 字符"/>
    <w:basedOn w:val="1"/>
    <w:qFormat/>
    <w:uiPriority w:val="0"/>
    <w:pPr>
      <w:adjustRightInd w:val="0"/>
      <w:snapToGrid w:val="0"/>
      <w:spacing w:line="360" w:lineRule="auto"/>
      <w:ind w:firstLine="480" w:firstLineChars="200"/>
      <w:textAlignment w:val="baseline"/>
    </w:pPr>
    <w:rPr>
      <w:rFonts w:ascii="宋体" w:cs="宋体"/>
      <w:sz w:val="24"/>
      <w:lang w:val="zh-CN"/>
    </w:rPr>
  </w:style>
  <w:style w:type="paragraph" w:customStyle="1" w:styleId="1950">
    <w:name w:val="wxd正文"/>
    <w:basedOn w:val="1"/>
    <w:qFormat/>
    <w:uiPriority w:val="0"/>
    <w:pPr>
      <w:adjustRightInd w:val="0"/>
      <w:snapToGrid w:val="0"/>
      <w:spacing w:line="360" w:lineRule="auto"/>
      <w:ind w:firstLine="200" w:firstLineChars="200"/>
    </w:pPr>
    <w:rPr>
      <w:sz w:val="24"/>
      <w:szCs w:val="28"/>
    </w:rPr>
  </w:style>
  <w:style w:type="paragraph" w:customStyle="1" w:styleId="1951">
    <w:name w:val="表格内容自定"/>
    <w:basedOn w:val="1"/>
    <w:qFormat/>
    <w:uiPriority w:val="0"/>
    <w:pPr>
      <w:spacing w:line="280" w:lineRule="exact"/>
      <w:jc w:val="center"/>
    </w:pPr>
    <w:rPr>
      <w:sz w:val="18"/>
      <w:szCs w:val="21"/>
    </w:rPr>
  </w:style>
  <w:style w:type="paragraph" w:customStyle="1" w:styleId="1952">
    <w:name w:val="Char Char Char Char Char Char1 Char1"/>
    <w:basedOn w:val="1"/>
    <w:qFormat/>
    <w:uiPriority w:val="0"/>
  </w:style>
  <w:style w:type="paragraph" w:customStyle="1" w:styleId="1953">
    <w:name w:val="正文14"/>
    <w:basedOn w:val="1"/>
    <w:qFormat/>
    <w:uiPriority w:val="0"/>
    <w:pPr>
      <w:adjustRightInd w:val="0"/>
      <w:spacing w:after="120" w:line="360" w:lineRule="atLeast"/>
      <w:jc w:val="center"/>
      <w:textAlignment w:val="baseline"/>
    </w:pPr>
    <w:rPr>
      <w:rFonts w:ascii="宋体" w:hAnsi="宋体" w:cs="宋体"/>
      <w:sz w:val="24"/>
    </w:rPr>
  </w:style>
  <w:style w:type="paragraph" w:customStyle="1" w:styleId="1954">
    <w:name w:val="纯文本8"/>
    <w:basedOn w:val="1"/>
    <w:qFormat/>
    <w:uiPriority w:val="0"/>
    <w:pPr>
      <w:adjustRightInd w:val="0"/>
      <w:textAlignment w:val="baseline"/>
    </w:pPr>
    <w:rPr>
      <w:rFonts w:ascii="宋体" w:hAnsi="Courier New"/>
    </w:rPr>
  </w:style>
  <w:style w:type="paragraph" w:customStyle="1" w:styleId="1955">
    <w:name w:val="lineheigh20"/>
    <w:basedOn w:val="1"/>
    <w:qFormat/>
    <w:uiPriority w:val="0"/>
    <w:pPr>
      <w:widowControl/>
      <w:spacing w:before="100" w:beforeAutospacing="1" w:after="100" w:afterAutospacing="1" w:line="300" w:lineRule="atLeast"/>
      <w:jc w:val="left"/>
    </w:pPr>
    <w:rPr>
      <w:rFonts w:eastAsia="Arial Unicode MS" w:cs="Arial Unicode MS"/>
      <w:color w:val="000000"/>
      <w:szCs w:val="21"/>
    </w:rPr>
  </w:style>
  <w:style w:type="paragraph" w:customStyle="1" w:styleId="1956">
    <w:name w:val="Char Char Char2 Char5"/>
    <w:basedOn w:val="1"/>
    <w:qFormat/>
    <w:uiPriority w:val="0"/>
  </w:style>
  <w:style w:type="paragraph" w:customStyle="1" w:styleId="1957">
    <w:name w:val="页眉中134"/>
    <w:basedOn w:val="1"/>
    <w:qFormat/>
    <w:uiPriority w:val="0"/>
    <w:pPr>
      <w:adjustRightInd w:val="0"/>
      <w:snapToGrid w:val="0"/>
      <w:spacing w:line="300" w:lineRule="auto"/>
      <w:jc w:val="left"/>
    </w:pPr>
    <w:rPr>
      <w:rFonts w:ascii="黑体" w:eastAsia="黑体"/>
      <w:bCs/>
      <w:sz w:val="24"/>
    </w:rPr>
  </w:style>
  <w:style w:type="paragraph" w:customStyle="1" w:styleId="1958">
    <w:name w:val="中文报告书样式1"/>
    <w:basedOn w:val="1"/>
    <w:qFormat/>
    <w:uiPriority w:val="0"/>
    <w:pPr>
      <w:adjustRightInd w:val="0"/>
      <w:spacing w:line="480" w:lineRule="atLeast"/>
      <w:ind w:firstLine="482"/>
      <w:textAlignment w:val="baseline"/>
    </w:pPr>
    <w:rPr>
      <w:rFonts w:ascii="宋体" w:hAnsi="宋体"/>
      <w:kern w:val="24"/>
      <w:sz w:val="24"/>
    </w:rPr>
  </w:style>
  <w:style w:type="paragraph" w:customStyle="1" w:styleId="1959">
    <w:name w:val="表内文字小26"/>
    <w:basedOn w:val="1"/>
    <w:qFormat/>
    <w:uiPriority w:val="0"/>
    <w:pPr>
      <w:adjustRightInd w:val="0"/>
      <w:snapToGrid w:val="0"/>
      <w:jc w:val="center"/>
    </w:pPr>
    <w:rPr>
      <w:rFonts w:ascii="宋体" w:hAnsi="Times"/>
      <w:bCs/>
      <w:color w:val="003366"/>
    </w:rPr>
  </w:style>
  <w:style w:type="paragraph" w:customStyle="1" w:styleId="1960">
    <w:name w:val="正文文本 21"/>
    <w:basedOn w:val="1"/>
    <w:qFormat/>
    <w:uiPriority w:val="99"/>
    <w:pPr>
      <w:adjustRightInd w:val="0"/>
      <w:ind w:left="425"/>
      <w:jc w:val="left"/>
      <w:textAlignment w:val="baseline"/>
    </w:pPr>
    <w:rPr>
      <w:rFonts w:ascii="宋体"/>
      <w:sz w:val="24"/>
    </w:rPr>
  </w:style>
  <w:style w:type="paragraph" w:customStyle="1" w:styleId="1961">
    <w:name w:val="书标题"/>
    <w:basedOn w:val="21"/>
    <w:next w:val="1"/>
    <w:qFormat/>
    <w:uiPriority w:val="0"/>
    <w:pPr>
      <w:spacing w:after="120"/>
      <w:ind w:firstLine="0" w:firstLineChars="0"/>
      <w:jc w:val="center"/>
      <w:outlineLvl w:val="0"/>
    </w:pPr>
    <w:rPr>
      <w:rFonts w:ascii="宋体" w:hAnsi="宋体"/>
      <w:b/>
      <w:bCs/>
      <w:color w:val="339966"/>
      <w:sz w:val="48"/>
      <w:szCs w:val="24"/>
    </w:rPr>
  </w:style>
  <w:style w:type="paragraph" w:customStyle="1" w:styleId="1962">
    <w:name w:val="页眉中125"/>
    <w:basedOn w:val="1"/>
    <w:qFormat/>
    <w:uiPriority w:val="0"/>
    <w:pPr>
      <w:adjustRightInd w:val="0"/>
      <w:snapToGrid w:val="0"/>
      <w:spacing w:line="300" w:lineRule="auto"/>
      <w:jc w:val="left"/>
    </w:pPr>
    <w:rPr>
      <w:rFonts w:ascii="黑体" w:eastAsia="黑体"/>
      <w:bCs/>
      <w:sz w:val="24"/>
    </w:rPr>
  </w:style>
  <w:style w:type="paragraph" w:customStyle="1" w:styleId="1963">
    <w:name w:val="样式 标题 2 + 段后: 0.5 行6"/>
    <w:basedOn w:val="4"/>
    <w:qFormat/>
    <w:uiPriority w:val="0"/>
    <w:pPr>
      <w:widowControl/>
      <w:autoSpaceDN w:val="0"/>
      <w:spacing w:beforeLines="0"/>
    </w:pPr>
    <w:rPr>
      <w:rFonts w:ascii="黑体" w:hAnsi="Arial" w:cs="宋体"/>
      <w:b w:val="0"/>
      <w:sz w:val="30"/>
      <w:szCs w:val="30"/>
    </w:rPr>
  </w:style>
  <w:style w:type="paragraph" w:customStyle="1" w:styleId="1964">
    <w:name w:val="表格填充1"/>
    <w:basedOn w:val="1"/>
    <w:qFormat/>
    <w:uiPriority w:val="0"/>
    <w:pPr>
      <w:snapToGrid w:val="0"/>
      <w:jc w:val="center"/>
    </w:pPr>
    <w:rPr>
      <w:rFonts w:eastAsia="仿宋_GB2312"/>
      <w:snapToGrid w:val="0"/>
      <w:color w:val="000000"/>
      <w:sz w:val="30"/>
    </w:rPr>
  </w:style>
  <w:style w:type="paragraph" w:customStyle="1" w:styleId="1965">
    <w:name w:val="表内5中17"/>
    <w:basedOn w:val="1510"/>
    <w:qFormat/>
    <w:uiPriority w:val="0"/>
    <w:pPr>
      <w:widowControl/>
      <w:tabs>
        <w:tab w:val="clear" w:pos="4305"/>
      </w:tabs>
    </w:pPr>
    <w:rPr>
      <w:sz w:val="21"/>
      <w:szCs w:val="21"/>
    </w:rPr>
  </w:style>
  <w:style w:type="paragraph" w:customStyle="1" w:styleId="1966">
    <w:name w:val="条(三级)4"/>
    <w:basedOn w:val="1"/>
    <w:next w:val="1"/>
    <w:qFormat/>
    <w:uiPriority w:val="0"/>
    <w:pPr>
      <w:keepNext/>
      <w:keepLines/>
      <w:adjustRightInd w:val="0"/>
      <w:spacing w:line="460" w:lineRule="exact"/>
      <w:jc w:val="left"/>
      <w:textAlignment w:val="baseline"/>
    </w:pPr>
    <w:rPr>
      <w:rFonts w:ascii="宋体" w:hAnsi="Arial" w:cs="宋体"/>
      <w:spacing w:val="3"/>
      <w:kern w:val="24"/>
      <w:sz w:val="24"/>
    </w:rPr>
  </w:style>
  <w:style w:type="paragraph" w:customStyle="1" w:styleId="1967">
    <w:name w:val="back-page-top1"/>
    <w:basedOn w:val="1"/>
    <w:qFormat/>
    <w:uiPriority w:val="0"/>
    <w:pPr>
      <w:widowControl/>
      <w:spacing w:before="100" w:beforeAutospacing="1" w:after="100" w:afterAutospacing="1" w:line="226" w:lineRule="atLeast"/>
      <w:jc w:val="right"/>
    </w:pPr>
    <w:rPr>
      <w:rFonts w:ascii="宋体" w:hAnsi="宋体"/>
      <w:sz w:val="17"/>
      <w:szCs w:val="17"/>
    </w:rPr>
  </w:style>
  <w:style w:type="paragraph" w:customStyle="1" w:styleId="1968">
    <w:name w:val="样式 z + Times New Roman"/>
    <w:basedOn w:val="1"/>
    <w:qFormat/>
    <w:uiPriority w:val="0"/>
    <w:pPr>
      <w:adjustRightInd w:val="0"/>
      <w:snapToGrid w:val="0"/>
      <w:spacing w:beforeLines="50" w:afterLines="50" w:line="360" w:lineRule="auto"/>
      <w:ind w:firstLine="482"/>
    </w:pPr>
    <w:rPr>
      <w:rFonts w:ascii="宋体" w:hAnsi="宋体"/>
      <w:position w:val="2"/>
      <w:sz w:val="24"/>
    </w:rPr>
  </w:style>
  <w:style w:type="paragraph" w:customStyle="1" w:styleId="1969">
    <w:name w:val="表题43"/>
    <w:basedOn w:val="35"/>
    <w:qFormat/>
    <w:uiPriority w:val="0"/>
    <w:pPr>
      <w:tabs>
        <w:tab w:val="left" w:pos="4305"/>
      </w:tabs>
      <w:adjustRightInd w:val="0"/>
      <w:snapToGrid w:val="0"/>
      <w:spacing w:after="0"/>
      <w:ind w:left="0" w:leftChars="0"/>
      <w:jc w:val="center"/>
    </w:pPr>
    <w:rPr>
      <w:rFonts w:ascii="黑体" w:hAnsi="宋体" w:eastAsia="黑体" w:cs="宋体"/>
      <w:color w:val="000000"/>
      <w:sz w:val="24"/>
    </w:rPr>
  </w:style>
  <w:style w:type="paragraph" w:customStyle="1" w:styleId="1970">
    <w:name w:val="xl66"/>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textAlignment w:val="center"/>
    </w:pPr>
    <w:rPr>
      <w:rFonts w:ascii="Arial Unicode MS" w:hAnsi="Arial Unicode MS" w:eastAsia="Arial Unicode MS"/>
      <w:sz w:val="24"/>
    </w:rPr>
  </w:style>
  <w:style w:type="paragraph" w:customStyle="1" w:styleId="1971">
    <w:name w:val="样式 标题 31.1.1条标题 3 Char Char标题 3 CharBSH-3条标题1.1.1H3b33..."/>
    <w:basedOn w:val="5"/>
    <w:qFormat/>
    <w:uiPriority w:val="0"/>
    <w:pPr>
      <w:tabs>
        <w:tab w:val="clear" w:pos="720"/>
      </w:tabs>
      <w:adjustRightInd/>
      <w:ind w:left="0" w:firstLine="0"/>
      <w:jc w:val="both"/>
      <w:textAlignment w:val="auto"/>
    </w:pPr>
    <w:rPr>
      <w:rFonts w:ascii="黑体"/>
      <w:b w:val="0"/>
      <w:color w:val="auto"/>
      <w:spacing w:val="0"/>
      <w:kern w:val="2"/>
      <w:sz w:val="24"/>
    </w:rPr>
  </w:style>
  <w:style w:type="paragraph" w:customStyle="1" w:styleId="1972">
    <w:name w:val="样式 标题 1 + 段前: 0.5 行 段后: 1 行5"/>
    <w:basedOn w:val="3"/>
    <w:qFormat/>
    <w:uiPriority w:val="0"/>
    <w:pPr>
      <w:keepLines w:val="0"/>
      <w:adjustRightInd w:val="0"/>
      <w:snapToGrid w:val="0"/>
      <w:spacing w:beforeLines="50" w:after="0" w:line="360" w:lineRule="auto"/>
      <w:jc w:val="center"/>
    </w:pPr>
    <w:rPr>
      <w:rFonts w:ascii="黑体" w:eastAsia="黑体" w:cs="宋体"/>
      <w:bCs w:val="0"/>
      <w:kern w:val="2"/>
      <w:sz w:val="32"/>
      <w:szCs w:val="20"/>
    </w:rPr>
  </w:style>
  <w:style w:type="paragraph" w:customStyle="1" w:styleId="1973">
    <w:name w:val="页眉竖排"/>
    <w:basedOn w:val="58"/>
    <w:qFormat/>
    <w:uiPriority w:val="0"/>
    <w:pPr>
      <w:pBdr>
        <w:bottom w:val="double" w:color="auto" w:sz="4" w:space="1"/>
      </w:pBdr>
      <w:tabs>
        <w:tab w:val="right" w:pos="8640"/>
        <w:tab w:val="clear" w:pos="4153"/>
        <w:tab w:val="clear" w:pos="8306"/>
      </w:tabs>
      <w:jc w:val="both"/>
    </w:pPr>
    <w:rPr>
      <w:rFonts w:ascii="Calibri" w:hAnsi="Calibri"/>
      <w:sz w:val="21"/>
      <w:szCs w:val="20"/>
    </w:rPr>
  </w:style>
  <w:style w:type="paragraph" w:customStyle="1" w:styleId="1974">
    <w:name w:val="表内小434"/>
    <w:basedOn w:val="1427"/>
    <w:qFormat/>
    <w:uiPriority w:val="0"/>
    <w:pPr>
      <w:ind w:left="240" w:hanging="240"/>
      <w:jc w:val="both"/>
    </w:pPr>
    <w:rPr>
      <w:rFonts w:cs="Times New Roman"/>
    </w:rPr>
  </w:style>
  <w:style w:type="paragraph" w:customStyle="1" w:styleId="1975">
    <w:name w:val="CM39"/>
    <w:basedOn w:val="641"/>
    <w:next w:val="641"/>
    <w:qFormat/>
    <w:uiPriority w:val="0"/>
    <w:pPr>
      <w:spacing w:after="420"/>
    </w:pPr>
    <w:rPr>
      <w:rFonts w:ascii="黑体" w:eastAsia="黑体" w:cs="Times New Roman"/>
      <w:color w:val="auto"/>
    </w:rPr>
  </w:style>
  <w:style w:type="paragraph" w:customStyle="1" w:styleId="1976">
    <w:name w:val="待定小12"/>
    <w:basedOn w:val="1645"/>
    <w:qFormat/>
    <w:uiPriority w:val="0"/>
    <w:pPr>
      <w:spacing w:line="240" w:lineRule="auto"/>
      <w:ind w:firstLine="0" w:firstLineChars="200"/>
    </w:pPr>
    <w:rPr>
      <w:rFonts w:cs="Times New Roman"/>
      <w:color w:val="0000FF"/>
      <w:sz w:val="21"/>
      <w:szCs w:val="20"/>
    </w:rPr>
  </w:style>
  <w:style w:type="paragraph" w:customStyle="1" w:styleId="1977">
    <w:name w:val="书正文"/>
    <w:basedOn w:val="1"/>
    <w:qFormat/>
    <w:uiPriority w:val="0"/>
    <w:pPr>
      <w:spacing w:line="420" w:lineRule="exact"/>
      <w:ind w:firstLine="560" w:firstLineChars="200"/>
    </w:pPr>
    <w:rPr>
      <w:sz w:val="28"/>
    </w:rPr>
  </w:style>
  <w:style w:type="paragraph" w:customStyle="1" w:styleId="1978">
    <w:name w:val="图题7"/>
    <w:basedOn w:val="1"/>
    <w:qFormat/>
    <w:uiPriority w:val="0"/>
    <w:pPr>
      <w:adjustRightInd w:val="0"/>
      <w:snapToGrid w:val="0"/>
      <w:ind w:firstLine="533" w:firstLineChars="222"/>
      <w:jc w:val="center"/>
    </w:pPr>
    <w:rPr>
      <w:rFonts w:ascii="黑体" w:hAnsi="宋体" w:eastAsia="黑体"/>
      <w:snapToGrid w:val="0"/>
      <w:sz w:val="24"/>
    </w:rPr>
  </w:style>
  <w:style w:type="paragraph" w:customStyle="1" w:styleId="1979">
    <w:name w:val="样式 样式 标题 2节 + (西文) Times New Roman (中文) 宋体 四号 段前: 0.5 行 段后: 0......"/>
    <w:basedOn w:val="1"/>
    <w:qFormat/>
    <w:uiPriority w:val="0"/>
    <w:pPr>
      <w:keepNext/>
      <w:keepLines/>
      <w:tabs>
        <w:tab w:val="left" w:pos="360"/>
        <w:tab w:val="left" w:pos="693"/>
      </w:tabs>
      <w:adjustRightInd w:val="0"/>
      <w:snapToGrid w:val="0"/>
      <w:spacing w:beforeLines="90" w:afterLines="90" w:line="300" w:lineRule="auto"/>
      <w:ind w:left="360" w:hanging="360"/>
      <w:outlineLvl w:val="1"/>
    </w:pPr>
    <w:rPr>
      <w:rFonts w:hAnsi="宋体"/>
      <w:b/>
      <w:bCs/>
      <w:sz w:val="24"/>
    </w:rPr>
  </w:style>
  <w:style w:type="paragraph" w:customStyle="1" w:styleId="1980">
    <w:name w:val="Char Char Char Char Char Char Char Char Char Char Char Char Char Char Char1 Char3"/>
    <w:basedOn w:val="1"/>
    <w:qFormat/>
    <w:uiPriority w:val="0"/>
    <w:pPr>
      <w:tabs>
        <w:tab w:val="left" w:pos="1200"/>
      </w:tabs>
      <w:snapToGrid w:val="0"/>
      <w:spacing w:line="360" w:lineRule="auto"/>
      <w:ind w:left="1200" w:leftChars="400" w:hanging="360" w:hangingChars="200"/>
    </w:pPr>
    <w:rPr>
      <w:sz w:val="24"/>
    </w:rPr>
  </w:style>
  <w:style w:type="paragraph" w:customStyle="1" w:styleId="1981">
    <w:name w:val="项目符号"/>
    <w:basedOn w:val="1"/>
    <w:qFormat/>
    <w:uiPriority w:val="0"/>
    <w:pPr>
      <w:tabs>
        <w:tab w:val="left" w:pos="720"/>
      </w:tabs>
      <w:spacing w:line="336" w:lineRule="auto"/>
      <w:jc w:val="left"/>
    </w:pPr>
    <w:rPr>
      <w:sz w:val="24"/>
    </w:rPr>
  </w:style>
  <w:style w:type="paragraph" w:customStyle="1" w:styleId="1982">
    <w:name w:val="注1"/>
    <w:basedOn w:val="1"/>
    <w:qFormat/>
    <w:uiPriority w:val="0"/>
    <w:pPr>
      <w:overflowPunct w:val="0"/>
      <w:topLinePunct/>
      <w:jc w:val="center"/>
    </w:pPr>
    <w:rPr>
      <w:b/>
      <w:szCs w:val="21"/>
    </w:rPr>
  </w:style>
  <w:style w:type="paragraph" w:customStyle="1" w:styleId="1983">
    <w:name w:val="环评正文2"/>
    <w:qFormat/>
    <w:uiPriority w:val="0"/>
    <w:pPr>
      <w:spacing w:line="360" w:lineRule="exact"/>
      <w:ind w:firstLine="200" w:firstLineChars="200"/>
    </w:pPr>
    <w:rPr>
      <w:rFonts w:ascii="Times New Roman" w:hAnsi="Times New Roman" w:eastAsia="宋体" w:cs="Times New Roman"/>
      <w:color w:val="000000"/>
      <w:kern w:val="21"/>
      <w:sz w:val="24"/>
      <w:szCs w:val="24"/>
      <w:lang w:val="en-US" w:eastAsia="zh-CN" w:bidi="ar-SA"/>
    </w:rPr>
  </w:style>
  <w:style w:type="paragraph" w:customStyle="1" w:styleId="1984">
    <w:name w:val="表内529"/>
    <w:basedOn w:val="1"/>
    <w:qFormat/>
    <w:uiPriority w:val="0"/>
    <w:pPr>
      <w:adjustRightInd w:val="0"/>
      <w:snapToGrid w:val="0"/>
      <w:ind w:right="32"/>
      <w:jc w:val="center"/>
    </w:pPr>
    <w:rPr>
      <w:rFonts w:ascii="宋体"/>
      <w:color w:val="000000"/>
      <w:szCs w:val="21"/>
    </w:rPr>
  </w:style>
  <w:style w:type="paragraph" w:customStyle="1" w:styleId="1985">
    <w:name w:val="表5.18"/>
    <w:basedOn w:val="1"/>
    <w:qFormat/>
    <w:uiPriority w:val="0"/>
    <w:pPr>
      <w:tabs>
        <w:tab w:val="left" w:pos="420"/>
      </w:tabs>
      <w:spacing w:beforeLines="100" w:line="0" w:lineRule="atLeast"/>
    </w:pPr>
    <w:rPr>
      <w:rFonts w:eastAsia="黑体"/>
      <w:b/>
      <w:sz w:val="24"/>
    </w:rPr>
  </w:style>
  <w:style w:type="paragraph" w:customStyle="1" w:styleId="1986">
    <w:name w:val="13点"/>
    <w:basedOn w:val="1"/>
    <w:qFormat/>
    <w:uiPriority w:val="0"/>
    <w:pPr>
      <w:adjustRightInd w:val="0"/>
      <w:snapToGrid w:val="0"/>
      <w:jc w:val="center"/>
    </w:pPr>
    <w:rPr>
      <w:rFonts w:ascii="宋体" w:hAnsi="宋体"/>
      <w:sz w:val="24"/>
      <w:szCs w:val="28"/>
    </w:rPr>
  </w:style>
  <w:style w:type="paragraph" w:customStyle="1" w:styleId="1987">
    <w:name w:val="表题65"/>
    <w:basedOn w:val="35"/>
    <w:qFormat/>
    <w:uiPriority w:val="0"/>
    <w:pPr>
      <w:tabs>
        <w:tab w:val="left" w:pos="4305"/>
      </w:tabs>
      <w:adjustRightInd w:val="0"/>
      <w:snapToGrid w:val="0"/>
      <w:spacing w:after="0"/>
      <w:ind w:left="0" w:leftChars="0" w:firstLine="480" w:firstLineChars="200"/>
      <w:jc w:val="center"/>
    </w:pPr>
    <w:rPr>
      <w:rFonts w:ascii="黑体" w:hAnsi="宋体" w:eastAsia="黑体"/>
      <w:sz w:val="24"/>
      <w:szCs w:val="20"/>
    </w:rPr>
  </w:style>
  <w:style w:type="paragraph" w:customStyle="1" w:styleId="1988">
    <w:name w:val="表头5"/>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1989">
    <w:name w:val="图题17"/>
    <w:basedOn w:val="1"/>
    <w:qFormat/>
    <w:uiPriority w:val="0"/>
    <w:pPr>
      <w:jc w:val="center"/>
    </w:pPr>
    <w:rPr>
      <w:rFonts w:ascii="方正大标宋简体" w:eastAsia="方正大标宋简体"/>
      <w:sz w:val="24"/>
    </w:rPr>
  </w:style>
  <w:style w:type="paragraph" w:customStyle="1" w:styleId="1990">
    <w:name w:val="样式 标准文本 首行缩进:2 字符 行距1倍 + 首行缩进:  2 字符"/>
    <w:qFormat/>
    <w:uiPriority w:val="0"/>
    <w:rPr>
      <w:rFonts w:ascii="Times New Roman" w:hAnsi="Times New Roman" w:eastAsia="宋体" w:cs="Times New Roman"/>
      <w:lang w:val="en-US" w:eastAsia="zh-CN" w:bidi="ar-SA"/>
    </w:rPr>
  </w:style>
  <w:style w:type="paragraph" w:customStyle="1" w:styleId="1991">
    <w:name w:val="表内宋5中11"/>
    <w:basedOn w:val="1"/>
    <w:qFormat/>
    <w:uiPriority w:val="0"/>
    <w:pPr>
      <w:adjustRightInd w:val="0"/>
      <w:snapToGrid w:val="0"/>
      <w:jc w:val="center"/>
      <w:textAlignment w:val="baseline"/>
    </w:pPr>
    <w:rPr>
      <w:rFonts w:ascii="宋体" w:hAnsi="宋体" w:cs="宋体"/>
    </w:rPr>
  </w:style>
  <w:style w:type="paragraph" w:customStyle="1" w:styleId="1992">
    <w:name w:val="表内小411"/>
    <w:basedOn w:val="1427"/>
    <w:qFormat/>
    <w:uiPriority w:val="0"/>
    <w:pPr>
      <w:ind w:left="240" w:hanging="240"/>
      <w:jc w:val="both"/>
    </w:pPr>
    <w:rPr>
      <w:rFonts w:cs="Times New Roman"/>
    </w:rPr>
  </w:style>
  <w:style w:type="paragraph" w:customStyle="1" w:styleId="1993">
    <w:name w:val="表内文字小54"/>
    <w:basedOn w:val="1"/>
    <w:qFormat/>
    <w:uiPriority w:val="0"/>
    <w:pPr>
      <w:adjustRightInd w:val="0"/>
      <w:snapToGrid w:val="0"/>
      <w:jc w:val="center"/>
    </w:pPr>
    <w:rPr>
      <w:rFonts w:ascii="宋体" w:hAnsi="Times"/>
    </w:rPr>
  </w:style>
  <w:style w:type="paragraph" w:customStyle="1" w:styleId="1994">
    <w:name w:val="Char Char Char Char Char Char1 Char3"/>
    <w:basedOn w:val="1"/>
    <w:qFormat/>
    <w:uiPriority w:val="0"/>
  </w:style>
  <w:style w:type="paragraph" w:customStyle="1" w:styleId="1995">
    <w:name w:val="列表接续12"/>
    <w:basedOn w:val="1"/>
    <w:qFormat/>
    <w:uiPriority w:val="0"/>
    <w:pPr>
      <w:spacing w:after="120"/>
      <w:ind w:left="420" w:leftChars="200"/>
    </w:pPr>
  </w:style>
  <w:style w:type="paragraph" w:customStyle="1" w:styleId="1996">
    <w:name w:val="页眉中31"/>
    <w:basedOn w:val="1"/>
    <w:qFormat/>
    <w:uiPriority w:val="0"/>
    <w:pPr>
      <w:adjustRightInd w:val="0"/>
      <w:snapToGrid w:val="0"/>
      <w:spacing w:line="360" w:lineRule="auto"/>
      <w:jc w:val="center"/>
    </w:pPr>
    <w:rPr>
      <w:rFonts w:ascii="黑体" w:eastAsia="黑体"/>
      <w:bCs/>
      <w:sz w:val="24"/>
      <w:szCs w:val="28"/>
    </w:rPr>
  </w:style>
  <w:style w:type="paragraph" w:customStyle="1" w:styleId="1997">
    <w:name w:val="Char61"/>
    <w:basedOn w:val="1"/>
    <w:qFormat/>
    <w:uiPriority w:val="0"/>
    <w:pPr>
      <w:ind w:left="-48"/>
    </w:pPr>
  </w:style>
  <w:style w:type="paragraph" w:customStyle="1" w:styleId="1998">
    <w:name w:val="表题131"/>
    <w:basedOn w:val="35"/>
    <w:qFormat/>
    <w:uiPriority w:val="0"/>
    <w:pPr>
      <w:tabs>
        <w:tab w:val="left" w:pos="4305"/>
      </w:tabs>
      <w:adjustRightInd w:val="0"/>
      <w:snapToGrid w:val="0"/>
      <w:spacing w:after="0"/>
      <w:ind w:left="0" w:leftChars="0" w:firstLine="480" w:firstLineChars="200"/>
      <w:jc w:val="center"/>
    </w:pPr>
    <w:rPr>
      <w:rFonts w:ascii="黑体" w:hAnsi="宋体" w:eastAsia="黑体"/>
      <w:sz w:val="24"/>
      <w:szCs w:val="20"/>
    </w:rPr>
  </w:style>
  <w:style w:type="paragraph" w:customStyle="1" w:styleId="1999">
    <w:name w:val="as"/>
    <w:basedOn w:val="1"/>
    <w:qFormat/>
    <w:uiPriority w:val="0"/>
    <w:pPr>
      <w:spacing w:line="360" w:lineRule="auto"/>
      <w:ind w:firstLine="630" w:firstLineChars="225"/>
      <w:jc w:val="left"/>
    </w:pPr>
    <w:rPr>
      <w:sz w:val="28"/>
    </w:rPr>
  </w:style>
  <w:style w:type="paragraph" w:customStyle="1" w:styleId="2000">
    <w:name w:val="样式 标题 21.1标题 21.1标题2标题 2 Char1节标2_Heading 2可研-标题 2节 Ch..."/>
    <w:basedOn w:val="4"/>
    <w:qFormat/>
    <w:uiPriority w:val="0"/>
    <w:pPr>
      <w:tabs>
        <w:tab w:val="left" w:pos="1200"/>
        <w:tab w:val="clear" w:pos="1427"/>
      </w:tabs>
      <w:adjustRightInd/>
      <w:spacing w:beforeLines="0" w:afterLines="0" w:line="240" w:lineRule="auto"/>
      <w:ind w:left="1200" w:leftChars="400" w:hanging="360" w:hangingChars="200"/>
      <w:jc w:val="both"/>
      <w:textAlignment w:val="auto"/>
    </w:pPr>
    <w:rPr>
      <w:rFonts w:ascii="Arial" w:hAnsi="Arial" w:cs="宋体"/>
      <w:bCs/>
      <w:color w:val="000000"/>
      <w:kern w:val="2"/>
      <w:sz w:val="24"/>
    </w:rPr>
  </w:style>
  <w:style w:type="paragraph" w:customStyle="1" w:styleId="2001">
    <w:name w:val="样式 标题 1 + 段前: 0.5 行 段后: 1 行"/>
    <w:basedOn w:val="3"/>
    <w:qFormat/>
    <w:uiPriority w:val="0"/>
    <w:pPr>
      <w:keepLines w:val="0"/>
      <w:adjustRightInd w:val="0"/>
      <w:snapToGrid w:val="0"/>
      <w:spacing w:beforeLines="50" w:after="0" w:line="360" w:lineRule="auto"/>
      <w:jc w:val="center"/>
    </w:pPr>
    <w:rPr>
      <w:rFonts w:ascii="黑体" w:eastAsia="黑体" w:cs="宋体"/>
      <w:bCs w:val="0"/>
      <w:kern w:val="2"/>
      <w:sz w:val="32"/>
      <w:szCs w:val="20"/>
    </w:rPr>
  </w:style>
  <w:style w:type="paragraph" w:customStyle="1" w:styleId="2002">
    <w:name w:val="MFS正文"/>
    <w:basedOn w:val="1"/>
    <w:qFormat/>
    <w:uiPriority w:val="0"/>
    <w:pPr>
      <w:adjustRightInd w:val="0"/>
      <w:snapToGrid w:val="0"/>
      <w:spacing w:before="93" w:after="120" w:line="360" w:lineRule="auto"/>
      <w:ind w:firstLine="480" w:firstLineChars="200"/>
    </w:pPr>
    <w:rPr>
      <w:rFonts w:eastAsia="楷体_GB2312" w:cs="宋体"/>
      <w:sz w:val="24"/>
    </w:rPr>
  </w:style>
  <w:style w:type="paragraph" w:customStyle="1" w:styleId="2003">
    <w:name w:val="样式 样式 正文缩进正文（首行缩进两字）111 Char Char111 Char Char Char + 黑色 + 左侧:  ..."/>
    <w:basedOn w:val="1"/>
    <w:next w:val="1"/>
    <w:qFormat/>
    <w:uiPriority w:val="0"/>
    <w:pPr>
      <w:tabs>
        <w:tab w:val="left" w:pos="735"/>
      </w:tabs>
      <w:ind w:left="735" w:hanging="735"/>
    </w:pPr>
    <w:rPr>
      <w:rFonts w:eastAsia="幼圆"/>
      <w:sz w:val="24"/>
    </w:rPr>
  </w:style>
  <w:style w:type="paragraph" w:customStyle="1" w:styleId="2004">
    <w:name w:val="表前文字"/>
    <w:basedOn w:val="1"/>
    <w:qFormat/>
    <w:uiPriority w:val="0"/>
    <w:pPr>
      <w:adjustRightInd w:val="0"/>
      <w:snapToGrid w:val="0"/>
      <w:spacing w:line="500" w:lineRule="exact"/>
      <w:jc w:val="center"/>
    </w:pPr>
    <w:rPr>
      <w:b/>
      <w:szCs w:val="21"/>
    </w:rPr>
  </w:style>
  <w:style w:type="paragraph" w:customStyle="1" w:styleId="2005">
    <w:name w:val="样式 正文首行缩进 + 首行缩进:  1 字符"/>
    <w:basedOn w:val="87"/>
    <w:qFormat/>
    <w:uiPriority w:val="0"/>
    <w:pPr>
      <w:overflowPunct w:val="0"/>
      <w:topLinePunct/>
      <w:adjustRightInd w:val="0"/>
      <w:spacing w:line="480" w:lineRule="exact"/>
      <w:ind w:firstLine="599" w:firstLineChars="214"/>
      <w:textAlignment w:val="baseline"/>
    </w:pPr>
    <w:rPr>
      <w:rFonts w:ascii="Calibri" w:hAnsi="Calibri" w:cs="宋体"/>
      <w:kern w:val="0"/>
      <w:sz w:val="28"/>
      <w:szCs w:val="20"/>
    </w:rPr>
  </w:style>
  <w:style w:type="paragraph" w:customStyle="1" w:styleId="2006">
    <w:name w:val="样式 表内小5 + 黑体 加粗 倾斜 下划线2"/>
    <w:basedOn w:val="1"/>
    <w:qFormat/>
    <w:uiPriority w:val="0"/>
    <w:pPr>
      <w:adjustRightInd w:val="0"/>
      <w:snapToGrid w:val="0"/>
      <w:spacing w:line="300" w:lineRule="auto"/>
    </w:pPr>
    <w:rPr>
      <w:rFonts w:ascii="黑体" w:hAnsi="黑体" w:eastAsia="黑体"/>
      <w:b/>
      <w:bCs/>
      <w:i/>
      <w:iCs/>
      <w:sz w:val="18"/>
      <w:u w:val="single"/>
    </w:rPr>
  </w:style>
  <w:style w:type="paragraph" w:customStyle="1" w:styleId="2007">
    <w:name w:val="Char22"/>
    <w:basedOn w:val="1"/>
    <w:qFormat/>
    <w:uiPriority w:val="0"/>
    <w:pPr>
      <w:spacing w:line="360" w:lineRule="auto"/>
      <w:ind w:firstLine="200" w:firstLineChars="200"/>
    </w:pPr>
    <w:rPr>
      <w:rFonts w:ascii="宋体" w:hAnsi="宋体" w:cs="宋体"/>
      <w:sz w:val="24"/>
    </w:rPr>
  </w:style>
  <w:style w:type="paragraph" w:customStyle="1" w:styleId="2008">
    <w:name w:val="页眉中51"/>
    <w:basedOn w:val="1"/>
    <w:qFormat/>
    <w:uiPriority w:val="0"/>
    <w:pPr>
      <w:adjustRightInd w:val="0"/>
      <w:snapToGrid w:val="0"/>
      <w:spacing w:line="300" w:lineRule="auto"/>
      <w:jc w:val="center"/>
    </w:pPr>
    <w:rPr>
      <w:rFonts w:ascii="黑体" w:eastAsia="黑体"/>
      <w:bCs/>
      <w:sz w:val="24"/>
    </w:rPr>
  </w:style>
  <w:style w:type="paragraph" w:customStyle="1" w:styleId="2009">
    <w:name w:val="标题476"/>
    <w:basedOn w:val="1"/>
    <w:qFormat/>
    <w:uiPriority w:val="0"/>
    <w:pPr>
      <w:adjustRightInd w:val="0"/>
      <w:snapToGrid w:val="0"/>
      <w:spacing w:line="360" w:lineRule="auto"/>
    </w:pPr>
    <w:rPr>
      <w:rFonts w:ascii="宋体" w:hAnsi="宋体"/>
      <w:b/>
      <w:sz w:val="24"/>
    </w:rPr>
  </w:style>
  <w:style w:type="paragraph" w:customStyle="1" w:styleId="2010">
    <w:name w:val="Char Char Char Char Char Char1"/>
    <w:basedOn w:val="1"/>
    <w:next w:val="1"/>
    <w:qFormat/>
    <w:uiPriority w:val="0"/>
    <w:pPr>
      <w:spacing w:line="520" w:lineRule="exact"/>
      <w:ind w:firstLine="200" w:firstLineChars="200"/>
    </w:pPr>
    <w:rPr>
      <w:rFonts w:ascii="宋体" w:hAnsi="宋体" w:eastAsia="汉鼎简书宋" w:cs="宋体"/>
      <w:spacing w:val="4"/>
      <w:sz w:val="24"/>
    </w:rPr>
  </w:style>
  <w:style w:type="paragraph" w:customStyle="1" w:styleId="2011">
    <w:name w:val="Sun"/>
    <w:basedOn w:val="1"/>
    <w:qFormat/>
    <w:uiPriority w:val="0"/>
    <w:pPr>
      <w:adjustRightInd w:val="0"/>
      <w:spacing w:line="360" w:lineRule="auto"/>
      <w:ind w:firstLine="567"/>
      <w:textAlignment w:val="baseline"/>
    </w:pPr>
    <w:rPr>
      <w:kern w:val="28"/>
      <w:sz w:val="28"/>
    </w:rPr>
  </w:style>
  <w:style w:type="paragraph" w:customStyle="1" w:styleId="2012">
    <w:name w:val="报告名"/>
    <w:basedOn w:val="1"/>
    <w:qFormat/>
    <w:uiPriority w:val="0"/>
    <w:pPr>
      <w:tabs>
        <w:tab w:val="left" w:pos="1727"/>
        <w:tab w:val="left" w:pos="1884"/>
      </w:tabs>
      <w:adjustRightInd w:val="0"/>
      <w:spacing w:line="312" w:lineRule="auto"/>
      <w:outlineLvl w:val="0"/>
    </w:pPr>
    <w:rPr>
      <w:b/>
      <w:sz w:val="24"/>
    </w:rPr>
  </w:style>
  <w:style w:type="paragraph" w:customStyle="1" w:styleId="2013">
    <w:name w:val="样式 标题 3 + (西文) Times New Roman (中文) 宋体 小四 加粗"/>
    <w:basedOn w:val="1"/>
    <w:qFormat/>
    <w:uiPriority w:val="0"/>
  </w:style>
  <w:style w:type="paragraph" w:customStyle="1" w:styleId="2014">
    <w:name w:val="样式 样式 标题 2 + 左侧:  2 字符1 + 左侧:  2 字符"/>
    <w:basedOn w:val="1"/>
    <w:qFormat/>
    <w:uiPriority w:val="0"/>
    <w:pPr>
      <w:keepNext/>
      <w:keepLines/>
      <w:tabs>
        <w:tab w:val="left" w:pos="576"/>
      </w:tabs>
      <w:spacing w:beforeLines="50" w:afterLines="50"/>
      <w:ind w:left="210" w:right="210" w:rightChars="100"/>
      <w:outlineLvl w:val="1"/>
    </w:pPr>
    <w:rPr>
      <w:rFonts w:ascii="黑体" w:hAnsi="Arial" w:eastAsia="黑体"/>
      <w:sz w:val="52"/>
    </w:rPr>
  </w:style>
  <w:style w:type="paragraph" w:customStyle="1" w:styleId="2015">
    <w:name w:val="Char34"/>
    <w:basedOn w:val="1"/>
    <w:qFormat/>
    <w:uiPriority w:val="0"/>
    <w:pPr>
      <w:spacing w:line="480" w:lineRule="exact"/>
    </w:pPr>
  </w:style>
  <w:style w:type="paragraph" w:customStyle="1" w:styleId="2016">
    <w:name w:val="图文框"/>
    <w:basedOn w:val="1"/>
    <w:qFormat/>
    <w:uiPriority w:val="0"/>
    <w:pPr>
      <w:autoSpaceDE w:val="0"/>
      <w:autoSpaceDN w:val="0"/>
      <w:adjustRightInd w:val="0"/>
      <w:snapToGrid w:val="0"/>
      <w:jc w:val="center"/>
      <w:textAlignment w:val="baseline"/>
    </w:pPr>
    <w:rPr>
      <w:rFonts w:ascii="宋体" w:hAnsi="宋体"/>
      <w:szCs w:val="21"/>
    </w:rPr>
  </w:style>
  <w:style w:type="paragraph" w:customStyle="1" w:styleId="2017">
    <w:name w:val="xl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olor w:val="FF0000"/>
      <w:sz w:val="18"/>
      <w:szCs w:val="18"/>
    </w:rPr>
  </w:style>
  <w:style w:type="paragraph" w:customStyle="1" w:styleId="2018">
    <w:name w:val="验方正文"/>
    <w:basedOn w:val="1"/>
    <w:qFormat/>
    <w:uiPriority w:val="0"/>
    <w:pPr>
      <w:adjustRightInd w:val="0"/>
      <w:spacing w:line="312" w:lineRule="atLeast"/>
      <w:ind w:firstLine="686"/>
      <w:textAlignment w:val="baseline"/>
    </w:pPr>
    <w:rPr>
      <w:rFonts w:ascii="仿宋_GB2312" w:hAnsi="Courier New" w:eastAsia="仿宋_GB2312"/>
      <w:sz w:val="28"/>
    </w:rPr>
  </w:style>
  <w:style w:type="paragraph" w:customStyle="1" w:styleId="2019">
    <w:name w:val="公式"/>
    <w:basedOn w:val="1"/>
    <w:qFormat/>
    <w:uiPriority w:val="0"/>
    <w:pPr>
      <w:spacing w:beforeLines="200" w:afterLines="200" w:line="1000" w:lineRule="exact"/>
    </w:pPr>
    <w:rPr>
      <w:spacing w:val="20"/>
      <w:sz w:val="28"/>
    </w:rPr>
  </w:style>
  <w:style w:type="paragraph" w:customStyle="1" w:styleId="2020">
    <w:name w:val="标题1q"/>
    <w:basedOn w:val="3"/>
    <w:qFormat/>
    <w:uiPriority w:val="0"/>
    <w:pPr>
      <w:tabs>
        <w:tab w:val="left" w:pos="432"/>
      </w:tabs>
      <w:spacing w:line="480" w:lineRule="exact"/>
      <w:ind w:left="431" w:firstLine="200" w:firstLineChars="200"/>
      <w:jc w:val="center"/>
    </w:pPr>
    <w:rPr>
      <w:rFonts w:ascii="宋体" w:hAnsi="宋体" w:cs="宋体"/>
      <w:color w:val="000000"/>
      <w:sz w:val="32"/>
      <w:szCs w:val="32"/>
    </w:rPr>
  </w:style>
  <w:style w:type="paragraph" w:customStyle="1" w:styleId="2021">
    <w:name w:val="Char Char Char1 Char Char Char Char Char Char Char Char Char Char Char Char1 Char Char Char Char Char Char Char Char Char Char1"/>
    <w:basedOn w:val="1"/>
    <w:qFormat/>
    <w:uiPriority w:val="0"/>
  </w:style>
  <w:style w:type="paragraph" w:customStyle="1" w:styleId="2022">
    <w:name w:val="表内文字规定"/>
    <w:basedOn w:val="1"/>
    <w:qFormat/>
    <w:uiPriority w:val="0"/>
    <w:pPr>
      <w:spacing w:line="360" w:lineRule="exact"/>
      <w:jc w:val="center"/>
    </w:pPr>
    <w:rPr>
      <w:rFonts w:cs="宋体"/>
    </w:rPr>
  </w:style>
  <w:style w:type="paragraph" w:customStyle="1" w:styleId="2023">
    <w:name w:val="说明"/>
    <w:basedOn w:val="87"/>
    <w:qFormat/>
    <w:uiPriority w:val="0"/>
    <w:pPr>
      <w:tabs>
        <w:tab w:val="left" w:pos="2025"/>
      </w:tabs>
      <w:spacing w:line="300" w:lineRule="auto"/>
      <w:ind w:left="1365" w:hanging="420" w:firstLineChars="0"/>
    </w:pPr>
    <w:rPr>
      <w:kern w:val="0"/>
      <w:sz w:val="24"/>
    </w:rPr>
  </w:style>
  <w:style w:type="paragraph" w:customStyle="1" w:styleId="2024">
    <w:name w:val="平正文"/>
    <w:basedOn w:val="1"/>
    <w:qFormat/>
    <w:uiPriority w:val="0"/>
    <w:pPr>
      <w:spacing w:line="520" w:lineRule="exact"/>
      <w:ind w:firstLine="560" w:firstLineChars="200"/>
    </w:pPr>
    <w:rPr>
      <w:sz w:val="28"/>
      <w:szCs w:val="28"/>
    </w:rPr>
  </w:style>
  <w:style w:type="paragraph" w:customStyle="1" w:styleId="2025">
    <w:name w:val="表头字体宋"/>
    <w:basedOn w:val="1"/>
    <w:qFormat/>
    <w:uiPriority w:val="0"/>
    <w:pPr>
      <w:spacing w:line="500" w:lineRule="exact"/>
      <w:jc w:val="center"/>
    </w:pPr>
    <w:rPr>
      <w:rFonts w:ascii="宋体" w:hAnsi="宋体"/>
      <w:b/>
      <w:sz w:val="24"/>
    </w:rPr>
  </w:style>
  <w:style w:type="paragraph" w:customStyle="1" w:styleId="2026">
    <w:name w:val="样式 标题 4 + 红色"/>
    <w:basedOn w:val="6"/>
    <w:qFormat/>
    <w:uiPriority w:val="0"/>
    <w:pPr>
      <w:tabs>
        <w:tab w:val="left" w:pos="864"/>
      </w:tabs>
      <w:spacing w:beforeLines="50" w:afterLines="20" w:line="240" w:lineRule="auto"/>
      <w:ind w:left="864" w:hanging="864"/>
    </w:pPr>
    <w:rPr>
      <w:rFonts w:eastAsia="宋体"/>
      <w:b w:val="0"/>
      <w:bCs w:val="0"/>
      <w:color w:val="FF0000"/>
      <w:sz w:val="24"/>
      <w:szCs w:val="24"/>
    </w:rPr>
  </w:style>
  <w:style w:type="paragraph" w:customStyle="1" w:styleId="2027">
    <w:name w:val="样式 表内小5 + 左侧:  0 厘米 悬挂缩进: 0.98 字符3"/>
    <w:basedOn w:val="1"/>
    <w:qFormat/>
    <w:uiPriority w:val="0"/>
    <w:pPr>
      <w:adjustRightInd w:val="0"/>
      <w:snapToGrid w:val="0"/>
      <w:spacing w:line="300" w:lineRule="auto"/>
      <w:ind w:left="289" w:leftChars="-200" w:hanging="769"/>
    </w:pPr>
    <w:rPr>
      <w:rFonts w:ascii="宋体" w:hAnsi="宋体" w:cs="宋体"/>
      <w:sz w:val="18"/>
    </w:rPr>
  </w:style>
  <w:style w:type="paragraph" w:customStyle="1" w:styleId="2028">
    <w:name w:val="表题5"/>
    <w:basedOn w:val="35"/>
    <w:qFormat/>
    <w:uiPriority w:val="0"/>
    <w:pPr>
      <w:tabs>
        <w:tab w:val="left" w:pos="4305"/>
      </w:tabs>
      <w:adjustRightInd w:val="0"/>
      <w:snapToGrid w:val="0"/>
      <w:spacing w:after="0"/>
      <w:ind w:left="0" w:leftChars="0"/>
      <w:jc w:val="center"/>
    </w:pPr>
    <w:rPr>
      <w:rFonts w:ascii="黑体" w:hAnsi="宋体" w:eastAsia="黑体"/>
      <w:color w:val="000000"/>
      <w:sz w:val="24"/>
      <w:szCs w:val="20"/>
    </w:rPr>
  </w:style>
  <w:style w:type="paragraph" w:customStyle="1" w:styleId="2029">
    <w:name w:val="规划"/>
    <w:basedOn w:val="1"/>
    <w:qFormat/>
    <w:uiPriority w:val="0"/>
    <w:pPr>
      <w:widowControl/>
      <w:tabs>
        <w:tab w:val="left" w:pos="-164"/>
        <w:tab w:val="left" w:pos="431"/>
      </w:tabs>
      <w:spacing w:beforeLines="50" w:afterLines="50"/>
      <w:ind w:left="-164" w:hanging="425"/>
      <w:jc w:val="left"/>
    </w:pPr>
    <w:rPr>
      <w:sz w:val="24"/>
    </w:rPr>
  </w:style>
  <w:style w:type="paragraph" w:customStyle="1" w:styleId="2030">
    <w:name w:val="环标2"/>
    <w:basedOn w:val="4"/>
    <w:qFormat/>
    <w:uiPriority w:val="0"/>
    <w:pPr>
      <w:tabs>
        <w:tab w:val="clear" w:pos="1427"/>
      </w:tabs>
      <w:spacing w:beforeLines="0" w:afterLines="0" w:line="312" w:lineRule="atLeast"/>
    </w:pPr>
    <w:rPr>
      <w:rFonts w:ascii="宋体" w:hAnsi="宋体"/>
      <w:b w:val="0"/>
    </w:rPr>
  </w:style>
  <w:style w:type="paragraph" w:customStyle="1" w:styleId="2031">
    <w:name w:val="纯文本13"/>
    <w:basedOn w:val="1"/>
    <w:qFormat/>
    <w:uiPriority w:val="0"/>
    <w:pPr>
      <w:adjustRightInd w:val="0"/>
    </w:pPr>
    <w:rPr>
      <w:rFonts w:ascii="宋体" w:hAnsi="Courier New"/>
      <w:spacing w:val="0"/>
      <w:kern w:val="2"/>
      <w:sz w:val="21"/>
    </w:rPr>
  </w:style>
  <w:style w:type="paragraph" w:customStyle="1" w:styleId="2032">
    <w:name w:val="标题465"/>
    <w:basedOn w:val="1"/>
    <w:qFormat/>
    <w:uiPriority w:val="0"/>
    <w:pPr>
      <w:adjustRightInd w:val="0"/>
      <w:snapToGrid w:val="0"/>
      <w:spacing w:line="360" w:lineRule="auto"/>
      <w:jc w:val="left"/>
    </w:pPr>
    <w:rPr>
      <w:rFonts w:ascii="黑体" w:eastAsia="黑体"/>
      <w:bCs/>
      <w:sz w:val="24"/>
    </w:rPr>
  </w:style>
  <w:style w:type="paragraph" w:customStyle="1" w:styleId="2033">
    <w:name w:val="正文居中4"/>
    <w:basedOn w:val="1"/>
    <w:qFormat/>
    <w:uiPriority w:val="0"/>
    <w:pPr>
      <w:adjustRightInd w:val="0"/>
      <w:snapToGrid w:val="0"/>
      <w:spacing w:line="480" w:lineRule="atLeast"/>
      <w:jc w:val="center"/>
    </w:pPr>
    <w:rPr>
      <w:rFonts w:ascii="宋体"/>
      <w:snapToGrid w:val="0"/>
      <w:spacing w:val="6"/>
      <w:sz w:val="28"/>
    </w:rPr>
  </w:style>
  <w:style w:type="paragraph" w:customStyle="1" w:styleId="2034">
    <w:name w:val="表内文字大5"/>
    <w:basedOn w:val="1"/>
    <w:qFormat/>
    <w:uiPriority w:val="0"/>
    <w:pPr>
      <w:adjustRightInd w:val="0"/>
      <w:snapToGrid w:val="0"/>
      <w:jc w:val="center"/>
    </w:pPr>
    <w:rPr>
      <w:rFonts w:ascii="宋体" w:hAnsi="Times"/>
      <w:sz w:val="24"/>
    </w:rPr>
  </w:style>
  <w:style w:type="paragraph" w:customStyle="1" w:styleId="2035">
    <w:name w:val="样式 四号 行距: 固定值 25 磅"/>
    <w:basedOn w:val="1"/>
    <w:qFormat/>
    <w:uiPriority w:val="0"/>
    <w:pPr>
      <w:spacing w:line="480" w:lineRule="atLeast"/>
      <w:ind w:firstLine="200" w:firstLineChars="200"/>
    </w:pPr>
    <w:rPr>
      <w:sz w:val="24"/>
    </w:rPr>
  </w:style>
  <w:style w:type="paragraph" w:customStyle="1" w:styleId="2036">
    <w:name w:val="xl138"/>
    <w:basedOn w:val="1"/>
    <w:qFormat/>
    <w:uiPriority w:val="0"/>
    <w:pPr>
      <w:widowControl/>
      <w:pBdr>
        <w:left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2037">
    <w:name w:val="页眉中146"/>
    <w:basedOn w:val="1"/>
    <w:qFormat/>
    <w:uiPriority w:val="0"/>
    <w:pPr>
      <w:adjustRightInd w:val="0"/>
      <w:snapToGrid w:val="0"/>
      <w:spacing w:line="300" w:lineRule="auto"/>
      <w:jc w:val="left"/>
    </w:pPr>
    <w:rPr>
      <w:rFonts w:ascii="黑体" w:eastAsia="黑体"/>
      <w:bCs/>
      <w:sz w:val="24"/>
    </w:rPr>
  </w:style>
  <w:style w:type="paragraph" w:customStyle="1" w:styleId="2038">
    <w:name w:val="等核实34"/>
    <w:basedOn w:val="35"/>
    <w:qFormat/>
    <w:uiPriority w:val="0"/>
    <w:pPr>
      <w:tabs>
        <w:tab w:val="left" w:pos="4305"/>
      </w:tabs>
      <w:adjustRightInd w:val="0"/>
      <w:snapToGrid w:val="0"/>
      <w:spacing w:after="0" w:line="360" w:lineRule="auto"/>
      <w:ind w:left="0" w:leftChars="0" w:firstLine="480" w:firstLineChars="200"/>
    </w:pPr>
    <w:rPr>
      <w:rFonts w:ascii="宋体" w:hAnsi="宋体"/>
      <w:color w:val="0000FF"/>
      <w:sz w:val="24"/>
      <w:szCs w:val="20"/>
    </w:rPr>
  </w:style>
  <w:style w:type="paragraph" w:customStyle="1" w:styleId="2039">
    <w:name w:val="样式 标题 4 + (西文) Times New Roman (中文) 宋体 小四 左 段前: 12 磅 段后: 2 ..."/>
    <w:basedOn w:val="6"/>
    <w:next w:val="1"/>
    <w:qFormat/>
    <w:uiPriority w:val="0"/>
    <w:pPr>
      <w:adjustRightInd w:val="0"/>
      <w:snapToGrid w:val="0"/>
      <w:spacing w:before="0" w:after="0" w:line="480" w:lineRule="exact"/>
      <w:jc w:val="left"/>
      <w:textAlignment w:val="baseline"/>
    </w:pPr>
    <w:rPr>
      <w:rFonts w:ascii="宋体" w:hAnsi="宋体" w:eastAsia="宋体" w:cs="宋体"/>
      <w:b w:val="0"/>
      <w:sz w:val="24"/>
      <w:szCs w:val="24"/>
    </w:rPr>
  </w:style>
  <w:style w:type="paragraph" w:customStyle="1" w:styleId="2040">
    <w:name w:val="样式 标题 1 + 黑体 小二 居中 首行缩进:  0 厘米 段前: 12 磅"/>
    <w:basedOn w:val="3"/>
    <w:qFormat/>
    <w:uiPriority w:val="0"/>
    <w:pPr>
      <w:keepLines w:val="0"/>
      <w:spacing w:before="0" w:after="0" w:line="240" w:lineRule="auto"/>
      <w:jc w:val="center"/>
    </w:pPr>
    <w:rPr>
      <w:rFonts w:ascii="黑体" w:hAnsi="Arial" w:eastAsia="黑体"/>
      <w:b w:val="0"/>
      <w:bCs w:val="0"/>
      <w:kern w:val="2"/>
      <w:sz w:val="36"/>
      <w:szCs w:val="20"/>
    </w:rPr>
  </w:style>
  <w:style w:type="paragraph" w:customStyle="1" w:styleId="2041">
    <w:name w:val="页眉中24"/>
    <w:basedOn w:val="47"/>
    <w:qFormat/>
    <w:uiPriority w:val="0"/>
    <w:pPr>
      <w:adjustRightInd w:val="0"/>
      <w:spacing w:line="360" w:lineRule="auto"/>
      <w:jc w:val="left"/>
    </w:pPr>
    <w:rPr>
      <w:rFonts w:ascii="黑体" w:hAnsi="Times New Roman" w:eastAsia="黑体"/>
      <w:bCs/>
      <w:sz w:val="24"/>
      <w:szCs w:val="24"/>
    </w:rPr>
  </w:style>
  <w:style w:type="paragraph" w:customStyle="1" w:styleId="2042">
    <w:name w:val="样式31"/>
    <w:basedOn w:val="34"/>
    <w:qFormat/>
    <w:uiPriority w:val="0"/>
    <w:pPr>
      <w:widowControl/>
      <w:overflowPunct w:val="0"/>
      <w:autoSpaceDE w:val="0"/>
      <w:autoSpaceDN w:val="0"/>
      <w:adjustRightInd w:val="0"/>
      <w:snapToGrid w:val="0"/>
      <w:spacing w:after="0" w:line="360" w:lineRule="auto"/>
      <w:ind w:firstLine="567"/>
      <w:textAlignment w:val="baseline"/>
    </w:pPr>
    <w:rPr>
      <w:rFonts w:ascii="宋体"/>
      <w:spacing w:val="20"/>
      <w:sz w:val="24"/>
    </w:rPr>
  </w:style>
  <w:style w:type="paragraph" w:customStyle="1" w:styleId="2043">
    <w:name w:val="msolistparagraph"/>
    <w:basedOn w:val="1"/>
    <w:qFormat/>
    <w:uiPriority w:val="0"/>
    <w:pPr>
      <w:ind w:firstLine="420" w:firstLineChars="200"/>
    </w:pPr>
    <w:rPr>
      <w:rFonts w:ascii="Calibri" w:hAnsi="Calibri"/>
      <w:szCs w:val="22"/>
    </w:rPr>
  </w:style>
  <w:style w:type="paragraph" w:customStyle="1" w:styleId="2044">
    <w:name w:val="样式 (符号) 宋体 四号 左 行距: 1.5 倍行距"/>
    <w:basedOn w:val="1"/>
    <w:qFormat/>
    <w:uiPriority w:val="0"/>
    <w:pPr>
      <w:spacing w:line="360" w:lineRule="auto"/>
      <w:ind w:firstLine="560" w:firstLineChars="200"/>
      <w:jc w:val="left"/>
    </w:pPr>
    <w:rPr>
      <w:rFonts w:ascii="宋体" w:hAnsi="宋体" w:cs="宋体"/>
      <w:sz w:val="28"/>
    </w:rPr>
  </w:style>
  <w:style w:type="paragraph" w:customStyle="1" w:styleId="2045">
    <w:name w:val="样式 标题 2H2Underrubrik1prop2Title2h2sect 1.2Heading 2 Hidde..."/>
    <w:basedOn w:val="4"/>
    <w:qFormat/>
    <w:uiPriority w:val="0"/>
    <w:pPr>
      <w:tabs>
        <w:tab w:val="left" w:pos="976"/>
        <w:tab w:val="clear" w:pos="1427"/>
      </w:tabs>
      <w:adjustRightInd/>
      <w:spacing w:beforeLines="0" w:afterLines="0"/>
      <w:textAlignment w:val="auto"/>
    </w:pPr>
    <w:rPr>
      <w:rFonts w:ascii="宋体" w:hAnsi="宋体" w:cs="宋体"/>
      <w:bCs/>
      <w:kern w:val="2"/>
    </w:rPr>
  </w:style>
  <w:style w:type="paragraph" w:customStyle="1" w:styleId="2046">
    <w:name w:val="待定小2"/>
    <w:basedOn w:val="1663"/>
    <w:qFormat/>
    <w:uiPriority w:val="0"/>
    <w:rPr>
      <w:color w:val="000000"/>
    </w:rPr>
  </w:style>
  <w:style w:type="paragraph" w:customStyle="1" w:styleId="2047">
    <w:name w:val="文章附标题"/>
    <w:basedOn w:val="1"/>
    <w:next w:val="3"/>
    <w:qFormat/>
    <w:uiPriority w:val="0"/>
    <w:pPr>
      <w:widowControl/>
      <w:spacing w:before="187" w:after="175" w:line="374" w:lineRule="atLeast"/>
      <w:jc w:val="center"/>
      <w:textAlignment w:val="baseline"/>
    </w:pPr>
    <w:rPr>
      <w:color w:val="000000"/>
      <w:sz w:val="36"/>
      <w:u w:color="000000"/>
    </w:rPr>
  </w:style>
  <w:style w:type="paragraph" w:customStyle="1" w:styleId="2048">
    <w:name w:val="图题55"/>
    <w:basedOn w:val="21"/>
    <w:qFormat/>
    <w:uiPriority w:val="0"/>
    <w:pPr>
      <w:adjustRightInd w:val="0"/>
      <w:snapToGrid w:val="0"/>
      <w:ind w:firstLine="0" w:firstLineChars="0"/>
      <w:jc w:val="center"/>
    </w:pPr>
    <w:rPr>
      <w:rFonts w:ascii="方正大标宋简体" w:hAnsi="宋体" w:eastAsia="方正大标宋简体"/>
      <w:szCs w:val="24"/>
    </w:rPr>
  </w:style>
  <w:style w:type="paragraph" w:customStyle="1" w:styleId="2049">
    <w:name w:val="环标1"/>
    <w:basedOn w:val="3"/>
    <w:qFormat/>
    <w:uiPriority w:val="0"/>
    <w:pPr>
      <w:keepNext w:val="0"/>
      <w:keepLines w:val="0"/>
      <w:tabs>
        <w:tab w:val="center" w:pos="4156"/>
      </w:tabs>
      <w:adjustRightInd w:val="0"/>
      <w:spacing w:before="120" w:afterLines="50" w:line="360" w:lineRule="auto"/>
      <w:jc w:val="left"/>
      <w:textAlignment w:val="baseline"/>
    </w:pPr>
    <w:rPr>
      <w:rFonts w:ascii="黑体" w:hAnsi="Courier New" w:eastAsia="黑体"/>
      <w:b w:val="0"/>
      <w:bCs w:val="0"/>
      <w:sz w:val="32"/>
      <w:szCs w:val="20"/>
    </w:rPr>
  </w:style>
  <w:style w:type="paragraph" w:customStyle="1" w:styleId="2050">
    <w:name w:val="表2.2-1 + 左"/>
    <w:basedOn w:val="2051"/>
    <w:qFormat/>
    <w:uiPriority w:val="0"/>
    <w:pPr>
      <w:tabs>
        <w:tab w:val="left" w:pos="900"/>
        <w:tab w:val="left" w:pos="2627"/>
      </w:tabs>
    </w:pPr>
    <w:rPr>
      <w:rFonts w:eastAsia="黑体"/>
    </w:rPr>
  </w:style>
  <w:style w:type="paragraph" w:customStyle="1" w:styleId="2051">
    <w:name w:val="表2.2-1"/>
    <w:basedOn w:val="1"/>
    <w:qFormat/>
    <w:uiPriority w:val="0"/>
    <w:pPr>
      <w:tabs>
        <w:tab w:val="left" w:pos="900"/>
        <w:tab w:val="left" w:pos="2627"/>
      </w:tabs>
      <w:adjustRightInd w:val="0"/>
      <w:spacing w:line="360" w:lineRule="auto"/>
      <w:ind w:left="900" w:hanging="360"/>
      <w:jc w:val="center"/>
      <w:textAlignment w:val="baseline"/>
    </w:pPr>
    <w:rPr>
      <w:rFonts w:ascii="Arial" w:hAnsi="Arial" w:cs="宋体"/>
      <w:sz w:val="24"/>
    </w:rPr>
  </w:style>
  <w:style w:type="paragraph" w:customStyle="1" w:styleId="2052">
    <w:name w:val="表题35"/>
    <w:basedOn w:val="35"/>
    <w:qFormat/>
    <w:uiPriority w:val="0"/>
    <w:pPr>
      <w:tabs>
        <w:tab w:val="left" w:pos="4305"/>
      </w:tabs>
      <w:adjustRightInd w:val="0"/>
      <w:snapToGrid w:val="0"/>
      <w:spacing w:after="0"/>
      <w:ind w:left="0" w:leftChars="0"/>
      <w:jc w:val="center"/>
    </w:pPr>
    <w:rPr>
      <w:rFonts w:ascii="宋体" w:hAnsi="宋体"/>
      <w:sz w:val="24"/>
      <w:szCs w:val="20"/>
    </w:rPr>
  </w:style>
  <w:style w:type="paragraph" w:customStyle="1" w:styleId="2053">
    <w:name w:val="正文格式2"/>
    <w:basedOn w:val="1"/>
    <w:qFormat/>
    <w:uiPriority w:val="0"/>
    <w:pPr>
      <w:adjustRightInd w:val="0"/>
      <w:snapToGrid w:val="0"/>
      <w:spacing w:line="360" w:lineRule="auto"/>
      <w:ind w:firstLine="480" w:firstLineChars="200"/>
    </w:pPr>
    <w:rPr>
      <w:rFonts w:ascii="宋体" w:cs="宋体"/>
      <w:sz w:val="24"/>
    </w:rPr>
  </w:style>
  <w:style w:type="paragraph" w:customStyle="1" w:styleId="2054">
    <w:name w:val="图题41"/>
    <w:basedOn w:val="21"/>
    <w:qFormat/>
    <w:uiPriority w:val="0"/>
    <w:pPr>
      <w:tabs>
        <w:tab w:val="left" w:pos="5837"/>
      </w:tabs>
      <w:adjustRightInd w:val="0"/>
      <w:snapToGrid w:val="0"/>
      <w:ind w:firstLine="0" w:firstLineChars="0"/>
      <w:jc w:val="center"/>
    </w:pPr>
    <w:rPr>
      <w:rFonts w:ascii="方正大标宋简体" w:hAnsi="宋体" w:eastAsia="方正大标宋简体" w:cs="宋体"/>
      <w:szCs w:val="24"/>
    </w:rPr>
  </w:style>
  <w:style w:type="paragraph" w:customStyle="1" w:styleId="2055">
    <w:name w:val="表内宋5中52"/>
    <w:basedOn w:val="1"/>
    <w:qFormat/>
    <w:uiPriority w:val="0"/>
    <w:pPr>
      <w:adjustRightInd w:val="0"/>
      <w:snapToGrid w:val="0"/>
      <w:spacing w:line="360" w:lineRule="auto"/>
      <w:textAlignment w:val="baseline"/>
    </w:pPr>
    <w:rPr>
      <w:rFonts w:ascii="宋体" w:hAnsi="宋体"/>
      <w:szCs w:val="21"/>
    </w:rPr>
  </w:style>
  <w:style w:type="paragraph" w:customStyle="1" w:styleId="2056">
    <w:name w:val="CM21"/>
    <w:basedOn w:val="641"/>
    <w:next w:val="641"/>
    <w:qFormat/>
    <w:uiPriority w:val="0"/>
    <w:pPr>
      <w:spacing w:line="480" w:lineRule="atLeast"/>
    </w:pPr>
    <w:rPr>
      <w:color w:val="auto"/>
    </w:rPr>
  </w:style>
  <w:style w:type="paragraph" w:customStyle="1" w:styleId="2057">
    <w:name w:val="p141"/>
    <w:basedOn w:val="1"/>
    <w:qFormat/>
    <w:uiPriority w:val="0"/>
    <w:pPr>
      <w:widowControl/>
      <w:spacing w:before="100" w:beforeAutospacing="1" w:after="100" w:afterAutospacing="1"/>
      <w:jc w:val="left"/>
    </w:pPr>
    <w:rPr>
      <w:rFonts w:ascii="宋体" w:hAnsi="宋体"/>
      <w:sz w:val="24"/>
    </w:rPr>
  </w:style>
  <w:style w:type="paragraph" w:customStyle="1" w:styleId="2058">
    <w:name w:val="表格样式1"/>
    <w:basedOn w:val="1"/>
    <w:qFormat/>
    <w:uiPriority w:val="0"/>
    <w:pPr>
      <w:adjustRightInd w:val="0"/>
      <w:spacing w:line="20" w:lineRule="atLeast"/>
      <w:jc w:val="center"/>
      <w:textAlignment w:val="baseline"/>
    </w:pPr>
    <w:rPr>
      <w:rFonts w:ascii="宋体"/>
    </w:rPr>
  </w:style>
  <w:style w:type="paragraph" w:customStyle="1" w:styleId="2059">
    <w:name w:val="表内小425"/>
    <w:basedOn w:val="1427"/>
    <w:qFormat/>
    <w:uiPriority w:val="0"/>
    <w:pPr>
      <w:ind w:left="240" w:hanging="240"/>
      <w:jc w:val="both"/>
    </w:pPr>
  </w:style>
  <w:style w:type="paragraph" w:customStyle="1" w:styleId="2060">
    <w:name w:val="页眉中18"/>
    <w:basedOn w:val="47"/>
    <w:qFormat/>
    <w:uiPriority w:val="0"/>
    <w:pPr>
      <w:adjustRightInd w:val="0"/>
      <w:spacing w:line="300" w:lineRule="auto"/>
      <w:jc w:val="left"/>
    </w:pPr>
    <w:rPr>
      <w:rFonts w:ascii="黑体" w:hAnsi="宋体" w:eastAsia="黑体"/>
      <w:sz w:val="24"/>
    </w:rPr>
  </w:style>
  <w:style w:type="paragraph" w:customStyle="1" w:styleId="2061">
    <w:name w:val="xl18"/>
    <w:basedOn w:val="1"/>
    <w:qFormat/>
    <w:uiPriority w:val="0"/>
    <w:pPr>
      <w:widowControl/>
      <w:pBdr>
        <w:bottom w:val="single" w:color="auto" w:sz="4" w:space="0"/>
      </w:pBdr>
      <w:spacing w:before="100" w:beforeAutospacing="1" w:after="100" w:afterAutospacing="1"/>
      <w:jc w:val="center"/>
      <w:textAlignment w:val="center"/>
    </w:pPr>
    <w:rPr>
      <w:rFonts w:ascii="Arial Unicode MS" w:hAnsi="Arial Unicode MS" w:eastAsia="Arial Unicode MS"/>
      <w:b/>
      <w:bCs/>
      <w:color w:val="FF0000"/>
      <w:sz w:val="32"/>
      <w:szCs w:val="32"/>
    </w:rPr>
  </w:style>
  <w:style w:type="paragraph" w:customStyle="1" w:styleId="2062">
    <w:name w:val="样式 标标题4.7 + 右侧:  0.96 厘米"/>
    <w:basedOn w:val="1"/>
    <w:qFormat/>
    <w:uiPriority w:val="0"/>
    <w:pPr>
      <w:tabs>
        <w:tab w:val="left" w:pos="720"/>
        <w:tab w:val="center" w:pos="4060"/>
        <w:tab w:val="right" w:pos="8261"/>
      </w:tabs>
      <w:suppressAutoHyphens/>
      <w:adjustRightInd w:val="0"/>
      <w:spacing w:before="240" w:line="0" w:lineRule="atLeast"/>
      <w:ind w:left="-4" w:right="544" w:firstLine="4"/>
      <w:jc w:val="center"/>
    </w:pPr>
    <w:rPr>
      <w:rFonts w:ascii="黑体" w:eastAsia="黑体" w:cs="宋体"/>
      <w:b/>
      <w:bCs/>
      <w:spacing w:val="6"/>
      <w:sz w:val="26"/>
    </w:rPr>
  </w:style>
  <w:style w:type="paragraph" w:customStyle="1" w:styleId="2063">
    <w:name w:val="题图4"/>
    <w:basedOn w:val="1"/>
    <w:qFormat/>
    <w:uiPriority w:val="0"/>
    <w:pPr>
      <w:adjustRightInd w:val="0"/>
      <w:snapToGrid w:val="0"/>
      <w:jc w:val="center"/>
    </w:pPr>
    <w:rPr>
      <w:rFonts w:ascii="宋体" w:hAnsi="宋体" w:cs="宋体"/>
      <w:sz w:val="28"/>
    </w:rPr>
  </w:style>
  <w:style w:type="paragraph" w:customStyle="1" w:styleId="2064">
    <w:name w:val="福建正文缩进33"/>
    <w:basedOn w:val="21"/>
    <w:qFormat/>
    <w:uiPriority w:val="0"/>
    <w:pPr>
      <w:autoSpaceDE w:val="0"/>
      <w:autoSpaceDN w:val="0"/>
      <w:adjustRightInd w:val="0"/>
      <w:snapToGrid w:val="0"/>
      <w:spacing w:line="360" w:lineRule="auto"/>
      <w:ind w:firstLine="539" w:firstLineChars="0"/>
    </w:pPr>
    <w:rPr>
      <w:rFonts w:ascii="宋体" w:hAnsi="宋体"/>
      <w:szCs w:val="24"/>
    </w:rPr>
  </w:style>
  <w:style w:type="paragraph" w:customStyle="1" w:styleId="2065">
    <w:name w:val="文-5"/>
    <w:basedOn w:val="1"/>
    <w:qFormat/>
    <w:uiPriority w:val="0"/>
    <w:pPr>
      <w:tabs>
        <w:tab w:val="right" w:leader="dot" w:pos="8789"/>
      </w:tabs>
      <w:spacing w:before="120" w:line="360" w:lineRule="auto"/>
      <w:ind w:left="1276" w:firstLine="482"/>
    </w:pPr>
    <w:rPr>
      <w:rFonts w:ascii="宋体"/>
      <w:sz w:val="24"/>
    </w:rPr>
  </w:style>
  <w:style w:type="paragraph" w:customStyle="1" w:styleId="2066">
    <w:name w:val="列表接续 312"/>
    <w:basedOn w:val="1"/>
    <w:qFormat/>
    <w:uiPriority w:val="0"/>
    <w:pPr>
      <w:spacing w:after="120"/>
      <w:ind w:left="1260" w:leftChars="600"/>
    </w:pPr>
  </w:style>
  <w:style w:type="paragraph" w:customStyle="1" w:styleId="2067">
    <w:name w:val="表内575"/>
    <w:basedOn w:val="1572"/>
    <w:qFormat/>
    <w:uiPriority w:val="0"/>
    <w:pPr>
      <w:spacing w:line="300" w:lineRule="auto"/>
      <w:jc w:val="both"/>
    </w:pPr>
    <w:rPr>
      <w:szCs w:val="24"/>
    </w:rPr>
  </w:style>
  <w:style w:type="paragraph" w:customStyle="1" w:styleId="2068">
    <w:name w:val="燕山正文35"/>
    <w:basedOn w:val="1"/>
    <w:qFormat/>
    <w:uiPriority w:val="0"/>
    <w:pPr>
      <w:tabs>
        <w:tab w:val="left" w:pos="4680"/>
      </w:tabs>
      <w:adjustRightInd w:val="0"/>
      <w:snapToGrid w:val="0"/>
      <w:spacing w:line="360" w:lineRule="auto"/>
      <w:ind w:firstLine="560" w:firstLineChars="200"/>
    </w:pPr>
    <w:rPr>
      <w:rFonts w:ascii="宋体" w:hAnsi="宋体"/>
      <w:color w:val="000000"/>
      <w:sz w:val="28"/>
      <w:szCs w:val="28"/>
    </w:rPr>
  </w:style>
  <w:style w:type="paragraph" w:customStyle="1" w:styleId="2069">
    <w:name w:val="标题416"/>
    <w:basedOn w:val="1"/>
    <w:qFormat/>
    <w:uiPriority w:val="0"/>
    <w:pPr>
      <w:adjustRightInd w:val="0"/>
      <w:snapToGrid w:val="0"/>
      <w:spacing w:line="300" w:lineRule="auto"/>
      <w:jc w:val="left"/>
    </w:pPr>
    <w:rPr>
      <w:rFonts w:ascii="黑体" w:hAnsi="宋体" w:eastAsia="黑体" w:cs="宋体"/>
      <w:bCs/>
      <w:sz w:val="24"/>
    </w:rPr>
  </w:style>
  <w:style w:type="paragraph" w:customStyle="1" w:styleId="2070">
    <w:name w:val="Char1 Char Char Char11"/>
    <w:basedOn w:val="1"/>
    <w:qFormat/>
    <w:uiPriority w:val="0"/>
    <w:pPr>
      <w:spacing w:line="360" w:lineRule="auto"/>
      <w:ind w:firstLine="200" w:firstLineChars="200"/>
    </w:pPr>
    <w:rPr>
      <w:rFonts w:ascii="宋体" w:hAnsi="宋体" w:cs="宋体"/>
      <w:sz w:val="24"/>
    </w:rPr>
  </w:style>
  <w:style w:type="paragraph" w:customStyle="1" w:styleId="2071">
    <w:name w:val="xl143"/>
    <w:basedOn w:val="1"/>
    <w:qFormat/>
    <w:uiPriority w:val="0"/>
    <w:pPr>
      <w:widowControl/>
      <w:pBdr>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2072">
    <w:name w:val="Char Char1 Char Char Char Char3"/>
    <w:basedOn w:val="1"/>
    <w:qFormat/>
    <w:uiPriority w:val="0"/>
  </w:style>
  <w:style w:type="paragraph" w:customStyle="1" w:styleId="2073">
    <w:name w:val="6"/>
    <w:basedOn w:val="1"/>
    <w:next w:val="47"/>
    <w:qFormat/>
    <w:uiPriority w:val="0"/>
    <w:pPr>
      <w:spacing w:line="460" w:lineRule="exact"/>
      <w:ind w:firstLine="441" w:firstLineChars="210"/>
    </w:pPr>
    <w:rPr>
      <w:rFonts w:ascii="宋体" w:hAnsi="Courier New"/>
    </w:rPr>
  </w:style>
  <w:style w:type="paragraph" w:customStyle="1" w:styleId="2074">
    <w:name w:val="样式 表格 32 + 首行缩进:  2 字符1"/>
    <w:basedOn w:val="1"/>
    <w:qFormat/>
    <w:uiPriority w:val="0"/>
    <w:pPr>
      <w:autoSpaceDE w:val="0"/>
      <w:autoSpaceDN w:val="0"/>
      <w:adjustRightInd w:val="0"/>
      <w:jc w:val="center"/>
      <w:textAlignment w:val="baseline"/>
    </w:pPr>
    <w:rPr>
      <w:szCs w:val="21"/>
    </w:rPr>
  </w:style>
  <w:style w:type="paragraph" w:customStyle="1" w:styleId="2075">
    <w:name w:val="CM9"/>
    <w:basedOn w:val="641"/>
    <w:next w:val="641"/>
    <w:qFormat/>
    <w:uiPriority w:val="0"/>
    <w:pPr>
      <w:spacing w:line="460" w:lineRule="atLeast"/>
    </w:pPr>
    <w:rPr>
      <w:rFonts w:ascii="黑体" w:eastAsia="黑体" w:cs="Times New Roman"/>
      <w:color w:val="auto"/>
      <w:sz w:val="20"/>
    </w:rPr>
  </w:style>
  <w:style w:type="paragraph" w:customStyle="1" w:styleId="2076">
    <w:name w:val="内容"/>
    <w:basedOn w:val="1"/>
    <w:qFormat/>
    <w:uiPriority w:val="0"/>
    <w:pPr>
      <w:adjustRightInd w:val="0"/>
      <w:spacing w:line="360" w:lineRule="auto"/>
      <w:ind w:firstLine="454"/>
      <w:jc w:val="left"/>
      <w:textAlignment w:val="baseline"/>
    </w:pPr>
    <w:rPr>
      <w:rFonts w:ascii="宋体"/>
      <w:sz w:val="24"/>
    </w:rPr>
  </w:style>
  <w:style w:type="paragraph" w:customStyle="1" w:styleId="2077">
    <w:name w:val="表内文字小44"/>
    <w:basedOn w:val="1"/>
    <w:qFormat/>
    <w:uiPriority w:val="0"/>
    <w:pPr>
      <w:adjustRightInd w:val="0"/>
      <w:snapToGrid w:val="0"/>
      <w:jc w:val="center"/>
    </w:pPr>
    <w:rPr>
      <w:rFonts w:ascii="宋体" w:hAnsi="Times"/>
    </w:rPr>
  </w:style>
  <w:style w:type="paragraph" w:customStyle="1" w:styleId="2078">
    <w:name w:val="样式 样式18 + 黑色"/>
    <w:basedOn w:val="1"/>
    <w:qFormat/>
    <w:uiPriority w:val="0"/>
    <w:pPr>
      <w:keepNext/>
      <w:keepLines/>
      <w:tabs>
        <w:tab w:val="left" w:pos="420"/>
        <w:tab w:val="left" w:pos="1800"/>
      </w:tabs>
      <w:overflowPunct w:val="0"/>
      <w:topLinePunct/>
      <w:autoSpaceDE w:val="0"/>
      <w:autoSpaceDN w:val="0"/>
      <w:adjustRightInd w:val="0"/>
      <w:snapToGrid w:val="0"/>
      <w:spacing w:line="480" w:lineRule="exact"/>
      <w:ind w:left="420" w:hanging="420"/>
      <w:jc w:val="left"/>
      <w:textAlignment w:val="baseline"/>
      <w:outlineLvl w:val="3"/>
    </w:pPr>
    <w:rPr>
      <w:rFonts w:hAnsi="宋体"/>
      <w:color w:val="000000"/>
      <w:sz w:val="24"/>
    </w:rPr>
  </w:style>
  <w:style w:type="paragraph" w:customStyle="1" w:styleId="2079">
    <w:name w:val="样式 标题 2节标题（节1）（节）36标题 236标题2H2h2TestHeading2th2第一层条第二...1"/>
    <w:basedOn w:val="4"/>
    <w:qFormat/>
    <w:uiPriority w:val="0"/>
    <w:pPr>
      <w:keepNext w:val="0"/>
      <w:keepLines w:val="0"/>
      <w:tabs>
        <w:tab w:val="left" w:pos="542"/>
        <w:tab w:val="left" w:pos="1260"/>
        <w:tab w:val="clear" w:pos="1427"/>
      </w:tabs>
      <w:adjustRightInd/>
      <w:spacing w:before="156" w:afterLines="0"/>
      <w:ind w:left="576"/>
      <w:textAlignment w:val="auto"/>
    </w:pPr>
    <w:rPr>
      <w:rFonts w:cs="宋体"/>
      <w:bCs/>
      <w:kern w:val="2"/>
      <w:sz w:val="30"/>
    </w:rPr>
  </w:style>
  <w:style w:type="paragraph" w:customStyle="1" w:styleId="2080">
    <w:name w:val="Char Char Char Char Char Char Char Char Char 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cs="宋体"/>
      <w:sz w:val="24"/>
    </w:rPr>
  </w:style>
  <w:style w:type="paragraph" w:customStyle="1" w:styleId="2081">
    <w:name w:val="xl124"/>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color w:val="000000"/>
      <w:szCs w:val="21"/>
    </w:rPr>
  </w:style>
  <w:style w:type="paragraph" w:customStyle="1" w:styleId="2082">
    <w:name w:val="表题114"/>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2083">
    <w:name w:val="xl145"/>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left"/>
      <w:textAlignment w:val="center"/>
    </w:pPr>
    <w:rPr>
      <w:rFonts w:ascii="宋体" w:hAnsi="宋体" w:cs="宋体"/>
      <w:color w:val="000000"/>
      <w:sz w:val="18"/>
      <w:szCs w:val="18"/>
    </w:rPr>
  </w:style>
  <w:style w:type="paragraph" w:customStyle="1" w:styleId="2084">
    <w:name w:val="表格五号"/>
    <w:basedOn w:val="1"/>
    <w:qFormat/>
    <w:uiPriority w:val="0"/>
    <w:pPr>
      <w:adjustRightInd w:val="0"/>
      <w:snapToGrid w:val="0"/>
    </w:pPr>
    <w:rPr>
      <w:rFonts w:ascii="宋体" w:hAnsi="宋体"/>
      <w:szCs w:val="21"/>
    </w:rPr>
  </w:style>
  <w:style w:type="paragraph" w:customStyle="1" w:styleId="2085">
    <w:name w:val="Char131"/>
    <w:basedOn w:val="1"/>
    <w:qFormat/>
    <w:uiPriority w:val="0"/>
    <w:pPr>
      <w:ind w:left="-48"/>
    </w:pPr>
  </w:style>
  <w:style w:type="paragraph" w:customStyle="1" w:styleId="2086">
    <w:name w:val="表格文本"/>
    <w:basedOn w:val="1"/>
    <w:qFormat/>
    <w:uiPriority w:val="0"/>
    <w:pPr>
      <w:autoSpaceDE w:val="0"/>
      <w:adjustRightInd w:val="0"/>
      <w:snapToGrid w:val="0"/>
      <w:spacing w:line="360" w:lineRule="auto"/>
      <w:jc w:val="center"/>
    </w:pPr>
    <w:rPr>
      <w:snapToGrid w:val="0"/>
      <w:color w:val="000000"/>
      <w:szCs w:val="21"/>
    </w:rPr>
  </w:style>
  <w:style w:type="paragraph" w:customStyle="1" w:styleId="2087">
    <w:name w:val="正文文本缩进12"/>
    <w:basedOn w:val="1"/>
    <w:qFormat/>
    <w:uiPriority w:val="0"/>
    <w:pPr>
      <w:overflowPunct w:val="0"/>
      <w:snapToGrid w:val="0"/>
      <w:spacing w:line="480" w:lineRule="exact"/>
      <w:ind w:firstLine="560"/>
    </w:pPr>
  </w:style>
  <w:style w:type="paragraph" w:customStyle="1" w:styleId="2088">
    <w:name w:val="表内文字小27"/>
    <w:basedOn w:val="1"/>
    <w:qFormat/>
    <w:uiPriority w:val="0"/>
    <w:pPr>
      <w:adjustRightInd w:val="0"/>
      <w:snapToGrid w:val="0"/>
      <w:jc w:val="center"/>
    </w:pPr>
    <w:rPr>
      <w:rFonts w:ascii="宋体" w:hAnsi="Times"/>
    </w:rPr>
  </w:style>
  <w:style w:type="paragraph" w:customStyle="1" w:styleId="2089">
    <w:name w:val="Char Char Char Char Char Char2"/>
    <w:basedOn w:val="1"/>
    <w:qFormat/>
    <w:uiPriority w:val="0"/>
  </w:style>
  <w:style w:type="paragraph" w:customStyle="1" w:styleId="2090">
    <w:name w:val="标题441"/>
    <w:basedOn w:val="1"/>
    <w:qFormat/>
    <w:uiPriority w:val="0"/>
    <w:pPr>
      <w:adjustRightInd w:val="0"/>
      <w:snapToGrid w:val="0"/>
      <w:spacing w:line="300" w:lineRule="auto"/>
      <w:jc w:val="left"/>
    </w:pPr>
    <w:rPr>
      <w:rFonts w:ascii="黑体" w:eastAsia="黑体"/>
      <w:bCs/>
      <w:color w:val="000000"/>
      <w:sz w:val="24"/>
    </w:rPr>
  </w:style>
  <w:style w:type="paragraph" w:customStyle="1" w:styleId="2091">
    <w:name w:val="16.5.2.1"/>
    <w:basedOn w:val="801"/>
    <w:qFormat/>
    <w:uiPriority w:val="0"/>
    <w:pPr>
      <w:tabs>
        <w:tab w:val="left" w:pos="1680"/>
        <w:tab w:val="left" w:pos="3147"/>
      </w:tabs>
      <w:spacing w:after="0"/>
      <w:ind w:left="3147" w:hanging="420"/>
    </w:pPr>
    <w:rPr>
      <w:b w:val="0"/>
    </w:rPr>
  </w:style>
  <w:style w:type="paragraph" w:customStyle="1" w:styleId="2092">
    <w:name w:val="正文31"/>
    <w:qFormat/>
    <w:uiPriority w:val="0"/>
    <w:pPr>
      <w:widowControl w:val="0"/>
      <w:adjustRightInd w:val="0"/>
      <w:spacing w:line="315" w:lineRule="atLeast"/>
      <w:textAlignment w:val="baseline"/>
    </w:pPr>
    <w:rPr>
      <w:rFonts w:ascii="宋体" w:hAnsi="Times New Roman" w:eastAsia="宋体" w:cs="Times New Roman"/>
      <w:sz w:val="24"/>
      <w:lang w:val="en-US" w:eastAsia="zh-CN" w:bidi="ar-SA"/>
    </w:rPr>
  </w:style>
  <w:style w:type="paragraph" w:customStyle="1" w:styleId="2093">
    <w:name w:val="表内宋511"/>
    <w:basedOn w:val="82"/>
    <w:qFormat/>
    <w:uiPriority w:val="0"/>
    <w:pPr>
      <w:widowControl/>
      <w:adjustRightInd w:val="0"/>
      <w:snapToGrid w:val="0"/>
    </w:pPr>
    <w:rPr>
      <w:rFonts w:ascii="宋体" w:hAnsi="宋体" w:cs="宋体"/>
      <w:color w:val="000000"/>
      <w:sz w:val="21"/>
    </w:rPr>
  </w:style>
  <w:style w:type="paragraph" w:customStyle="1" w:styleId="2094">
    <w:name w:val="WPS Plain"/>
    <w:qFormat/>
    <w:uiPriority w:val="0"/>
    <w:rPr>
      <w:rFonts w:ascii="Times New Roman" w:hAnsi="Times New Roman" w:eastAsia="宋体" w:cs="Times New Roman"/>
      <w:sz w:val="24"/>
      <w:szCs w:val="24"/>
      <w:lang w:val="en-US" w:eastAsia="zh-CN" w:bidi="ar-SA"/>
    </w:rPr>
  </w:style>
  <w:style w:type="paragraph" w:customStyle="1" w:styleId="2095">
    <w:name w:val="图题34"/>
    <w:basedOn w:val="21"/>
    <w:qFormat/>
    <w:uiPriority w:val="0"/>
    <w:pPr>
      <w:adjustRightInd w:val="0"/>
      <w:snapToGrid w:val="0"/>
      <w:ind w:firstLine="0" w:firstLineChars="0"/>
      <w:jc w:val="center"/>
    </w:pPr>
    <w:rPr>
      <w:rFonts w:ascii="方正大标宋简体" w:eastAsia="方正大标宋简体"/>
      <w:szCs w:val="24"/>
    </w:rPr>
  </w:style>
  <w:style w:type="paragraph" w:customStyle="1" w:styleId="2096">
    <w:name w:val="标-7"/>
    <w:basedOn w:val="1"/>
    <w:qFormat/>
    <w:uiPriority w:val="0"/>
    <w:pPr>
      <w:tabs>
        <w:tab w:val="left" w:pos="420"/>
      </w:tabs>
      <w:spacing w:before="120" w:line="360" w:lineRule="auto"/>
      <w:ind w:left="1701" w:hanging="425"/>
    </w:pPr>
    <w:rPr>
      <w:rFonts w:ascii="宋体"/>
      <w:sz w:val="24"/>
    </w:rPr>
  </w:style>
  <w:style w:type="paragraph" w:customStyle="1" w:styleId="2097">
    <w:name w:val="四级条标题"/>
    <w:basedOn w:val="2098"/>
    <w:next w:val="1"/>
    <w:qFormat/>
    <w:uiPriority w:val="0"/>
    <w:pPr>
      <w:tabs>
        <w:tab w:val="left" w:pos="360"/>
      </w:tabs>
      <w:outlineLvl w:val="5"/>
    </w:pPr>
  </w:style>
  <w:style w:type="paragraph" w:customStyle="1" w:styleId="2098">
    <w:name w:val="三级条标题"/>
    <w:next w:val="1"/>
    <w:qFormat/>
    <w:uiPriority w:val="0"/>
    <w:pPr>
      <w:tabs>
        <w:tab w:val="left" w:pos="360"/>
      </w:tabs>
      <w:outlineLvl w:val="4"/>
    </w:pPr>
    <w:rPr>
      <w:rFonts w:ascii="Times New Roman" w:hAnsi="Times New Roman" w:eastAsia="宋体" w:cs="Times New Roman"/>
      <w:lang w:val="en-US" w:eastAsia="zh-CN" w:bidi="ar-SA"/>
    </w:rPr>
  </w:style>
  <w:style w:type="paragraph" w:customStyle="1" w:styleId="2099">
    <w:name w:val="style05001"/>
    <w:basedOn w:val="1"/>
    <w:qFormat/>
    <w:uiPriority w:val="0"/>
    <w:pPr>
      <w:widowControl/>
      <w:spacing w:before="100" w:beforeAutospacing="1" w:after="100" w:afterAutospacing="1"/>
      <w:jc w:val="left"/>
    </w:pPr>
    <w:rPr>
      <w:rFonts w:ascii="ˎ̥" w:hAnsi="ˎ̥" w:cs="宋体"/>
      <w:color w:val="003100"/>
    </w:rPr>
  </w:style>
  <w:style w:type="paragraph" w:customStyle="1" w:styleId="2100">
    <w:name w:val="等核实43"/>
    <w:basedOn w:val="35"/>
    <w:qFormat/>
    <w:uiPriority w:val="0"/>
    <w:pPr>
      <w:tabs>
        <w:tab w:val="left" w:pos="4305"/>
      </w:tabs>
      <w:adjustRightInd w:val="0"/>
      <w:snapToGrid w:val="0"/>
      <w:spacing w:after="0" w:line="300" w:lineRule="auto"/>
      <w:ind w:left="0" w:leftChars="0" w:firstLine="567"/>
    </w:pPr>
    <w:rPr>
      <w:rFonts w:ascii="宋体" w:hAnsi="宋体"/>
      <w:color w:val="0000FF"/>
      <w:sz w:val="28"/>
      <w:szCs w:val="20"/>
    </w:rPr>
  </w:style>
  <w:style w:type="paragraph" w:customStyle="1" w:styleId="2101">
    <w:name w:val="样式 燕山正文 + 首行缩进:  3.5 字符22"/>
    <w:basedOn w:val="1"/>
    <w:qFormat/>
    <w:uiPriority w:val="0"/>
    <w:pPr>
      <w:tabs>
        <w:tab w:val="left" w:pos="4680"/>
      </w:tabs>
      <w:adjustRightInd w:val="0"/>
      <w:snapToGrid w:val="0"/>
      <w:spacing w:line="360" w:lineRule="auto"/>
      <w:ind w:firstLine="200" w:firstLineChars="200"/>
    </w:pPr>
    <w:rPr>
      <w:rFonts w:ascii="宋体" w:hAnsi="宋体" w:cs="宋体"/>
      <w:color w:val="000000"/>
      <w:sz w:val="28"/>
    </w:rPr>
  </w:style>
  <w:style w:type="paragraph" w:customStyle="1" w:styleId="2102">
    <w:name w:val="Char Char Char Char111"/>
    <w:basedOn w:val="1"/>
    <w:next w:val="1"/>
    <w:qFormat/>
    <w:uiPriority w:val="0"/>
    <w:pPr>
      <w:spacing w:line="360" w:lineRule="auto"/>
      <w:ind w:firstLine="200" w:firstLineChars="200"/>
    </w:pPr>
    <w:rPr>
      <w:rFonts w:ascii="宋体" w:hAnsi="宋体" w:cs="宋体"/>
      <w:sz w:val="24"/>
    </w:rPr>
  </w:style>
  <w:style w:type="paragraph" w:customStyle="1" w:styleId="2103">
    <w:name w:val="1 Char Char Char Char Char Char Char Char Char Char Char Char Char Char Char Char"/>
    <w:basedOn w:val="1"/>
    <w:qFormat/>
    <w:uiPriority w:val="0"/>
  </w:style>
  <w:style w:type="paragraph" w:customStyle="1" w:styleId="2104">
    <w:name w:val="自定义正文 Char Char Char"/>
    <w:qFormat/>
    <w:uiPriority w:val="0"/>
    <w:pPr>
      <w:widowControl w:val="0"/>
      <w:adjustRightInd w:val="0"/>
      <w:snapToGrid w:val="0"/>
      <w:spacing w:line="360" w:lineRule="auto"/>
      <w:ind w:firstLine="510"/>
      <w:jc w:val="both"/>
    </w:pPr>
    <w:rPr>
      <w:rFonts w:ascii="Times New Roman" w:hAnsi="Times New Roman" w:eastAsia="宋体" w:cs="Times New Roman"/>
      <w:spacing w:val="-2"/>
      <w:kern w:val="2"/>
      <w:sz w:val="28"/>
      <w:szCs w:val="24"/>
      <w:lang w:val="en-US" w:eastAsia="zh-CN" w:bidi="ar-SA"/>
    </w:rPr>
  </w:style>
  <w:style w:type="paragraph" w:customStyle="1" w:styleId="2105">
    <w:name w:val="Char Char2 Char Char Char Char1"/>
    <w:basedOn w:val="5"/>
    <w:qFormat/>
    <w:uiPriority w:val="0"/>
    <w:pPr>
      <w:tabs>
        <w:tab w:val="left" w:pos="360"/>
        <w:tab w:val="left" w:pos="900"/>
      </w:tabs>
      <w:adjustRightInd/>
      <w:snapToGrid w:val="0"/>
      <w:spacing w:before="120" w:after="120"/>
      <w:ind w:left="542" w:leftChars="-12" w:firstLine="200" w:firstLineChars="200"/>
      <w:textAlignment w:val="auto"/>
    </w:pPr>
    <w:rPr>
      <w:b w:val="0"/>
      <w:snapToGrid w:val="0"/>
      <w:color w:val="auto"/>
      <w:spacing w:val="0"/>
      <w:kern w:val="2"/>
      <w:sz w:val="24"/>
      <w:szCs w:val="24"/>
    </w:rPr>
  </w:style>
  <w:style w:type="paragraph" w:customStyle="1" w:styleId="2106">
    <w:name w:val="表内文字大6"/>
    <w:basedOn w:val="1"/>
    <w:qFormat/>
    <w:uiPriority w:val="0"/>
    <w:pPr>
      <w:adjustRightInd w:val="0"/>
      <w:snapToGrid w:val="0"/>
      <w:jc w:val="center"/>
    </w:pPr>
    <w:rPr>
      <w:rFonts w:ascii="宋体" w:hAnsi="Times" w:cs="宋体"/>
      <w:sz w:val="24"/>
    </w:rPr>
  </w:style>
  <w:style w:type="paragraph" w:customStyle="1" w:styleId="2107">
    <w:name w:val="zhang正文"/>
    <w:basedOn w:val="35"/>
    <w:qFormat/>
    <w:uiPriority w:val="0"/>
    <w:pPr>
      <w:autoSpaceDE w:val="0"/>
      <w:autoSpaceDN w:val="0"/>
      <w:adjustRightInd w:val="0"/>
      <w:snapToGrid w:val="0"/>
      <w:spacing w:after="0" w:line="500" w:lineRule="exact"/>
      <w:ind w:left="0" w:leftChars="0" w:firstLine="539"/>
      <w:textAlignment w:val="baseline"/>
    </w:pPr>
    <w:rPr>
      <w:rFonts w:eastAsia="楷体_GB2312"/>
      <w:sz w:val="28"/>
      <w:szCs w:val="20"/>
    </w:rPr>
  </w:style>
  <w:style w:type="paragraph" w:customStyle="1" w:styleId="2108">
    <w:name w:val="标题44"/>
    <w:basedOn w:val="1"/>
    <w:qFormat/>
    <w:uiPriority w:val="0"/>
    <w:pPr>
      <w:adjustRightInd w:val="0"/>
      <w:snapToGrid w:val="0"/>
      <w:spacing w:line="300" w:lineRule="auto"/>
      <w:jc w:val="left"/>
    </w:pPr>
    <w:rPr>
      <w:rFonts w:ascii="黑体" w:eastAsia="黑体"/>
      <w:bCs/>
      <w:color w:val="000000"/>
      <w:sz w:val="24"/>
    </w:rPr>
  </w:style>
  <w:style w:type="paragraph" w:customStyle="1" w:styleId="2109">
    <w:name w:val="环正文"/>
    <w:basedOn w:val="1"/>
    <w:qFormat/>
    <w:uiPriority w:val="0"/>
    <w:pPr>
      <w:widowControl/>
      <w:suppressAutoHyphens/>
      <w:adjustRightInd w:val="0"/>
      <w:snapToGrid w:val="0"/>
      <w:spacing w:line="480" w:lineRule="atLeast"/>
      <w:ind w:firstLine="480" w:firstLineChars="200"/>
      <w:textAlignment w:val="baseline"/>
    </w:pPr>
    <w:rPr>
      <w:rFonts w:ascii="宋体" w:hAnsi="宋体"/>
      <w:bCs/>
      <w:sz w:val="24"/>
    </w:rPr>
  </w:style>
  <w:style w:type="paragraph" w:customStyle="1" w:styleId="2110">
    <w:name w:val="表内574"/>
    <w:basedOn w:val="1572"/>
    <w:qFormat/>
    <w:uiPriority w:val="0"/>
    <w:pPr>
      <w:spacing w:line="300" w:lineRule="auto"/>
      <w:jc w:val="both"/>
    </w:pPr>
    <w:rPr>
      <w:szCs w:val="24"/>
    </w:rPr>
  </w:style>
  <w:style w:type="paragraph" w:customStyle="1" w:styleId="2111">
    <w:name w:val="表内宋5中10"/>
    <w:basedOn w:val="1"/>
    <w:qFormat/>
    <w:uiPriority w:val="0"/>
    <w:pPr>
      <w:adjustRightInd w:val="0"/>
      <w:snapToGrid w:val="0"/>
      <w:jc w:val="center"/>
      <w:textAlignment w:val="baseline"/>
    </w:pPr>
    <w:rPr>
      <w:rFonts w:ascii="宋体" w:hAnsi="宋体"/>
    </w:rPr>
  </w:style>
  <w:style w:type="paragraph" w:customStyle="1" w:styleId="2112">
    <w:name w:val="表内宋5中8"/>
    <w:basedOn w:val="1"/>
    <w:qFormat/>
    <w:uiPriority w:val="0"/>
    <w:pPr>
      <w:adjustRightInd w:val="0"/>
      <w:snapToGrid w:val="0"/>
      <w:jc w:val="center"/>
      <w:textAlignment w:val="baseline"/>
    </w:pPr>
    <w:rPr>
      <w:rFonts w:ascii="宋体" w:hAnsi="宋体"/>
    </w:rPr>
  </w:style>
  <w:style w:type="paragraph" w:customStyle="1" w:styleId="2113">
    <w:name w:val="样式 正文首行缩进 2 + 左侧:  2 字符 首行缩进:  2 字符1"/>
    <w:basedOn w:val="1"/>
    <w:next w:val="1"/>
    <w:qFormat/>
    <w:uiPriority w:val="0"/>
    <w:pPr>
      <w:spacing w:line="400" w:lineRule="exact"/>
    </w:pPr>
    <w:rPr>
      <w:rFonts w:ascii="Calibri" w:hAnsi="Calibri"/>
      <w:sz w:val="24"/>
      <w:szCs w:val="22"/>
    </w:rPr>
  </w:style>
  <w:style w:type="paragraph" w:customStyle="1" w:styleId="2114">
    <w:name w:val="中石化可研"/>
    <w:basedOn w:val="3"/>
    <w:qFormat/>
    <w:uiPriority w:val="0"/>
    <w:pPr>
      <w:tabs>
        <w:tab w:val="left" w:pos="-164"/>
        <w:tab w:val="left" w:pos="642"/>
      </w:tabs>
      <w:autoSpaceDE w:val="0"/>
      <w:autoSpaceDN w:val="0"/>
      <w:adjustRightInd w:val="0"/>
      <w:snapToGrid w:val="0"/>
      <w:spacing w:line="578" w:lineRule="atLeast"/>
      <w:ind w:left="-164" w:hanging="425"/>
      <w:jc w:val="left"/>
      <w:textAlignment w:val="center"/>
    </w:pPr>
    <w:rPr>
      <w:snapToGrid w:val="0"/>
      <w:sz w:val="24"/>
    </w:rPr>
  </w:style>
  <w:style w:type="paragraph" w:customStyle="1" w:styleId="2115">
    <w:name w:val="标题51"/>
    <w:basedOn w:val="1"/>
    <w:qFormat/>
    <w:uiPriority w:val="0"/>
    <w:pPr>
      <w:keepNext/>
      <w:keepLines/>
      <w:widowControl/>
      <w:adjustRightInd w:val="0"/>
      <w:snapToGrid w:val="0"/>
      <w:spacing w:line="360" w:lineRule="auto"/>
      <w:outlineLvl w:val="2"/>
    </w:pPr>
    <w:rPr>
      <w:b/>
      <w:snapToGrid w:val="0"/>
      <w:color w:val="000000"/>
      <w:sz w:val="18"/>
    </w:rPr>
  </w:style>
  <w:style w:type="paragraph" w:customStyle="1" w:styleId="2116">
    <w:name w:val="xl23"/>
    <w:basedOn w:val="1"/>
    <w:qFormat/>
    <w:uiPriority w:val="0"/>
    <w:pPr>
      <w:widowControl/>
      <w:spacing w:before="100" w:beforeAutospacing="1" w:after="100" w:afterAutospacing="1"/>
      <w:jc w:val="center"/>
    </w:pPr>
    <w:rPr>
      <w:rFonts w:ascii="宋体" w:hAnsi="宋体"/>
      <w:sz w:val="24"/>
    </w:rPr>
  </w:style>
  <w:style w:type="paragraph" w:customStyle="1" w:styleId="2117">
    <w:name w:val="Char Char Char Char1 Char Char Char Char Char Char1"/>
    <w:basedOn w:val="1"/>
    <w:qFormat/>
    <w:uiPriority w:val="0"/>
    <w:pPr>
      <w:spacing w:line="360" w:lineRule="auto"/>
      <w:ind w:firstLine="200" w:firstLineChars="200"/>
    </w:pPr>
    <w:rPr>
      <w:rFonts w:ascii="宋体" w:hAnsi="宋体" w:cs="宋体"/>
      <w:sz w:val="24"/>
    </w:rPr>
  </w:style>
  <w:style w:type="paragraph" w:customStyle="1" w:styleId="2118">
    <w:name w:val="xl108"/>
    <w:basedOn w:val="1"/>
    <w:qFormat/>
    <w:uiPriority w:val="0"/>
    <w:pPr>
      <w:widowControl/>
      <w:pBdr>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sz w:val="16"/>
      <w:szCs w:val="16"/>
    </w:rPr>
  </w:style>
  <w:style w:type="paragraph" w:customStyle="1" w:styleId="2119">
    <w:name w:val="Char1111"/>
    <w:basedOn w:val="1"/>
    <w:qFormat/>
    <w:uiPriority w:val="0"/>
    <w:pPr>
      <w:ind w:left="-48"/>
    </w:pPr>
  </w:style>
  <w:style w:type="paragraph" w:customStyle="1" w:styleId="2120">
    <w:name w:val="11"/>
    <w:basedOn w:val="1"/>
    <w:next w:val="41"/>
    <w:qFormat/>
    <w:uiPriority w:val="0"/>
    <w:pPr>
      <w:adjustRightInd w:val="0"/>
      <w:spacing w:afterLines="20" w:line="400" w:lineRule="exact"/>
      <w:jc w:val="center"/>
      <w:textAlignment w:val="baseline"/>
    </w:pPr>
    <w:rPr>
      <w:b/>
    </w:rPr>
  </w:style>
  <w:style w:type="paragraph" w:customStyle="1" w:styleId="2121">
    <w:name w:val="表内小5中4"/>
    <w:basedOn w:val="1"/>
    <w:qFormat/>
    <w:uiPriority w:val="0"/>
    <w:pPr>
      <w:adjustRightInd w:val="0"/>
      <w:snapToGrid w:val="0"/>
      <w:jc w:val="center"/>
    </w:pPr>
    <w:rPr>
      <w:rFonts w:ascii="宋体" w:hAnsi="宋体"/>
      <w:sz w:val="18"/>
    </w:rPr>
  </w:style>
  <w:style w:type="paragraph" w:customStyle="1" w:styleId="2122">
    <w:name w:val="表内小44"/>
    <w:basedOn w:val="1427"/>
    <w:qFormat/>
    <w:uiPriority w:val="0"/>
    <w:pPr>
      <w:ind w:left="240" w:hanging="240"/>
      <w:jc w:val="both"/>
    </w:pPr>
    <w:rPr>
      <w:rFonts w:cs="Times New Roman"/>
    </w:rPr>
  </w:style>
  <w:style w:type="paragraph" w:customStyle="1" w:styleId="2123">
    <w:name w:val="图表文字"/>
    <w:basedOn w:val="1"/>
    <w:qFormat/>
    <w:uiPriority w:val="0"/>
    <w:pPr>
      <w:spacing w:line="300" w:lineRule="exact"/>
      <w:jc w:val="center"/>
    </w:pPr>
    <w:rPr>
      <w:bCs/>
    </w:rPr>
  </w:style>
  <w:style w:type="paragraph" w:customStyle="1" w:styleId="2124">
    <w:name w:val="样式16"/>
    <w:basedOn w:val="35"/>
    <w:qFormat/>
    <w:uiPriority w:val="0"/>
    <w:pPr>
      <w:adjustRightInd w:val="0"/>
      <w:snapToGrid w:val="0"/>
      <w:spacing w:after="0"/>
      <w:ind w:left="0" w:leftChars="0"/>
    </w:pPr>
    <w:rPr>
      <w:rFonts w:ascii="方正大标宋简体" w:hAnsi="宋体" w:eastAsia="方正大标宋简体" w:cs="宋体"/>
      <w:color w:val="0000FF"/>
      <w:sz w:val="24"/>
    </w:rPr>
  </w:style>
  <w:style w:type="paragraph" w:customStyle="1" w:styleId="2125">
    <w:name w:val="表内5中43"/>
    <w:basedOn w:val="1106"/>
    <w:qFormat/>
    <w:uiPriority w:val="0"/>
    <w:pPr>
      <w:spacing w:line="240" w:lineRule="auto"/>
    </w:pPr>
    <w:rPr>
      <w:rFonts w:hAnsi="Times New Roman"/>
      <w:bCs/>
    </w:rPr>
  </w:style>
  <w:style w:type="paragraph" w:customStyle="1" w:styleId="2126">
    <w:name w:val="表内5中3"/>
    <w:basedOn w:val="1"/>
    <w:qFormat/>
    <w:uiPriority w:val="0"/>
    <w:pPr>
      <w:adjustRightInd w:val="0"/>
      <w:snapToGrid w:val="0"/>
      <w:jc w:val="center"/>
    </w:pPr>
    <w:rPr>
      <w:rFonts w:ascii="宋体"/>
    </w:rPr>
  </w:style>
  <w:style w:type="paragraph" w:customStyle="1" w:styleId="2127">
    <w:name w:val="偶数页脚"/>
    <w:qFormat/>
    <w:uiPriority w:val="0"/>
    <w:pPr>
      <w:adjustRightInd w:val="0"/>
      <w:snapToGrid w:val="0"/>
    </w:pPr>
    <w:rPr>
      <w:rFonts w:ascii="Times New Roman" w:hAnsi="Times New Roman" w:eastAsia="Times New Roman" w:cs="Times New Roman"/>
      <w:kern w:val="2"/>
      <w:sz w:val="24"/>
      <w:szCs w:val="24"/>
      <w:lang w:val="en-US" w:eastAsia="zh-CN" w:bidi="ar-SA"/>
    </w:rPr>
  </w:style>
  <w:style w:type="paragraph" w:customStyle="1" w:styleId="2128">
    <w:name w:val="表格（小）"/>
    <w:basedOn w:val="1"/>
    <w:qFormat/>
    <w:uiPriority w:val="0"/>
    <w:pPr>
      <w:adjustRightInd w:val="0"/>
      <w:snapToGrid w:val="0"/>
    </w:pPr>
  </w:style>
  <w:style w:type="paragraph" w:customStyle="1" w:styleId="2129">
    <w:name w:val="Char1 Char Char Char Char Char Char Char Char Char Char Char1"/>
    <w:basedOn w:val="1"/>
    <w:next w:val="1"/>
    <w:qFormat/>
    <w:uiPriority w:val="0"/>
    <w:pPr>
      <w:keepNext/>
      <w:keepLines/>
      <w:widowControl/>
      <w:adjustRightInd w:val="0"/>
      <w:spacing w:before="40" w:after="40" w:line="360" w:lineRule="auto"/>
      <w:ind w:firstLine="200" w:firstLineChars="200"/>
    </w:pPr>
    <w:rPr>
      <w:rFonts w:cs="宋体"/>
      <w:sz w:val="24"/>
      <w:szCs w:val="28"/>
    </w:rPr>
  </w:style>
  <w:style w:type="paragraph" w:customStyle="1" w:styleId="2130">
    <w:name w:val="正文缩3"/>
    <w:basedOn w:val="1"/>
    <w:qFormat/>
    <w:uiPriority w:val="0"/>
    <w:pPr>
      <w:adjustRightInd w:val="0"/>
      <w:snapToGrid w:val="0"/>
      <w:spacing w:line="480" w:lineRule="atLeast"/>
      <w:ind w:firstLine="567"/>
      <w:textAlignment w:val="baseline"/>
    </w:pPr>
    <w:rPr>
      <w:rFonts w:ascii="宋体"/>
      <w:color w:val="000080"/>
      <w:spacing w:val="6"/>
      <w:sz w:val="28"/>
    </w:rPr>
  </w:style>
  <w:style w:type="paragraph" w:customStyle="1" w:styleId="2131">
    <w:name w:val="Char3 Char Char Char Char Char Char"/>
    <w:basedOn w:val="1"/>
    <w:qFormat/>
    <w:uiPriority w:val="0"/>
  </w:style>
  <w:style w:type="paragraph" w:customStyle="1" w:styleId="2132">
    <w:name w:val="页眉中86"/>
    <w:basedOn w:val="47"/>
    <w:qFormat/>
    <w:uiPriority w:val="0"/>
    <w:pPr>
      <w:adjustRightInd w:val="0"/>
      <w:spacing w:line="360" w:lineRule="auto"/>
      <w:jc w:val="left"/>
    </w:pPr>
    <w:rPr>
      <w:rFonts w:hAnsi="宋体"/>
      <w:bCs/>
      <w:sz w:val="24"/>
      <w:szCs w:val="24"/>
    </w:rPr>
  </w:style>
  <w:style w:type="paragraph" w:customStyle="1" w:styleId="2133">
    <w:name w:val="文档结构图1"/>
    <w:basedOn w:val="1"/>
    <w:qFormat/>
    <w:uiPriority w:val="0"/>
    <w:rPr>
      <w:rFonts w:ascii="宋体" w:cs="黑体"/>
      <w:sz w:val="18"/>
      <w:szCs w:val="18"/>
    </w:rPr>
  </w:style>
  <w:style w:type="paragraph" w:customStyle="1" w:styleId="2134">
    <w:name w:val="样式 样式 标题 41.1.1.1标题 4.1.1.1.1标题 4 Char款1.116.6.2.1"/>
    <w:basedOn w:val="801"/>
    <w:qFormat/>
    <w:uiPriority w:val="0"/>
    <w:pPr>
      <w:tabs>
        <w:tab w:val="left" w:pos="1680"/>
        <w:tab w:val="left" w:pos="2160"/>
      </w:tabs>
      <w:spacing w:after="0"/>
      <w:ind w:left="2160" w:hanging="420"/>
    </w:pPr>
  </w:style>
  <w:style w:type="paragraph" w:customStyle="1" w:styleId="2135">
    <w:name w:val="图题14"/>
    <w:basedOn w:val="5"/>
    <w:qFormat/>
    <w:uiPriority w:val="0"/>
    <w:pPr>
      <w:keepNext w:val="0"/>
      <w:keepLines w:val="0"/>
      <w:tabs>
        <w:tab w:val="clear" w:pos="720"/>
      </w:tabs>
      <w:snapToGrid w:val="0"/>
      <w:spacing w:before="120"/>
      <w:ind w:left="0" w:firstLine="0"/>
      <w:jc w:val="center"/>
      <w:textAlignment w:val="auto"/>
    </w:pPr>
    <w:rPr>
      <w:rFonts w:ascii="黑体"/>
      <w:b w:val="0"/>
      <w:bCs/>
      <w:color w:val="auto"/>
      <w:spacing w:val="0"/>
      <w:kern w:val="2"/>
      <w:sz w:val="24"/>
      <w:szCs w:val="24"/>
    </w:rPr>
  </w:style>
  <w:style w:type="paragraph" w:customStyle="1" w:styleId="2136">
    <w:name w:val="表内562"/>
    <w:basedOn w:val="1"/>
    <w:qFormat/>
    <w:uiPriority w:val="0"/>
    <w:pPr>
      <w:adjustRightInd w:val="0"/>
      <w:snapToGrid w:val="0"/>
      <w:spacing w:line="300" w:lineRule="auto"/>
      <w:jc w:val="left"/>
    </w:pPr>
    <w:rPr>
      <w:rFonts w:ascii="宋体"/>
    </w:rPr>
  </w:style>
  <w:style w:type="paragraph" w:customStyle="1" w:styleId="2137">
    <w:name w:val="样式 样式 标题 1 + 两端对齐 + 居中"/>
    <w:basedOn w:val="2138"/>
    <w:qFormat/>
    <w:uiPriority w:val="0"/>
    <w:pPr>
      <w:tabs>
        <w:tab w:val="left" w:pos="851"/>
      </w:tabs>
      <w:jc w:val="center"/>
    </w:pPr>
  </w:style>
  <w:style w:type="paragraph" w:customStyle="1" w:styleId="2138">
    <w:name w:val="样式 标题 1 + 两端对齐"/>
    <w:basedOn w:val="3"/>
    <w:qFormat/>
    <w:uiPriority w:val="0"/>
    <w:pPr>
      <w:keepNext w:val="0"/>
      <w:spacing w:before="840" w:after="360" w:line="312" w:lineRule="auto"/>
      <w:jc w:val="left"/>
    </w:pPr>
    <w:rPr>
      <w:rFonts w:eastAsia="黑体" w:cs="宋体"/>
      <w:sz w:val="36"/>
      <w:szCs w:val="36"/>
    </w:rPr>
  </w:style>
  <w:style w:type="paragraph" w:customStyle="1" w:styleId="2139">
    <w:name w:val="索引 21"/>
    <w:basedOn w:val="1"/>
    <w:next w:val="1"/>
    <w:qFormat/>
    <w:uiPriority w:val="0"/>
    <w:pPr>
      <w:ind w:left="200" w:leftChars="200"/>
    </w:pPr>
    <w:rPr>
      <w:sz w:val="24"/>
    </w:rPr>
  </w:style>
  <w:style w:type="paragraph" w:customStyle="1" w:styleId="2140">
    <w:name w:val="标题（2）"/>
    <w:basedOn w:val="4"/>
    <w:qFormat/>
    <w:uiPriority w:val="0"/>
    <w:pPr>
      <w:keepLines w:val="0"/>
      <w:tabs>
        <w:tab w:val="clear" w:pos="1427"/>
      </w:tabs>
      <w:adjustRightInd/>
      <w:spacing w:beforeLines="0"/>
      <w:jc w:val="both"/>
      <w:textAlignment w:val="auto"/>
    </w:pPr>
    <w:rPr>
      <w:rFonts w:ascii="Arial" w:hAnsi="Arial" w:cs="宋体"/>
      <w:color w:val="000000"/>
      <w:kern w:val="2"/>
      <w:sz w:val="24"/>
    </w:rPr>
  </w:style>
  <w:style w:type="paragraph" w:customStyle="1" w:styleId="2141">
    <w:name w:val="Char Char Char Char Char Char Char"/>
    <w:basedOn w:val="1"/>
    <w:qFormat/>
    <w:uiPriority w:val="0"/>
    <w:pPr>
      <w:spacing w:line="360" w:lineRule="auto"/>
      <w:ind w:firstLine="200" w:firstLineChars="200"/>
    </w:pPr>
    <w:rPr>
      <w:rFonts w:ascii="宋体" w:hAnsi="宋体" w:cs="宋体"/>
      <w:sz w:val="24"/>
    </w:rPr>
  </w:style>
  <w:style w:type="paragraph" w:customStyle="1" w:styleId="2142">
    <w:name w:val="表内5106"/>
    <w:basedOn w:val="1572"/>
    <w:qFormat/>
    <w:uiPriority w:val="0"/>
    <w:pPr>
      <w:spacing w:line="300" w:lineRule="auto"/>
      <w:jc w:val="both"/>
    </w:pPr>
    <w:rPr>
      <w:szCs w:val="24"/>
    </w:rPr>
  </w:style>
  <w:style w:type="paragraph" w:customStyle="1" w:styleId="2143">
    <w:name w:val="环评正文"/>
    <w:qFormat/>
    <w:uiPriority w:val="0"/>
    <w:pPr>
      <w:spacing w:line="360" w:lineRule="exact"/>
      <w:ind w:firstLine="200" w:firstLineChars="200"/>
    </w:pPr>
    <w:rPr>
      <w:rFonts w:ascii="Times New Roman" w:hAnsi="Times New Roman" w:eastAsia="宋体" w:cs="Times New Roman"/>
      <w:color w:val="000000"/>
      <w:kern w:val="21"/>
      <w:sz w:val="24"/>
      <w:szCs w:val="24"/>
      <w:lang w:val="en-US" w:eastAsia="zh-CN" w:bidi="ar-SA"/>
    </w:rPr>
  </w:style>
  <w:style w:type="paragraph" w:customStyle="1" w:styleId="2144">
    <w:name w:val="样式 表头样式1 + 首行缩进:  0.85 厘米"/>
    <w:basedOn w:val="1"/>
    <w:qFormat/>
    <w:uiPriority w:val="0"/>
    <w:pPr>
      <w:autoSpaceDE w:val="0"/>
      <w:autoSpaceDN w:val="0"/>
      <w:adjustRightInd w:val="0"/>
      <w:snapToGrid w:val="0"/>
      <w:spacing w:beforeLines="20" w:afterLines="20" w:line="360" w:lineRule="auto"/>
      <w:jc w:val="center"/>
    </w:pPr>
    <w:rPr>
      <w:rFonts w:ascii="黑体" w:hAnsi="宋体" w:eastAsia="黑体"/>
      <w:sz w:val="24"/>
    </w:rPr>
  </w:style>
  <w:style w:type="paragraph" w:customStyle="1" w:styleId="2145">
    <w:name w:val="图题10"/>
    <w:basedOn w:val="21"/>
    <w:qFormat/>
    <w:uiPriority w:val="0"/>
    <w:pPr>
      <w:tabs>
        <w:tab w:val="left" w:pos="5837"/>
      </w:tabs>
      <w:adjustRightInd w:val="0"/>
      <w:snapToGrid w:val="0"/>
      <w:ind w:firstLine="0" w:firstLineChars="0"/>
      <w:jc w:val="center"/>
    </w:pPr>
    <w:rPr>
      <w:rFonts w:ascii="方正大标宋简体" w:hAnsi="宋体" w:eastAsia="方正大标宋简体" w:cs="宋体"/>
      <w:b/>
      <w:szCs w:val="24"/>
    </w:rPr>
  </w:style>
  <w:style w:type="paragraph" w:customStyle="1" w:styleId="2146">
    <w:name w:val="样式 仿宋_GB2312 四号 段前: 7.8 磅 段后: 7.8 磅 行距: 1.5 倍行距"/>
    <w:basedOn w:val="1"/>
    <w:qFormat/>
    <w:uiPriority w:val="0"/>
    <w:pPr>
      <w:spacing w:before="156" w:after="156" w:line="360" w:lineRule="auto"/>
      <w:ind w:firstLine="630" w:firstLineChars="225"/>
    </w:pPr>
    <w:rPr>
      <w:rFonts w:ascii="Arial" w:hAnsi="Arial"/>
      <w:sz w:val="24"/>
    </w:rPr>
  </w:style>
  <w:style w:type="paragraph" w:customStyle="1" w:styleId="2147">
    <w:name w:val="节标"/>
    <w:basedOn w:val="1"/>
    <w:qFormat/>
    <w:uiPriority w:val="0"/>
    <w:pPr>
      <w:widowControl/>
      <w:autoSpaceDE w:val="0"/>
      <w:autoSpaceDN w:val="0"/>
      <w:adjustRightInd w:val="0"/>
      <w:spacing w:line="480" w:lineRule="exact"/>
      <w:ind w:firstLine="567"/>
      <w:jc w:val="center"/>
      <w:textAlignment w:val="bottom"/>
    </w:pPr>
    <w:rPr>
      <w:b/>
      <w:sz w:val="30"/>
    </w:rPr>
  </w:style>
  <w:style w:type="paragraph" w:customStyle="1" w:styleId="2148">
    <w:name w:val="Char Char Char Char Char Char Char Char Char Char Char Char Char Char Char Char Char Char Char Char Char Char Char Char Char Char Char Char Char Char Char Char Char Char Char Char Char Char Char Char"/>
    <w:basedOn w:val="1"/>
    <w:qFormat/>
    <w:uiPriority w:val="0"/>
    <w:rPr>
      <w:sz w:val="24"/>
    </w:rPr>
  </w:style>
  <w:style w:type="paragraph" w:customStyle="1" w:styleId="2149">
    <w:name w:val="标题 11"/>
    <w:basedOn w:val="1"/>
    <w:next w:val="4"/>
    <w:qFormat/>
    <w:uiPriority w:val="0"/>
    <w:pPr>
      <w:adjustRightInd w:val="0"/>
      <w:spacing w:before="120" w:line="440" w:lineRule="exact"/>
    </w:pPr>
    <w:rPr>
      <w:rFonts w:ascii="Arial" w:hAnsi="Arial" w:eastAsia="黑体"/>
      <w:b/>
      <w:color w:val="000000"/>
      <w:kern w:val="44"/>
      <w:sz w:val="30"/>
    </w:rPr>
  </w:style>
  <w:style w:type="paragraph" w:customStyle="1" w:styleId="2150">
    <w:name w:val="Char Char Char Char1 Char Char Char Char Char1 Char Char Char Char"/>
    <w:basedOn w:val="1"/>
    <w:qFormat/>
    <w:uiPriority w:val="0"/>
  </w:style>
  <w:style w:type="paragraph" w:customStyle="1" w:styleId="2151">
    <w:name w:val="批注框文本11"/>
    <w:basedOn w:val="1"/>
    <w:qFormat/>
    <w:uiPriority w:val="0"/>
    <w:rPr>
      <w:sz w:val="18"/>
      <w:szCs w:val="18"/>
    </w:rPr>
  </w:style>
  <w:style w:type="paragraph" w:customStyle="1" w:styleId="2152">
    <w:name w:val="表内宋5中55"/>
    <w:basedOn w:val="1"/>
    <w:qFormat/>
    <w:uiPriority w:val="0"/>
    <w:pPr>
      <w:adjustRightInd w:val="0"/>
      <w:snapToGrid w:val="0"/>
      <w:spacing w:line="360" w:lineRule="auto"/>
      <w:textAlignment w:val="baseline"/>
    </w:pPr>
    <w:rPr>
      <w:rFonts w:ascii="宋体" w:hAnsi="宋体"/>
      <w:szCs w:val="21"/>
    </w:rPr>
  </w:style>
  <w:style w:type="paragraph" w:customStyle="1" w:styleId="2153">
    <w:name w:val="xl40"/>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宋体" w:hAnsi="宋体"/>
      <w:sz w:val="24"/>
    </w:rPr>
  </w:style>
  <w:style w:type="paragraph" w:customStyle="1" w:styleId="2154">
    <w:name w:val="燕山正文9"/>
    <w:basedOn w:val="1"/>
    <w:qFormat/>
    <w:uiPriority w:val="0"/>
    <w:pPr>
      <w:tabs>
        <w:tab w:val="left" w:pos="4680"/>
      </w:tabs>
      <w:adjustRightInd w:val="0"/>
      <w:snapToGrid w:val="0"/>
      <w:spacing w:line="360" w:lineRule="auto"/>
      <w:ind w:firstLine="560" w:firstLineChars="200"/>
    </w:pPr>
    <w:rPr>
      <w:rFonts w:ascii="宋体" w:hAnsi="宋体"/>
      <w:color w:val="000000"/>
      <w:sz w:val="28"/>
      <w:szCs w:val="28"/>
    </w:rPr>
  </w:style>
  <w:style w:type="paragraph" w:customStyle="1" w:styleId="2155">
    <w:name w:val="表内5中14"/>
    <w:basedOn w:val="1510"/>
    <w:qFormat/>
    <w:uiPriority w:val="0"/>
    <w:pPr>
      <w:widowControl/>
      <w:tabs>
        <w:tab w:val="clear" w:pos="4305"/>
      </w:tabs>
    </w:pPr>
    <w:rPr>
      <w:sz w:val="21"/>
      <w:szCs w:val="21"/>
    </w:rPr>
  </w:style>
  <w:style w:type="paragraph" w:customStyle="1" w:styleId="2156">
    <w:name w:val="at_0"/>
    <w:basedOn w:val="1"/>
    <w:qFormat/>
    <w:uiPriority w:val="0"/>
    <w:pPr>
      <w:widowControl/>
      <w:spacing w:before="200" w:after="200"/>
      <w:ind w:left="200" w:right="200"/>
      <w:jc w:val="left"/>
    </w:pPr>
    <w:rPr>
      <w:rFonts w:ascii="Arial Unicode MS" w:hAnsi="Arial Unicode MS" w:eastAsia="Arial Unicode MS" w:cs="Arial Unicode MS"/>
      <w:sz w:val="24"/>
    </w:rPr>
  </w:style>
  <w:style w:type="paragraph" w:customStyle="1" w:styleId="2157">
    <w:name w:val="In Table (II)"/>
    <w:basedOn w:val="1853"/>
    <w:qFormat/>
    <w:uiPriority w:val="0"/>
    <w:pPr>
      <w:spacing w:before="60" w:after="60"/>
      <w:ind w:left="52"/>
      <w:jc w:val="left"/>
    </w:pPr>
  </w:style>
  <w:style w:type="paragraph" w:customStyle="1" w:styleId="2158">
    <w:name w:val="环评正文5"/>
    <w:qFormat/>
    <w:uiPriority w:val="0"/>
    <w:pPr>
      <w:spacing w:line="360" w:lineRule="exact"/>
      <w:ind w:firstLine="200" w:firstLineChars="200"/>
    </w:pPr>
    <w:rPr>
      <w:rFonts w:ascii="Times New Roman" w:hAnsi="Times New Roman" w:eastAsia="宋体" w:cs="Times New Roman"/>
      <w:color w:val="000000"/>
      <w:kern w:val="21"/>
      <w:sz w:val="24"/>
      <w:szCs w:val="24"/>
      <w:lang w:val="en-US" w:eastAsia="zh-CN" w:bidi="ar-SA"/>
    </w:rPr>
  </w:style>
  <w:style w:type="paragraph" w:customStyle="1" w:styleId="2159">
    <w:name w:val="样式 样式 标题 2 + 段前: 1 行 + 海绿"/>
    <w:basedOn w:val="1"/>
    <w:qFormat/>
    <w:uiPriority w:val="0"/>
    <w:pPr>
      <w:keepNext/>
      <w:keepLines/>
      <w:spacing w:beforeLines="100" w:line="480" w:lineRule="exact"/>
      <w:jc w:val="left"/>
      <w:outlineLvl w:val="1"/>
    </w:pPr>
    <w:rPr>
      <w:rFonts w:ascii="宋体" w:hAnsi="宋体" w:cs="宋体"/>
      <w:b/>
      <w:bCs/>
      <w:color w:val="339966"/>
      <w:sz w:val="30"/>
    </w:rPr>
  </w:style>
  <w:style w:type="paragraph" w:customStyle="1" w:styleId="2160">
    <w:name w:val="表格式"/>
    <w:basedOn w:val="67"/>
    <w:qFormat/>
    <w:uiPriority w:val="0"/>
    <w:pPr>
      <w:spacing w:line="400" w:lineRule="exact"/>
      <w:ind w:left="0" w:firstLine="0" w:firstLineChars="0"/>
      <w:jc w:val="center"/>
    </w:pPr>
    <w:rPr>
      <w:rFonts w:ascii="宋体"/>
    </w:rPr>
  </w:style>
  <w:style w:type="paragraph" w:customStyle="1" w:styleId="2161">
    <w:name w:val="纯文本33"/>
    <w:basedOn w:val="1"/>
    <w:qFormat/>
    <w:uiPriority w:val="0"/>
    <w:pPr>
      <w:adjustRightInd w:val="0"/>
      <w:textAlignment w:val="baseline"/>
    </w:pPr>
    <w:rPr>
      <w:rFonts w:ascii="宋体" w:hAnsi="Courier New"/>
    </w:rPr>
  </w:style>
  <w:style w:type="paragraph" w:customStyle="1" w:styleId="2162">
    <w:name w:val="Char Char Char1 Char5"/>
    <w:basedOn w:val="1"/>
    <w:qFormat/>
    <w:uiPriority w:val="0"/>
  </w:style>
  <w:style w:type="paragraph" w:customStyle="1" w:styleId="2163">
    <w:name w:val="PSPSPSPS"/>
    <w:basedOn w:val="1"/>
    <w:qFormat/>
    <w:uiPriority w:val="0"/>
    <w:pPr>
      <w:adjustRightInd w:val="0"/>
      <w:spacing w:line="600" w:lineRule="atLeast"/>
      <w:textAlignment w:val="baseline"/>
    </w:pPr>
    <w:rPr>
      <w:sz w:val="28"/>
    </w:rPr>
  </w:style>
  <w:style w:type="paragraph" w:customStyle="1" w:styleId="2164">
    <w:name w:val="font7"/>
    <w:basedOn w:val="1"/>
    <w:qFormat/>
    <w:uiPriority w:val="0"/>
    <w:pPr>
      <w:widowControl/>
      <w:spacing w:before="100" w:beforeAutospacing="1" w:after="100" w:afterAutospacing="1"/>
      <w:jc w:val="left"/>
    </w:pPr>
    <w:rPr>
      <w:rFonts w:eastAsia="Arial Unicode MS"/>
      <w:szCs w:val="21"/>
    </w:rPr>
  </w:style>
  <w:style w:type="paragraph" w:customStyle="1" w:styleId="2165">
    <w:name w:val="页眉中22"/>
    <w:basedOn w:val="1"/>
    <w:qFormat/>
    <w:uiPriority w:val="0"/>
    <w:pPr>
      <w:adjustRightInd w:val="0"/>
      <w:snapToGrid w:val="0"/>
      <w:jc w:val="center"/>
    </w:pPr>
    <w:rPr>
      <w:rFonts w:ascii="黑体" w:eastAsia="黑体"/>
      <w:bCs/>
    </w:rPr>
  </w:style>
  <w:style w:type="paragraph" w:customStyle="1" w:styleId="2166">
    <w:name w:val="百大标题3"/>
    <w:basedOn w:val="5"/>
    <w:qFormat/>
    <w:uiPriority w:val="0"/>
    <w:pPr>
      <w:tabs>
        <w:tab w:val="clear" w:pos="720"/>
      </w:tabs>
      <w:adjustRightInd/>
      <w:spacing w:before="260" w:after="260" w:line="520" w:lineRule="exact"/>
      <w:ind w:left="0" w:firstLine="0"/>
      <w:jc w:val="both"/>
      <w:textAlignment w:val="auto"/>
    </w:pPr>
    <w:rPr>
      <w:rFonts w:eastAsia="宋体" w:cs="宋体"/>
      <w:bCs/>
      <w:color w:val="auto"/>
      <w:spacing w:val="0"/>
      <w:kern w:val="2"/>
    </w:rPr>
  </w:style>
  <w:style w:type="paragraph" w:customStyle="1" w:styleId="2167">
    <w:name w:val="CM12"/>
    <w:basedOn w:val="1"/>
    <w:next w:val="1"/>
    <w:qFormat/>
    <w:uiPriority w:val="0"/>
    <w:pPr>
      <w:autoSpaceDE w:val="0"/>
      <w:autoSpaceDN w:val="0"/>
      <w:adjustRightInd w:val="0"/>
      <w:spacing w:line="456" w:lineRule="atLeast"/>
      <w:jc w:val="left"/>
    </w:pPr>
    <w:rPr>
      <w:rFonts w:ascii="宋体" w:cs="宋体"/>
      <w:sz w:val="24"/>
    </w:rPr>
  </w:style>
  <w:style w:type="paragraph" w:customStyle="1" w:styleId="2168">
    <w:name w:val="南郊正文"/>
    <w:basedOn w:val="1"/>
    <w:next w:val="1"/>
    <w:qFormat/>
    <w:uiPriority w:val="0"/>
    <w:rPr>
      <w:sz w:val="24"/>
    </w:rPr>
  </w:style>
  <w:style w:type="paragraph" w:customStyle="1" w:styleId="2169">
    <w:name w:val="等核实14"/>
    <w:basedOn w:val="35"/>
    <w:qFormat/>
    <w:uiPriority w:val="0"/>
    <w:pPr>
      <w:tabs>
        <w:tab w:val="left" w:pos="4305"/>
      </w:tabs>
      <w:adjustRightInd w:val="0"/>
      <w:snapToGrid w:val="0"/>
      <w:spacing w:after="0" w:line="360" w:lineRule="auto"/>
      <w:ind w:left="0" w:leftChars="0" w:firstLine="567"/>
    </w:pPr>
    <w:rPr>
      <w:rFonts w:ascii="宋体" w:hAnsi="宋体"/>
      <w:color w:val="0000FF"/>
      <w:sz w:val="24"/>
      <w:szCs w:val="20"/>
    </w:rPr>
  </w:style>
  <w:style w:type="paragraph" w:customStyle="1" w:styleId="2170">
    <w:name w:val="表内5中52"/>
    <w:basedOn w:val="1"/>
    <w:qFormat/>
    <w:uiPriority w:val="0"/>
    <w:pPr>
      <w:adjustRightInd w:val="0"/>
      <w:snapToGrid w:val="0"/>
      <w:jc w:val="center"/>
    </w:pPr>
    <w:rPr>
      <w:rFonts w:ascii="宋体"/>
    </w:rPr>
  </w:style>
  <w:style w:type="paragraph" w:customStyle="1" w:styleId="2171">
    <w:name w:val="首頁-內文"/>
    <w:basedOn w:val="1"/>
    <w:qFormat/>
    <w:uiPriority w:val="0"/>
    <w:pPr>
      <w:widowControl/>
      <w:snapToGrid w:val="0"/>
      <w:spacing w:line="400" w:lineRule="exact"/>
      <w:ind w:left="690" w:leftChars="300" w:firstLine="440" w:firstLineChars="200"/>
    </w:pPr>
    <w:rPr>
      <w:rFonts w:eastAsia="華康中明體"/>
      <w:sz w:val="22"/>
      <w:lang w:eastAsia="zh-TW"/>
    </w:rPr>
  </w:style>
  <w:style w:type="paragraph" w:customStyle="1" w:styleId="2172">
    <w:name w:val="备注"/>
    <w:basedOn w:val="87"/>
    <w:qFormat/>
    <w:uiPriority w:val="0"/>
    <w:pPr>
      <w:keepNext/>
      <w:tabs>
        <w:tab w:val="left" w:pos="628"/>
        <w:tab w:val="left" w:pos="1727"/>
        <w:tab w:val="left" w:pos="1884"/>
        <w:tab w:val="left" w:pos="4900"/>
      </w:tabs>
      <w:adjustRightInd w:val="0"/>
      <w:snapToGrid w:val="0"/>
      <w:spacing w:line="0" w:lineRule="atLeast"/>
      <w:ind w:firstLine="0" w:firstLineChars="0"/>
    </w:pPr>
    <w:rPr>
      <w:rFonts w:ascii="宋体" w:hAnsi="宋体" w:cs="Arial"/>
      <w:kern w:val="0"/>
      <w:sz w:val="18"/>
      <w:szCs w:val="18"/>
    </w:rPr>
  </w:style>
  <w:style w:type="paragraph" w:customStyle="1" w:styleId="2173">
    <w:name w:val="样式 表内宋5中 + 五号"/>
    <w:basedOn w:val="1"/>
    <w:qFormat/>
    <w:uiPriority w:val="0"/>
    <w:pPr>
      <w:adjustRightInd w:val="0"/>
      <w:snapToGrid w:val="0"/>
      <w:jc w:val="center"/>
      <w:textAlignment w:val="baseline"/>
    </w:pPr>
    <w:rPr>
      <w:rFonts w:ascii="宋体" w:hAnsi="宋体"/>
    </w:rPr>
  </w:style>
  <w:style w:type="paragraph" w:customStyle="1" w:styleId="2174">
    <w:name w:val="页眉中91"/>
    <w:basedOn w:val="1"/>
    <w:qFormat/>
    <w:uiPriority w:val="0"/>
    <w:pPr>
      <w:adjustRightInd w:val="0"/>
      <w:snapToGrid w:val="0"/>
      <w:spacing w:line="300" w:lineRule="auto"/>
      <w:jc w:val="left"/>
    </w:pPr>
    <w:rPr>
      <w:rFonts w:ascii="黑体" w:eastAsia="黑体"/>
      <w:bCs/>
      <w:sz w:val="24"/>
    </w:rPr>
  </w:style>
  <w:style w:type="paragraph" w:customStyle="1" w:styleId="2175">
    <w:name w:val="标题41"/>
    <w:basedOn w:val="1"/>
    <w:qFormat/>
    <w:uiPriority w:val="0"/>
    <w:pPr>
      <w:adjustRightInd w:val="0"/>
      <w:snapToGrid w:val="0"/>
      <w:spacing w:line="300" w:lineRule="auto"/>
      <w:jc w:val="left"/>
    </w:pPr>
    <w:rPr>
      <w:rFonts w:ascii="黑体" w:hAnsi="宋体" w:eastAsia="黑体" w:cs="宋体"/>
      <w:bCs/>
      <w:sz w:val="24"/>
    </w:rPr>
  </w:style>
  <w:style w:type="paragraph" w:customStyle="1" w:styleId="2176">
    <w:name w:val="式样13"/>
    <w:qFormat/>
    <w:uiPriority w:val="0"/>
    <w:pPr>
      <w:tabs>
        <w:tab w:val="left" w:pos="-164"/>
        <w:tab w:val="left" w:pos="1571"/>
        <w:tab w:val="left" w:pos="2514"/>
        <w:tab w:val="left" w:pos="2847"/>
      </w:tabs>
      <w:ind w:left="-164" w:hanging="425"/>
    </w:pPr>
    <w:rPr>
      <w:rFonts w:ascii="Times New Roman" w:hAnsi="Times New Roman" w:eastAsia="宋体" w:cs="Times New Roman"/>
      <w:lang w:val="en-US" w:eastAsia="zh-CN" w:bidi="ar-SA"/>
    </w:rPr>
  </w:style>
  <w:style w:type="paragraph" w:customStyle="1" w:styleId="2177">
    <w:name w:val="Char Char Char Char Char Char1 Char Char Char Char Char Char1 Char1"/>
    <w:basedOn w:val="1"/>
    <w:qFormat/>
    <w:uiPriority w:val="0"/>
  </w:style>
  <w:style w:type="paragraph" w:customStyle="1" w:styleId="2178">
    <w:name w:val="样式 标题 2 + 段后: 0.5 行2"/>
    <w:basedOn w:val="4"/>
    <w:qFormat/>
    <w:uiPriority w:val="0"/>
    <w:pPr>
      <w:widowControl/>
      <w:autoSpaceDN w:val="0"/>
      <w:spacing w:beforeLines="0"/>
    </w:pPr>
    <w:rPr>
      <w:rFonts w:ascii="黑体" w:hAnsi="Arial" w:cs="宋体"/>
      <w:b w:val="0"/>
      <w:sz w:val="30"/>
      <w:szCs w:val="30"/>
    </w:rPr>
  </w:style>
  <w:style w:type="paragraph" w:customStyle="1" w:styleId="2179">
    <w:name w:val="xl49"/>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sz w:val="48"/>
      <w:szCs w:val="48"/>
    </w:rPr>
  </w:style>
  <w:style w:type="paragraph" w:customStyle="1" w:styleId="2180">
    <w:name w:val="13.2.2.1"/>
    <w:basedOn w:val="6"/>
    <w:qFormat/>
    <w:uiPriority w:val="0"/>
    <w:pPr>
      <w:keepNext w:val="0"/>
      <w:keepLines w:val="0"/>
      <w:spacing w:before="100" w:after="100" w:line="302" w:lineRule="auto"/>
    </w:pPr>
    <w:rPr>
      <w:sz w:val="24"/>
      <w:szCs w:val="24"/>
    </w:rPr>
  </w:style>
  <w:style w:type="paragraph" w:customStyle="1" w:styleId="2181">
    <w:name w:val="xl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sz w:val="24"/>
    </w:rPr>
  </w:style>
  <w:style w:type="paragraph" w:customStyle="1" w:styleId="2182">
    <w:name w:val="表格内格式"/>
    <w:basedOn w:val="1"/>
    <w:qFormat/>
    <w:uiPriority w:val="0"/>
    <w:pPr>
      <w:spacing w:line="240" w:lineRule="exact"/>
      <w:jc w:val="center"/>
    </w:pPr>
    <w:rPr>
      <w:rFonts w:ascii="宋体"/>
    </w:rPr>
  </w:style>
  <w:style w:type="paragraph" w:customStyle="1" w:styleId="2183">
    <w:name w:val="待核实小"/>
    <w:basedOn w:val="1427"/>
    <w:qFormat/>
    <w:uiPriority w:val="0"/>
    <w:rPr>
      <w:rFonts w:cs="Times New Roman"/>
      <w:color w:val="000080"/>
      <w:sz w:val="21"/>
    </w:rPr>
  </w:style>
  <w:style w:type="paragraph" w:customStyle="1" w:styleId="2184">
    <w:name w:val="样式 隶书 三号 居中 行距: 单倍行距"/>
    <w:basedOn w:val="1"/>
    <w:next w:val="1"/>
    <w:qFormat/>
    <w:uiPriority w:val="0"/>
    <w:pPr>
      <w:spacing w:line="440" w:lineRule="exact"/>
      <w:jc w:val="center"/>
    </w:pPr>
    <w:rPr>
      <w:rFonts w:ascii="隶书" w:eastAsia="隶书" w:cs="宋体"/>
      <w:color w:val="000000"/>
      <w:sz w:val="32"/>
    </w:rPr>
  </w:style>
  <w:style w:type="paragraph" w:customStyle="1" w:styleId="2185">
    <w:name w:val="样式 样式 样式 四号1 + 首行缩进:  2 字符 + 红色 首行缩进:  2 字符"/>
    <w:basedOn w:val="1"/>
    <w:qFormat/>
    <w:uiPriority w:val="0"/>
    <w:pPr>
      <w:spacing w:line="480" w:lineRule="exact"/>
      <w:ind w:firstLine="200" w:firstLineChars="200"/>
    </w:pPr>
    <w:rPr>
      <w:rFonts w:cs="宋体"/>
      <w:color w:val="FF0000"/>
      <w:sz w:val="24"/>
    </w:rPr>
  </w:style>
  <w:style w:type="paragraph" w:customStyle="1" w:styleId="2186">
    <w:name w:val="表题55"/>
    <w:basedOn w:val="35"/>
    <w:qFormat/>
    <w:uiPriority w:val="0"/>
    <w:pPr>
      <w:tabs>
        <w:tab w:val="left" w:pos="4305"/>
      </w:tabs>
      <w:adjustRightInd w:val="0"/>
      <w:snapToGrid w:val="0"/>
      <w:spacing w:after="0"/>
      <w:ind w:left="0" w:leftChars="0"/>
      <w:jc w:val="center"/>
    </w:pPr>
    <w:rPr>
      <w:rFonts w:ascii="黑体" w:hAnsi="宋体" w:eastAsia="黑体"/>
      <w:color w:val="000000"/>
      <w:sz w:val="24"/>
      <w:szCs w:val="20"/>
    </w:rPr>
  </w:style>
  <w:style w:type="paragraph" w:customStyle="1" w:styleId="2187">
    <w:name w:val="dandan6-13标题3"/>
    <w:basedOn w:val="5"/>
    <w:qFormat/>
    <w:uiPriority w:val="0"/>
    <w:pPr>
      <w:keepNext w:val="0"/>
      <w:keepLines w:val="0"/>
      <w:tabs>
        <w:tab w:val="clear" w:pos="720"/>
      </w:tabs>
      <w:adjustRightInd/>
      <w:spacing w:before="80" w:after="80"/>
      <w:ind w:left="0" w:firstLine="0"/>
      <w:jc w:val="both"/>
      <w:textAlignment w:val="auto"/>
    </w:pPr>
    <w:rPr>
      <w:color w:val="auto"/>
      <w:spacing w:val="0"/>
      <w:kern w:val="2"/>
      <w:szCs w:val="32"/>
    </w:rPr>
  </w:style>
  <w:style w:type="paragraph" w:customStyle="1" w:styleId="2188">
    <w:name w:val="图题53"/>
    <w:basedOn w:val="21"/>
    <w:qFormat/>
    <w:uiPriority w:val="0"/>
    <w:pPr>
      <w:adjustRightInd w:val="0"/>
      <w:snapToGrid w:val="0"/>
      <w:ind w:firstLine="0" w:firstLineChars="0"/>
      <w:jc w:val="center"/>
    </w:pPr>
    <w:rPr>
      <w:rFonts w:ascii="方正大标宋简体" w:hAnsi="宋体" w:eastAsia="方正大标宋简体"/>
      <w:szCs w:val="24"/>
    </w:rPr>
  </w:style>
  <w:style w:type="paragraph" w:customStyle="1" w:styleId="2189">
    <w:name w:val="目录11111111"/>
    <w:basedOn w:val="3"/>
    <w:qFormat/>
    <w:uiPriority w:val="0"/>
    <w:pPr>
      <w:keepLines w:val="0"/>
      <w:adjustRightInd w:val="0"/>
      <w:snapToGrid w:val="0"/>
      <w:spacing w:before="0" w:after="0" w:line="500" w:lineRule="exact"/>
      <w:jc w:val="center"/>
    </w:pPr>
    <w:rPr>
      <w:rFonts w:ascii="黑体" w:eastAsia="黑体"/>
      <w:b w:val="0"/>
      <w:bCs w:val="0"/>
      <w:sz w:val="36"/>
      <w:szCs w:val="36"/>
    </w:rPr>
  </w:style>
  <w:style w:type="paragraph" w:customStyle="1" w:styleId="2190">
    <w:name w:val="Char Char Char2"/>
    <w:basedOn w:val="1"/>
    <w:qFormat/>
    <w:uiPriority w:val="0"/>
    <w:pPr>
      <w:spacing w:line="360" w:lineRule="auto"/>
      <w:ind w:firstLine="200" w:firstLineChars="200"/>
    </w:pPr>
    <w:rPr>
      <w:rFonts w:ascii="宋体" w:hAnsi="宋体" w:cs="宋体"/>
      <w:sz w:val="24"/>
    </w:rPr>
  </w:style>
  <w:style w:type="paragraph" w:customStyle="1" w:styleId="2191">
    <w:name w:val="表题32"/>
    <w:basedOn w:val="35"/>
    <w:qFormat/>
    <w:uiPriority w:val="0"/>
    <w:pPr>
      <w:tabs>
        <w:tab w:val="left" w:pos="4305"/>
      </w:tabs>
      <w:adjustRightInd w:val="0"/>
      <w:snapToGrid w:val="0"/>
      <w:spacing w:after="0"/>
      <w:ind w:left="0" w:leftChars="0"/>
      <w:jc w:val="center"/>
    </w:pPr>
    <w:rPr>
      <w:rFonts w:ascii="宋体" w:hAnsi="宋体"/>
      <w:sz w:val="24"/>
      <w:szCs w:val="20"/>
    </w:rPr>
  </w:style>
  <w:style w:type="paragraph" w:customStyle="1" w:styleId="2192">
    <w:name w:val="正文文本 312"/>
    <w:basedOn w:val="1"/>
    <w:qFormat/>
    <w:uiPriority w:val="0"/>
    <w:pPr>
      <w:adjustRightInd w:val="0"/>
      <w:textAlignment w:val="baseline"/>
    </w:pPr>
    <w:rPr>
      <w:sz w:val="24"/>
    </w:rPr>
  </w:style>
  <w:style w:type="paragraph" w:customStyle="1" w:styleId="2193">
    <w:name w:val="样式 标题 41.1.1.1标题 4.1.1.1.1标题 4 Char款1.1.1.1 Char标4 + 两端对齐"/>
    <w:basedOn w:val="6"/>
    <w:qFormat/>
    <w:uiPriority w:val="0"/>
    <w:pPr>
      <w:keepNext w:val="0"/>
      <w:keepLines w:val="0"/>
      <w:tabs>
        <w:tab w:val="left" w:pos="2514"/>
      </w:tabs>
      <w:spacing w:before="0" w:after="0" w:line="360" w:lineRule="auto"/>
      <w:ind w:right="-132" w:rightChars="-47" w:firstLine="666" w:firstLineChars="238"/>
    </w:pPr>
    <w:rPr>
      <w:rFonts w:ascii="宋体" w:eastAsia="宋体" w:cs="宋体"/>
      <w:b w:val="0"/>
      <w:bCs w:val="0"/>
      <w:color w:val="000000"/>
    </w:rPr>
  </w:style>
  <w:style w:type="paragraph" w:customStyle="1" w:styleId="2194">
    <w:name w:val="燕山正文5"/>
    <w:basedOn w:val="1"/>
    <w:qFormat/>
    <w:uiPriority w:val="0"/>
    <w:pPr>
      <w:tabs>
        <w:tab w:val="left" w:pos="4680"/>
      </w:tabs>
      <w:adjustRightInd w:val="0"/>
      <w:snapToGrid w:val="0"/>
      <w:spacing w:line="360" w:lineRule="auto"/>
      <w:ind w:firstLine="480" w:firstLineChars="200"/>
    </w:pPr>
    <w:rPr>
      <w:rFonts w:ascii="宋体" w:hAnsi="宋体" w:cs="宋体"/>
      <w:bCs/>
      <w:color w:val="000000"/>
      <w:sz w:val="24"/>
    </w:rPr>
  </w:style>
  <w:style w:type="paragraph" w:customStyle="1" w:styleId="2195">
    <w:name w:val="xl27"/>
    <w:basedOn w:val="1"/>
    <w:qFormat/>
    <w:uiPriority w:val="0"/>
    <w:pPr>
      <w:widowControl/>
      <w:spacing w:before="100" w:beforeAutospacing="1" w:after="100" w:afterAutospacing="1"/>
      <w:jc w:val="left"/>
    </w:pPr>
    <w:rPr>
      <w:color w:val="FF0000"/>
      <w:sz w:val="24"/>
    </w:rPr>
  </w:style>
  <w:style w:type="paragraph" w:customStyle="1" w:styleId="2196">
    <w:name w:val="表内文字12"/>
    <w:basedOn w:val="1"/>
    <w:qFormat/>
    <w:uiPriority w:val="0"/>
    <w:pPr>
      <w:widowControl/>
      <w:adjustRightInd w:val="0"/>
      <w:snapToGrid w:val="0"/>
      <w:spacing w:line="420" w:lineRule="exact"/>
      <w:jc w:val="center"/>
    </w:pPr>
    <w:rPr>
      <w:rFonts w:ascii="宋体"/>
      <w:spacing w:val="10"/>
      <w:sz w:val="18"/>
    </w:rPr>
  </w:style>
  <w:style w:type="paragraph" w:customStyle="1" w:styleId="2197">
    <w:name w:val="Char Char Char Char Char Char 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cs="宋体"/>
      <w:sz w:val="24"/>
    </w:rPr>
  </w:style>
  <w:style w:type="paragraph" w:customStyle="1" w:styleId="2198">
    <w:name w:val="Bullet"/>
    <w:basedOn w:val="1"/>
    <w:next w:val="1"/>
    <w:qFormat/>
    <w:uiPriority w:val="0"/>
    <w:pPr>
      <w:widowControl/>
      <w:suppressLineNumbers/>
      <w:tabs>
        <w:tab w:val="left" w:pos="425"/>
      </w:tabs>
      <w:suppressAutoHyphens/>
      <w:spacing w:after="240"/>
      <w:ind w:left="720" w:hanging="425"/>
    </w:pPr>
    <w:rPr>
      <w:sz w:val="23"/>
      <w:lang w:eastAsia="en-US"/>
    </w:rPr>
  </w:style>
  <w:style w:type="paragraph" w:customStyle="1" w:styleId="2199">
    <w:name w:val="表内宋5中45"/>
    <w:basedOn w:val="1"/>
    <w:qFormat/>
    <w:uiPriority w:val="0"/>
    <w:pPr>
      <w:adjustRightInd w:val="0"/>
      <w:snapToGrid w:val="0"/>
      <w:jc w:val="center"/>
      <w:textAlignment w:val="baseline"/>
    </w:pPr>
    <w:rPr>
      <w:rFonts w:ascii="宋体" w:hAnsi="宋体"/>
    </w:rPr>
  </w:style>
  <w:style w:type="paragraph" w:customStyle="1" w:styleId="2200">
    <w:name w:val="表1"/>
    <w:basedOn w:val="1"/>
    <w:qFormat/>
    <w:uiPriority w:val="0"/>
    <w:pPr>
      <w:autoSpaceDE w:val="0"/>
      <w:autoSpaceDN w:val="0"/>
      <w:adjustRightInd w:val="0"/>
      <w:spacing w:line="360" w:lineRule="exact"/>
      <w:jc w:val="center"/>
      <w:textAlignment w:val="bottom"/>
    </w:pPr>
    <w:rPr>
      <w:rFonts w:eastAsia="仿宋_GB2312" w:cs="仿宋_GB2312"/>
      <w:szCs w:val="21"/>
    </w:rPr>
  </w:style>
  <w:style w:type="paragraph" w:customStyle="1" w:styleId="2201">
    <w:name w:val="表题39"/>
    <w:basedOn w:val="35"/>
    <w:qFormat/>
    <w:uiPriority w:val="0"/>
    <w:pPr>
      <w:tabs>
        <w:tab w:val="left" w:pos="4305"/>
      </w:tabs>
      <w:adjustRightInd w:val="0"/>
      <w:snapToGrid w:val="0"/>
      <w:spacing w:after="0"/>
      <w:ind w:left="0" w:leftChars="0" w:firstLine="480" w:firstLineChars="200"/>
      <w:jc w:val="center"/>
    </w:pPr>
    <w:rPr>
      <w:rFonts w:ascii="黑体" w:hAnsi="宋体" w:eastAsia="黑体"/>
      <w:sz w:val="24"/>
      <w:szCs w:val="20"/>
    </w:rPr>
  </w:style>
  <w:style w:type="paragraph" w:customStyle="1" w:styleId="2202">
    <w:name w:val="xl98"/>
    <w:basedOn w:val="1"/>
    <w:qFormat/>
    <w:uiPriority w:val="0"/>
    <w:pPr>
      <w:widowControl/>
      <w:pBdr>
        <w:left w:val="single" w:color="auto" w:sz="8" w:space="0"/>
        <w:bottom w:val="single" w:color="auto" w:sz="8" w:space="0"/>
        <w:right w:val="single" w:color="auto" w:sz="4" w:space="0"/>
      </w:pBdr>
      <w:spacing w:before="100" w:beforeAutospacing="1" w:after="100" w:afterAutospacing="1"/>
      <w:jc w:val="center"/>
      <w:textAlignment w:val="center"/>
    </w:pPr>
    <w:rPr>
      <w:rFonts w:eastAsia="Arial Unicode MS"/>
      <w:sz w:val="16"/>
      <w:szCs w:val="16"/>
    </w:rPr>
  </w:style>
  <w:style w:type="paragraph" w:customStyle="1" w:styleId="2203">
    <w:name w:val="表内582"/>
    <w:basedOn w:val="1"/>
    <w:qFormat/>
    <w:uiPriority w:val="0"/>
    <w:pPr>
      <w:adjustRightInd w:val="0"/>
      <w:snapToGrid w:val="0"/>
      <w:spacing w:line="300" w:lineRule="auto"/>
      <w:jc w:val="left"/>
    </w:pPr>
    <w:rPr>
      <w:rFonts w:ascii="宋体"/>
    </w:rPr>
  </w:style>
  <w:style w:type="paragraph" w:customStyle="1" w:styleId="2204">
    <w:name w:val="标题 62"/>
    <w:basedOn w:val="1"/>
    <w:next w:val="1"/>
    <w:qFormat/>
    <w:uiPriority w:val="0"/>
    <w:pPr>
      <w:adjustRightInd w:val="0"/>
      <w:snapToGrid w:val="0"/>
      <w:spacing w:line="480" w:lineRule="atLeast"/>
      <w:ind w:left="3" w:firstLine="567"/>
      <w:textAlignment w:val="baseline"/>
    </w:pPr>
    <w:rPr>
      <w:rFonts w:hint="eastAsia" w:ascii="Arial" w:hAnsi="Arial"/>
      <w:sz w:val="24"/>
    </w:rPr>
  </w:style>
  <w:style w:type="paragraph" w:customStyle="1" w:styleId="2205">
    <w:name w:val="样式 宋体 行距: 1.5 倍行距"/>
    <w:basedOn w:val="1"/>
    <w:qFormat/>
    <w:uiPriority w:val="0"/>
    <w:pPr>
      <w:spacing w:line="360" w:lineRule="auto"/>
      <w:ind w:firstLine="420" w:firstLineChars="200"/>
    </w:pPr>
    <w:rPr>
      <w:rFonts w:ascii="宋体" w:hAnsi="宋体" w:cs="宋体"/>
      <w:sz w:val="24"/>
    </w:rPr>
  </w:style>
  <w:style w:type="paragraph" w:customStyle="1" w:styleId="2206">
    <w:name w:val="表格文字左"/>
    <w:basedOn w:val="1"/>
    <w:qFormat/>
    <w:uiPriority w:val="0"/>
    <w:pPr>
      <w:adjustRightInd w:val="0"/>
      <w:ind w:firstLine="240" w:firstLineChars="100"/>
      <w:jc w:val="left"/>
    </w:pPr>
    <w:rPr>
      <w:rFonts w:ascii="宋体" w:hAnsi="宋体"/>
      <w:color w:val="000000"/>
      <w:sz w:val="24"/>
    </w:rPr>
  </w:style>
  <w:style w:type="paragraph" w:customStyle="1" w:styleId="2207">
    <w:name w:val="a"/>
    <w:basedOn w:val="1"/>
    <w:qFormat/>
    <w:uiPriority w:val="0"/>
    <w:pPr>
      <w:widowControl/>
      <w:spacing w:before="100" w:beforeAutospacing="1" w:after="100" w:afterAutospacing="1"/>
      <w:jc w:val="left"/>
    </w:pPr>
    <w:rPr>
      <w:rFonts w:ascii="宋体" w:hAnsi="宋体" w:cs="宋体"/>
      <w:sz w:val="24"/>
    </w:rPr>
  </w:style>
  <w:style w:type="paragraph" w:customStyle="1" w:styleId="2208">
    <w:name w:val="标题 814"/>
    <w:basedOn w:val="1"/>
    <w:next w:val="1"/>
    <w:qFormat/>
    <w:uiPriority w:val="0"/>
    <w:pPr>
      <w:keepNext/>
      <w:keepLines/>
      <w:adjustRightInd w:val="0"/>
      <w:spacing w:line="480" w:lineRule="atLeast"/>
      <w:ind w:firstLine="567"/>
      <w:textAlignment w:val="baseline"/>
    </w:pPr>
    <w:rPr>
      <w:rFonts w:hint="eastAsia" w:ascii="Arial" w:hAnsi="Arial"/>
      <w:sz w:val="24"/>
    </w:rPr>
  </w:style>
  <w:style w:type="paragraph" w:customStyle="1" w:styleId="2209">
    <w:name w:val="表标题3.7"/>
    <w:basedOn w:val="1"/>
    <w:qFormat/>
    <w:uiPriority w:val="0"/>
    <w:pPr>
      <w:tabs>
        <w:tab w:val="left" w:pos="2444"/>
        <w:tab w:val="center" w:pos="4060"/>
        <w:tab w:val="right" w:pos="8261"/>
      </w:tabs>
      <w:suppressAutoHyphens/>
      <w:adjustRightInd w:val="0"/>
      <w:spacing w:before="240" w:line="0" w:lineRule="atLeast"/>
      <w:ind w:left="1720" w:firstLine="4"/>
    </w:pPr>
    <w:rPr>
      <w:rFonts w:ascii="黑体" w:eastAsia="黑体"/>
      <w:b/>
      <w:spacing w:val="6"/>
      <w:sz w:val="26"/>
      <w:szCs w:val="26"/>
    </w:rPr>
  </w:style>
  <w:style w:type="paragraph" w:customStyle="1" w:styleId="2210">
    <w:name w:val="图4.1"/>
    <w:basedOn w:val="1"/>
    <w:qFormat/>
    <w:uiPriority w:val="0"/>
    <w:pPr>
      <w:widowControl/>
      <w:tabs>
        <w:tab w:val="left" w:pos="1614"/>
      </w:tabs>
      <w:snapToGrid w:val="0"/>
      <w:spacing w:line="360" w:lineRule="auto"/>
      <w:jc w:val="left"/>
    </w:pPr>
    <w:rPr>
      <w:rFonts w:eastAsia="黑体" w:cs="Times"/>
      <w:sz w:val="24"/>
    </w:rPr>
  </w:style>
  <w:style w:type="paragraph" w:customStyle="1" w:styleId="2211">
    <w:name w:val="图题1"/>
    <w:basedOn w:val="1"/>
    <w:qFormat/>
    <w:uiPriority w:val="0"/>
    <w:pPr>
      <w:jc w:val="center"/>
    </w:pPr>
    <w:rPr>
      <w:rFonts w:ascii="方正大标宋简体" w:eastAsia="方正大标宋简体"/>
      <w:sz w:val="24"/>
    </w:rPr>
  </w:style>
  <w:style w:type="paragraph" w:customStyle="1" w:styleId="2212">
    <w:name w:val="样式 标题 4标题 4 Char款标题36标题 436标题4第三层条第四层标题 4 Char Char Char ..."/>
    <w:basedOn w:val="6"/>
    <w:qFormat/>
    <w:uiPriority w:val="0"/>
    <w:pPr>
      <w:keepNext w:val="0"/>
      <w:keepLines w:val="0"/>
      <w:spacing w:before="50" w:after="50" w:line="360" w:lineRule="auto"/>
      <w:ind w:left="5580"/>
    </w:pPr>
    <w:rPr>
      <w:rFonts w:ascii="宋体" w:hAnsi="宋体" w:eastAsia="宋体" w:cs="宋体"/>
      <w:b w:val="0"/>
      <w:szCs w:val="20"/>
    </w:rPr>
  </w:style>
  <w:style w:type="paragraph" w:customStyle="1" w:styleId="2213">
    <w:name w:val="表题123"/>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2214">
    <w:name w:val="环评报告书"/>
    <w:basedOn w:val="6"/>
    <w:qFormat/>
    <w:uiPriority w:val="0"/>
    <w:pPr>
      <w:keepNext w:val="0"/>
      <w:keepLines w:val="0"/>
      <w:tabs>
        <w:tab w:val="left" w:pos="840"/>
      </w:tabs>
      <w:adjustRightInd w:val="0"/>
      <w:spacing w:before="0" w:after="0" w:line="360" w:lineRule="auto"/>
      <w:textAlignment w:val="baseline"/>
      <w:outlineLvl w:val="9"/>
    </w:pPr>
    <w:rPr>
      <w:rFonts w:ascii="Times New Roman" w:hAnsi="Times New Roman" w:eastAsia="长城楷体"/>
      <w:b w:val="0"/>
      <w:bCs w:val="0"/>
      <w:szCs w:val="20"/>
    </w:rPr>
  </w:style>
  <w:style w:type="paragraph" w:customStyle="1" w:styleId="2215">
    <w:name w:val="表标题16.8－1"/>
    <w:qFormat/>
    <w:uiPriority w:val="0"/>
    <w:pPr>
      <w:tabs>
        <w:tab w:val="left" w:pos="1560"/>
        <w:tab w:val="left" w:pos="2160"/>
        <w:tab w:val="left" w:pos="3060"/>
      </w:tabs>
      <w:ind w:left="2400" w:hanging="420"/>
    </w:pPr>
    <w:rPr>
      <w:rFonts w:ascii="Times New Roman" w:hAnsi="Times New Roman" w:eastAsia="宋体" w:cs="Times New Roman"/>
      <w:lang w:val="en-US" w:eastAsia="zh-CN" w:bidi="ar-SA"/>
    </w:rPr>
  </w:style>
  <w:style w:type="paragraph" w:customStyle="1" w:styleId="2216">
    <w:name w:val="表题106"/>
    <w:basedOn w:val="21"/>
    <w:qFormat/>
    <w:uiPriority w:val="0"/>
    <w:pPr>
      <w:ind w:firstLine="0" w:firstLineChars="0"/>
      <w:jc w:val="center"/>
    </w:pPr>
    <w:rPr>
      <w:rFonts w:ascii="黑体" w:eastAsia="黑体"/>
      <w:szCs w:val="24"/>
    </w:rPr>
  </w:style>
  <w:style w:type="paragraph" w:customStyle="1" w:styleId="2217">
    <w:name w:val="Char Char Char1 Char Char Char Char Char Char Char Char Char Char Char Char Char Char Char Char Char Char Char Char Char Char Char Char Char Char Char"/>
    <w:basedOn w:val="1"/>
    <w:qFormat/>
    <w:uiPriority w:val="0"/>
    <w:pPr>
      <w:spacing w:line="360" w:lineRule="auto"/>
      <w:jc w:val="left"/>
    </w:pPr>
    <w:rPr>
      <w:sz w:val="24"/>
    </w:rPr>
  </w:style>
  <w:style w:type="paragraph" w:customStyle="1" w:styleId="2218">
    <w:name w:val="页眉中1110"/>
    <w:basedOn w:val="1"/>
    <w:qFormat/>
    <w:uiPriority w:val="0"/>
    <w:pPr>
      <w:adjustRightInd w:val="0"/>
      <w:snapToGrid w:val="0"/>
      <w:spacing w:line="300" w:lineRule="auto"/>
      <w:jc w:val="left"/>
    </w:pPr>
    <w:rPr>
      <w:rFonts w:ascii="黑体" w:hAnsi="宋体" w:eastAsia="黑体"/>
      <w:sz w:val="24"/>
    </w:rPr>
  </w:style>
  <w:style w:type="paragraph" w:customStyle="1" w:styleId="2219">
    <w:name w:val="表内字新"/>
    <w:next w:val="1"/>
    <w:qFormat/>
    <w:uiPriority w:val="0"/>
    <w:pPr>
      <w:suppressAutoHyphens/>
      <w:adjustRightInd w:val="0"/>
      <w:spacing w:line="0" w:lineRule="atLeast"/>
      <w:jc w:val="center"/>
    </w:pPr>
    <w:rPr>
      <w:rFonts w:ascii="Times New Roman" w:hAnsi="Times New Roman" w:eastAsia="宋体" w:cs="Times New Roman"/>
      <w:sz w:val="21"/>
      <w:lang w:val="en-US" w:eastAsia="zh-CN" w:bidi="ar-SA"/>
    </w:rPr>
  </w:style>
  <w:style w:type="paragraph" w:customStyle="1" w:styleId="2220">
    <w:name w:val="样式 表内5 + (符号) 宋体 两端对齐 行距: 单倍行距1"/>
    <w:basedOn w:val="1"/>
    <w:qFormat/>
    <w:uiPriority w:val="0"/>
    <w:pPr>
      <w:adjustRightInd w:val="0"/>
      <w:snapToGrid w:val="0"/>
      <w:jc w:val="center"/>
    </w:pPr>
    <w:rPr>
      <w:rFonts w:ascii="宋体" w:hAnsi="宋体" w:cs="宋体"/>
    </w:rPr>
  </w:style>
  <w:style w:type="paragraph" w:customStyle="1" w:styleId="2221">
    <w:name w:val="首页脚注"/>
    <w:basedOn w:val="56"/>
    <w:qFormat/>
    <w:uiPriority w:val="0"/>
    <w:pPr>
      <w:keepLines/>
      <w:widowControl/>
      <w:tabs>
        <w:tab w:val="center" w:pos="4320"/>
        <w:tab w:val="clear" w:pos="4153"/>
        <w:tab w:val="clear" w:pos="8306"/>
      </w:tabs>
      <w:overflowPunct w:val="0"/>
      <w:autoSpaceDE w:val="0"/>
      <w:autoSpaceDN w:val="0"/>
      <w:adjustRightInd w:val="0"/>
      <w:snapToGrid/>
      <w:spacing w:line="360" w:lineRule="auto"/>
      <w:jc w:val="center"/>
      <w:textAlignment w:val="baseline"/>
    </w:pPr>
    <w:rPr>
      <w:rFonts w:ascii="Calibri" w:hAnsi="Calibri"/>
      <w:sz w:val="28"/>
      <w:szCs w:val="20"/>
    </w:rPr>
  </w:style>
  <w:style w:type="paragraph" w:customStyle="1" w:styleId="2222">
    <w:name w:val="样式 标题 21.1标题 21.1标题2标题 2 Char1节_Heading 2标2二级标题1.1标题一..."/>
    <w:basedOn w:val="4"/>
    <w:qFormat/>
    <w:uiPriority w:val="0"/>
    <w:pPr>
      <w:tabs>
        <w:tab w:val="left" w:pos="840"/>
        <w:tab w:val="clear" w:pos="1427"/>
      </w:tabs>
      <w:adjustRightInd/>
      <w:spacing w:beforeLines="0" w:afterLines="0" w:line="312" w:lineRule="auto"/>
      <w:ind w:left="840" w:hanging="420"/>
      <w:jc w:val="both"/>
      <w:textAlignment w:val="auto"/>
    </w:pPr>
    <w:rPr>
      <w:rFonts w:ascii="Arial" w:hAnsi="Arial"/>
      <w:bCs/>
      <w:color w:val="000000"/>
      <w:kern w:val="2"/>
      <w:sz w:val="24"/>
      <w:szCs w:val="24"/>
    </w:rPr>
  </w:style>
  <w:style w:type="paragraph" w:customStyle="1" w:styleId="2223">
    <w:name w:val="表格内容2"/>
    <w:basedOn w:val="1"/>
    <w:qFormat/>
    <w:uiPriority w:val="0"/>
    <w:pPr>
      <w:spacing w:line="360" w:lineRule="exact"/>
      <w:jc w:val="center"/>
    </w:pPr>
    <w:rPr>
      <w:rFonts w:ascii="Calibri" w:hAnsi="Calibri"/>
      <w:szCs w:val="21"/>
    </w:rPr>
  </w:style>
  <w:style w:type="paragraph" w:customStyle="1" w:styleId="2224">
    <w:name w:val="待定小"/>
    <w:basedOn w:val="1663"/>
    <w:qFormat/>
    <w:uiPriority w:val="0"/>
    <w:rPr>
      <w:color w:val="000000"/>
    </w:rPr>
  </w:style>
  <w:style w:type="paragraph" w:customStyle="1" w:styleId="2225">
    <w:name w:val="我的样式（正文）"/>
    <w:basedOn w:val="1"/>
    <w:qFormat/>
    <w:uiPriority w:val="0"/>
    <w:pPr>
      <w:spacing w:line="440" w:lineRule="exact"/>
      <w:ind w:firstLine="480" w:firstLineChars="200"/>
    </w:pPr>
    <w:rPr>
      <w:rFonts w:ascii="宋体"/>
      <w:sz w:val="28"/>
      <w:szCs w:val="28"/>
    </w:rPr>
  </w:style>
  <w:style w:type="paragraph" w:customStyle="1" w:styleId="2226">
    <w:name w:val="xl125"/>
    <w:basedOn w:val="1"/>
    <w:qFormat/>
    <w:uiPriority w:val="0"/>
    <w:pPr>
      <w:widowControl/>
      <w:pBdr>
        <w:top w:val="single" w:color="auto" w:sz="4" w:space="0"/>
        <w:left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2227">
    <w:name w:val="表内宋5中33"/>
    <w:basedOn w:val="1"/>
    <w:qFormat/>
    <w:uiPriority w:val="0"/>
    <w:pPr>
      <w:adjustRightInd w:val="0"/>
      <w:snapToGrid w:val="0"/>
      <w:spacing w:line="360" w:lineRule="auto"/>
      <w:jc w:val="center"/>
      <w:textAlignment w:val="baseline"/>
    </w:pPr>
    <w:rPr>
      <w:rFonts w:ascii="宋体" w:hAnsi="宋体"/>
      <w:szCs w:val="21"/>
    </w:rPr>
  </w:style>
  <w:style w:type="paragraph" w:customStyle="1" w:styleId="2228">
    <w:name w:val="条(三级)5"/>
    <w:basedOn w:val="1"/>
    <w:next w:val="1"/>
    <w:qFormat/>
    <w:uiPriority w:val="0"/>
    <w:pPr>
      <w:keepNext/>
      <w:keepLines/>
      <w:adjustRightInd w:val="0"/>
      <w:snapToGrid w:val="0"/>
      <w:spacing w:line="460" w:lineRule="exact"/>
      <w:textAlignment w:val="baseline"/>
    </w:pPr>
    <w:rPr>
      <w:rFonts w:hAnsi="Arial"/>
      <w:spacing w:val="3"/>
      <w:kern w:val="24"/>
      <w:sz w:val="18"/>
    </w:rPr>
  </w:style>
  <w:style w:type="paragraph" w:customStyle="1" w:styleId="2229">
    <w:name w:val="Char Char Char Char Char Char Char Char2 Char11"/>
    <w:basedOn w:val="1"/>
    <w:qFormat/>
    <w:uiPriority w:val="0"/>
    <w:pPr>
      <w:widowControl/>
      <w:spacing w:after="160" w:line="240" w:lineRule="exact"/>
      <w:jc w:val="left"/>
    </w:pPr>
  </w:style>
  <w:style w:type="paragraph" w:customStyle="1" w:styleId="2230">
    <w:name w:val="xl33"/>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sz w:val="16"/>
      <w:szCs w:val="16"/>
    </w:rPr>
  </w:style>
  <w:style w:type="paragraph" w:customStyle="1" w:styleId="2231">
    <w:name w:val="样式 标题 2标题 2 Char + Albertus Medium"/>
    <w:basedOn w:val="4"/>
    <w:qFormat/>
    <w:uiPriority w:val="0"/>
    <w:pPr>
      <w:keepNext w:val="0"/>
      <w:keepLines w:val="0"/>
      <w:tabs>
        <w:tab w:val="clear" w:pos="1427"/>
      </w:tabs>
      <w:adjustRightInd/>
      <w:jc w:val="both"/>
      <w:textAlignment w:val="auto"/>
      <w:outlineLvl w:val="9"/>
    </w:pPr>
    <w:rPr>
      <w:b w:val="0"/>
      <w:kern w:val="2"/>
      <w:sz w:val="21"/>
      <w:szCs w:val="24"/>
    </w:rPr>
  </w:style>
  <w:style w:type="paragraph" w:customStyle="1" w:styleId="2232">
    <w:name w:val="样式 样式 标题 3 + 四号 左侧:  0 厘米 段前: 8 磅 段后: 8 磅 行距: 单倍行距 + Times New R..."/>
    <w:basedOn w:val="1"/>
    <w:qFormat/>
    <w:uiPriority w:val="0"/>
    <w:pPr>
      <w:keepNext/>
      <w:keepLines/>
      <w:tabs>
        <w:tab w:val="left" w:pos="0"/>
      </w:tabs>
      <w:adjustRightInd w:val="0"/>
      <w:spacing w:before="160" w:after="160" w:line="360" w:lineRule="auto"/>
      <w:textAlignment w:val="baseline"/>
      <w:outlineLvl w:val="2"/>
    </w:pPr>
    <w:rPr>
      <w:rFonts w:cs="宋体"/>
      <w:b/>
      <w:bCs/>
      <w:sz w:val="24"/>
    </w:rPr>
  </w:style>
  <w:style w:type="paragraph" w:customStyle="1" w:styleId="2233">
    <w:name w:val="页眉中103"/>
    <w:basedOn w:val="1"/>
    <w:qFormat/>
    <w:uiPriority w:val="0"/>
    <w:pPr>
      <w:adjustRightInd w:val="0"/>
      <w:snapToGrid w:val="0"/>
      <w:spacing w:line="300" w:lineRule="auto"/>
      <w:jc w:val="left"/>
    </w:pPr>
    <w:rPr>
      <w:rFonts w:ascii="黑体" w:eastAsia="黑体"/>
      <w:bCs/>
      <w:sz w:val="24"/>
    </w:rPr>
  </w:style>
  <w:style w:type="paragraph" w:customStyle="1" w:styleId="2234">
    <w:name w:val="表题51"/>
    <w:basedOn w:val="35"/>
    <w:qFormat/>
    <w:uiPriority w:val="0"/>
    <w:pPr>
      <w:tabs>
        <w:tab w:val="left" w:pos="4305"/>
      </w:tabs>
      <w:adjustRightInd w:val="0"/>
      <w:snapToGrid w:val="0"/>
      <w:spacing w:after="0"/>
      <w:ind w:left="0" w:leftChars="0"/>
      <w:jc w:val="center"/>
    </w:pPr>
    <w:rPr>
      <w:rFonts w:ascii="黑体" w:hAnsi="宋体" w:eastAsia="黑体"/>
      <w:color w:val="000000"/>
      <w:sz w:val="24"/>
      <w:szCs w:val="20"/>
    </w:rPr>
  </w:style>
  <w:style w:type="paragraph" w:customStyle="1" w:styleId="2235">
    <w:name w:val="正文文本31"/>
    <w:basedOn w:val="1"/>
    <w:qFormat/>
    <w:uiPriority w:val="0"/>
    <w:pPr>
      <w:overflowPunct w:val="0"/>
      <w:snapToGrid w:val="0"/>
      <w:spacing w:after="120" w:line="480" w:lineRule="exact"/>
      <w:ind w:firstLine="480"/>
    </w:pPr>
    <w:rPr>
      <w:rFonts w:ascii="Arial" w:hAnsi="Arial" w:eastAsia="仿宋_GB2312"/>
      <w:sz w:val="28"/>
    </w:rPr>
  </w:style>
  <w:style w:type="paragraph" w:customStyle="1" w:styleId="2236">
    <w:name w:val="表内小422"/>
    <w:basedOn w:val="1427"/>
    <w:qFormat/>
    <w:uiPriority w:val="0"/>
    <w:pPr>
      <w:ind w:left="240" w:hanging="240"/>
      <w:jc w:val="both"/>
    </w:pPr>
  </w:style>
  <w:style w:type="paragraph" w:customStyle="1" w:styleId="2237">
    <w:name w:val="reader-word-layer reader-word-s5-4"/>
    <w:basedOn w:val="1"/>
    <w:qFormat/>
    <w:uiPriority w:val="0"/>
    <w:pPr>
      <w:widowControl/>
      <w:spacing w:before="100" w:beforeAutospacing="1" w:after="100" w:afterAutospacing="1"/>
      <w:jc w:val="left"/>
    </w:pPr>
    <w:rPr>
      <w:rFonts w:ascii="宋体" w:hAnsi="宋体" w:cs="宋体"/>
      <w:sz w:val="24"/>
    </w:rPr>
  </w:style>
  <w:style w:type="paragraph" w:customStyle="1" w:styleId="2238">
    <w:name w:val="页眉中5"/>
    <w:basedOn w:val="1"/>
    <w:qFormat/>
    <w:uiPriority w:val="0"/>
    <w:pPr>
      <w:adjustRightInd w:val="0"/>
      <w:snapToGrid w:val="0"/>
      <w:spacing w:line="300" w:lineRule="auto"/>
      <w:jc w:val="center"/>
    </w:pPr>
    <w:rPr>
      <w:rFonts w:ascii="黑体" w:eastAsia="黑体"/>
      <w:bCs/>
      <w:sz w:val="24"/>
    </w:rPr>
  </w:style>
  <w:style w:type="paragraph" w:customStyle="1" w:styleId="2239">
    <w:name w:val="表中文字中修改4"/>
    <w:basedOn w:val="1596"/>
    <w:qFormat/>
    <w:uiPriority w:val="0"/>
    <w:pPr>
      <w:adjustRightInd w:val="0"/>
    </w:pPr>
    <w:rPr>
      <w:color w:val="000000"/>
    </w:rPr>
  </w:style>
  <w:style w:type="paragraph" w:customStyle="1" w:styleId="2240">
    <w:name w:val="样式 标题 2节标题 1.11.1标题 21.1标题2标题 2 Char1节_Heading 2b21.1标..."/>
    <w:basedOn w:val="4"/>
    <w:qFormat/>
    <w:uiPriority w:val="0"/>
    <w:pPr>
      <w:tabs>
        <w:tab w:val="left" w:pos="576"/>
        <w:tab w:val="clear" w:pos="1427"/>
      </w:tabs>
      <w:adjustRightInd/>
      <w:jc w:val="both"/>
      <w:textAlignment w:val="auto"/>
    </w:pPr>
    <w:rPr>
      <w:rFonts w:ascii="黑体" w:hAnsi="宋体" w:cs="宋体"/>
      <w:b w:val="0"/>
      <w:kern w:val="2"/>
      <w:sz w:val="24"/>
    </w:rPr>
  </w:style>
  <w:style w:type="paragraph" w:customStyle="1" w:styleId="2241">
    <w:name w:val="xl26"/>
    <w:basedOn w:val="1"/>
    <w:qFormat/>
    <w:uiPriority w:val="0"/>
    <w:pPr>
      <w:widowControl/>
      <w:spacing w:before="100" w:beforeAutospacing="1" w:after="100" w:afterAutospacing="1"/>
      <w:jc w:val="left"/>
    </w:pPr>
    <w:rPr>
      <w:rFonts w:ascii="Arial Unicode MS" w:hAnsi="Arial Unicode MS"/>
      <w:color w:val="FF0000"/>
      <w:sz w:val="24"/>
    </w:rPr>
  </w:style>
  <w:style w:type="paragraph" w:customStyle="1" w:styleId="2242">
    <w:name w:val="44"/>
    <w:basedOn w:val="5"/>
    <w:qFormat/>
    <w:uiPriority w:val="0"/>
    <w:pPr>
      <w:keepLines w:val="0"/>
      <w:tabs>
        <w:tab w:val="left" w:pos="6975"/>
        <w:tab w:val="clear" w:pos="720"/>
      </w:tabs>
      <w:adjustRightInd/>
      <w:snapToGrid w:val="0"/>
      <w:spacing w:before="120" w:after="120"/>
      <w:ind w:left="0" w:firstLine="0"/>
      <w:jc w:val="both"/>
      <w:textAlignment w:val="auto"/>
    </w:pPr>
    <w:rPr>
      <w:rFonts w:eastAsia="宋体"/>
      <w:bCs/>
      <w:color w:val="auto"/>
      <w:spacing w:val="0"/>
      <w:kern w:val="2"/>
      <w:sz w:val="24"/>
      <w:szCs w:val="24"/>
    </w:rPr>
  </w:style>
  <w:style w:type="paragraph" w:customStyle="1" w:styleId="2243">
    <w:name w:val="河石管道 表格正文"/>
    <w:qFormat/>
    <w:uiPriority w:val="0"/>
    <w:pPr>
      <w:spacing w:line="0" w:lineRule="atLeast"/>
      <w:jc w:val="both"/>
    </w:pPr>
    <w:rPr>
      <w:rFonts w:ascii="Times New Roman" w:hAnsi="Times New Roman" w:eastAsia="宋体" w:cs="Times New Roman"/>
      <w:color w:val="000000"/>
      <w:kern w:val="2"/>
      <w:sz w:val="24"/>
      <w:lang w:val="en-US" w:eastAsia="zh-CN" w:bidi="ar-SA"/>
    </w:rPr>
  </w:style>
  <w:style w:type="paragraph" w:customStyle="1" w:styleId="2244">
    <w:name w:val="font16"/>
    <w:basedOn w:val="1"/>
    <w:qFormat/>
    <w:uiPriority w:val="0"/>
    <w:pPr>
      <w:widowControl/>
      <w:spacing w:before="100" w:beforeAutospacing="1" w:after="100" w:afterAutospacing="1"/>
      <w:jc w:val="left"/>
    </w:pPr>
    <w:rPr>
      <w:rFonts w:hint="eastAsia" w:ascii="宋体" w:hAnsi="宋体" w:cs="Arial Unicode MS"/>
      <w:u w:val="single"/>
    </w:rPr>
  </w:style>
  <w:style w:type="paragraph" w:customStyle="1" w:styleId="2245">
    <w:name w:val="Char Char Char Char Char1 Char Char Char Char1"/>
    <w:basedOn w:val="26"/>
    <w:qFormat/>
    <w:uiPriority w:val="0"/>
    <w:pPr>
      <w:adjustRightInd w:val="0"/>
      <w:spacing w:line="436" w:lineRule="exact"/>
      <w:ind w:left="357"/>
      <w:jc w:val="left"/>
      <w:outlineLvl w:val="3"/>
    </w:pPr>
    <w:rPr>
      <w:rFonts w:ascii="Tahoma" w:hAnsi="Tahoma"/>
      <w:b/>
      <w:sz w:val="24"/>
    </w:rPr>
  </w:style>
  <w:style w:type="paragraph" w:customStyle="1" w:styleId="2246">
    <w:name w:val="xl107"/>
    <w:basedOn w:val="1"/>
    <w:qFormat/>
    <w:uiPriority w:val="0"/>
    <w:pPr>
      <w:widowControl/>
      <w:pBdr>
        <w:top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sz w:val="16"/>
      <w:szCs w:val="16"/>
    </w:rPr>
  </w:style>
  <w:style w:type="paragraph" w:customStyle="1" w:styleId="2247">
    <w:name w:val="样式 标题 1标题 1宋旭峰标题1章节H1h11headingHeader 1st Pageh1 chapte..."/>
    <w:basedOn w:val="3"/>
    <w:qFormat/>
    <w:uiPriority w:val="0"/>
    <w:pPr>
      <w:adjustRightInd w:val="0"/>
      <w:snapToGrid w:val="0"/>
      <w:spacing w:before="0" w:after="156" w:line="360" w:lineRule="auto"/>
      <w:jc w:val="left"/>
    </w:pPr>
    <w:rPr>
      <w:rFonts w:eastAsia="黑体"/>
      <w:kern w:val="2"/>
      <w:sz w:val="32"/>
      <w:szCs w:val="30"/>
    </w:rPr>
  </w:style>
  <w:style w:type="paragraph" w:customStyle="1" w:styleId="2248">
    <w:name w:val="表内小435"/>
    <w:basedOn w:val="1427"/>
    <w:qFormat/>
    <w:uiPriority w:val="0"/>
    <w:pPr>
      <w:ind w:left="240" w:hanging="240"/>
      <w:jc w:val="both"/>
    </w:pPr>
    <w:rPr>
      <w:rFonts w:cs="Times New Roman"/>
    </w:rPr>
  </w:style>
  <w:style w:type="paragraph" w:customStyle="1" w:styleId="2249">
    <w:name w:val="目录22222222"/>
    <w:basedOn w:val="4"/>
    <w:qFormat/>
    <w:uiPriority w:val="0"/>
    <w:pPr>
      <w:tabs>
        <w:tab w:val="clear" w:pos="1427"/>
      </w:tabs>
      <w:adjustRightInd/>
      <w:jc w:val="both"/>
      <w:textAlignment w:val="auto"/>
    </w:pPr>
    <w:rPr>
      <w:bCs/>
      <w:color w:val="000000"/>
      <w:kern w:val="2"/>
      <w:szCs w:val="32"/>
    </w:rPr>
  </w:style>
  <w:style w:type="paragraph" w:customStyle="1" w:styleId="2250">
    <w:name w:val="表内522"/>
    <w:basedOn w:val="1"/>
    <w:qFormat/>
    <w:uiPriority w:val="0"/>
    <w:pPr>
      <w:adjustRightInd w:val="0"/>
      <w:snapToGrid w:val="0"/>
      <w:ind w:right="32"/>
      <w:jc w:val="center"/>
    </w:pPr>
    <w:rPr>
      <w:rFonts w:ascii="宋体"/>
      <w:color w:val="000000"/>
      <w:szCs w:val="21"/>
    </w:rPr>
  </w:style>
  <w:style w:type="paragraph" w:customStyle="1" w:styleId="2251">
    <w:name w:val="样式 样式 标题 41.1.1.1标题 4.1.1.1.1标题 4 Char款标41.1.1.1 Char段1.1.1... +..."/>
    <w:qFormat/>
    <w:uiPriority w:val="0"/>
    <w:pPr>
      <w:ind w:left="720" w:hanging="720"/>
    </w:pPr>
    <w:rPr>
      <w:rFonts w:ascii="Times New Roman" w:hAnsi="Times New Roman" w:eastAsia="宋体" w:cs="Times New Roman"/>
      <w:bCs/>
      <w:lang w:val="en-US" w:eastAsia="zh-CN" w:bidi="ar-SA"/>
    </w:rPr>
  </w:style>
  <w:style w:type="paragraph" w:customStyle="1" w:styleId="2252">
    <w:name w:val="表内小5中5"/>
    <w:basedOn w:val="1"/>
    <w:qFormat/>
    <w:uiPriority w:val="0"/>
    <w:pPr>
      <w:adjustRightInd w:val="0"/>
      <w:snapToGrid w:val="0"/>
      <w:jc w:val="center"/>
    </w:pPr>
    <w:rPr>
      <w:rFonts w:ascii="宋体" w:hAnsi="宋体"/>
      <w:sz w:val="18"/>
    </w:rPr>
  </w:style>
  <w:style w:type="paragraph" w:customStyle="1" w:styleId="2253">
    <w:name w:val="首行缩进:2 字符"/>
    <w:basedOn w:val="1"/>
    <w:qFormat/>
    <w:uiPriority w:val="0"/>
    <w:pPr>
      <w:spacing w:line="440" w:lineRule="exact"/>
      <w:ind w:firstLine="200" w:firstLineChars="200"/>
    </w:pPr>
    <w:rPr>
      <w:rFonts w:cs="宋体"/>
      <w:sz w:val="24"/>
    </w:rPr>
  </w:style>
  <w:style w:type="paragraph" w:customStyle="1" w:styleId="2254">
    <w:name w:val="环评标题"/>
    <w:basedOn w:val="1"/>
    <w:qFormat/>
    <w:uiPriority w:val="0"/>
    <w:pPr>
      <w:widowControl/>
      <w:tabs>
        <w:tab w:val="left" w:pos="567"/>
        <w:tab w:val="left" w:pos="916"/>
      </w:tabs>
      <w:snapToGrid w:val="0"/>
      <w:spacing w:line="360" w:lineRule="auto"/>
      <w:ind w:left="403" w:hanging="567"/>
      <w:jc w:val="left"/>
    </w:pPr>
    <w:rPr>
      <w:rFonts w:eastAsia="黑体" w:cs="Times"/>
      <w:sz w:val="24"/>
    </w:rPr>
  </w:style>
  <w:style w:type="paragraph" w:customStyle="1" w:styleId="2255">
    <w:name w:val="样式 表格小四 + 字距调整二号"/>
    <w:basedOn w:val="589"/>
    <w:qFormat/>
    <w:uiPriority w:val="0"/>
    <w:pPr>
      <w:adjustRightInd w:val="0"/>
      <w:spacing w:line="400" w:lineRule="exact"/>
      <w:jc w:val="both"/>
    </w:pPr>
    <w:rPr>
      <w:rFonts w:ascii="宋体" w:hAnsi="宋体" w:eastAsia="宋体"/>
      <w:spacing w:val="0"/>
      <w:kern w:val="44"/>
      <w:sz w:val="24"/>
    </w:rPr>
  </w:style>
  <w:style w:type="paragraph" w:customStyle="1" w:styleId="2256">
    <w:name w:val="等核实35"/>
    <w:basedOn w:val="35"/>
    <w:qFormat/>
    <w:uiPriority w:val="0"/>
    <w:pPr>
      <w:tabs>
        <w:tab w:val="left" w:pos="4305"/>
      </w:tabs>
      <w:adjustRightInd w:val="0"/>
      <w:snapToGrid w:val="0"/>
      <w:spacing w:after="0" w:line="360" w:lineRule="auto"/>
      <w:ind w:left="0" w:leftChars="0" w:firstLine="480" w:firstLineChars="200"/>
    </w:pPr>
    <w:rPr>
      <w:rFonts w:ascii="宋体" w:hAnsi="宋体"/>
      <w:color w:val="0000FF"/>
      <w:sz w:val="24"/>
      <w:szCs w:val="20"/>
    </w:rPr>
  </w:style>
  <w:style w:type="paragraph" w:customStyle="1" w:styleId="2257">
    <w:name w:val="表蕊"/>
    <w:basedOn w:val="1"/>
    <w:qFormat/>
    <w:uiPriority w:val="0"/>
    <w:pPr>
      <w:adjustRightInd w:val="0"/>
      <w:spacing w:line="320" w:lineRule="atLeast"/>
      <w:jc w:val="left"/>
      <w:textAlignment w:val="baseline"/>
    </w:pPr>
    <w:rPr>
      <w:rFonts w:eastAsia="楷体_GB2312"/>
      <w:spacing w:val="-10"/>
    </w:rPr>
  </w:style>
  <w:style w:type="paragraph" w:customStyle="1" w:styleId="2258">
    <w:name w:val="xl100"/>
    <w:basedOn w:val="1"/>
    <w:qFormat/>
    <w:uiPriority w:val="0"/>
    <w:pPr>
      <w:widowControl/>
      <w:pBdr>
        <w:top w:val="single" w:color="auto" w:sz="8" w:space="0"/>
        <w:bottom w:val="single" w:color="auto" w:sz="4" w:space="0"/>
        <w:right w:val="single" w:color="auto" w:sz="8" w:space="0"/>
      </w:pBdr>
      <w:spacing w:before="100" w:beforeAutospacing="1" w:after="100" w:afterAutospacing="1"/>
      <w:jc w:val="left"/>
    </w:pPr>
    <w:rPr>
      <w:rFonts w:ascii="Arial Unicode MS" w:hAnsi="Arial Unicode MS" w:eastAsia="Arial Unicode MS" w:cs="Arial Unicode MS"/>
      <w:sz w:val="24"/>
    </w:rPr>
  </w:style>
  <w:style w:type="paragraph" w:customStyle="1" w:styleId="2259">
    <w:name w:val="正文首行缩进 213"/>
    <w:basedOn w:val="1"/>
    <w:qFormat/>
    <w:uiPriority w:val="0"/>
    <w:pPr>
      <w:overflowPunct w:val="0"/>
      <w:snapToGrid w:val="0"/>
      <w:spacing w:after="120" w:line="480" w:lineRule="exact"/>
      <w:ind w:left="420" w:leftChars="200" w:firstLine="420" w:firstLineChars="200"/>
    </w:pPr>
    <w:rPr>
      <w:rFonts w:ascii="Arial" w:hAnsi="Arial" w:eastAsia="仿宋_GB2312"/>
      <w:color w:val="0000FF"/>
      <w:sz w:val="28"/>
    </w:rPr>
  </w:style>
  <w:style w:type="paragraph" w:customStyle="1" w:styleId="2260">
    <w:name w:val="日期2"/>
    <w:basedOn w:val="1"/>
    <w:next w:val="1"/>
    <w:qFormat/>
    <w:uiPriority w:val="0"/>
    <w:pPr>
      <w:tabs>
        <w:tab w:val="left" w:pos="510"/>
      </w:tabs>
      <w:adjustRightInd w:val="0"/>
      <w:spacing w:line="430" w:lineRule="atLeast"/>
      <w:jc w:val="right"/>
      <w:textAlignment w:val="baseline"/>
    </w:pPr>
    <w:rPr>
      <w:spacing w:val="16"/>
      <w:sz w:val="24"/>
    </w:rPr>
  </w:style>
  <w:style w:type="paragraph" w:customStyle="1" w:styleId="2261">
    <w:name w:val="reader-word-layer reader-word-s3-3"/>
    <w:basedOn w:val="1"/>
    <w:qFormat/>
    <w:uiPriority w:val="0"/>
    <w:pPr>
      <w:widowControl/>
      <w:spacing w:before="100" w:beforeAutospacing="1" w:after="100" w:afterAutospacing="1"/>
      <w:jc w:val="left"/>
    </w:pPr>
    <w:rPr>
      <w:rFonts w:ascii="宋体" w:hAnsi="宋体" w:cs="宋体"/>
      <w:sz w:val="24"/>
    </w:rPr>
  </w:style>
  <w:style w:type="paragraph" w:customStyle="1" w:styleId="2262">
    <w:name w:val="zh正文"/>
    <w:basedOn w:val="1"/>
    <w:qFormat/>
    <w:uiPriority w:val="0"/>
    <w:pPr>
      <w:spacing w:line="360" w:lineRule="exact"/>
      <w:ind w:firstLine="560" w:firstLineChars="200"/>
    </w:pPr>
    <w:rPr>
      <w:rFonts w:ascii="宋体" w:hAnsi="宋体"/>
      <w:sz w:val="28"/>
    </w:rPr>
  </w:style>
  <w:style w:type="paragraph" w:customStyle="1" w:styleId="2263">
    <w:name w:val="样式 样式 样式 首行缩进:  2 字符 + 首行缩进:  2 字符 + 首行缩进:  2 字符"/>
    <w:basedOn w:val="1"/>
    <w:qFormat/>
    <w:uiPriority w:val="0"/>
    <w:pPr>
      <w:ind w:firstLine="567" w:firstLineChars="200"/>
    </w:pPr>
    <w:rPr>
      <w:rFonts w:ascii="宋体"/>
      <w:sz w:val="27"/>
    </w:rPr>
  </w:style>
  <w:style w:type="paragraph" w:customStyle="1" w:styleId="2264">
    <w:name w:val="段落"/>
    <w:basedOn w:val="1"/>
    <w:qFormat/>
    <w:uiPriority w:val="0"/>
    <w:pPr>
      <w:tabs>
        <w:tab w:val="left" w:pos="1021"/>
      </w:tabs>
      <w:adjustRightInd w:val="0"/>
      <w:spacing w:line="520" w:lineRule="exact"/>
      <w:ind w:firstLine="480" w:firstLineChars="200"/>
      <w:jc w:val="center"/>
    </w:pPr>
    <w:rPr>
      <w:rFonts w:ascii="宋体" w:hAnsi="宋体"/>
      <w:kern w:val="24"/>
      <w:sz w:val="24"/>
    </w:rPr>
  </w:style>
  <w:style w:type="paragraph" w:customStyle="1" w:styleId="2265">
    <w:name w:val="日期13"/>
    <w:basedOn w:val="1"/>
    <w:next w:val="1"/>
    <w:qFormat/>
    <w:uiPriority w:val="0"/>
    <w:pPr>
      <w:adjustRightInd w:val="0"/>
      <w:spacing w:line="312" w:lineRule="atLeast"/>
      <w:textAlignment w:val="baseline"/>
    </w:pPr>
    <w:rPr>
      <w:rFonts w:eastAsia="楷体_GB2312"/>
      <w:sz w:val="28"/>
    </w:rPr>
  </w:style>
  <w:style w:type="paragraph" w:customStyle="1" w:styleId="2266">
    <w:name w:val="标题 32"/>
    <w:basedOn w:val="1"/>
    <w:next w:val="1"/>
    <w:qFormat/>
    <w:uiPriority w:val="0"/>
    <w:pPr>
      <w:keepNext/>
      <w:keepLines/>
      <w:adjustRightInd w:val="0"/>
      <w:snapToGrid w:val="0"/>
      <w:spacing w:beforeLines="50" w:after="120" w:line="400" w:lineRule="atLeast"/>
      <w:outlineLvl w:val="2"/>
    </w:pPr>
    <w:rPr>
      <w:b/>
      <w:spacing w:val="4"/>
      <w:sz w:val="24"/>
    </w:rPr>
  </w:style>
  <w:style w:type="paragraph" w:customStyle="1" w:styleId="2267">
    <w:name w:val="样式 样式 样式 仿宋_GB2312 段前: 0.5 行 段后: 6 磅 行距: 1.5 倍行距 + 首行缩进:  2 字符 段..."/>
    <w:basedOn w:val="1"/>
    <w:qFormat/>
    <w:uiPriority w:val="0"/>
    <w:pPr>
      <w:adjustRightInd w:val="0"/>
      <w:snapToGrid w:val="0"/>
      <w:spacing w:afterLines="50" w:line="300" w:lineRule="auto"/>
      <w:ind w:firstLine="200" w:firstLineChars="200"/>
    </w:pPr>
    <w:rPr>
      <w:rFonts w:eastAsia="仿宋_GB2312" w:cs="宋体"/>
      <w:sz w:val="28"/>
    </w:rPr>
  </w:style>
  <w:style w:type="paragraph" w:customStyle="1" w:styleId="2268">
    <w:name w:val="Char Char Char Char Char1 Char Char Char Char"/>
    <w:basedOn w:val="26"/>
    <w:qFormat/>
    <w:uiPriority w:val="0"/>
    <w:pPr>
      <w:adjustRightInd w:val="0"/>
      <w:spacing w:line="436" w:lineRule="exact"/>
      <w:ind w:left="357"/>
      <w:jc w:val="left"/>
      <w:outlineLvl w:val="3"/>
    </w:pPr>
    <w:rPr>
      <w:rFonts w:ascii="Tahoma" w:hAnsi="Tahoma"/>
      <w:b/>
      <w:sz w:val="24"/>
    </w:rPr>
  </w:style>
  <w:style w:type="paragraph" w:customStyle="1" w:styleId="2269">
    <w:name w:val="文档结构图12"/>
    <w:basedOn w:val="1"/>
    <w:qFormat/>
    <w:uiPriority w:val="0"/>
    <w:pPr>
      <w:shd w:val="clear" w:color="auto" w:fill="000080"/>
    </w:pPr>
    <w:rPr>
      <w:rFonts w:ascii="Calibri" w:hAnsi="Calibri"/>
    </w:rPr>
  </w:style>
  <w:style w:type="paragraph" w:customStyle="1" w:styleId="2270">
    <w:name w:val="注×："/>
    <w:qFormat/>
    <w:uiPriority w:val="0"/>
    <w:pPr>
      <w:widowControl w:val="0"/>
      <w:tabs>
        <w:tab w:val="left" w:pos="630"/>
      </w:tabs>
      <w:autoSpaceDE w:val="0"/>
      <w:autoSpaceDN w:val="0"/>
      <w:jc w:val="both"/>
    </w:pPr>
    <w:rPr>
      <w:rFonts w:ascii="宋体" w:hAnsi="Times New Roman" w:eastAsia="宋体" w:cs="Times New Roman"/>
      <w:sz w:val="18"/>
      <w:lang w:val="en-US" w:eastAsia="zh-CN" w:bidi="ar-SA"/>
    </w:rPr>
  </w:style>
  <w:style w:type="paragraph" w:customStyle="1" w:styleId="2271">
    <w:name w:val="表内文字大22"/>
    <w:basedOn w:val="1"/>
    <w:qFormat/>
    <w:uiPriority w:val="0"/>
    <w:pPr>
      <w:adjustRightInd w:val="0"/>
      <w:snapToGrid w:val="0"/>
      <w:jc w:val="center"/>
    </w:pPr>
    <w:rPr>
      <w:rFonts w:ascii="宋体" w:hAnsi="Times" w:cs="宋体"/>
      <w:sz w:val="24"/>
    </w:rPr>
  </w:style>
  <w:style w:type="paragraph" w:customStyle="1" w:styleId="2272">
    <w:name w:val="标题43"/>
    <w:basedOn w:val="1"/>
    <w:qFormat/>
    <w:uiPriority w:val="0"/>
    <w:pPr>
      <w:adjustRightInd w:val="0"/>
      <w:snapToGrid w:val="0"/>
      <w:spacing w:line="300" w:lineRule="auto"/>
      <w:jc w:val="left"/>
    </w:pPr>
    <w:rPr>
      <w:rFonts w:ascii="黑体" w:hAnsi="宋体" w:eastAsia="黑体" w:cs="宋体"/>
      <w:sz w:val="24"/>
    </w:rPr>
  </w:style>
  <w:style w:type="paragraph" w:customStyle="1" w:styleId="2273">
    <w:name w:val="燕山正文24"/>
    <w:basedOn w:val="1"/>
    <w:qFormat/>
    <w:uiPriority w:val="0"/>
    <w:pPr>
      <w:tabs>
        <w:tab w:val="left" w:pos="4680"/>
      </w:tabs>
      <w:adjustRightInd w:val="0"/>
      <w:snapToGrid w:val="0"/>
      <w:spacing w:line="360" w:lineRule="auto"/>
      <w:ind w:firstLine="480" w:firstLineChars="200"/>
      <w:jc w:val="left"/>
    </w:pPr>
    <w:rPr>
      <w:rFonts w:ascii="宋体" w:hAnsi="宋体"/>
      <w:bCs/>
      <w:color w:val="000000"/>
      <w:sz w:val="24"/>
    </w:rPr>
  </w:style>
  <w:style w:type="paragraph" w:customStyle="1" w:styleId="2274">
    <w:name w:val="表5号字"/>
    <w:qFormat/>
    <w:uiPriority w:val="0"/>
    <w:pPr>
      <w:keepNext/>
      <w:widowControl w:val="0"/>
      <w:adjustRightInd w:val="0"/>
      <w:spacing w:before="120" w:line="60" w:lineRule="atLeast"/>
      <w:jc w:val="center"/>
    </w:pPr>
    <w:rPr>
      <w:rFonts w:ascii="Times New Roman" w:hAnsi="Times New Roman" w:eastAsia="宋体" w:cs="Times New Roman"/>
      <w:sz w:val="21"/>
      <w:lang w:val="en-US" w:eastAsia="zh-CN" w:bidi="ar-SA"/>
    </w:rPr>
  </w:style>
  <w:style w:type="paragraph" w:customStyle="1" w:styleId="2275">
    <w:name w:val="默认段落字体 Para Char"/>
    <w:basedOn w:val="1"/>
    <w:next w:val="1"/>
    <w:qFormat/>
    <w:uiPriority w:val="0"/>
    <w:pPr>
      <w:spacing w:line="360" w:lineRule="auto"/>
      <w:ind w:left="150" w:leftChars="150" w:firstLine="200" w:firstLineChars="200"/>
    </w:pPr>
    <w:rPr>
      <w:rFonts w:ascii="宋体" w:hAnsi="宋体" w:cs="宋体"/>
      <w:sz w:val="24"/>
    </w:rPr>
  </w:style>
  <w:style w:type="paragraph" w:customStyle="1" w:styleId="2276">
    <w:name w:val="燕山正文3"/>
    <w:basedOn w:val="1"/>
    <w:qFormat/>
    <w:uiPriority w:val="0"/>
    <w:pPr>
      <w:tabs>
        <w:tab w:val="left" w:pos="4680"/>
      </w:tabs>
      <w:adjustRightInd w:val="0"/>
      <w:snapToGrid w:val="0"/>
      <w:spacing w:line="360" w:lineRule="auto"/>
      <w:ind w:firstLine="560" w:firstLineChars="200"/>
    </w:pPr>
    <w:rPr>
      <w:rFonts w:ascii="宋体" w:hAnsi="宋体"/>
      <w:color w:val="000000"/>
      <w:sz w:val="28"/>
      <w:szCs w:val="28"/>
    </w:rPr>
  </w:style>
  <w:style w:type="paragraph" w:customStyle="1" w:styleId="2277">
    <w:name w:val="表内5中9"/>
    <w:basedOn w:val="1510"/>
    <w:qFormat/>
    <w:uiPriority w:val="0"/>
    <w:pPr>
      <w:tabs>
        <w:tab w:val="clear" w:pos="4305"/>
      </w:tabs>
    </w:pPr>
    <w:rPr>
      <w:rFonts w:ascii="宋体" w:hAnsi="Times New Roman" w:eastAsia="宋体" w:cs="Times New Roman"/>
      <w:sz w:val="21"/>
      <w:szCs w:val="21"/>
    </w:rPr>
  </w:style>
  <w:style w:type="paragraph" w:customStyle="1" w:styleId="2278">
    <w:name w:val="表内5中55"/>
    <w:basedOn w:val="1"/>
    <w:qFormat/>
    <w:uiPriority w:val="0"/>
    <w:pPr>
      <w:adjustRightInd w:val="0"/>
      <w:snapToGrid w:val="0"/>
      <w:jc w:val="center"/>
    </w:pPr>
    <w:rPr>
      <w:rFonts w:ascii="宋体"/>
    </w:rPr>
  </w:style>
  <w:style w:type="paragraph" w:customStyle="1" w:styleId="2279">
    <w:name w:val="正文文本缩进 32"/>
    <w:basedOn w:val="1"/>
    <w:qFormat/>
    <w:uiPriority w:val="0"/>
    <w:pPr>
      <w:adjustRightInd w:val="0"/>
      <w:ind w:firstLine="538"/>
      <w:textAlignment w:val="baseline"/>
    </w:pPr>
    <w:rPr>
      <w:rFonts w:ascii="仿宋_GB2312" w:hAnsi="宋体" w:eastAsia="仿宋_GB2312"/>
      <w:kern w:val="28"/>
      <w:sz w:val="28"/>
    </w:rPr>
  </w:style>
  <w:style w:type="paragraph" w:customStyle="1" w:styleId="2280">
    <w:name w:val="页眉中29"/>
    <w:basedOn w:val="1"/>
    <w:qFormat/>
    <w:uiPriority w:val="0"/>
    <w:pPr>
      <w:adjustRightInd w:val="0"/>
      <w:snapToGrid w:val="0"/>
      <w:spacing w:line="300" w:lineRule="auto"/>
      <w:jc w:val="left"/>
    </w:pPr>
    <w:rPr>
      <w:rFonts w:ascii="黑体" w:eastAsia="黑体"/>
      <w:bCs/>
      <w:sz w:val="24"/>
    </w:rPr>
  </w:style>
  <w:style w:type="paragraph" w:customStyle="1" w:styleId="2281">
    <w:name w:val="pvf245"/>
    <w:basedOn w:val="1"/>
    <w:qFormat/>
    <w:uiPriority w:val="0"/>
    <w:pPr>
      <w:widowControl/>
      <w:spacing w:before="100" w:beforeAutospacing="1" w:after="100" w:afterAutospacing="1"/>
      <w:jc w:val="left"/>
    </w:pPr>
    <w:rPr>
      <w:rFonts w:ascii="宋体" w:hAnsi="宋体" w:cs="宋体"/>
      <w:sz w:val="24"/>
    </w:rPr>
  </w:style>
  <w:style w:type="paragraph" w:customStyle="1" w:styleId="2282">
    <w:name w:val="标题421"/>
    <w:basedOn w:val="1"/>
    <w:qFormat/>
    <w:uiPriority w:val="0"/>
    <w:pPr>
      <w:adjustRightInd w:val="0"/>
      <w:snapToGrid w:val="0"/>
      <w:spacing w:line="300" w:lineRule="auto"/>
      <w:jc w:val="left"/>
    </w:pPr>
    <w:rPr>
      <w:rFonts w:ascii="宋体" w:hAnsi="宋体"/>
      <w:sz w:val="24"/>
    </w:rPr>
  </w:style>
  <w:style w:type="paragraph" w:customStyle="1" w:styleId="2283">
    <w:name w:val="Content"/>
    <w:basedOn w:val="1"/>
    <w:qFormat/>
    <w:uiPriority w:val="0"/>
    <w:pPr>
      <w:widowControl/>
      <w:tabs>
        <w:tab w:val="left" w:pos="9480"/>
        <w:tab w:val="left" w:pos="9600"/>
      </w:tabs>
      <w:spacing w:before="120" w:after="120" w:line="240" w:lineRule="atLeast"/>
      <w:jc w:val="center"/>
    </w:pPr>
    <w:rPr>
      <w:rFonts w:ascii="Arial" w:hAnsi="Arial"/>
      <w:b/>
      <w:sz w:val="28"/>
      <w:lang w:val="fr-FR"/>
    </w:rPr>
  </w:style>
  <w:style w:type="paragraph" w:customStyle="1" w:styleId="2284">
    <w:name w:val="Char Char Char Char Char Char3 Char Char Char Char Char Char Char Char Char Char Char Char Char Char Char Char"/>
    <w:basedOn w:val="1"/>
    <w:next w:val="1"/>
    <w:qFormat/>
    <w:uiPriority w:val="0"/>
    <w:rPr>
      <w:rFonts w:ascii="Verdana" w:hAnsi="Verdana" w:eastAsia="黑体" w:cs="宋体"/>
      <w:color w:val="000000"/>
      <w:sz w:val="28"/>
      <w:szCs w:val="18"/>
    </w:rPr>
  </w:style>
  <w:style w:type="paragraph" w:customStyle="1" w:styleId="2285">
    <w:name w:val="表内文字小71"/>
    <w:basedOn w:val="1"/>
    <w:qFormat/>
    <w:uiPriority w:val="0"/>
    <w:pPr>
      <w:adjustRightInd w:val="0"/>
      <w:snapToGrid w:val="0"/>
      <w:jc w:val="center"/>
    </w:pPr>
    <w:rPr>
      <w:rFonts w:ascii="宋体" w:hAnsi="Times"/>
    </w:rPr>
  </w:style>
  <w:style w:type="paragraph" w:customStyle="1" w:styleId="2286">
    <w:name w:val="正文18"/>
    <w:basedOn w:val="1"/>
    <w:qFormat/>
    <w:uiPriority w:val="0"/>
    <w:pPr>
      <w:adjustRightInd w:val="0"/>
      <w:spacing w:line="480" w:lineRule="exact"/>
      <w:jc w:val="center"/>
      <w:textAlignment w:val="baseline"/>
    </w:pPr>
    <w:rPr>
      <w:rFonts w:ascii="宋体"/>
      <w:sz w:val="28"/>
    </w:rPr>
  </w:style>
  <w:style w:type="paragraph" w:customStyle="1" w:styleId="2287">
    <w:name w:val="图号3"/>
    <w:basedOn w:val="1"/>
    <w:qFormat/>
    <w:uiPriority w:val="0"/>
    <w:pPr>
      <w:jc w:val="center"/>
    </w:pPr>
    <w:rPr>
      <w:rFonts w:ascii="黑体" w:eastAsia="黑体"/>
      <w:sz w:val="24"/>
    </w:rPr>
  </w:style>
  <w:style w:type="paragraph" w:customStyle="1" w:styleId="2288">
    <w:name w:val="表内文字边4"/>
    <w:basedOn w:val="1596"/>
    <w:qFormat/>
    <w:uiPriority w:val="0"/>
    <w:pPr>
      <w:adjustRightInd w:val="0"/>
      <w:snapToGrid w:val="0"/>
      <w:jc w:val="both"/>
    </w:pPr>
  </w:style>
  <w:style w:type="paragraph" w:customStyle="1" w:styleId="2289">
    <w:name w:val="样式 标题 1 + 黑体 段前: 15 磅 段后: 15 磅 行距: 单倍行距"/>
    <w:basedOn w:val="3"/>
    <w:qFormat/>
    <w:uiPriority w:val="0"/>
    <w:pPr>
      <w:tabs>
        <w:tab w:val="left" w:pos="360"/>
      </w:tabs>
      <w:adjustRightInd w:val="0"/>
      <w:snapToGrid w:val="0"/>
      <w:spacing w:beforeLines="100" w:afterLines="100" w:line="240" w:lineRule="auto"/>
      <w:ind w:left="126" w:hanging="126" w:hangingChars="35"/>
      <w:jc w:val="center"/>
    </w:pPr>
    <w:rPr>
      <w:rFonts w:hAnsi="黑体" w:eastAsia="黑体"/>
      <w:b w:val="0"/>
      <w:szCs w:val="20"/>
    </w:rPr>
  </w:style>
  <w:style w:type="paragraph" w:customStyle="1" w:styleId="2290">
    <w:name w:val="Char Char Char1 Char11"/>
    <w:basedOn w:val="1"/>
    <w:qFormat/>
    <w:uiPriority w:val="0"/>
  </w:style>
  <w:style w:type="paragraph" w:customStyle="1" w:styleId="2291">
    <w:name w:val="xl36"/>
    <w:basedOn w:val="1"/>
    <w:qFormat/>
    <w:uiPriority w:val="0"/>
    <w:pPr>
      <w:widowControl/>
      <w:pBdr>
        <w:top w:val="single" w:color="auto" w:sz="4" w:space="0"/>
        <w:left w:val="single" w:color="auto" w:sz="4" w:space="0"/>
        <w:bottom w:val="single" w:color="auto" w:sz="4" w:space="0"/>
      </w:pBdr>
      <w:spacing w:before="100" w:beforeAutospacing="1" w:after="100" w:afterAutospacing="1"/>
      <w:jc w:val="right"/>
    </w:pPr>
    <w:rPr>
      <w:rFonts w:ascii="宋体" w:hAnsi="宋体"/>
      <w:sz w:val="16"/>
      <w:szCs w:val="16"/>
    </w:rPr>
  </w:style>
  <w:style w:type="paragraph" w:customStyle="1" w:styleId="2292">
    <w:name w:val="图题71"/>
    <w:basedOn w:val="1"/>
    <w:qFormat/>
    <w:uiPriority w:val="0"/>
    <w:pPr>
      <w:adjustRightInd w:val="0"/>
      <w:snapToGrid w:val="0"/>
      <w:ind w:firstLine="533" w:firstLineChars="222"/>
      <w:jc w:val="center"/>
    </w:pPr>
    <w:rPr>
      <w:rFonts w:ascii="黑体" w:hAnsi="宋体" w:eastAsia="黑体"/>
      <w:snapToGrid w:val="0"/>
      <w:sz w:val="24"/>
    </w:rPr>
  </w:style>
  <w:style w:type="paragraph" w:customStyle="1" w:styleId="2293">
    <w:name w:val="正文首行缩进 22"/>
    <w:basedOn w:val="1"/>
    <w:qFormat/>
    <w:uiPriority w:val="0"/>
    <w:pPr>
      <w:spacing w:after="120"/>
      <w:ind w:left="420" w:leftChars="200" w:firstLine="420" w:firstLineChars="200"/>
    </w:pPr>
    <w:rPr>
      <w:rFonts w:ascii="Calibri" w:hAnsi="Calibri"/>
    </w:rPr>
  </w:style>
  <w:style w:type="paragraph" w:customStyle="1" w:styleId="2294">
    <w:name w:val="页眉中111"/>
    <w:basedOn w:val="1"/>
    <w:qFormat/>
    <w:uiPriority w:val="0"/>
    <w:pPr>
      <w:adjustRightInd w:val="0"/>
      <w:snapToGrid w:val="0"/>
      <w:spacing w:line="300" w:lineRule="auto"/>
      <w:jc w:val="left"/>
    </w:pPr>
    <w:rPr>
      <w:rFonts w:ascii="黑体" w:hAnsi="宋体" w:eastAsia="黑体"/>
      <w:sz w:val="24"/>
    </w:rPr>
  </w:style>
  <w:style w:type="paragraph" w:customStyle="1" w:styleId="2295">
    <w:name w:val="图题32"/>
    <w:basedOn w:val="21"/>
    <w:qFormat/>
    <w:uiPriority w:val="0"/>
    <w:pPr>
      <w:adjustRightInd w:val="0"/>
      <w:snapToGrid w:val="0"/>
      <w:ind w:firstLine="0" w:firstLineChars="0"/>
      <w:jc w:val="center"/>
    </w:pPr>
    <w:rPr>
      <w:rFonts w:ascii="方正大标宋简体" w:eastAsia="方正大标宋简体"/>
      <w:b/>
      <w:szCs w:val="24"/>
    </w:rPr>
  </w:style>
  <w:style w:type="paragraph" w:customStyle="1" w:styleId="2296">
    <w:name w:val="表题11"/>
    <w:basedOn w:val="1"/>
    <w:qFormat/>
    <w:uiPriority w:val="0"/>
    <w:pPr>
      <w:adjustRightInd w:val="0"/>
      <w:snapToGrid w:val="0"/>
      <w:jc w:val="center"/>
      <w:textAlignment w:val="baseline"/>
    </w:pPr>
    <w:rPr>
      <w:rFonts w:ascii="黑体" w:hAnsi="宋体" w:eastAsia="黑体"/>
      <w:sz w:val="24"/>
    </w:rPr>
  </w:style>
  <w:style w:type="paragraph" w:customStyle="1" w:styleId="2297">
    <w:name w:val="表内宋53"/>
    <w:basedOn w:val="82"/>
    <w:qFormat/>
    <w:uiPriority w:val="0"/>
    <w:pPr>
      <w:widowControl/>
      <w:adjustRightInd w:val="0"/>
      <w:snapToGrid w:val="0"/>
    </w:pPr>
    <w:rPr>
      <w:rFonts w:ascii="宋体" w:hAnsi="宋体" w:cs="宋体"/>
      <w:color w:val="000000"/>
      <w:sz w:val="21"/>
    </w:rPr>
  </w:style>
  <w:style w:type="paragraph" w:customStyle="1" w:styleId="2298">
    <w:name w:val="表题42"/>
    <w:basedOn w:val="35"/>
    <w:qFormat/>
    <w:uiPriority w:val="0"/>
    <w:pPr>
      <w:tabs>
        <w:tab w:val="left" w:pos="4305"/>
      </w:tabs>
      <w:adjustRightInd w:val="0"/>
      <w:snapToGrid w:val="0"/>
      <w:spacing w:after="0"/>
      <w:ind w:left="0" w:leftChars="0"/>
      <w:jc w:val="center"/>
    </w:pPr>
    <w:rPr>
      <w:rFonts w:ascii="黑体" w:hAnsi="宋体" w:eastAsia="黑体" w:cs="宋体"/>
      <w:color w:val="000000"/>
      <w:sz w:val="24"/>
    </w:rPr>
  </w:style>
  <w:style w:type="paragraph" w:customStyle="1" w:styleId="2299">
    <w:name w:val="报告节标题"/>
    <w:basedOn w:val="4"/>
    <w:next w:val="1"/>
    <w:qFormat/>
    <w:uiPriority w:val="0"/>
    <w:pPr>
      <w:tabs>
        <w:tab w:val="left" w:pos="1145"/>
        <w:tab w:val="clear" w:pos="1427"/>
      </w:tabs>
      <w:spacing w:beforeLines="0" w:afterLines="0" w:line="400" w:lineRule="exact"/>
      <w:ind w:left="482" w:hanging="57"/>
      <w:jc w:val="center"/>
      <w:textAlignment w:val="auto"/>
    </w:pPr>
    <w:rPr>
      <w:rFonts w:ascii="Arial" w:hAnsi="Arial"/>
      <w:b w:val="0"/>
      <w:kern w:val="2"/>
      <w:sz w:val="30"/>
    </w:rPr>
  </w:style>
  <w:style w:type="paragraph" w:customStyle="1" w:styleId="2300">
    <w:name w:val="表格wenben 小五 居中"/>
    <w:basedOn w:val="1"/>
    <w:qFormat/>
    <w:uiPriority w:val="0"/>
    <w:pPr>
      <w:adjustRightInd w:val="0"/>
      <w:snapToGrid w:val="0"/>
      <w:spacing w:line="480" w:lineRule="exact"/>
      <w:jc w:val="center"/>
    </w:pPr>
    <w:rPr>
      <w:rFonts w:cs="宋体"/>
      <w:sz w:val="18"/>
      <w:szCs w:val="18"/>
    </w:rPr>
  </w:style>
  <w:style w:type="paragraph" w:customStyle="1" w:styleId="2301">
    <w:name w:val="吴用文本"/>
    <w:basedOn w:val="47"/>
    <w:qFormat/>
    <w:uiPriority w:val="0"/>
    <w:pPr>
      <w:snapToGrid/>
      <w:spacing w:line="480" w:lineRule="atLeast"/>
      <w:ind w:firstLine="480" w:firstLineChars="200"/>
      <w:jc w:val="left"/>
    </w:pPr>
    <w:rPr>
      <w:rFonts w:ascii="Arial" w:hAnsi="Arial" w:cs="Arial"/>
      <w:sz w:val="24"/>
      <w:szCs w:val="21"/>
    </w:rPr>
  </w:style>
  <w:style w:type="paragraph" w:customStyle="1" w:styleId="2302">
    <w:name w:val="文档标签"/>
    <w:qFormat/>
    <w:uiPriority w:val="0"/>
    <w:pPr>
      <w:pBdr>
        <w:top w:val="double" w:color="auto" w:sz="6" w:space="8"/>
        <w:bottom w:val="double" w:color="auto" w:sz="6" w:space="8"/>
      </w:pBdr>
      <w:spacing w:after="40" w:line="240" w:lineRule="atLeast"/>
      <w:jc w:val="center"/>
    </w:pPr>
    <w:rPr>
      <w:rFonts w:ascii="Garamond" w:hAnsi="Garamond" w:eastAsia="黑体" w:cs="Times New Roman"/>
      <w:b/>
      <w:caps/>
      <w:spacing w:val="20"/>
      <w:sz w:val="24"/>
      <w:lang w:val="en-US" w:eastAsia="zh-CN" w:bidi="ar-SA"/>
    </w:rPr>
  </w:style>
  <w:style w:type="paragraph" w:customStyle="1" w:styleId="2303">
    <w:name w:val="CM34"/>
    <w:basedOn w:val="1"/>
    <w:next w:val="1"/>
    <w:qFormat/>
    <w:uiPriority w:val="0"/>
    <w:pPr>
      <w:autoSpaceDE w:val="0"/>
      <w:autoSpaceDN w:val="0"/>
      <w:adjustRightInd w:val="0"/>
      <w:spacing w:after="123"/>
      <w:jc w:val="left"/>
    </w:pPr>
    <w:rPr>
      <w:rFonts w:ascii="Arial Unicode MS" w:hAnsi="Arial Unicode MS"/>
      <w:sz w:val="24"/>
    </w:rPr>
  </w:style>
  <w:style w:type="paragraph" w:customStyle="1" w:styleId="2304">
    <w:name w:val="样式 小四 行距: 固定值 24 磅 首行缩进:  2 字符"/>
    <w:basedOn w:val="1"/>
    <w:qFormat/>
    <w:uiPriority w:val="0"/>
    <w:pPr>
      <w:spacing w:line="440" w:lineRule="exact"/>
      <w:ind w:firstLine="200" w:firstLineChars="200"/>
    </w:pPr>
    <w:rPr>
      <w:sz w:val="24"/>
    </w:rPr>
  </w:style>
  <w:style w:type="paragraph" w:customStyle="1" w:styleId="2305">
    <w:name w:val="標準インデント　2"/>
    <w:basedOn w:val="21"/>
    <w:qFormat/>
    <w:uiPriority w:val="0"/>
    <w:pPr>
      <w:overflowPunct w:val="0"/>
      <w:autoSpaceDE w:val="0"/>
      <w:autoSpaceDN w:val="0"/>
      <w:adjustRightInd w:val="0"/>
      <w:spacing w:line="360" w:lineRule="auto"/>
      <w:ind w:left="2900" w:hanging="2038" w:firstLineChars="0"/>
      <w:jc w:val="left"/>
      <w:textAlignment w:val="baseline"/>
    </w:pPr>
    <w:rPr>
      <w:rFonts w:ascii="宋体" w:hAnsi="Calibri" w:eastAsia="MS Mincho"/>
      <w:sz w:val="20"/>
      <w:szCs w:val="22"/>
      <w:lang w:eastAsia="ja-JP"/>
    </w:rPr>
  </w:style>
  <w:style w:type="paragraph" w:customStyle="1" w:styleId="2306">
    <w:name w:val="批注框文本 Char Char"/>
    <w:basedOn w:val="1"/>
    <w:qFormat/>
    <w:uiPriority w:val="0"/>
    <w:rPr>
      <w:sz w:val="18"/>
    </w:rPr>
  </w:style>
  <w:style w:type="paragraph" w:customStyle="1" w:styleId="2307">
    <w:name w:val="textstyle1"/>
    <w:basedOn w:val="1"/>
    <w:qFormat/>
    <w:uiPriority w:val="0"/>
    <w:pPr>
      <w:widowControl/>
      <w:overflowPunct w:val="0"/>
      <w:autoSpaceDE w:val="0"/>
      <w:autoSpaceDN w:val="0"/>
      <w:adjustRightInd w:val="0"/>
      <w:spacing w:before="120"/>
      <w:ind w:left="288" w:leftChars="150" w:firstLine="432" w:firstLineChars="200"/>
      <w:textAlignment w:val="baseline"/>
    </w:pPr>
    <w:rPr>
      <w:rFonts w:ascii="楷体" w:eastAsia="楷体"/>
      <w:sz w:val="24"/>
      <w:lang w:val="en-GB"/>
    </w:rPr>
  </w:style>
  <w:style w:type="paragraph" w:customStyle="1" w:styleId="2308">
    <w:name w:val="样式 样式 表2.1 + 居中 + 黑色"/>
    <w:basedOn w:val="2309"/>
    <w:qFormat/>
    <w:uiPriority w:val="0"/>
    <w:pPr>
      <w:tabs>
        <w:tab w:val="left" w:pos="360"/>
        <w:tab w:val="left" w:pos="420"/>
        <w:tab w:val="left" w:pos="780"/>
        <w:tab w:val="left" w:pos="840"/>
        <w:tab w:val="left" w:pos="1080"/>
      </w:tabs>
      <w:ind w:left="3041" w:firstLine="4"/>
    </w:pPr>
    <w:rPr>
      <w:color w:val="000000"/>
    </w:rPr>
  </w:style>
  <w:style w:type="paragraph" w:customStyle="1" w:styleId="2309">
    <w:name w:val="样式 表2.1 + 居中"/>
    <w:basedOn w:val="485"/>
    <w:qFormat/>
    <w:uiPriority w:val="0"/>
    <w:pPr>
      <w:tabs>
        <w:tab w:val="left" w:pos="360"/>
        <w:tab w:val="left" w:pos="420"/>
        <w:tab w:val="left" w:pos="780"/>
        <w:tab w:val="left" w:pos="840"/>
        <w:tab w:val="clear" w:pos="4060"/>
        <w:tab w:val="clear" w:pos="8261"/>
      </w:tabs>
      <w:ind w:left="360" w:hanging="360"/>
      <w:jc w:val="center"/>
    </w:pPr>
    <w:rPr>
      <w:rFonts w:cs="宋体"/>
      <w:bCs/>
      <w:szCs w:val="20"/>
    </w:rPr>
  </w:style>
  <w:style w:type="paragraph" w:customStyle="1" w:styleId="2310">
    <w:name w:val="font11"/>
    <w:basedOn w:val="1"/>
    <w:qFormat/>
    <w:uiPriority w:val="0"/>
    <w:pPr>
      <w:widowControl/>
      <w:spacing w:before="100" w:beforeAutospacing="1" w:after="100" w:afterAutospacing="1"/>
      <w:jc w:val="left"/>
    </w:pPr>
    <w:rPr>
      <w:rFonts w:hint="eastAsia" w:ascii="宋体" w:hAnsi="宋体"/>
      <w:color w:val="FF00FF"/>
      <w:sz w:val="18"/>
      <w:szCs w:val="18"/>
    </w:rPr>
  </w:style>
  <w:style w:type="paragraph" w:customStyle="1" w:styleId="2311">
    <w:name w:val="样式 页眉 + 宋体 黑色 段前: 0 磅 段后: 0 磅 行距: 固定值 12 磅"/>
    <w:basedOn w:val="58"/>
    <w:qFormat/>
    <w:uiPriority w:val="0"/>
    <w:pPr>
      <w:pBdr>
        <w:bottom w:val="none" w:color="auto" w:sz="0" w:space="0"/>
      </w:pBdr>
      <w:tabs>
        <w:tab w:val="clear" w:pos="4153"/>
        <w:tab w:val="clear" w:pos="8306"/>
      </w:tabs>
      <w:snapToGrid/>
      <w:spacing w:line="240" w:lineRule="exact"/>
    </w:pPr>
    <w:rPr>
      <w:rFonts w:ascii="宋体" w:hAnsi="宋体"/>
      <w:color w:val="000000"/>
      <w:sz w:val="21"/>
      <w:szCs w:val="20"/>
    </w:rPr>
  </w:style>
  <w:style w:type="paragraph" w:customStyle="1" w:styleId="2312">
    <w:name w:val="标题3！"/>
    <w:basedOn w:val="5"/>
    <w:qFormat/>
    <w:uiPriority w:val="0"/>
    <w:pPr>
      <w:keepLines w:val="0"/>
      <w:tabs>
        <w:tab w:val="clear" w:pos="720"/>
      </w:tabs>
      <w:adjustRightInd/>
      <w:spacing w:beforeLines="50" w:line="460" w:lineRule="atLeast"/>
      <w:ind w:left="0" w:firstLine="0"/>
      <w:jc w:val="both"/>
      <w:textAlignment w:val="auto"/>
    </w:pPr>
    <w:rPr>
      <w:rFonts w:eastAsia="宋体"/>
      <w:color w:val="auto"/>
      <w:spacing w:val="0"/>
      <w:kern w:val="2"/>
      <w:sz w:val="24"/>
      <w:szCs w:val="24"/>
    </w:rPr>
  </w:style>
  <w:style w:type="paragraph" w:customStyle="1" w:styleId="2313">
    <w:name w:val="标题11"/>
    <w:basedOn w:val="3"/>
    <w:qFormat/>
    <w:uiPriority w:val="0"/>
    <w:pPr>
      <w:keepNext w:val="0"/>
      <w:keepLines w:val="0"/>
      <w:autoSpaceDE w:val="0"/>
      <w:autoSpaceDN w:val="0"/>
      <w:adjustRightInd w:val="0"/>
      <w:snapToGrid w:val="0"/>
      <w:spacing w:before="240" w:after="120" w:line="520" w:lineRule="atLeast"/>
      <w:jc w:val="center"/>
    </w:pPr>
    <w:rPr>
      <w:rFonts w:ascii="方正小标宋简体" w:eastAsia="隶书"/>
      <w:bCs w:val="0"/>
      <w:szCs w:val="20"/>
    </w:rPr>
  </w:style>
  <w:style w:type="paragraph" w:customStyle="1" w:styleId="2314">
    <w:name w:val="表格文本 小五 居中"/>
    <w:basedOn w:val="1"/>
    <w:qFormat/>
    <w:uiPriority w:val="0"/>
    <w:pPr>
      <w:adjustRightInd w:val="0"/>
      <w:snapToGrid w:val="0"/>
      <w:jc w:val="center"/>
    </w:pPr>
    <w:rPr>
      <w:rFonts w:cs="宋体"/>
      <w:sz w:val="18"/>
      <w:szCs w:val="18"/>
    </w:rPr>
  </w:style>
  <w:style w:type="paragraph" w:customStyle="1" w:styleId="2315">
    <w:name w:val="样式19"/>
    <w:basedOn w:val="47"/>
    <w:qFormat/>
    <w:uiPriority w:val="0"/>
    <w:pPr>
      <w:adjustRightInd w:val="0"/>
      <w:spacing w:line="300" w:lineRule="auto"/>
      <w:ind w:firstLine="560" w:firstLineChars="200"/>
    </w:pPr>
    <w:rPr>
      <w:rFonts w:ascii="黑体" w:hAnsi="Times New Roman" w:eastAsia="黑体"/>
      <w:sz w:val="28"/>
    </w:rPr>
  </w:style>
  <w:style w:type="paragraph" w:customStyle="1" w:styleId="2316">
    <w:name w:val="标题 812"/>
    <w:basedOn w:val="1"/>
    <w:next w:val="1"/>
    <w:qFormat/>
    <w:uiPriority w:val="0"/>
    <w:pPr>
      <w:keepNext/>
      <w:keepLines/>
      <w:adjustRightInd w:val="0"/>
      <w:spacing w:line="480" w:lineRule="atLeast"/>
      <w:ind w:firstLine="567"/>
      <w:textAlignment w:val="baseline"/>
    </w:pPr>
    <w:rPr>
      <w:rFonts w:hint="eastAsia" w:ascii="Arial" w:hAnsi="Arial"/>
      <w:sz w:val="24"/>
    </w:rPr>
  </w:style>
  <w:style w:type="paragraph" w:customStyle="1" w:styleId="2317">
    <w:name w:val="CM13"/>
    <w:basedOn w:val="641"/>
    <w:next w:val="641"/>
    <w:qFormat/>
    <w:uiPriority w:val="0"/>
    <w:pPr>
      <w:spacing w:after="153"/>
    </w:pPr>
    <w:rPr>
      <w:rFonts w:ascii="Times New Roman" w:cs="Times New Roman"/>
      <w:color w:val="auto"/>
    </w:rPr>
  </w:style>
  <w:style w:type="paragraph" w:customStyle="1" w:styleId="2318">
    <w:name w:val="表内5中5"/>
    <w:basedOn w:val="1"/>
    <w:qFormat/>
    <w:uiPriority w:val="0"/>
    <w:pPr>
      <w:adjustRightInd w:val="0"/>
      <w:snapToGrid w:val="0"/>
      <w:jc w:val="center"/>
    </w:pPr>
    <w:rPr>
      <w:rFonts w:ascii="宋体"/>
    </w:rPr>
  </w:style>
  <w:style w:type="paragraph" w:customStyle="1" w:styleId="2319">
    <w:name w:val="样式35"/>
    <w:basedOn w:val="34"/>
    <w:qFormat/>
    <w:uiPriority w:val="0"/>
    <w:pPr>
      <w:widowControl/>
      <w:overflowPunct w:val="0"/>
      <w:autoSpaceDE w:val="0"/>
      <w:autoSpaceDN w:val="0"/>
      <w:adjustRightInd w:val="0"/>
      <w:snapToGrid w:val="0"/>
      <w:spacing w:after="0" w:line="360" w:lineRule="auto"/>
      <w:ind w:firstLine="567"/>
      <w:textAlignment w:val="baseline"/>
    </w:pPr>
    <w:rPr>
      <w:rFonts w:ascii="宋体"/>
      <w:spacing w:val="20"/>
      <w:sz w:val="24"/>
    </w:rPr>
  </w:style>
  <w:style w:type="paragraph" w:customStyle="1" w:styleId="2320">
    <w:name w:val="样式 黑体 三号 居中 行距: 单倍行距"/>
    <w:basedOn w:val="1"/>
    <w:qFormat/>
    <w:uiPriority w:val="0"/>
    <w:pPr>
      <w:spacing w:line="480" w:lineRule="exact"/>
      <w:jc w:val="center"/>
    </w:pPr>
    <w:rPr>
      <w:rFonts w:ascii="黑体" w:eastAsia="黑体" w:cs="宋体"/>
      <w:sz w:val="32"/>
    </w:rPr>
  </w:style>
  <w:style w:type="paragraph" w:customStyle="1" w:styleId="2321">
    <w:name w:val="框图内容"/>
    <w:basedOn w:val="1114"/>
    <w:qFormat/>
    <w:uiPriority w:val="0"/>
    <w:pPr>
      <w:adjustRightInd/>
      <w:spacing w:before="0" w:after="0" w:line="320" w:lineRule="exact"/>
      <w:jc w:val="center"/>
      <w:textAlignment w:val="auto"/>
    </w:pPr>
    <w:rPr>
      <w:rFonts w:ascii="宋体" w:hAnsi="宋体" w:eastAsia="宋体"/>
      <w:b/>
      <w:bCs/>
      <w:sz w:val="21"/>
      <w:szCs w:val="24"/>
    </w:rPr>
  </w:style>
  <w:style w:type="paragraph" w:customStyle="1" w:styleId="2322">
    <w:name w:val="图题72"/>
    <w:basedOn w:val="1"/>
    <w:qFormat/>
    <w:uiPriority w:val="0"/>
    <w:pPr>
      <w:adjustRightInd w:val="0"/>
      <w:snapToGrid w:val="0"/>
      <w:ind w:firstLine="533" w:firstLineChars="222"/>
      <w:jc w:val="center"/>
    </w:pPr>
    <w:rPr>
      <w:rFonts w:ascii="黑体" w:hAnsi="宋体" w:eastAsia="黑体"/>
      <w:snapToGrid w:val="0"/>
      <w:sz w:val="24"/>
    </w:rPr>
  </w:style>
  <w:style w:type="paragraph" w:customStyle="1" w:styleId="2323">
    <w:name w:val="图题25"/>
    <w:basedOn w:val="5"/>
    <w:qFormat/>
    <w:uiPriority w:val="0"/>
    <w:pPr>
      <w:keepNext w:val="0"/>
      <w:keepLines w:val="0"/>
      <w:tabs>
        <w:tab w:val="clear" w:pos="720"/>
      </w:tabs>
      <w:snapToGrid w:val="0"/>
      <w:spacing w:before="120"/>
      <w:ind w:left="0" w:firstLine="0"/>
      <w:jc w:val="center"/>
      <w:textAlignment w:val="auto"/>
    </w:pPr>
    <w:rPr>
      <w:rFonts w:ascii="黑体" w:hAnsi="宋体" w:cs="宋体"/>
      <w:b w:val="0"/>
      <w:bCs/>
      <w:color w:val="auto"/>
      <w:spacing w:val="0"/>
      <w:kern w:val="2"/>
      <w:szCs w:val="28"/>
    </w:rPr>
  </w:style>
  <w:style w:type="paragraph" w:customStyle="1" w:styleId="2324">
    <w:name w:val="表题71"/>
    <w:basedOn w:val="35"/>
    <w:qFormat/>
    <w:uiPriority w:val="0"/>
    <w:pPr>
      <w:tabs>
        <w:tab w:val="left" w:pos="4305"/>
      </w:tabs>
      <w:adjustRightInd w:val="0"/>
      <w:snapToGrid w:val="0"/>
      <w:spacing w:after="0"/>
      <w:ind w:left="0" w:leftChars="0"/>
      <w:jc w:val="center"/>
    </w:pPr>
    <w:rPr>
      <w:rFonts w:ascii="黑体" w:hAnsi="宋体" w:eastAsia="黑体"/>
      <w:sz w:val="24"/>
    </w:rPr>
  </w:style>
  <w:style w:type="paragraph" w:customStyle="1" w:styleId="2325">
    <w:name w:val="表内文字小15"/>
    <w:basedOn w:val="1"/>
    <w:qFormat/>
    <w:uiPriority w:val="0"/>
    <w:pPr>
      <w:adjustRightInd w:val="0"/>
      <w:snapToGrid w:val="0"/>
      <w:jc w:val="center"/>
    </w:pPr>
    <w:rPr>
      <w:rFonts w:ascii="宋体" w:hAnsi="Times"/>
    </w:rPr>
  </w:style>
  <w:style w:type="paragraph" w:customStyle="1" w:styleId="2326">
    <w:name w:val="表中文字2"/>
    <w:basedOn w:val="1"/>
    <w:qFormat/>
    <w:uiPriority w:val="0"/>
    <w:pPr>
      <w:widowControl/>
      <w:spacing w:line="240" w:lineRule="atLeast"/>
      <w:ind w:left="-24" w:leftChars="-10" w:right="-48" w:rightChars="-20"/>
      <w:jc w:val="center"/>
    </w:pPr>
    <w:rPr>
      <w:rFonts w:ascii="宋体"/>
      <w:szCs w:val="21"/>
    </w:rPr>
  </w:style>
  <w:style w:type="paragraph" w:customStyle="1" w:styleId="2327">
    <w:name w:val="xl111"/>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cs="宋体"/>
      <w:sz w:val="18"/>
      <w:szCs w:val="18"/>
    </w:rPr>
  </w:style>
  <w:style w:type="paragraph" w:customStyle="1" w:styleId="2328">
    <w:name w:val="Char Char Char Char Char Char1 Char Char Char Char Char Char Char Char Char Char"/>
    <w:basedOn w:val="1"/>
    <w:qFormat/>
    <w:uiPriority w:val="0"/>
    <w:pPr>
      <w:spacing w:line="360" w:lineRule="auto"/>
      <w:ind w:firstLine="200" w:firstLineChars="200"/>
    </w:pPr>
    <w:rPr>
      <w:rFonts w:ascii="宋体" w:hAnsi="宋体" w:cs="宋体"/>
      <w:sz w:val="24"/>
    </w:rPr>
  </w:style>
  <w:style w:type="paragraph" w:customStyle="1" w:styleId="2329">
    <w:name w:val="样式 居中"/>
    <w:basedOn w:val="1"/>
    <w:qFormat/>
    <w:uiPriority w:val="0"/>
    <w:pPr>
      <w:adjustRightInd w:val="0"/>
      <w:snapToGrid w:val="0"/>
      <w:spacing w:line="440" w:lineRule="atLeast"/>
      <w:ind w:firstLine="200" w:firstLineChars="200"/>
      <w:jc w:val="center"/>
    </w:pPr>
    <w:rPr>
      <w:sz w:val="24"/>
    </w:rPr>
  </w:style>
  <w:style w:type="paragraph" w:customStyle="1" w:styleId="2330">
    <w:name w:val="农业部一"/>
    <w:next w:val="34"/>
    <w:qFormat/>
    <w:uiPriority w:val="0"/>
    <w:pPr>
      <w:widowControl w:val="0"/>
      <w:topLinePunct/>
      <w:spacing w:line="480" w:lineRule="atLeast"/>
      <w:jc w:val="center"/>
    </w:pPr>
    <w:rPr>
      <w:rFonts w:ascii="Times New Roman" w:hAnsi="Times New Roman" w:eastAsia="宋体" w:cs="Times New Roman"/>
      <w:kern w:val="2"/>
      <w:sz w:val="21"/>
      <w:szCs w:val="24"/>
      <w:lang w:val="en-US" w:eastAsia="zh-CN" w:bidi="ar-SA"/>
    </w:rPr>
  </w:style>
  <w:style w:type="paragraph" w:customStyle="1" w:styleId="2331">
    <w:name w:val="页眉中61"/>
    <w:basedOn w:val="47"/>
    <w:qFormat/>
    <w:uiPriority w:val="0"/>
    <w:pPr>
      <w:adjustRightInd w:val="0"/>
      <w:spacing w:line="360" w:lineRule="auto"/>
      <w:jc w:val="left"/>
    </w:pPr>
    <w:rPr>
      <w:rFonts w:ascii="黑体" w:hAnsi="Times New Roman" w:eastAsia="黑体"/>
      <w:bCs/>
      <w:sz w:val="24"/>
      <w:szCs w:val="24"/>
    </w:rPr>
  </w:style>
  <w:style w:type="paragraph" w:customStyle="1" w:styleId="2332">
    <w:name w:val="图题2"/>
    <w:basedOn w:val="5"/>
    <w:qFormat/>
    <w:uiPriority w:val="0"/>
    <w:pPr>
      <w:keepNext w:val="0"/>
      <w:keepLines w:val="0"/>
      <w:tabs>
        <w:tab w:val="clear" w:pos="720"/>
      </w:tabs>
      <w:snapToGrid w:val="0"/>
      <w:spacing w:before="120"/>
      <w:ind w:left="0" w:firstLine="0"/>
      <w:jc w:val="center"/>
      <w:textAlignment w:val="auto"/>
    </w:pPr>
    <w:rPr>
      <w:rFonts w:ascii="黑体" w:hAnsi="宋体" w:cs="宋体"/>
      <w:b w:val="0"/>
      <w:bCs/>
      <w:color w:val="auto"/>
      <w:spacing w:val="0"/>
      <w:kern w:val="2"/>
      <w:szCs w:val="28"/>
    </w:rPr>
  </w:style>
  <w:style w:type="paragraph" w:customStyle="1" w:styleId="2333">
    <w:name w:val="正文文本 212"/>
    <w:basedOn w:val="1"/>
    <w:qFormat/>
    <w:uiPriority w:val="0"/>
    <w:pPr>
      <w:adjustRightInd w:val="0"/>
      <w:ind w:firstLine="840"/>
      <w:textAlignment w:val="baseline"/>
    </w:pPr>
    <w:rPr>
      <w:sz w:val="30"/>
    </w:rPr>
  </w:style>
  <w:style w:type="paragraph" w:customStyle="1" w:styleId="2334">
    <w:name w:val="文-1"/>
    <w:basedOn w:val="1"/>
    <w:qFormat/>
    <w:uiPriority w:val="0"/>
    <w:pPr>
      <w:spacing w:before="120"/>
      <w:ind w:left="851" w:firstLine="482"/>
    </w:pPr>
    <w:rPr>
      <w:sz w:val="24"/>
    </w:rPr>
  </w:style>
  <w:style w:type="paragraph" w:customStyle="1" w:styleId="2335">
    <w:name w:val="标题12.3.1"/>
    <w:basedOn w:val="5"/>
    <w:qFormat/>
    <w:uiPriority w:val="0"/>
    <w:pPr>
      <w:keepNext w:val="0"/>
      <w:keepLines w:val="0"/>
      <w:tabs>
        <w:tab w:val="left" w:pos="709"/>
        <w:tab w:val="clear" w:pos="720"/>
      </w:tabs>
      <w:adjustRightInd/>
      <w:spacing w:before="120" w:after="120" w:line="324" w:lineRule="auto"/>
      <w:ind w:left="709" w:hanging="709"/>
      <w:jc w:val="both"/>
      <w:textAlignment w:val="auto"/>
    </w:pPr>
    <w:rPr>
      <w:color w:val="auto"/>
      <w:spacing w:val="0"/>
      <w:kern w:val="2"/>
      <w:sz w:val="24"/>
      <w:szCs w:val="24"/>
    </w:rPr>
  </w:style>
  <w:style w:type="paragraph" w:customStyle="1" w:styleId="2336">
    <w:name w:val="纯文本32"/>
    <w:basedOn w:val="1"/>
    <w:qFormat/>
    <w:uiPriority w:val="0"/>
    <w:pPr>
      <w:adjustRightInd w:val="0"/>
      <w:textAlignment w:val="baseline"/>
    </w:pPr>
    <w:rPr>
      <w:rFonts w:ascii="宋体" w:hAnsi="Courier New"/>
    </w:rPr>
  </w:style>
  <w:style w:type="paragraph" w:customStyle="1" w:styleId="2337">
    <w:name w:val="标题12.2.6.1"/>
    <w:basedOn w:val="2338"/>
    <w:qFormat/>
    <w:uiPriority w:val="0"/>
    <w:pPr>
      <w:tabs>
        <w:tab w:val="left" w:pos="1200"/>
      </w:tabs>
      <w:spacing w:afterLines="0"/>
      <w:ind w:left="1200" w:leftChars="400" w:hanging="360" w:hangingChars="200"/>
    </w:pPr>
  </w:style>
  <w:style w:type="paragraph" w:customStyle="1" w:styleId="2338">
    <w:name w:val="样式 标题 41.1.1.1标题 4.1.1.1.1标题 4 Char款标41.1.1.1 Char段1.1.1..."/>
    <w:basedOn w:val="6"/>
    <w:qFormat/>
    <w:uiPriority w:val="0"/>
    <w:pPr>
      <w:keepNext w:val="0"/>
      <w:keepLines w:val="0"/>
      <w:spacing w:before="120" w:afterLines="50" w:line="312" w:lineRule="auto"/>
      <w:jc w:val="left"/>
    </w:pPr>
    <w:rPr>
      <w:rFonts w:ascii="宋体" w:hAnsi="宋体" w:cs="宋体"/>
      <w:bCs w:val="0"/>
      <w:sz w:val="24"/>
      <w:szCs w:val="24"/>
    </w:rPr>
  </w:style>
  <w:style w:type="paragraph" w:customStyle="1" w:styleId="2339">
    <w:name w:val="表体宋旭峰"/>
    <w:basedOn w:val="47"/>
    <w:qFormat/>
    <w:uiPriority w:val="0"/>
    <w:pPr>
      <w:overflowPunct w:val="0"/>
      <w:snapToGrid/>
      <w:spacing w:line="280" w:lineRule="atLeast"/>
      <w:jc w:val="center"/>
      <w:textAlignment w:val="baseline"/>
    </w:pPr>
    <w:rPr>
      <w:rFonts w:cs="Courier New"/>
      <w:snapToGrid w:val="0"/>
      <w:kern w:val="24"/>
      <w:sz w:val="18"/>
    </w:rPr>
  </w:style>
  <w:style w:type="paragraph" w:customStyle="1" w:styleId="2340">
    <w:name w:val="页眉中53"/>
    <w:basedOn w:val="1"/>
    <w:qFormat/>
    <w:uiPriority w:val="0"/>
    <w:pPr>
      <w:adjustRightInd w:val="0"/>
      <w:snapToGrid w:val="0"/>
      <w:spacing w:line="300" w:lineRule="auto"/>
      <w:jc w:val="center"/>
    </w:pPr>
    <w:rPr>
      <w:rFonts w:ascii="黑体" w:eastAsia="黑体"/>
      <w:bCs/>
      <w:sz w:val="24"/>
    </w:rPr>
  </w:style>
  <w:style w:type="paragraph" w:customStyle="1" w:styleId="2341">
    <w:name w:val="表格内容1"/>
    <w:basedOn w:val="808"/>
    <w:qFormat/>
    <w:uiPriority w:val="0"/>
    <w:pPr>
      <w:spacing w:line="240" w:lineRule="exact"/>
      <w:ind w:left="-30"/>
      <w:jc w:val="center"/>
    </w:pPr>
    <w:rPr>
      <w:color w:val="FF0000"/>
      <w:sz w:val="24"/>
      <w:szCs w:val="24"/>
    </w:rPr>
  </w:style>
  <w:style w:type="paragraph" w:customStyle="1" w:styleId="2342">
    <w:name w:val="样式 标题 1 + 字距调整小四1"/>
    <w:basedOn w:val="3"/>
    <w:qFormat/>
    <w:uiPriority w:val="0"/>
    <w:pPr>
      <w:spacing w:line="520" w:lineRule="exact"/>
      <w:jc w:val="center"/>
    </w:pPr>
    <w:rPr>
      <w:kern w:val="24"/>
    </w:rPr>
  </w:style>
  <w:style w:type="paragraph" w:customStyle="1" w:styleId="2343">
    <w:name w:val="表内5中34"/>
    <w:basedOn w:val="1"/>
    <w:qFormat/>
    <w:uiPriority w:val="0"/>
    <w:pPr>
      <w:adjustRightInd w:val="0"/>
      <w:snapToGrid w:val="0"/>
      <w:jc w:val="center"/>
    </w:pPr>
    <w:rPr>
      <w:rFonts w:ascii="宋体"/>
    </w:rPr>
  </w:style>
  <w:style w:type="paragraph" w:customStyle="1" w:styleId="2344">
    <w:name w:val="报告 小四"/>
    <w:qFormat/>
    <w:uiPriority w:val="0"/>
    <w:pPr>
      <w:spacing w:line="360" w:lineRule="auto"/>
      <w:ind w:firstLine="512" w:firstLineChars="200"/>
    </w:pPr>
    <w:rPr>
      <w:rFonts w:ascii="Times New Roman" w:hAnsi="Times New Roman" w:eastAsia="宋体" w:cs="宋体"/>
      <w:spacing w:val="8"/>
      <w:kern w:val="2"/>
      <w:sz w:val="24"/>
      <w:lang w:val="en-US" w:eastAsia="zh-CN" w:bidi="ar-SA"/>
    </w:rPr>
  </w:style>
  <w:style w:type="paragraph" w:customStyle="1" w:styleId="2345">
    <w:name w:val="Char Char1 Char Char Char Char4"/>
    <w:basedOn w:val="1"/>
    <w:qFormat/>
    <w:uiPriority w:val="0"/>
  </w:style>
  <w:style w:type="paragraph" w:customStyle="1" w:styleId="2346">
    <w:name w:val="页眉中55"/>
    <w:basedOn w:val="1"/>
    <w:qFormat/>
    <w:uiPriority w:val="0"/>
    <w:pPr>
      <w:adjustRightInd w:val="0"/>
      <w:snapToGrid w:val="0"/>
      <w:spacing w:line="300" w:lineRule="auto"/>
      <w:jc w:val="center"/>
    </w:pPr>
    <w:rPr>
      <w:rFonts w:ascii="黑体" w:eastAsia="黑体"/>
      <w:bCs/>
      <w:sz w:val="24"/>
    </w:rPr>
  </w:style>
  <w:style w:type="paragraph" w:customStyle="1" w:styleId="2347">
    <w:name w:val="圈圈1234"/>
    <w:basedOn w:val="2348"/>
    <w:qFormat/>
    <w:uiPriority w:val="0"/>
    <w:pPr>
      <w:tabs>
        <w:tab w:val="left" w:pos="1134"/>
        <w:tab w:val="left" w:pos="1276"/>
        <w:tab w:val="left" w:pos="3000"/>
        <w:tab w:val="left" w:pos="3420"/>
      </w:tabs>
      <w:spacing w:before="156" w:after="156"/>
      <w:ind w:left="2520" w:hanging="1134"/>
    </w:pPr>
  </w:style>
  <w:style w:type="paragraph" w:customStyle="1" w:styleId="2348">
    <w:name w:val="正文前面有点"/>
    <w:basedOn w:val="31"/>
    <w:qFormat/>
    <w:uiPriority w:val="0"/>
    <w:pPr>
      <w:widowControl/>
      <w:tabs>
        <w:tab w:val="left" w:pos="1276"/>
        <w:tab w:val="left" w:pos="3420"/>
      </w:tabs>
      <w:adjustRightInd w:val="0"/>
      <w:snapToGrid w:val="0"/>
      <w:spacing w:after="0" w:line="360" w:lineRule="auto"/>
      <w:ind w:left="2940" w:hanging="1276"/>
      <w:jc w:val="left"/>
    </w:pPr>
    <w:rPr>
      <w:rFonts w:ascii="宋体" w:hAnsi="Arial"/>
      <w:snapToGrid w:val="0"/>
      <w:kern w:val="10"/>
      <w:sz w:val="24"/>
      <w:szCs w:val="20"/>
      <w:lang w:bidi="he-IL"/>
    </w:rPr>
  </w:style>
  <w:style w:type="paragraph" w:customStyle="1" w:styleId="2349">
    <w:name w:val="样式 表格 + 居中"/>
    <w:basedOn w:val="1"/>
    <w:qFormat/>
    <w:uiPriority w:val="0"/>
    <w:pPr>
      <w:kinsoku w:val="0"/>
      <w:overflowPunct w:val="0"/>
      <w:adjustRightInd w:val="0"/>
      <w:snapToGrid w:val="0"/>
      <w:jc w:val="center"/>
    </w:pPr>
    <w:rPr>
      <w:snapToGrid w:val="0"/>
      <w:color w:val="000000"/>
      <w:sz w:val="24"/>
    </w:rPr>
  </w:style>
  <w:style w:type="paragraph" w:customStyle="1" w:styleId="2350">
    <w:name w:val="表内5中4"/>
    <w:basedOn w:val="1106"/>
    <w:qFormat/>
    <w:uiPriority w:val="0"/>
    <w:pPr>
      <w:spacing w:line="240" w:lineRule="auto"/>
    </w:pPr>
    <w:rPr>
      <w:rFonts w:hAnsi="Times New Roman"/>
      <w:bCs/>
    </w:rPr>
  </w:style>
  <w:style w:type="paragraph" w:customStyle="1" w:styleId="2351">
    <w:name w:val="样式 标题 1 + 宋体 四号 居中 段前: 5 磅 段后: 5 磅 行距: 最小值 20 磅"/>
    <w:basedOn w:val="3"/>
    <w:qFormat/>
    <w:uiPriority w:val="0"/>
    <w:pPr>
      <w:spacing w:before="360" w:after="480" w:line="360" w:lineRule="auto"/>
      <w:jc w:val="center"/>
    </w:pPr>
    <w:rPr>
      <w:rFonts w:ascii="黑体" w:hAnsi="Arial" w:eastAsia="黑体" w:cs="Arial"/>
      <w:b w:val="0"/>
      <w:sz w:val="36"/>
      <w:szCs w:val="20"/>
    </w:rPr>
  </w:style>
  <w:style w:type="paragraph" w:customStyle="1" w:styleId="2352">
    <w:name w:val="表2"/>
    <w:basedOn w:val="521"/>
    <w:qFormat/>
    <w:uiPriority w:val="0"/>
    <w:pPr>
      <w:autoSpaceDE/>
      <w:autoSpaceDN/>
      <w:adjustRightInd/>
      <w:jc w:val="left"/>
      <w:textAlignment w:val="baseline"/>
      <w:outlineLvl w:val="7"/>
    </w:pPr>
    <w:rPr>
      <w:snapToGrid w:val="0"/>
      <w:color w:val="000000"/>
    </w:rPr>
  </w:style>
  <w:style w:type="paragraph" w:customStyle="1" w:styleId="2353">
    <w:name w:val="表内文字大7"/>
    <w:basedOn w:val="1"/>
    <w:qFormat/>
    <w:uiPriority w:val="0"/>
    <w:pPr>
      <w:adjustRightInd w:val="0"/>
      <w:snapToGrid w:val="0"/>
      <w:jc w:val="center"/>
    </w:pPr>
    <w:rPr>
      <w:rFonts w:ascii="宋体" w:hAnsi="Times"/>
      <w:sz w:val="24"/>
    </w:rPr>
  </w:style>
  <w:style w:type="paragraph" w:customStyle="1" w:styleId="2354">
    <w:name w:val="表内5中35"/>
    <w:basedOn w:val="1"/>
    <w:qFormat/>
    <w:uiPriority w:val="0"/>
    <w:pPr>
      <w:adjustRightInd w:val="0"/>
      <w:snapToGrid w:val="0"/>
      <w:jc w:val="center"/>
    </w:pPr>
    <w:rPr>
      <w:rFonts w:ascii="宋体"/>
    </w:rPr>
  </w:style>
  <w:style w:type="paragraph" w:customStyle="1" w:styleId="2355">
    <w:name w:val="表内5中10"/>
    <w:basedOn w:val="1"/>
    <w:qFormat/>
    <w:uiPriority w:val="0"/>
    <w:pPr>
      <w:adjustRightInd w:val="0"/>
      <w:snapToGrid w:val="0"/>
      <w:jc w:val="center"/>
    </w:pPr>
    <w:rPr>
      <w:rFonts w:ascii="宋体"/>
    </w:rPr>
  </w:style>
  <w:style w:type="paragraph" w:customStyle="1" w:styleId="2356">
    <w:name w:val="标题16.1.1.1"/>
    <w:basedOn w:val="6"/>
    <w:qFormat/>
    <w:uiPriority w:val="0"/>
    <w:pPr>
      <w:keepNext w:val="0"/>
      <w:keepLines w:val="0"/>
      <w:tabs>
        <w:tab w:val="left" w:pos="1800"/>
      </w:tabs>
      <w:spacing w:before="120" w:after="120" w:line="312" w:lineRule="auto"/>
      <w:ind w:left="851" w:hanging="851"/>
    </w:pPr>
    <w:rPr>
      <w:sz w:val="24"/>
      <w:szCs w:val="24"/>
    </w:rPr>
  </w:style>
  <w:style w:type="paragraph" w:customStyle="1" w:styleId="2357">
    <w:name w:val="puce"/>
    <w:basedOn w:val="1"/>
    <w:qFormat/>
    <w:uiPriority w:val="0"/>
    <w:pPr>
      <w:adjustRightInd w:val="0"/>
      <w:snapToGrid w:val="0"/>
      <w:spacing w:line="360" w:lineRule="auto"/>
      <w:ind w:firstLine="425"/>
    </w:pPr>
    <w:rPr>
      <w:rFonts w:ascii="宋体" w:hAnsi="宋体"/>
      <w:spacing w:val="20"/>
      <w:sz w:val="24"/>
    </w:rPr>
  </w:style>
  <w:style w:type="paragraph" w:customStyle="1" w:styleId="2358">
    <w:name w:val="正文1 小四"/>
    <w:basedOn w:val="1"/>
    <w:qFormat/>
    <w:uiPriority w:val="0"/>
    <w:pPr>
      <w:adjustRightInd w:val="0"/>
      <w:spacing w:line="420" w:lineRule="exact"/>
      <w:ind w:firstLine="200" w:firstLineChars="200"/>
      <w:jc w:val="left"/>
      <w:textAlignment w:val="baseline"/>
    </w:pPr>
    <w:rPr>
      <w:sz w:val="24"/>
    </w:rPr>
  </w:style>
  <w:style w:type="paragraph" w:customStyle="1" w:styleId="2359">
    <w:name w:val="样式 标题 1 + 黑体 三号 居中"/>
    <w:basedOn w:val="3"/>
    <w:qFormat/>
    <w:uiPriority w:val="0"/>
    <w:pPr>
      <w:jc w:val="center"/>
    </w:pPr>
    <w:rPr>
      <w:rFonts w:ascii="黑体" w:hAnsi="宋体" w:eastAsia="黑体" w:cs="宋体"/>
      <w:b w:val="0"/>
      <w:sz w:val="36"/>
      <w:szCs w:val="20"/>
    </w:rPr>
  </w:style>
  <w:style w:type="paragraph" w:customStyle="1" w:styleId="2360">
    <w:name w:val="A三级标题"/>
    <w:basedOn w:val="1"/>
    <w:qFormat/>
    <w:uiPriority w:val="0"/>
    <w:pPr>
      <w:keepNext/>
      <w:keepLines/>
      <w:spacing w:beforeLines="50" w:afterLines="50" w:line="360" w:lineRule="auto"/>
      <w:outlineLvl w:val="2"/>
    </w:pPr>
    <w:rPr>
      <w:rFonts w:cs="宋体"/>
      <w:b/>
      <w:bCs/>
      <w:sz w:val="28"/>
    </w:rPr>
  </w:style>
  <w:style w:type="paragraph" w:customStyle="1" w:styleId="2361">
    <w:name w:val="样式 标题 3 + 段前: 1 行"/>
    <w:basedOn w:val="5"/>
    <w:qFormat/>
    <w:uiPriority w:val="0"/>
    <w:pPr>
      <w:adjustRightInd/>
      <w:spacing w:beforeLines="50" w:line="240" w:lineRule="auto"/>
      <w:ind w:left="720" w:hanging="720"/>
      <w:textAlignment w:val="auto"/>
    </w:pPr>
    <w:rPr>
      <w:rFonts w:ascii="宋体" w:hAnsi="宋体" w:eastAsia="宋体" w:cs="宋体"/>
      <w:color w:val="auto"/>
      <w:spacing w:val="0"/>
      <w:kern w:val="2"/>
      <w:sz w:val="24"/>
    </w:rPr>
  </w:style>
  <w:style w:type="paragraph" w:customStyle="1" w:styleId="2362">
    <w:name w:val="样式 标题 3 + 段前: 0.5 行 段后: 0.5 行1"/>
    <w:basedOn w:val="5"/>
    <w:qFormat/>
    <w:uiPriority w:val="0"/>
    <w:pPr>
      <w:tabs>
        <w:tab w:val="left" w:pos="870"/>
        <w:tab w:val="clear" w:pos="720"/>
      </w:tabs>
      <w:snapToGrid w:val="0"/>
      <w:spacing w:beforeLines="50" w:afterLines="50" w:line="300" w:lineRule="auto"/>
      <w:ind w:left="150" w:firstLine="0"/>
      <w:textAlignment w:val="auto"/>
    </w:pPr>
    <w:rPr>
      <w:rFonts w:ascii="仿宋_GB2312" w:eastAsia="宋体" w:cs="宋体"/>
      <w:b w:val="0"/>
      <w:color w:val="800080"/>
      <w:spacing w:val="0"/>
      <w:kern w:val="2"/>
    </w:rPr>
  </w:style>
  <w:style w:type="paragraph" w:customStyle="1" w:styleId="2363">
    <w:name w:val="福建正文缩进6"/>
    <w:basedOn w:val="21"/>
    <w:qFormat/>
    <w:uiPriority w:val="0"/>
    <w:pPr>
      <w:adjustRightInd w:val="0"/>
      <w:snapToGrid w:val="0"/>
      <w:spacing w:line="360" w:lineRule="auto"/>
      <w:ind w:firstLine="539" w:firstLineChars="0"/>
    </w:pPr>
    <w:rPr>
      <w:rFonts w:ascii="宋体"/>
      <w:szCs w:val="24"/>
    </w:rPr>
  </w:style>
  <w:style w:type="paragraph" w:customStyle="1" w:styleId="2364">
    <w:name w:val="样式 标题 2 + 段后: 0.5 行"/>
    <w:basedOn w:val="4"/>
    <w:qFormat/>
    <w:uiPriority w:val="0"/>
    <w:pPr>
      <w:widowControl/>
      <w:autoSpaceDN w:val="0"/>
      <w:spacing w:beforeLines="0"/>
    </w:pPr>
    <w:rPr>
      <w:rFonts w:ascii="黑体" w:hAnsi="Arial" w:cs="宋体"/>
      <w:b w:val="0"/>
      <w:sz w:val="30"/>
      <w:szCs w:val="30"/>
    </w:rPr>
  </w:style>
  <w:style w:type="paragraph" w:customStyle="1" w:styleId="2365">
    <w:name w:val="中石化可研3级"/>
    <w:basedOn w:val="4"/>
    <w:qFormat/>
    <w:uiPriority w:val="0"/>
    <w:pPr>
      <w:keepLines w:val="0"/>
      <w:widowControl/>
      <w:tabs>
        <w:tab w:val="clear" w:pos="1427"/>
      </w:tabs>
      <w:textAlignment w:val="auto"/>
    </w:pPr>
    <w:rPr>
      <w:rFonts w:ascii="Arial" w:hAnsi="Arial" w:cs="Arial"/>
      <w:bCs/>
      <w:iCs/>
      <w:color w:val="000000"/>
      <w:sz w:val="24"/>
      <w:szCs w:val="24"/>
      <w:lang w:val="en-GB" w:eastAsia="en-US"/>
    </w:rPr>
  </w:style>
  <w:style w:type="paragraph" w:customStyle="1" w:styleId="2366">
    <w:name w:val="表内文字小20"/>
    <w:basedOn w:val="1"/>
    <w:qFormat/>
    <w:uiPriority w:val="0"/>
    <w:pPr>
      <w:adjustRightInd w:val="0"/>
      <w:snapToGrid w:val="0"/>
      <w:jc w:val="center"/>
    </w:pPr>
    <w:rPr>
      <w:rFonts w:ascii="宋体" w:hAnsi="Times"/>
    </w:rPr>
  </w:style>
  <w:style w:type="paragraph" w:customStyle="1" w:styleId="2367">
    <w:name w:val="xl96"/>
    <w:basedOn w:val="1"/>
    <w:qFormat/>
    <w:uiPriority w:val="0"/>
    <w:pPr>
      <w:widowControl/>
      <w:pBdr>
        <w:left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cs="Arial Unicode MS"/>
      <w:sz w:val="16"/>
      <w:szCs w:val="16"/>
    </w:rPr>
  </w:style>
  <w:style w:type="paragraph" w:customStyle="1" w:styleId="2368">
    <w:name w:val="CM2"/>
    <w:basedOn w:val="641"/>
    <w:next w:val="641"/>
    <w:qFormat/>
    <w:uiPriority w:val="0"/>
    <w:pPr>
      <w:spacing w:line="460" w:lineRule="atLeast"/>
    </w:pPr>
    <w:rPr>
      <w:rFonts w:ascii="黑体" w:eastAsia="黑体" w:cs="Times New Roman"/>
      <w:color w:val="auto"/>
      <w:sz w:val="20"/>
    </w:rPr>
  </w:style>
  <w:style w:type="paragraph" w:customStyle="1" w:styleId="2369">
    <w:name w:val="表格02"/>
    <w:basedOn w:val="1"/>
    <w:qFormat/>
    <w:uiPriority w:val="0"/>
    <w:pPr>
      <w:adjustRightInd w:val="0"/>
      <w:snapToGrid w:val="0"/>
      <w:spacing w:line="400" w:lineRule="exact"/>
      <w:jc w:val="center"/>
    </w:pPr>
    <w:rPr>
      <w:sz w:val="24"/>
      <w:lang w:val="en-GB"/>
    </w:rPr>
  </w:style>
  <w:style w:type="paragraph" w:customStyle="1" w:styleId="2370">
    <w:name w:val="表内小442"/>
    <w:basedOn w:val="1427"/>
    <w:qFormat/>
    <w:uiPriority w:val="0"/>
    <w:pPr>
      <w:ind w:left="240" w:hanging="240"/>
      <w:jc w:val="both"/>
    </w:pPr>
    <w:rPr>
      <w:rFonts w:cs="Times New Roman"/>
    </w:rPr>
  </w:style>
  <w:style w:type="paragraph" w:customStyle="1" w:styleId="2371">
    <w:name w:val="表格中"/>
    <w:basedOn w:val="67"/>
    <w:qFormat/>
    <w:uiPriority w:val="0"/>
    <w:pPr>
      <w:spacing w:beforeLines="50"/>
      <w:ind w:left="0" w:firstLine="0" w:firstLineChars="0"/>
      <w:jc w:val="center"/>
      <w:outlineLvl w:val="5"/>
    </w:pPr>
    <w:rPr>
      <w:rFonts w:hint="eastAsia" w:ascii="黑体" w:eastAsia="黑体"/>
      <w:sz w:val="24"/>
    </w:rPr>
  </w:style>
  <w:style w:type="paragraph" w:customStyle="1" w:styleId="2372">
    <w:name w:val="索引 311"/>
    <w:basedOn w:val="1"/>
    <w:next w:val="1"/>
    <w:qFormat/>
    <w:uiPriority w:val="0"/>
    <w:pPr>
      <w:ind w:left="400" w:leftChars="400"/>
    </w:pPr>
    <w:rPr>
      <w:sz w:val="24"/>
    </w:rPr>
  </w:style>
  <w:style w:type="paragraph" w:customStyle="1" w:styleId="2373">
    <w:name w:val="xl128"/>
    <w:basedOn w:val="1"/>
    <w:qFormat/>
    <w:uiPriority w:val="0"/>
    <w:pPr>
      <w:widowControl/>
      <w:pBdr>
        <w:top w:val="single" w:color="auto" w:sz="4" w:space="0"/>
        <w:left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2374">
    <w:name w:val="正文格式3"/>
    <w:basedOn w:val="1"/>
    <w:qFormat/>
    <w:uiPriority w:val="0"/>
    <w:pPr>
      <w:adjustRightInd w:val="0"/>
      <w:snapToGrid w:val="0"/>
      <w:spacing w:line="360" w:lineRule="auto"/>
      <w:ind w:firstLine="480" w:firstLineChars="200"/>
    </w:pPr>
    <w:rPr>
      <w:rFonts w:ascii="宋体" w:cs="宋体"/>
      <w:sz w:val="24"/>
    </w:rPr>
  </w:style>
  <w:style w:type="paragraph" w:customStyle="1" w:styleId="2375">
    <w:name w:val="样式 标题 2 + 段前: 0.5 行 段后: 0.5 行4"/>
    <w:basedOn w:val="4"/>
    <w:qFormat/>
    <w:uiPriority w:val="0"/>
    <w:pPr>
      <w:keepNext w:val="0"/>
      <w:keepLines w:val="0"/>
      <w:tabs>
        <w:tab w:val="left" w:pos="1460"/>
        <w:tab w:val="clear" w:pos="1427"/>
      </w:tabs>
      <w:adjustRightInd/>
      <w:spacing w:before="156" w:after="156" w:line="500" w:lineRule="exact"/>
      <w:ind w:left="578" w:hanging="578"/>
      <w:jc w:val="both"/>
      <w:textAlignment w:val="auto"/>
    </w:pPr>
    <w:rPr>
      <w:rFonts w:ascii="Arial" w:hAnsi="Arial" w:eastAsia="楷体_GB2312"/>
      <w:bCs/>
      <w:spacing w:val="34"/>
      <w:kern w:val="2"/>
      <w:sz w:val="36"/>
    </w:rPr>
  </w:style>
  <w:style w:type="paragraph" w:customStyle="1" w:styleId="2376">
    <w:name w:val="表内文字大32"/>
    <w:basedOn w:val="1"/>
    <w:qFormat/>
    <w:uiPriority w:val="0"/>
    <w:pPr>
      <w:adjustRightInd w:val="0"/>
      <w:snapToGrid w:val="0"/>
      <w:jc w:val="center"/>
    </w:pPr>
    <w:rPr>
      <w:rFonts w:ascii="宋体" w:hAnsi="Times"/>
      <w:sz w:val="24"/>
    </w:rPr>
  </w:style>
  <w:style w:type="paragraph" w:customStyle="1" w:styleId="2377">
    <w:name w:val="表内小43"/>
    <w:basedOn w:val="1427"/>
    <w:qFormat/>
    <w:uiPriority w:val="0"/>
    <w:pPr>
      <w:ind w:left="240" w:hanging="240"/>
      <w:jc w:val="both"/>
    </w:pPr>
    <w:rPr>
      <w:rFonts w:cs="Times New Roman"/>
    </w:rPr>
  </w:style>
  <w:style w:type="paragraph" w:customStyle="1" w:styleId="2378">
    <w:name w:val="页眉中62"/>
    <w:basedOn w:val="47"/>
    <w:qFormat/>
    <w:uiPriority w:val="0"/>
    <w:pPr>
      <w:adjustRightInd w:val="0"/>
      <w:spacing w:line="360" w:lineRule="auto"/>
      <w:jc w:val="left"/>
    </w:pPr>
    <w:rPr>
      <w:rFonts w:ascii="黑体" w:hAnsi="Times New Roman" w:eastAsia="黑体"/>
      <w:bCs/>
      <w:sz w:val="24"/>
      <w:szCs w:val="24"/>
    </w:rPr>
  </w:style>
  <w:style w:type="paragraph" w:customStyle="1" w:styleId="2379">
    <w:name w:val="Char Char2 Char Char Char Char"/>
    <w:basedOn w:val="5"/>
    <w:qFormat/>
    <w:uiPriority w:val="0"/>
    <w:pPr>
      <w:tabs>
        <w:tab w:val="left" w:pos="360"/>
        <w:tab w:val="left" w:pos="900"/>
      </w:tabs>
      <w:adjustRightInd/>
      <w:snapToGrid w:val="0"/>
      <w:spacing w:before="120" w:after="120"/>
      <w:ind w:left="542" w:leftChars="-12" w:firstLine="200" w:firstLineChars="200"/>
      <w:textAlignment w:val="auto"/>
    </w:pPr>
    <w:rPr>
      <w:b w:val="0"/>
      <w:snapToGrid w:val="0"/>
      <w:color w:val="auto"/>
      <w:spacing w:val="0"/>
      <w:kern w:val="2"/>
      <w:sz w:val="24"/>
      <w:szCs w:val="24"/>
    </w:rPr>
  </w:style>
  <w:style w:type="paragraph" w:customStyle="1" w:styleId="2380">
    <w:name w:val="Char8"/>
    <w:basedOn w:val="1"/>
    <w:qFormat/>
    <w:uiPriority w:val="0"/>
    <w:pPr>
      <w:ind w:left="-48"/>
    </w:pPr>
  </w:style>
  <w:style w:type="paragraph" w:customStyle="1" w:styleId="2381">
    <w:name w:val="页眉中27"/>
    <w:basedOn w:val="1"/>
    <w:qFormat/>
    <w:uiPriority w:val="0"/>
    <w:pPr>
      <w:adjustRightInd w:val="0"/>
      <w:snapToGrid w:val="0"/>
      <w:jc w:val="center"/>
    </w:pPr>
    <w:rPr>
      <w:rFonts w:ascii="黑体" w:eastAsia="黑体"/>
      <w:bCs/>
    </w:rPr>
  </w:style>
  <w:style w:type="paragraph" w:customStyle="1" w:styleId="2382">
    <w:name w:val="style1"/>
    <w:basedOn w:val="1"/>
    <w:qFormat/>
    <w:uiPriority w:val="0"/>
    <w:pPr>
      <w:widowControl/>
      <w:spacing w:before="100" w:beforeAutospacing="1" w:after="100" w:afterAutospacing="1"/>
      <w:jc w:val="left"/>
    </w:pPr>
    <w:rPr>
      <w:rFonts w:ascii="宋体" w:hAnsi="宋体"/>
      <w:color w:val="1070DA"/>
      <w:szCs w:val="21"/>
    </w:rPr>
  </w:style>
  <w:style w:type="paragraph" w:customStyle="1" w:styleId="2383">
    <w:name w:val="题图"/>
    <w:basedOn w:val="1"/>
    <w:qFormat/>
    <w:uiPriority w:val="0"/>
    <w:pPr>
      <w:adjustRightInd w:val="0"/>
      <w:snapToGrid w:val="0"/>
      <w:jc w:val="center"/>
    </w:pPr>
    <w:rPr>
      <w:rFonts w:ascii="宋体" w:hAnsi="宋体" w:cs="宋体"/>
      <w:sz w:val="28"/>
    </w:rPr>
  </w:style>
  <w:style w:type="paragraph" w:customStyle="1" w:styleId="2384">
    <w:name w:val="正文修改3"/>
    <w:basedOn w:val="1325"/>
    <w:qFormat/>
    <w:uiPriority w:val="0"/>
    <w:pPr>
      <w:ind w:right="210" w:rightChars="100" w:firstLine="209" w:firstLineChars="87"/>
    </w:pPr>
    <w:rPr>
      <w:bCs w:val="0"/>
    </w:rPr>
  </w:style>
  <w:style w:type="paragraph" w:customStyle="1" w:styleId="2385">
    <w:name w:val="Char Char Char Char Char Char Char Char Char1 Char Char Char Char"/>
    <w:basedOn w:val="1"/>
    <w:qFormat/>
    <w:uiPriority w:val="0"/>
    <w:rPr>
      <w:sz w:val="24"/>
    </w:rPr>
  </w:style>
  <w:style w:type="paragraph" w:customStyle="1" w:styleId="2386">
    <w:name w:val="样式 目录 2 + 首行缩进:  2 字符3"/>
    <w:basedOn w:val="75"/>
    <w:qFormat/>
    <w:uiPriority w:val="0"/>
    <w:pPr>
      <w:tabs>
        <w:tab w:val="left" w:pos="1200"/>
        <w:tab w:val="clear" w:pos="8303"/>
      </w:tabs>
      <w:adjustRightInd w:val="0"/>
      <w:snapToGrid w:val="0"/>
      <w:spacing w:line="480" w:lineRule="exact"/>
    </w:pPr>
    <w:rPr>
      <w:rFonts w:cs="宋体"/>
    </w:rPr>
  </w:style>
  <w:style w:type="paragraph" w:customStyle="1" w:styleId="2387">
    <w:name w:val="样式 样式 表标题2.4 + 居中 段前: 1 行 + 两端对齐"/>
    <w:basedOn w:val="544"/>
    <w:qFormat/>
    <w:uiPriority w:val="0"/>
    <w:pPr>
      <w:tabs>
        <w:tab w:val="left" w:pos="360"/>
        <w:tab w:val="left" w:pos="870"/>
        <w:tab w:val="clear" w:pos="4060"/>
        <w:tab w:val="clear" w:pos="8261"/>
      </w:tabs>
      <w:ind w:left="870" w:hanging="390"/>
      <w:jc w:val="both"/>
    </w:pPr>
  </w:style>
  <w:style w:type="paragraph" w:customStyle="1" w:styleId="2388">
    <w:name w:val="表5.7"/>
    <w:basedOn w:val="2309"/>
    <w:qFormat/>
    <w:uiPriority w:val="0"/>
    <w:pPr>
      <w:tabs>
        <w:tab w:val="left" w:pos="432"/>
        <w:tab w:val="left" w:pos="510"/>
        <w:tab w:val="left" w:pos="2444"/>
        <w:tab w:val="clear" w:pos="420"/>
        <w:tab w:val="clear" w:pos="780"/>
        <w:tab w:val="clear" w:pos="840"/>
        <w:tab w:val="clear" w:pos="1080"/>
      </w:tabs>
      <w:ind w:left="510" w:hanging="397"/>
    </w:pPr>
  </w:style>
  <w:style w:type="paragraph" w:customStyle="1" w:styleId="2389">
    <w:name w:val="表题33"/>
    <w:basedOn w:val="35"/>
    <w:qFormat/>
    <w:uiPriority w:val="0"/>
    <w:pPr>
      <w:tabs>
        <w:tab w:val="left" w:pos="4305"/>
      </w:tabs>
      <w:adjustRightInd w:val="0"/>
      <w:snapToGrid w:val="0"/>
      <w:spacing w:after="0"/>
      <w:ind w:left="0" w:leftChars="0"/>
      <w:jc w:val="center"/>
    </w:pPr>
    <w:rPr>
      <w:rFonts w:ascii="宋体" w:hAnsi="宋体"/>
      <w:sz w:val="24"/>
      <w:szCs w:val="20"/>
    </w:rPr>
  </w:style>
  <w:style w:type="paragraph" w:customStyle="1" w:styleId="2390">
    <w:name w:val="样式 纯文本表内文字 + 楷体_GB2312 左"/>
    <w:basedOn w:val="1"/>
    <w:qFormat/>
    <w:uiPriority w:val="0"/>
    <w:pPr>
      <w:tabs>
        <w:tab w:val="left" w:pos="1350"/>
      </w:tabs>
      <w:autoSpaceDE w:val="0"/>
      <w:autoSpaceDN w:val="0"/>
      <w:adjustRightInd w:val="0"/>
      <w:snapToGrid w:val="0"/>
      <w:spacing w:line="320" w:lineRule="exact"/>
      <w:jc w:val="left"/>
    </w:pPr>
    <w:rPr>
      <w:rFonts w:ascii="Arial" w:hAnsi="Arial" w:eastAsia="楷体_GB2312" w:cs="宋体"/>
      <w:szCs w:val="21"/>
    </w:rPr>
  </w:style>
  <w:style w:type="paragraph" w:customStyle="1" w:styleId="2391">
    <w:name w:val="123"/>
    <w:basedOn w:val="1"/>
    <w:qFormat/>
    <w:uiPriority w:val="0"/>
    <w:pPr>
      <w:spacing w:line="480" w:lineRule="exact"/>
    </w:pPr>
    <w:rPr>
      <w:rFonts w:ascii="仿宋_GB2312" w:hAnsi="仿宋_GB2312"/>
      <w:b/>
      <w:bCs/>
      <w:color w:val="FF0000"/>
      <w:sz w:val="32"/>
      <w:szCs w:val="32"/>
    </w:rPr>
  </w:style>
  <w:style w:type="paragraph" w:customStyle="1" w:styleId="2392">
    <w:name w:val="Char Char Char Char Char Char Char Char Char Char Char Char Char1"/>
    <w:basedOn w:val="1"/>
    <w:qFormat/>
    <w:uiPriority w:val="0"/>
    <w:rPr>
      <w:rFonts w:ascii="Tahoma" w:hAnsi="Tahoma"/>
      <w:sz w:val="24"/>
    </w:rPr>
  </w:style>
  <w:style w:type="paragraph" w:customStyle="1" w:styleId="2393">
    <w:name w:val="样式７２"/>
    <w:basedOn w:val="1"/>
    <w:next w:val="1"/>
    <w:qFormat/>
    <w:uiPriority w:val="0"/>
    <w:pPr>
      <w:widowControl/>
      <w:tabs>
        <w:tab w:val="left" w:pos="4686"/>
      </w:tabs>
      <w:snapToGrid w:val="0"/>
      <w:spacing w:beforeLines="50" w:afterLines="50" w:line="312" w:lineRule="auto"/>
      <w:jc w:val="left"/>
    </w:pPr>
    <w:rPr>
      <w:rFonts w:eastAsia="黑体"/>
      <w:b/>
      <w:szCs w:val="21"/>
      <w:lang w:eastAsia="en-US"/>
    </w:rPr>
  </w:style>
  <w:style w:type="paragraph" w:customStyle="1" w:styleId="2394">
    <w:name w:val="Char211"/>
    <w:basedOn w:val="1"/>
    <w:qFormat/>
    <w:uiPriority w:val="0"/>
    <w:pPr>
      <w:ind w:left="-48"/>
    </w:pPr>
  </w:style>
  <w:style w:type="paragraph" w:customStyle="1" w:styleId="2395">
    <w:name w:val="正文图"/>
    <w:basedOn w:val="1"/>
    <w:qFormat/>
    <w:uiPriority w:val="0"/>
    <w:pPr>
      <w:adjustRightInd w:val="0"/>
      <w:snapToGrid w:val="0"/>
      <w:spacing w:before="40"/>
      <w:jc w:val="center"/>
      <w:textAlignment w:val="baseline"/>
    </w:pPr>
    <w:rPr>
      <w:rFonts w:ascii="宋体"/>
      <w:sz w:val="24"/>
    </w:rPr>
  </w:style>
  <w:style w:type="paragraph" w:customStyle="1" w:styleId="2396">
    <w:name w:val="注："/>
    <w:next w:val="1"/>
    <w:qFormat/>
    <w:uiPriority w:val="0"/>
    <w:pPr>
      <w:widowControl w:val="0"/>
      <w:tabs>
        <w:tab w:val="left" w:pos="895"/>
      </w:tabs>
      <w:autoSpaceDE w:val="0"/>
      <w:autoSpaceDN w:val="0"/>
      <w:ind w:left="895" w:hanging="420"/>
      <w:jc w:val="both"/>
    </w:pPr>
    <w:rPr>
      <w:rFonts w:ascii="宋体" w:hAnsi="Times New Roman" w:eastAsia="宋体" w:cs="Times New Roman"/>
      <w:sz w:val="18"/>
      <w:lang w:val="en-US" w:eastAsia="zh-CN" w:bidi="ar-SA"/>
    </w:rPr>
  </w:style>
  <w:style w:type="paragraph" w:customStyle="1" w:styleId="2397">
    <w:name w:val="表内文字边"/>
    <w:basedOn w:val="1596"/>
    <w:qFormat/>
    <w:uiPriority w:val="0"/>
    <w:pPr>
      <w:adjustRightInd w:val="0"/>
      <w:snapToGrid w:val="0"/>
      <w:jc w:val="both"/>
    </w:pPr>
  </w:style>
  <w:style w:type="paragraph" w:customStyle="1" w:styleId="2398">
    <w:name w:val="Char1 Char Char Char Char Char Char Char Char Char11"/>
    <w:basedOn w:val="1"/>
    <w:qFormat/>
    <w:uiPriority w:val="0"/>
    <w:pPr>
      <w:widowControl/>
      <w:adjustRightInd w:val="0"/>
      <w:spacing w:after="160" w:line="240" w:lineRule="exact"/>
      <w:jc w:val="left"/>
    </w:pPr>
    <w:rPr>
      <w:rFonts w:ascii="Verdana" w:hAnsi="Verdana" w:eastAsia="仿宋_GB2312"/>
      <w:sz w:val="24"/>
      <w:lang w:eastAsia="en-US"/>
    </w:rPr>
  </w:style>
  <w:style w:type="paragraph" w:customStyle="1" w:styleId="2399">
    <w:name w:val="Char Char Char1 Char2"/>
    <w:basedOn w:val="1"/>
    <w:qFormat/>
    <w:uiPriority w:val="0"/>
  </w:style>
  <w:style w:type="paragraph" w:customStyle="1" w:styleId="2400">
    <w:name w:val="Char111"/>
    <w:basedOn w:val="1"/>
    <w:qFormat/>
    <w:uiPriority w:val="0"/>
    <w:pPr>
      <w:ind w:left="-48"/>
    </w:pPr>
  </w:style>
  <w:style w:type="paragraph" w:customStyle="1" w:styleId="2401">
    <w:name w:val="页眉xx2"/>
    <w:basedOn w:val="58"/>
    <w:qFormat/>
    <w:uiPriority w:val="0"/>
    <w:pPr>
      <w:pBdr>
        <w:bottom w:val="none" w:color="auto" w:sz="0" w:space="0"/>
      </w:pBdr>
      <w:tabs>
        <w:tab w:val="clear" w:pos="4153"/>
      </w:tabs>
      <w:adjustRightInd w:val="0"/>
    </w:pPr>
    <w:rPr>
      <w:rFonts w:ascii="宋体" w:hAnsi="宋体"/>
      <w:sz w:val="21"/>
      <w:szCs w:val="20"/>
    </w:rPr>
  </w:style>
  <w:style w:type="paragraph" w:customStyle="1" w:styleId="2402">
    <w:name w:val="表内5中21"/>
    <w:basedOn w:val="1"/>
    <w:qFormat/>
    <w:uiPriority w:val="0"/>
    <w:pPr>
      <w:adjustRightInd w:val="0"/>
      <w:snapToGrid w:val="0"/>
      <w:jc w:val="center"/>
    </w:pPr>
    <w:rPr>
      <w:rFonts w:ascii="宋体"/>
      <w:color w:val="000000"/>
      <w:szCs w:val="21"/>
    </w:rPr>
  </w:style>
  <w:style w:type="paragraph" w:customStyle="1" w:styleId="2403">
    <w:name w:val="文本框5号两端齐"/>
    <w:basedOn w:val="1"/>
    <w:qFormat/>
    <w:uiPriority w:val="0"/>
    <w:pPr>
      <w:widowControl/>
    </w:pPr>
    <w:rPr>
      <w:rFonts w:eastAsia="仿宋_GB2312"/>
      <w:szCs w:val="21"/>
    </w:rPr>
  </w:style>
  <w:style w:type="paragraph" w:customStyle="1" w:styleId="2404">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sz w:val="16"/>
      <w:szCs w:val="16"/>
    </w:rPr>
  </w:style>
  <w:style w:type="paragraph" w:customStyle="1" w:styleId="2405">
    <w:name w:val="样式 标题 3 + 段前: 0.5 行"/>
    <w:basedOn w:val="5"/>
    <w:qFormat/>
    <w:uiPriority w:val="0"/>
    <w:pPr>
      <w:tabs>
        <w:tab w:val="left" w:pos="1920"/>
      </w:tabs>
      <w:adjustRightInd/>
      <w:spacing w:beforeLines="100"/>
      <w:ind w:left="-437" w:hanging="709"/>
      <w:jc w:val="both"/>
      <w:textAlignment w:val="auto"/>
    </w:pPr>
    <w:rPr>
      <w:rFonts w:eastAsia="宋体" w:cs="宋体"/>
      <w:bCs/>
      <w:color w:val="auto"/>
      <w:spacing w:val="0"/>
      <w:kern w:val="2"/>
    </w:rPr>
  </w:style>
  <w:style w:type="paragraph" w:customStyle="1" w:styleId="2406">
    <w:name w:val="表题81"/>
    <w:basedOn w:val="35"/>
    <w:qFormat/>
    <w:uiPriority w:val="0"/>
    <w:pPr>
      <w:tabs>
        <w:tab w:val="left" w:pos="4305"/>
      </w:tabs>
      <w:adjustRightInd w:val="0"/>
      <w:snapToGrid w:val="0"/>
      <w:spacing w:after="0"/>
      <w:ind w:left="0" w:leftChars="0"/>
      <w:jc w:val="center"/>
    </w:pPr>
    <w:rPr>
      <w:rFonts w:ascii="黑体" w:hAnsi="宋体" w:eastAsia="黑体"/>
      <w:sz w:val="24"/>
      <w:szCs w:val="20"/>
    </w:rPr>
  </w:style>
  <w:style w:type="paragraph" w:customStyle="1" w:styleId="2407">
    <w:name w:val="Char4 Char Char Char1"/>
    <w:basedOn w:val="1"/>
    <w:qFormat/>
    <w:uiPriority w:val="0"/>
  </w:style>
  <w:style w:type="paragraph" w:customStyle="1" w:styleId="2408">
    <w:name w:val="标题46"/>
    <w:basedOn w:val="1"/>
    <w:qFormat/>
    <w:uiPriority w:val="0"/>
    <w:pPr>
      <w:adjustRightInd w:val="0"/>
      <w:snapToGrid w:val="0"/>
      <w:spacing w:line="360" w:lineRule="auto"/>
      <w:jc w:val="left"/>
    </w:pPr>
    <w:rPr>
      <w:rFonts w:ascii="黑体" w:eastAsia="黑体"/>
      <w:bCs/>
      <w:sz w:val="24"/>
    </w:rPr>
  </w:style>
  <w:style w:type="paragraph" w:customStyle="1" w:styleId="2409">
    <w:name w:val="表内文字小41"/>
    <w:basedOn w:val="1"/>
    <w:qFormat/>
    <w:uiPriority w:val="0"/>
    <w:pPr>
      <w:adjustRightInd w:val="0"/>
      <w:snapToGrid w:val="0"/>
      <w:jc w:val="center"/>
    </w:pPr>
    <w:rPr>
      <w:rFonts w:ascii="宋体" w:hAnsi="Times"/>
    </w:rPr>
  </w:style>
  <w:style w:type="paragraph" w:customStyle="1" w:styleId="2410">
    <w:name w:val="表内文字大1"/>
    <w:basedOn w:val="1"/>
    <w:qFormat/>
    <w:uiPriority w:val="0"/>
    <w:pPr>
      <w:adjustRightInd w:val="0"/>
      <w:snapToGrid w:val="0"/>
      <w:jc w:val="center"/>
    </w:pPr>
    <w:rPr>
      <w:rFonts w:ascii="宋体" w:hAnsi="Times"/>
      <w:sz w:val="24"/>
    </w:rPr>
  </w:style>
  <w:style w:type="paragraph" w:customStyle="1" w:styleId="2411">
    <w:name w:val="表内宋5中17"/>
    <w:basedOn w:val="1"/>
    <w:qFormat/>
    <w:uiPriority w:val="0"/>
    <w:pPr>
      <w:adjustRightInd w:val="0"/>
      <w:snapToGrid w:val="0"/>
      <w:jc w:val="center"/>
      <w:textAlignment w:val="baseline"/>
    </w:pPr>
    <w:rPr>
      <w:rFonts w:ascii="宋体" w:hAnsi="宋体" w:cs="宋体"/>
    </w:rPr>
  </w:style>
  <w:style w:type="paragraph" w:customStyle="1" w:styleId="2412">
    <w:name w:val="表内宋52"/>
    <w:basedOn w:val="1553"/>
    <w:qFormat/>
    <w:uiPriority w:val="0"/>
    <w:pPr>
      <w:jc w:val="both"/>
    </w:pPr>
  </w:style>
  <w:style w:type="paragraph" w:customStyle="1" w:styleId="2413">
    <w:name w:val="表内592"/>
    <w:basedOn w:val="1"/>
    <w:qFormat/>
    <w:uiPriority w:val="0"/>
    <w:pPr>
      <w:adjustRightInd w:val="0"/>
      <w:snapToGrid w:val="0"/>
    </w:pPr>
    <w:rPr>
      <w:rFonts w:ascii="宋体"/>
    </w:rPr>
  </w:style>
  <w:style w:type="paragraph" w:customStyle="1" w:styleId="2414">
    <w:name w:val="文本框五号"/>
    <w:qFormat/>
    <w:uiPriority w:val="0"/>
    <w:pPr>
      <w:adjustRightInd w:val="0"/>
      <w:spacing w:line="240" w:lineRule="atLeast"/>
      <w:jc w:val="center"/>
    </w:pPr>
    <w:rPr>
      <w:rFonts w:ascii="Times New Roman" w:hAnsi="Times New Roman" w:eastAsia="仿宋_GB2312" w:cs="Times New Roman"/>
      <w:snapToGrid w:val="0"/>
      <w:kern w:val="2"/>
      <w:sz w:val="21"/>
      <w:szCs w:val="21"/>
      <w:lang w:val="en-US" w:eastAsia="zh-CN" w:bidi="ar-SA"/>
    </w:rPr>
  </w:style>
  <w:style w:type="paragraph" w:customStyle="1" w:styleId="2415">
    <w:name w:val="Char2 Char Char Char Char Char Char Char Char Char Char Char Char Char Char Char Char Char Char"/>
    <w:basedOn w:val="1"/>
    <w:qFormat/>
    <w:uiPriority w:val="0"/>
    <w:pPr>
      <w:ind w:left="-48"/>
    </w:pPr>
  </w:style>
  <w:style w:type="paragraph" w:customStyle="1" w:styleId="2416">
    <w:name w:val="小四表文左齐"/>
    <w:basedOn w:val="1"/>
    <w:qFormat/>
    <w:uiPriority w:val="0"/>
    <w:pPr>
      <w:spacing w:line="360" w:lineRule="exact"/>
      <w:jc w:val="center"/>
    </w:pPr>
    <w:rPr>
      <w:szCs w:val="21"/>
    </w:rPr>
  </w:style>
  <w:style w:type="paragraph" w:customStyle="1" w:styleId="2417">
    <w:name w:val="Char Char Char2 Char1"/>
    <w:basedOn w:val="1"/>
    <w:qFormat/>
    <w:uiPriority w:val="0"/>
  </w:style>
  <w:style w:type="paragraph" w:customStyle="1" w:styleId="2418">
    <w:name w:val="CM16"/>
    <w:basedOn w:val="641"/>
    <w:next w:val="641"/>
    <w:qFormat/>
    <w:uiPriority w:val="0"/>
    <w:pPr>
      <w:spacing w:after="273"/>
    </w:pPr>
    <w:rPr>
      <w:rFonts w:ascii="Times New Roman" w:cs="Times New Roman"/>
      <w:color w:val="auto"/>
    </w:rPr>
  </w:style>
  <w:style w:type="paragraph" w:customStyle="1" w:styleId="2419">
    <w:name w:val="33"/>
    <w:basedOn w:val="1"/>
    <w:qFormat/>
    <w:uiPriority w:val="0"/>
    <w:pPr>
      <w:keepNext/>
      <w:tabs>
        <w:tab w:val="left" w:pos="6975"/>
      </w:tabs>
      <w:snapToGrid w:val="0"/>
      <w:spacing w:beforeLines="50" w:after="120" w:line="360" w:lineRule="auto"/>
      <w:outlineLvl w:val="2"/>
    </w:pPr>
    <w:rPr>
      <w:b/>
      <w:bCs/>
      <w:sz w:val="24"/>
    </w:rPr>
  </w:style>
  <w:style w:type="paragraph" w:customStyle="1" w:styleId="2420">
    <w:name w:val="表题3"/>
    <w:basedOn w:val="35"/>
    <w:qFormat/>
    <w:uiPriority w:val="0"/>
    <w:pPr>
      <w:tabs>
        <w:tab w:val="left" w:pos="4305"/>
      </w:tabs>
      <w:adjustRightInd w:val="0"/>
      <w:snapToGrid w:val="0"/>
      <w:spacing w:after="0"/>
      <w:ind w:left="0" w:leftChars="0"/>
      <w:jc w:val="center"/>
    </w:pPr>
    <w:rPr>
      <w:rFonts w:ascii="宋体" w:hAnsi="宋体"/>
      <w:sz w:val="24"/>
      <w:szCs w:val="20"/>
    </w:rPr>
  </w:style>
  <w:style w:type="paragraph" w:customStyle="1" w:styleId="2421">
    <w:name w:val="表内5101"/>
    <w:basedOn w:val="1572"/>
    <w:qFormat/>
    <w:uiPriority w:val="0"/>
    <w:pPr>
      <w:spacing w:line="300" w:lineRule="auto"/>
      <w:jc w:val="both"/>
    </w:pPr>
    <w:rPr>
      <w:szCs w:val="24"/>
    </w:rPr>
  </w:style>
  <w:style w:type="paragraph" w:customStyle="1" w:styleId="2422">
    <w:name w:val="样式 标题 1标题 1 Char章节标题 + 黑体"/>
    <w:basedOn w:val="3"/>
    <w:qFormat/>
    <w:uiPriority w:val="0"/>
    <w:pPr>
      <w:tabs>
        <w:tab w:val="left" w:pos="432"/>
      </w:tabs>
      <w:spacing w:after="240" w:line="360" w:lineRule="auto"/>
      <w:ind w:left="432" w:hanging="432"/>
    </w:pPr>
    <w:rPr>
      <w:rFonts w:ascii="黑体" w:hAnsi="黑体" w:eastAsia="黑体"/>
      <w:kern w:val="2"/>
      <w:sz w:val="36"/>
      <w:szCs w:val="52"/>
    </w:rPr>
  </w:style>
  <w:style w:type="paragraph" w:customStyle="1" w:styleId="2423">
    <w:name w:val="样式 标题 3标题3 + (西文) 宋体 左侧:  0 厘米 首行缩进:  0 厘标题3"/>
    <w:basedOn w:val="5"/>
    <w:qFormat/>
    <w:uiPriority w:val="0"/>
    <w:pPr>
      <w:keepNext w:val="0"/>
      <w:keepLines w:val="0"/>
      <w:tabs>
        <w:tab w:val="left" w:pos="709"/>
        <w:tab w:val="clear" w:pos="720"/>
      </w:tabs>
      <w:adjustRightInd/>
      <w:spacing w:before="120"/>
      <w:ind w:left="709" w:hanging="709"/>
      <w:jc w:val="both"/>
      <w:textAlignment w:val="auto"/>
    </w:pPr>
    <w:rPr>
      <w:rFonts w:ascii="宋体" w:hAnsi="宋体" w:cs="宋体"/>
      <w:bCs/>
      <w:color w:val="auto"/>
      <w:spacing w:val="0"/>
      <w:kern w:val="2"/>
      <w:sz w:val="24"/>
    </w:rPr>
  </w:style>
  <w:style w:type="paragraph" w:customStyle="1" w:styleId="2424">
    <w:name w:val="表题83"/>
    <w:basedOn w:val="35"/>
    <w:qFormat/>
    <w:uiPriority w:val="0"/>
    <w:pPr>
      <w:tabs>
        <w:tab w:val="left" w:pos="4305"/>
      </w:tabs>
      <w:adjustRightInd w:val="0"/>
      <w:snapToGrid w:val="0"/>
      <w:spacing w:after="0"/>
      <w:ind w:left="0" w:leftChars="0"/>
      <w:jc w:val="center"/>
    </w:pPr>
    <w:rPr>
      <w:rFonts w:ascii="黑体" w:hAnsi="宋体" w:eastAsia="黑体"/>
      <w:sz w:val="24"/>
      <w:szCs w:val="20"/>
    </w:rPr>
  </w:style>
  <w:style w:type="paragraph" w:customStyle="1" w:styleId="2425">
    <w:name w:val="cauc-0"/>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paragraph" w:customStyle="1" w:styleId="2426">
    <w:name w:val="燕山正文34"/>
    <w:basedOn w:val="1"/>
    <w:qFormat/>
    <w:uiPriority w:val="0"/>
    <w:pPr>
      <w:tabs>
        <w:tab w:val="left" w:pos="4680"/>
      </w:tabs>
      <w:adjustRightInd w:val="0"/>
      <w:snapToGrid w:val="0"/>
      <w:spacing w:line="360" w:lineRule="auto"/>
      <w:ind w:firstLine="560" w:firstLineChars="200"/>
    </w:pPr>
    <w:rPr>
      <w:rFonts w:ascii="宋体" w:hAnsi="宋体"/>
      <w:color w:val="000000"/>
      <w:sz w:val="28"/>
      <w:szCs w:val="28"/>
    </w:rPr>
  </w:style>
  <w:style w:type="paragraph" w:customStyle="1" w:styleId="2427">
    <w:name w:val="征文格式 Char"/>
    <w:basedOn w:val="1"/>
    <w:qFormat/>
    <w:uiPriority w:val="0"/>
    <w:pPr>
      <w:spacing w:line="264" w:lineRule="auto"/>
      <w:ind w:firstLine="459"/>
    </w:pPr>
    <w:rPr>
      <w:rFonts w:ascii="宋体" w:hAnsi="宋体" w:cs="宋体"/>
      <w:sz w:val="24"/>
    </w:rPr>
  </w:style>
  <w:style w:type="paragraph" w:customStyle="1" w:styleId="2428">
    <w:name w:val="待核实小3"/>
    <w:basedOn w:val="1427"/>
    <w:qFormat/>
    <w:uiPriority w:val="0"/>
    <w:rPr>
      <w:rFonts w:cs="Times New Roman"/>
      <w:color w:val="000080"/>
      <w:sz w:val="21"/>
    </w:rPr>
  </w:style>
  <w:style w:type="paragraph" w:customStyle="1" w:styleId="2429">
    <w:name w:val="CM10"/>
    <w:basedOn w:val="641"/>
    <w:next w:val="641"/>
    <w:qFormat/>
    <w:uiPriority w:val="0"/>
    <w:pPr>
      <w:spacing w:line="460" w:lineRule="atLeast"/>
    </w:pPr>
    <w:rPr>
      <w:rFonts w:ascii="黑体" w:eastAsia="黑体" w:cs="Times New Roman"/>
      <w:color w:val="auto"/>
      <w:sz w:val="20"/>
    </w:rPr>
  </w:style>
  <w:style w:type="paragraph" w:customStyle="1" w:styleId="2430">
    <w:name w:val="表16.4-1"/>
    <w:basedOn w:val="544"/>
    <w:qFormat/>
    <w:uiPriority w:val="0"/>
    <w:pPr>
      <w:tabs>
        <w:tab w:val="left" w:pos="360"/>
        <w:tab w:val="left" w:pos="425"/>
        <w:tab w:val="left" w:pos="1080"/>
        <w:tab w:val="clear" w:pos="4060"/>
        <w:tab w:val="clear" w:pos="8261"/>
      </w:tabs>
    </w:pPr>
  </w:style>
  <w:style w:type="paragraph" w:customStyle="1" w:styleId="2431">
    <w:name w:val="CM4"/>
    <w:basedOn w:val="641"/>
    <w:next w:val="641"/>
    <w:qFormat/>
    <w:uiPriority w:val="0"/>
    <w:pPr>
      <w:spacing w:line="460" w:lineRule="atLeast"/>
    </w:pPr>
    <w:rPr>
      <w:rFonts w:ascii="黑体" w:eastAsia="黑体" w:cs="Times New Roman"/>
      <w:color w:val="auto"/>
      <w:sz w:val="20"/>
    </w:rPr>
  </w:style>
  <w:style w:type="paragraph" w:customStyle="1" w:styleId="2432">
    <w:name w:val="k正文"/>
    <w:basedOn w:val="1"/>
    <w:qFormat/>
    <w:uiPriority w:val="0"/>
    <w:pPr>
      <w:adjustRightInd w:val="0"/>
      <w:snapToGrid w:val="0"/>
      <w:spacing w:line="360" w:lineRule="auto"/>
      <w:ind w:firstLine="539"/>
    </w:pPr>
    <w:rPr>
      <w:rFonts w:eastAsia="仿宋_GB2312"/>
      <w:sz w:val="28"/>
    </w:rPr>
  </w:style>
  <w:style w:type="paragraph" w:customStyle="1" w:styleId="2433">
    <w:name w:val="表标题4.2"/>
    <w:basedOn w:val="1"/>
    <w:qFormat/>
    <w:uiPriority w:val="0"/>
    <w:pPr>
      <w:spacing w:beforeLines="100" w:line="0" w:lineRule="atLeast"/>
      <w:jc w:val="left"/>
    </w:pPr>
    <w:rPr>
      <w:rFonts w:eastAsia="黑体"/>
      <w:b/>
      <w:sz w:val="24"/>
    </w:rPr>
  </w:style>
  <w:style w:type="paragraph" w:customStyle="1" w:styleId="2434">
    <w:name w:val="样式 表内小5 + 黑体 加粗 倾斜 下划线1"/>
    <w:basedOn w:val="1"/>
    <w:qFormat/>
    <w:uiPriority w:val="0"/>
    <w:pPr>
      <w:adjustRightInd w:val="0"/>
      <w:snapToGrid w:val="0"/>
      <w:spacing w:line="300" w:lineRule="auto"/>
    </w:pPr>
    <w:rPr>
      <w:rFonts w:ascii="黑体" w:hAnsi="黑体" w:eastAsia="黑体"/>
      <w:b/>
      <w:bCs/>
      <w:i/>
      <w:iCs/>
      <w:sz w:val="18"/>
      <w:u w:val="single"/>
    </w:rPr>
  </w:style>
  <w:style w:type="paragraph" w:customStyle="1" w:styleId="2435">
    <w:name w:val="福建正文缩进4"/>
    <w:basedOn w:val="21"/>
    <w:qFormat/>
    <w:uiPriority w:val="0"/>
    <w:pPr>
      <w:adjustRightInd w:val="0"/>
      <w:snapToGrid w:val="0"/>
      <w:spacing w:line="360" w:lineRule="auto"/>
      <w:ind w:firstLine="539" w:firstLineChars="0"/>
    </w:pPr>
    <w:rPr>
      <w:rFonts w:ascii="宋体"/>
      <w:b/>
      <w:szCs w:val="24"/>
    </w:rPr>
  </w:style>
  <w:style w:type="paragraph" w:customStyle="1" w:styleId="2436">
    <w:name w:val="xl106"/>
    <w:basedOn w:val="1"/>
    <w:qFormat/>
    <w:uiPriority w:val="0"/>
    <w:pPr>
      <w:widowControl/>
      <w:pBdr>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sz w:val="16"/>
      <w:szCs w:val="16"/>
    </w:rPr>
  </w:style>
  <w:style w:type="paragraph" w:customStyle="1" w:styleId="2437">
    <w:name w:val="Char113"/>
    <w:basedOn w:val="1"/>
    <w:qFormat/>
    <w:uiPriority w:val="0"/>
    <w:pPr>
      <w:spacing w:line="480" w:lineRule="exact"/>
      <w:ind w:left="-48"/>
    </w:pPr>
  </w:style>
  <w:style w:type="paragraph" w:customStyle="1" w:styleId="2438">
    <w:name w:val="表内5中22"/>
    <w:basedOn w:val="1"/>
    <w:qFormat/>
    <w:uiPriority w:val="0"/>
    <w:pPr>
      <w:adjustRightInd w:val="0"/>
      <w:snapToGrid w:val="0"/>
      <w:jc w:val="center"/>
    </w:pPr>
    <w:rPr>
      <w:rFonts w:ascii="宋体"/>
      <w:color w:val="000000"/>
      <w:szCs w:val="21"/>
    </w:rPr>
  </w:style>
  <w:style w:type="paragraph" w:customStyle="1" w:styleId="2439">
    <w:name w:val="图表名称4"/>
    <w:basedOn w:val="87"/>
    <w:qFormat/>
    <w:uiPriority w:val="0"/>
    <w:pPr>
      <w:adjustRightInd w:val="0"/>
      <w:snapToGrid w:val="0"/>
      <w:ind w:firstLine="0" w:firstLineChars="0"/>
      <w:jc w:val="center"/>
    </w:pPr>
    <w:rPr>
      <w:rFonts w:ascii="宋体" w:hAnsi="宋体"/>
      <w:sz w:val="24"/>
      <w:szCs w:val="21"/>
    </w:rPr>
  </w:style>
  <w:style w:type="paragraph" w:customStyle="1" w:styleId="2440">
    <w:name w:val="页眉中8"/>
    <w:basedOn w:val="47"/>
    <w:qFormat/>
    <w:uiPriority w:val="0"/>
    <w:pPr>
      <w:adjustRightInd w:val="0"/>
      <w:spacing w:line="360" w:lineRule="auto"/>
      <w:jc w:val="left"/>
    </w:pPr>
    <w:rPr>
      <w:rFonts w:ascii="黑体" w:hAnsi="Times New Roman" w:eastAsia="黑体"/>
      <w:bCs/>
      <w:sz w:val="24"/>
      <w:szCs w:val="24"/>
    </w:rPr>
  </w:style>
  <w:style w:type="paragraph" w:customStyle="1" w:styleId="2441">
    <w:name w:val="样式 标题 2 + 居中"/>
    <w:basedOn w:val="1"/>
    <w:qFormat/>
    <w:uiPriority w:val="0"/>
    <w:pPr>
      <w:tabs>
        <w:tab w:val="left" w:pos="567"/>
      </w:tabs>
      <w:ind w:left="567" w:hanging="567"/>
    </w:pPr>
  </w:style>
  <w:style w:type="paragraph" w:customStyle="1" w:styleId="2442">
    <w:name w:val="CM23"/>
    <w:basedOn w:val="641"/>
    <w:next w:val="641"/>
    <w:qFormat/>
    <w:uiPriority w:val="0"/>
    <w:rPr>
      <w:rFonts w:ascii="黑体" w:eastAsia="黑体" w:cs="Times New Roman"/>
      <w:color w:val="auto"/>
    </w:rPr>
  </w:style>
  <w:style w:type="paragraph" w:customStyle="1" w:styleId="2443">
    <w:name w:val="正文4"/>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2444">
    <w:name w:val="页眉中84"/>
    <w:basedOn w:val="47"/>
    <w:qFormat/>
    <w:uiPriority w:val="0"/>
    <w:pPr>
      <w:adjustRightInd w:val="0"/>
      <w:spacing w:line="360" w:lineRule="auto"/>
      <w:jc w:val="left"/>
    </w:pPr>
    <w:rPr>
      <w:rFonts w:ascii="黑体" w:hAnsi="Times New Roman" w:eastAsia="黑体"/>
      <w:bCs/>
      <w:sz w:val="24"/>
      <w:szCs w:val="24"/>
    </w:rPr>
  </w:style>
  <w:style w:type="paragraph" w:customStyle="1" w:styleId="2445">
    <w:name w:val="表标题4.5"/>
    <w:basedOn w:val="1"/>
    <w:qFormat/>
    <w:uiPriority w:val="0"/>
    <w:pPr>
      <w:tabs>
        <w:tab w:val="center" w:pos="4060"/>
        <w:tab w:val="right" w:pos="8261"/>
      </w:tabs>
      <w:suppressAutoHyphens/>
      <w:adjustRightInd w:val="0"/>
      <w:spacing w:before="240" w:line="0" w:lineRule="atLeast"/>
    </w:pPr>
    <w:rPr>
      <w:rFonts w:ascii="黑体" w:eastAsia="黑体"/>
      <w:b/>
      <w:spacing w:val="6"/>
      <w:sz w:val="26"/>
      <w:szCs w:val="26"/>
    </w:rPr>
  </w:style>
  <w:style w:type="paragraph" w:customStyle="1" w:styleId="2446">
    <w:name w:val="项目符号1"/>
    <w:basedOn w:val="1"/>
    <w:qFormat/>
    <w:uiPriority w:val="0"/>
    <w:pPr>
      <w:overflowPunct w:val="0"/>
      <w:snapToGrid w:val="0"/>
      <w:spacing w:line="480" w:lineRule="exact"/>
    </w:pPr>
    <w:rPr>
      <w:rFonts w:ascii="Arial" w:hAnsi="Arial" w:eastAsia="仿宋_GB2312"/>
      <w:sz w:val="28"/>
    </w:rPr>
  </w:style>
  <w:style w:type="paragraph" w:customStyle="1" w:styleId="2447">
    <w:name w:val="样式 正文居中五号 + 行距: 单倍行距"/>
    <w:basedOn w:val="1930"/>
    <w:qFormat/>
    <w:uiPriority w:val="0"/>
    <w:pPr>
      <w:spacing w:line="240" w:lineRule="auto"/>
    </w:pPr>
  </w:style>
  <w:style w:type="paragraph" w:customStyle="1" w:styleId="2448">
    <w:name w:val="表内宋5中14"/>
    <w:basedOn w:val="1"/>
    <w:qFormat/>
    <w:uiPriority w:val="0"/>
    <w:pPr>
      <w:adjustRightInd w:val="0"/>
      <w:snapToGrid w:val="0"/>
      <w:jc w:val="center"/>
      <w:textAlignment w:val="baseline"/>
    </w:pPr>
    <w:rPr>
      <w:rFonts w:ascii="宋体" w:hAnsi="宋体" w:cs="宋体"/>
    </w:rPr>
  </w:style>
  <w:style w:type="paragraph" w:customStyle="1" w:styleId="2449">
    <w:name w:val="正文文本缩进 31"/>
    <w:basedOn w:val="1"/>
    <w:qFormat/>
    <w:uiPriority w:val="0"/>
    <w:pPr>
      <w:adjustRightInd w:val="0"/>
      <w:spacing w:line="460" w:lineRule="atLeast"/>
      <w:ind w:firstLine="570"/>
      <w:textAlignment w:val="baseline"/>
    </w:pPr>
    <w:rPr>
      <w:rFonts w:ascii="宋体" w:hAnsi="宋体"/>
      <w:spacing w:val="26"/>
      <w:sz w:val="28"/>
    </w:rPr>
  </w:style>
  <w:style w:type="paragraph" w:customStyle="1" w:styleId="2450">
    <w:name w:val="正文6"/>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2451">
    <w:name w:val="样式 正文首行缩进 2 + 段前: 0.25 行1"/>
    <w:basedOn w:val="37"/>
    <w:qFormat/>
    <w:uiPriority w:val="0"/>
    <w:pPr>
      <w:tabs>
        <w:tab w:val="left" w:pos="420"/>
        <w:tab w:val="left" w:pos="870"/>
        <w:tab w:val="left" w:pos="3150"/>
      </w:tabs>
      <w:autoSpaceDE w:val="0"/>
      <w:autoSpaceDN w:val="0"/>
      <w:adjustRightInd w:val="0"/>
      <w:spacing w:beforeLines="25" w:after="0" w:line="336" w:lineRule="auto"/>
      <w:ind w:left="0" w:leftChars="0" w:firstLine="527" w:firstLineChars="0"/>
      <w:textAlignment w:val="baseline"/>
    </w:pPr>
    <w:rPr>
      <w:rFonts w:ascii="宋体" w:hAnsi="Calibri"/>
      <w:sz w:val="24"/>
      <w:szCs w:val="20"/>
    </w:rPr>
  </w:style>
  <w:style w:type="paragraph" w:customStyle="1" w:styleId="2452">
    <w:name w:val="lwzw"/>
    <w:basedOn w:val="1"/>
    <w:qFormat/>
    <w:uiPriority w:val="0"/>
    <w:pPr>
      <w:spacing w:line="440" w:lineRule="exact"/>
      <w:ind w:firstLine="513" w:firstLineChars="213"/>
    </w:pPr>
    <w:rPr>
      <w:b/>
      <w:bCs/>
      <w:spacing w:val="0"/>
      <w:kern w:val="2"/>
      <w:sz w:val="24"/>
      <w:szCs w:val="24"/>
    </w:rPr>
  </w:style>
  <w:style w:type="paragraph" w:customStyle="1" w:styleId="2453">
    <w:name w:val="正文文本缩进 213"/>
    <w:basedOn w:val="1"/>
    <w:qFormat/>
    <w:uiPriority w:val="0"/>
    <w:pPr>
      <w:adjustRightInd w:val="0"/>
      <w:spacing w:line="360" w:lineRule="auto"/>
      <w:ind w:firstLine="630"/>
      <w:jc w:val="left"/>
      <w:textAlignment w:val="baseline"/>
    </w:pPr>
    <w:rPr>
      <w:rFonts w:ascii="宋体" w:hAnsi="宋体"/>
      <w:sz w:val="28"/>
    </w:rPr>
  </w:style>
  <w:style w:type="paragraph" w:customStyle="1" w:styleId="2454">
    <w:name w:val="Char Char Char11"/>
    <w:basedOn w:val="1"/>
    <w:qFormat/>
    <w:uiPriority w:val="0"/>
    <w:pPr>
      <w:keepNext/>
      <w:widowControl/>
      <w:tabs>
        <w:tab w:val="left" w:pos="425"/>
      </w:tabs>
      <w:autoSpaceDE w:val="0"/>
      <w:autoSpaceDN w:val="0"/>
      <w:adjustRightInd w:val="0"/>
      <w:spacing w:before="80" w:after="80"/>
      <w:ind w:hanging="425"/>
    </w:pPr>
    <w:rPr>
      <w:rFonts w:ascii="Arial" w:hAnsi="Arial" w:cs="Arial"/>
    </w:rPr>
  </w:style>
  <w:style w:type="paragraph" w:customStyle="1" w:styleId="2455">
    <w:name w:val="待定小15"/>
    <w:basedOn w:val="1645"/>
    <w:qFormat/>
    <w:uiPriority w:val="0"/>
    <w:pPr>
      <w:spacing w:line="240" w:lineRule="auto"/>
      <w:ind w:firstLine="0" w:firstLineChars="200"/>
    </w:pPr>
    <w:rPr>
      <w:rFonts w:cs="Times New Roman"/>
      <w:color w:val="0000FF"/>
      <w:sz w:val="21"/>
      <w:szCs w:val="20"/>
    </w:rPr>
  </w:style>
  <w:style w:type="paragraph" w:customStyle="1" w:styleId="2456">
    <w:name w:val="Char Char Char Char Char Char Char Char Char1 Char Char Char1 Char Char Char1 Char"/>
    <w:basedOn w:val="1"/>
    <w:next w:val="1"/>
    <w:qFormat/>
    <w:uiPriority w:val="0"/>
    <w:pPr>
      <w:pBdr>
        <w:right w:val="single" w:color="auto" w:sz="12" w:space="4"/>
      </w:pBdr>
      <w:spacing w:line="360" w:lineRule="auto"/>
      <w:ind w:firstLine="200" w:firstLineChars="200"/>
    </w:pPr>
    <w:rPr>
      <w:rFonts w:ascii="宋体" w:hAnsi="宋体" w:cs="宋体"/>
      <w:sz w:val="24"/>
    </w:rPr>
  </w:style>
  <w:style w:type="paragraph" w:customStyle="1" w:styleId="2457">
    <w:name w:val="寄信人地址1"/>
    <w:basedOn w:val="1"/>
    <w:qFormat/>
    <w:uiPriority w:val="0"/>
    <w:pPr>
      <w:snapToGrid w:val="0"/>
    </w:pPr>
    <w:rPr>
      <w:rFonts w:ascii="Arial" w:hAnsi="Arial" w:cs="Arial"/>
    </w:rPr>
  </w:style>
  <w:style w:type="paragraph" w:customStyle="1" w:styleId="2458">
    <w:name w:val="引文目录标题12"/>
    <w:basedOn w:val="1"/>
    <w:next w:val="1"/>
    <w:qFormat/>
    <w:uiPriority w:val="0"/>
    <w:pPr>
      <w:spacing w:before="120"/>
    </w:pPr>
    <w:rPr>
      <w:rFonts w:ascii="Arial" w:hAnsi="Arial" w:cs="Arial"/>
      <w:sz w:val="24"/>
    </w:rPr>
  </w:style>
  <w:style w:type="paragraph" w:customStyle="1" w:styleId="2459">
    <w:name w:val="表内5113"/>
    <w:basedOn w:val="1"/>
    <w:qFormat/>
    <w:uiPriority w:val="0"/>
    <w:pPr>
      <w:adjustRightInd w:val="0"/>
      <w:snapToGrid w:val="0"/>
      <w:spacing w:line="300" w:lineRule="auto"/>
      <w:jc w:val="left"/>
    </w:pPr>
    <w:rPr>
      <w:rFonts w:ascii="宋体"/>
    </w:rPr>
  </w:style>
  <w:style w:type="paragraph" w:customStyle="1" w:styleId="2460">
    <w:name w:val="样式 小四 黑色 加宽量  1.3 磅 行距: 最小值 23 磅"/>
    <w:basedOn w:val="1"/>
    <w:next w:val="34"/>
    <w:qFormat/>
    <w:uiPriority w:val="0"/>
    <w:pPr>
      <w:adjustRightInd w:val="0"/>
      <w:spacing w:line="460" w:lineRule="atLeast"/>
      <w:textAlignment w:val="baseline"/>
    </w:pPr>
    <w:rPr>
      <w:color w:val="000000"/>
      <w:spacing w:val="26"/>
      <w:sz w:val="24"/>
    </w:rPr>
  </w:style>
  <w:style w:type="paragraph" w:customStyle="1" w:styleId="2461">
    <w:name w:val="样式111"/>
    <w:basedOn w:val="1"/>
    <w:qFormat/>
    <w:uiPriority w:val="0"/>
    <w:pPr>
      <w:adjustRightInd w:val="0"/>
      <w:snapToGrid w:val="0"/>
      <w:spacing w:line="300" w:lineRule="auto"/>
      <w:jc w:val="center"/>
      <w:textAlignment w:val="baseline"/>
    </w:pPr>
    <w:rPr>
      <w:rFonts w:ascii="仿宋_GB2312" w:hAnsi="Courier New" w:eastAsia="仿宋_GB2312"/>
      <w:b/>
      <w:sz w:val="28"/>
    </w:rPr>
  </w:style>
  <w:style w:type="paragraph" w:customStyle="1" w:styleId="2462">
    <w:name w:val="Char7"/>
    <w:basedOn w:val="1"/>
    <w:qFormat/>
    <w:uiPriority w:val="0"/>
    <w:pPr>
      <w:ind w:left="-48"/>
    </w:pPr>
  </w:style>
  <w:style w:type="paragraph" w:customStyle="1" w:styleId="2463">
    <w:name w:val="PP 行"/>
    <w:basedOn w:val="59"/>
    <w:qFormat/>
    <w:uiPriority w:val="0"/>
    <w:rPr>
      <w:sz w:val="21"/>
      <w:szCs w:val="24"/>
    </w:rPr>
  </w:style>
  <w:style w:type="paragraph" w:customStyle="1" w:styleId="2464">
    <w:name w:val="表16.3-1 + 段前: 1 行"/>
    <w:basedOn w:val="2430"/>
    <w:qFormat/>
    <w:uiPriority w:val="0"/>
    <w:pPr>
      <w:tabs>
        <w:tab w:val="left" w:pos="420"/>
        <w:tab w:val="clear" w:pos="360"/>
        <w:tab w:val="clear" w:pos="425"/>
        <w:tab w:val="clear" w:pos="1080"/>
      </w:tabs>
      <w:spacing w:before="240"/>
    </w:pPr>
  </w:style>
  <w:style w:type="paragraph" w:customStyle="1" w:styleId="2465">
    <w:name w:val="3级"/>
    <w:basedOn w:val="1"/>
    <w:next w:val="21"/>
    <w:qFormat/>
    <w:uiPriority w:val="0"/>
    <w:pPr>
      <w:spacing w:line="360" w:lineRule="auto"/>
      <w:outlineLvl w:val="2"/>
    </w:pPr>
    <w:rPr>
      <w:b/>
      <w:sz w:val="24"/>
    </w:rPr>
  </w:style>
  <w:style w:type="paragraph" w:customStyle="1" w:styleId="2466">
    <w:name w:val="xl97"/>
    <w:basedOn w:val="1"/>
    <w:qFormat/>
    <w:uiPriority w:val="0"/>
    <w:pPr>
      <w:widowControl/>
      <w:pBdr>
        <w:left w:val="single" w:color="auto" w:sz="8" w:space="0"/>
        <w:right w:val="single" w:color="auto" w:sz="4" w:space="0"/>
      </w:pBdr>
      <w:spacing w:before="100" w:beforeAutospacing="1" w:after="100" w:afterAutospacing="1"/>
      <w:jc w:val="center"/>
      <w:textAlignment w:val="center"/>
    </w:pPr>
    <w:rPr>
      <w:rFonts w:eastAsia="Arial Unicode MS"/>
      <w:sz w:val="16"/>
      <w:szCs w:val="16"/>
    </w:rPr>
  </w:style>
  <w:style w:type="paragraph" w:customStyle="1" w:styleId="2467">
    <w:name w:val="正文3"/>
    <w:basedOn w:val="1"/>
    <w:qFormat/>
    <w:uiPriority w:val="0"/>
    <w:pPr>
      <w:adjustRightInd w:val="0"/>
      <w:spacing w:line="480" w:lineRule="exact"/>
      <w:textAlignment w:val="baseline"/>
    </w:pPr>
  </w:style>
  <w:style w:type="paragraph" w:customStyle="1" w:styleId="2468">
    <w:name w:val="等核实9"/>
    <w:basedOn w:val="35"/>
    <w:qFormat/>
    <w:uiPriority w:val="0"/>
    <w:pPr>
      <w:adjustRightInd w:val="0"/>
      <w:snapToGrid w:val="0"/>
      <w:spacing w:after="0"/>
      <w:ind w:left="0" w:leftChars="0"/>
      <w:jc w:val="center"/>
    </w:pPr>
    <w:rPr>
      <w:rFonts w:ascii="宋体" w:hAnsi="Times"/>
      <w:color w:val="0000FF"/>
      <w:szCs w:val="21"/>
    </w:rPr>
  </w:style>
  <w:style w:type="paragraph" w:customStyle="1" w:styleId="2469">
    <w:name w:val="ljw子标题"/>
    <w:basedOn w:val="1"/>
    <w:next w:val="34"/>
    <w:qFormat/>
    <w:uiPriority w:val="0"/>
    <w:pPr>
      <w:adjustRightInd w:val="0"/>
      <w:snapToGrid w:val="0"/>
      <w:spacing w:beforeLines="50" w:afterLines="50"/>
      <w:jc w:val="left"/>
    </w:pPr>
    <w:rPr>
      <w:rFonts w:ascii="宋体" w:hAnsi="宋体"/>
      <w:b/>
      <w:sz w:val="24"/>
      <w:szCs w:val="28"/>
    </w:rPr>
  </w:style>
  <w:style w:type="paragraph" w:customStyle="1" w:styleId="2470">
    <w:name w:val="样式 样式 样式 目录2 + 左侧:  -2 字符 + 左侧:  2 字符 + 左侧:  2 字符"/>
    <w:basedOn w:val="1"/>
    <w:qFormat/>
    <w:uiPriority w:val="0"/>
    <w:pPr>
      <w:adjustRightInd w:val="0"/>
      <w:snapToGrid w:val="0"/>
      <w:spacing w:line="300" w:lineRule="auto"/>
      <w:ind w:left="200" w:leftChars="200"/>
      <w:jc w:val="distribute"/>
    </w:pPr>
    <w:rPr>
      <w:rFonts w:ascii="宋体" w:hAnsi="宋体" w:cs="宋体"/>
    </w:rPr>
  </w:style>
  <w:style w:type="paragraph" w:customStyle="1" w:styleId="2471">
    <w:name w:val="表内文字小3"/>
    <w:basedOn w:val="1"/>
    <w:qFormat/>
    <w:uiPriority w:val="0"/>
    <w:pPr>
      <w:adjustRightInd w:val="0"/>
      <w:snapToGrid w:val="0"/>
      <w:jc w:val="center"/>
    </w:pPr>
    <w:rPr>
      <w:rFonts w:ascii="宋体" w:hAnsi="Times" w:cs="宋体"/>
      <w:bCs/>
      <w:color w:val="003366"/>
    </w:rPr>
  </w:style>
  <w:style w:type="paragraph" w:customStyle="1" w:styleId="2472">
    <w:name w:val="列出段落13"/>
    <w:basedOn w:val="1"/>
    <w:qFormat/>
    <w:uiPriority w:val="0"/>
    <w:pPr>
      <w:ind w:firstLine="420" w:firstLineChars="200"/>
    </w:pPr>
    <w:rPr>
      <w:rFonts w:cs="黑体"/>
      <w:sz w:val="24"/>
      <w:szCs w:val="22"/>
    </w:rPr>
  </w:style>
  <w:style w:type="paragraph" w:customStyle="1" w:styleId="2473">
    <w:name w:val="表格001"/>
    <w:basedOn w:val="1"/>
    <w:qFormat/>
    <w:uiPriority w:val="0"/>
    <w:pPr>
      <w:jc w:val="center"/>
    </w:pPr>
  </w:style>
  <w:style w:type="paragraph" w:customStyle="1" w:styleId="2474">
    <w:name w:val="Char1 Char Char Char Char Char Char Char Char Char Char Char Char7"/>
    <w:basedOn w:val="1"/>
    <w:next w:val="1"/>
    <w:qFormat/>
    <w:uiPriority w:val="0"/>
    <w:pPr>
      <w:keepNext/>
      <w:keepLines/>
      <w:widowControl/>
      <w:adjustRightInd w:val="0"/>
      <w:spacing w:before="40" w:after="40" w:line="360" w:lineRule="auto"/>
      <w:ind w:firstLine="200" w:firstLineChars="200"/>
      <w:textAlignment w:val="baseline"/>
    </w:pPr>
    <w:rPr>
      <w:rFonts w:cs="宋体"/>
      <w:sz w:val="24"/>
      <w:szCs w:val="28"/>
    </w:rPr>
  </w:style>
  <w:style w:type="paragraph" w:customStyle="1" w:styleId="2475">
    <w:name w:val="报告正文文字"/>
    <w:basedOn w:val="1"/>
    <w:qFormat/>
    <w:uiPriority w:val="0"/>
    <w:pPr>
      <w:widowControl/>
      <w:autoSpaceDE w:val="0"/>
      <w:autoSpaceDN w:val="0"/>
      <w:spacing w:line="360" w:lineRule="auto"/>
      <w:ind w:firstLine="480" w:firstLineChars="200"/>
    </w:pPr>
    <w:rPr>
      <w:rFonts w:ascii="宋体" w:hAnsi="宋体"/>
      <w:color w:val="000000"/>
      <w:spacing w:val="4"/>
      <w:sz w:val="24"/>
    </w:rPr>
  </w:style>
  <w:style w:type="paragraph" w:customStyle="1" w:styleId="2476">
    <w:name w:val="表内宋5中15"/>
    <w:basedOn w:val="1"/>
    <w:qFormat/>
    <w:uiPriority w:val="0"/>
    <w:pPr>
      <w:adjustRightInd w:val="0"/>
      <w:snapToGrid w:val="0"/>
      <w:jc w:val="center"/>
      <w:textAlignment w:val="baseline"/>
    </w:pPr>
    <w:rPr>
      <w:rFonts w:ascii="宋体" w:hAnsi="宋体" w:cs="宋体"/>
    </w:rPr>
  </w:style>
  <w:style w:type="paragraph" w:customStyle="1" w:styleId="2477">
    <w:name w:val="kyj标题 4"/>
    <w:basedOn w:val="1"/>
    <w:qFormat/>
    <w:uiPriority w:val="0"/>
    <w:pPr>
      <w:keepNext/>
      <w:keepLines/>
      <w:adjustRightInd w:val="0"/>
      <w:snapToGrid w:val="0"/>
      <w:spacing w:before="240" w:after="240" w:line="360" w:lineRule="auto"/>
      <w:jc w:val="left"/>
      <w:outlineLvl w:val="3"/>
    </w:pPr>
    <w:rPr>
      <w:rFonts w:eastAsia="仿宋_GB2312"/>
      <w:b/>
      <w:bCs/>
      <w:sz w:val="24"/>
    </w:rPr>
  </w:style>
  <w:style w:type="paragraph" w:customStyle="1" w:styleId="2478">
    <w:name w:val="表题41"/>
    <w:basedOn w:val="35"/>
    <w:qFormat/>
    <w:uiPriority w:val="0"/>
    <w:pPr>
      <w:tabs>
        <w:tab w:val="left" w:pos="4305"/>
      </w:tabs>
      <w:adjustRightInd w:val="0"/>
      <w:snapToGrid w:val="0"/>
      <w:spacing w:after="0" w:line="460" w:lineRule="exact"/>
      <w:ind w:left="0" w:leftChars="0"/>
      <w:jc w:val="center"/>
    </w:pPr>
    <w:rPr>
      <w:rFonts w:ascii="宋体" w:hAnsi="宋体" w:cs="宋体"/>
      <w:b/>
      <w:szCs w:val="21"/>
    </w:rPr>
  </w:style>
  <w:style w:type="paragraph" w:customStyle="1" w:styleId="2479">
    <w:name w:val="Char Char Char Char Char Char Char Char1 Char Char Char Char1"/>
    <w:basedOn w:val="1"/>
    <w:qFormat/>
    <w:uiPriority w:val="0"/>
  </w:style>
  <w:style w:type="paragraph" w:customStyle="1" w:styleId="2480">
    <w:name w:val="等核实2"/>
    <w:basedOn w:val="35"/>
    <w:qFormat/>
    <w:uiPriority w:val="0"/>
    <w:pPr>
      <w:tabs>
        <w:tab w:val="left" w:pos="4305"/>
      </w:tabs>
      <w:adjustRightInd w:val="0"/>
      <w:snapToGrid w:val="0"/>
      <w:spacing w:after="0" w:line="360" w:lineRule="auto"/>
      <w:ind w:left="0" w:leftChars="0" w:firstLine="561"/>
    </w:pPr>
    <w:rPr>
      <w:rFonts w:ascii="宋体" w:hAnsi="宋体" w:cs="宋体"/>
      <w:color w:val="000000"/>
      <w:sz w:val="24"/>
    </w:rPr>
  </w:style>
  <w:style w:type="paragraph" w:customStyle="1" w:styleId="2481">
    <w:name w:val="样式 (中文) 仿宋_GB2312 四号 首行缩进:  0.98 厘米 行距: 固定值 25 磅"/>
    <w:basedOn w:val="1"/>
    <w:qFormat/>
    <w:uiPriority w:val="0"/>
    <w:pPr>
      <w:spacing w:line="360" w:lineRule="auto"/>
      <w:ind w:firstLine="556"/>
    </w:pPr>
    <w:rPr>
      <w:rFonts w:cs="宋体"/>
      <w:sz w:val="24"/>
    </w:rPr>
  </w:style>
  <w:style w:type="paragraph" w:customStyle="1" w:styleId="2482">
    <w:name w:val="样式 正文(首行缩进) + 8 磅 加粗 首行缩进:  2 字符1"/>
    <w:basedOn w:val="1"/>
    <w:qFormat/>
    <w:uiPriority w:val="0"/>
    <w:pPr>
      <w:adjustRightInd w:val="0"/>
      <w:snapToGrid w:val="0"/>
      <w:ind w:firstLine="200" w:firstLineChars="200"/>
    </w:pPr>
    <w:rPr>
      <w:rFonts w:cs="宋体"/>
      <w:b/>
      <w:bCs/>
      <w:snapToGrid w:val="0"/>
      <w:sz w:val="16"/>
    </w:rPr>
  </w:style>
  <w:style w:type="paragraph" w:customStyle="1" w:styleId="2483">
    <w:name w:val="Char32"/>
    <w:basedOn w:val="1"/>
    <w:qFormat/>
    <w:uiPriority w:val="0"/>
  </w:style>
  <w:style w:type="paragraph" w:customStyle="1" w:styleId="2484">
    <w:name w:val="正文一"/>
    <w:basedOn w:val="1"/>
    <w:qFormat/>
    <w:uiPriority w:val="0"/>
    <w:pPr>
      <w:widowControl/>
      <w:adjustRightInd w:val="0"/>
      <w:snapToGrid w:val="0"/>
      <w:spacing w:line="480" w:lineRule="atLeast"/>
    </w:pPr>
    <w:rPr>
      <w:rFonts w:ascii="宋体"/>
      <w:snapToGrid w:val="0"/>
      <w:spacing w:val="6"/>
      <w:sz w:val="24"/>
    </w:rPr>
  </w:style>
  <w:style w:type="paragraph" w:customStyle="1" w:styleId="2485">
    <w:name w:val="样式 标题 1 + 黑体"/>
    <w:basedOn w:val="3"/>
    <w:qFormat/>
    <w:uiPriority w:val="0"/>
    <w:pPr>
      <w:tabs>
        <w:tab w:val="center" w:pos="4156"/>
      </w:tabs>
      <w:spacing w:beforeLines="50" w:afterLines="50" w:line="240" w:lineRule="auto"/>
      <w:jc w:val="center"/>
    </w:pPr>
    <w:rPr>
      <w:rFonts w:ascii="黑体" w:hAnsi="黑体" w:eastAsia="黑体"/>
      <w:sz w:val="52"/>
    </w:rPr>
  </w:style>
  <w:style w:type="paragraph" w:customStyle="1" w:styleId="2486">
    <w:name w:val="图题16"/>
    <w:basedOn w:val="1"/>
    <w:qFormat/>
    <w:uiPriority w:val="0"/>
    <w:pPr>
      <w:jc w:val="center"/>
    </w:pPr>
    <w:rPr>
      <w:rFonts w:ascii="黑体" w:eastAsia="黑体"/>
      <w:sz w:val="24"/>
    </w:rPr>
  </w:style>
  <w:style w:type="paragraph" w:customStyle="1" w:styleId="2487">
    <w:name w:val="表内521"/>
    <w:basedOn w:val="1"/>
    <w:qFormat/>
    <w:uiPriority w:val="0"/>
    <w:pPr>
      <w:adjustRightInd w:val="0"/>
      <w:snapToGrid w:val="0"/>
      <w:ind w:right="32"/>
      <w:jc w:val="center"/>
    </w:pPr>
    <w:rPr>
      <w:rFonts w:ascii="宋体"/>
      <w:color w:val="000000"/>
      <w:szCs w:val="21"/>
    </w:rPr>
  </w:style>
  <w:style w:type="paragraph" w:customStyle="1" w:styleId="2488">
    <w:name w:val="a)"/>
    <w:basedOn w:val="1"/>
    <w:qFormat/>
    <w:uiPriority w:val="0"/>
    <w:pPr>
      <w:adjustRightInd w:val="0"/>
      <w:spacing w:line="360" w:lineRule="auto"/>
      <w:ind w:firstLine="567"/>
      <w:textAlignment w:val="baseline"/>
    </w:pPr>
    <w:rPr>
      <w:sz w:val="28"/>
    </w:rPr>
  </w:style>
  <w:style w:type="paragraph" w:customStyle="1" w:styleId="2489">
    <w:name w:val="5文章(治)"/>
    <w:basedOn w:val="1"/>
    <w:qFormat/>
    <w:uiPriority w:val="0"/>
    <w:pPr>
      <w:spacing w:line="360" w:lineRule="auto"/>
      <w:ind w:firstLine="560" w:firstLineChars="200"/>
    </w:pPr>
    <w:rPr>
      <w:rFonts w:eastAsia="楷体_GB2312"/>
      <w:sz w:val="28"/>
    </w:rPr>
  </w:style>
  <w:style w:type="paragraph" w:customStyle="1" w:styleId="2490">
    <w:name w:val="_Style 20"/>
    <w:basedOn w:val="1"/>
    <w:qFormat/>
    <w:uiPriority w:val="0"/>
    <w:pPr>
      <w:adjustRightInd w:val="0"/>
      <w:spacing w:line="480" w:lineRule="exact"/>
    </w:pPr>
    <w:rPr>
      <w:rFonts w:hint="eastAsia"/>
      <w:kern w:val="28"/>
      <w:sz w:val="24"/>
    </w:rPr>
  </w:style>
  <w:style w:type="paragraph" w:customStyle="1" w:styleId="2491">
    <w:name w:val="Formatvorlage3"/>
    <w:basedOn w:val="6"/>
    <w:next w:val="1"/>
    <w:qFormat/>
    <w:uiPriority w:val="0"/>
    <w:pPr>
      <w:keepLines w:val="0"/>
      <w:tabs>
        <w:tab w:val="left" w:pos="2160"/>
      </w:tabs>
      <w:spacing w:before="240" w:after="60" w:line="360" w:lineRule="auto"/>
      <w:ind w:left="1728" w:hanging="648"/>
    </w:pPr>
    <w:rPr>
      <w:rFonts w:ascii="CorpoSLig" w:hAnsi="CorpoSLig" w:eastAsia="宋体"/>
      <w:bCs w:val="0"/>
      <w:sz w:val="24"/>
      <w:szCs w:val="20"/>
      <w:lang w:val="en-GB" w:eastAsia="en-US"/>
    </w:rPr>
  </w:style>
  <w:style w:type="paragraph" w:customStyle="1" w:styleId="2492">
    <w:name w:val="表内532"/>
    <w:basedOn w:val="1"/>
    <w:qFormat/>
    <w:uiPriority w:val="0"/>
    <w:pPr>
      <w:adjustRightInd w:val="0"/>
      <w:snapToGrid w:val="0"/>
      <w:spacing w:line="300" w:lineRule="auto"/>
      <w:jc w:val="left"/>
    </w:pPr>
    <w:rPr>
      <w:rFonts w:ascii="宋体"/>
    </w:rPr>
  </w:style>
  <w:style w:type="paragraph" w:customStyle="1" w:styleId="2493">
    <w:name w:val="xl63"/>
    <w:basedOn w:val="1"/>
    <w:qFormat/>
    <w:uiPriority w:val="0"/>
    <w:pPr>
      <w:widowControl/>
      <w:spacing w:before="100" w:after="100"/>
      <w:jc w:val="center"/>
      <w:textAlignment w:val="center"/>
    </w:pPr>
    <w:rPr>
      <w:rFonts w:hint="eastAsia" w:ascii="黑体" w:hAnsi="宋体" w:eastAsia="黑体"/>
      <w:sz w:val="24"/>
    </w:rPr>
  </w:style>
  <w:style w:type="paragraph" w:customStyle="1" w:styleId="2494">
    <w:name w:val="福建正文缩进17"/>
    <w:basedOn w:val="21"/>
    <w:qFormat/>
    <w:uiPriority w:val="0"/>
    <w:pPr>
      <w:autoSpaceDE w:val="0"/>
      <w:autoSpaceDN w:val="0"/>
      <w:adjustRightInd w:val="0"/>
      <w:snapToGrid w:val="0"/>
      <w:spacing w:line="360" w:lineRule="auto"/>
      <w:ind w:firstLine="539" w:firstLineChars="0"/>
    </w:pPr>
    <w:rPr>
      <w:rFonts w:ascii="宋体" w:hAnsi="宋体"/>
      <w:szCs w:val="24"/>
    </w:rPr>
  </w:style>
  <w:style w:type="paragraph" w:customStyle="1" w:styleId="2495">
    <w:name w:val="页脚3"/>
    <w:basedOn w:val="911"/>
    <w:qFormat/>
    <w:uiPriority w:val="0"/>
    <w:pPr>
      <w:tabs>
        <w:tab w:val="center" w:pos="4153"/>
        <w:tab w:val="right" w:pos="8306"/>
      </w:tabs>
      <w:spacing w:line="240" w:lineRule="atLeast"/>
      <w:jc w:val="left"/>
    </w:pPr>
    <w:rPr>
      <w:rFonts w:eastAsia="Times New Roman"/>
      <w:sz w:val="18"/>
      <w:szCs w:val="22"/>
    </w:rPr>
  </w:style>
  <w:style w:type="paragraph" w:customStyle="1" w:styleId="2496">
    <w:name w:val="表标题5.9"/>
    <w:basedOn w:val="1"/>
    <w:qFormat/>
    <w:uiPriority w:val="0"/>
    <w:pPr>
      <w:tabs>
        <w:tab w:val="left" w:pos="1653"/>
      </w:tabs>
      <w:spacing w:beforeLines="100" w:line="0" w:lineRule="atLeast"/>
      <w:ind w:left="993" w:hanging="420"/>
    </w:pPr>
    <w:rPr>
      <w:rFonts w:eastAsia="黑体"/>
      <w:b/>
      <w:sz w:val="24"/>
    </w:rPr>
  </w:style>
  <w:style w:type="paragraph" w:customStyle="1" w:styleId="2497">
    <w:name w:val="xl48"/>
    <w:basedOn w:val="1"/>
    <w:qFormat/>
    <w:uiPriority w:val="0"/>
    <w:pPr>
      <w:widowControl/>
      <w:pBdr>
        <w:bottom w:val="single" w:color="auto" w:sz="4" w:space="0"/>
      </w:pBdr>
      <w:spacing w:before="100" w:beforeAutospacing="1" w:after="100" w:afterAutospacing="1"/>
      <w:textAlignment w:val="top"/>
    </w:pPr>
    <w:rPr>
      <w:rFonts w:ascii="Arial Unicode MS" w:hAnsi="Arial Unicode MS" w:eastAsia="Arial Unicode MS" w:cs="Arial Unicode MS"/>
    </w:rPr>
  </w:style>
  <w:style w:type="paragraph" w:customStyle="1" w:styleId="2498">
    <w:name w:val="样式17"/>
    <w:basedOn w:val="35"/>
    <w:qFormat/>
    <w:uiPriority w:val="0"/>
    <w:pPr>
      <w:adjustRightInd w:val="0"/>
      <w:snapToGrid w:val="0"/>
      <w:spacing w:after="0"/>
      <w:ind w:left="0" w:leftChars="0"/>
    </w:pPr>
    <w:rPr>
      <w:rFonts w:ascii="方正大标宋简体" w:hAnsi="宋体" w:eastAsia="方正大标宋简体" w:cs="宋体"/>
      <w:color w:val="0000FF"/>
      <w:sz w:val="24"/>
    </w:rPr>
  </w:style>
  <w:style w:type="paragraph" w:customStyle="1" w:styleId="2499">
    <w:name w:val="Char Char Char1 Char Char Char Char"/>
    <w:basedOn w:val="1"/>
    <w:next w:val="1"/>
    <w:qFormat/>
    <w:uiPriority w:val="0"/>
    <w:pPr>
      <w:spacing w:line="360" w:lineRule="auto"/>
      <w:ind w:firstLine="200" w:firstLineChars="200"/>
    </w:pPr>
    <w:rPr>
      <w:rFonts w:ascii="宋体" w:hAnsi="宋体" w:eastAsia="汉鼎简书宋" w:cs="宋体"/>
      <w:sz w:val="24"/>
    </w:rPr>
  </w:style>
  <w:style w:type="paragraph" w:customStyle="1" w:styleId="2500">
    <w:name w:val="样式121"/>
    <w:basedOn w:val="47"/>
    <w:qFormat/>
    <w:uiPriority w:val="0"/>
    <w:pPr>
      <w:adjustRightInd w:val="0"/>
      <w:spacing w:line="300" w:lineRule="auto"/>
      <w:ind w:firstLine="560" w:firstLineChars="200"/>
    </w:pPr>
    <w:rPr>
      <w:rFonts w:ascii="黑体" w:hAnsi="Times New Roman" w:eastAsia="黑体"/>
      <w:sz w:val="28"/>
    </w:rPr>
  </w:style>
  <w:style w:type="paragraph" w:customStyle="1" w:styleId="2501">
    <w:name w:val="标题48"/>
    <w:basedOn w:val="1"/>
    <w:qFormat/>
    <w:uiPriority w:val="0"/>
    <w:pPr>
      <w:adjustRightInd w:val="0"/>
      <w:snapToGrid w:val="0"/>
      <w:spacing w:line="300" w:lineRule="auto"/>
      <w:jc w:val="left"/>
    </w:pPr>
    <w:rPr>
      <w:rFonts w:ascii="黑体" w:hAnsi="宋体" w:eastAsia="黑体" w:cs="宋体"/>
      <w:bCs/>
      <w:sz w:val="24"/>
    </w:rPr>
  </w:style>
  <w:style w:type="paragraph" w:customStyle="1" w:styleId="2502">
    <w:name w:val="表内文字小53"/>
    <w:basedOn w:val="1"/>
    <w:qFormat/>
    <w:uiPriority w:val="0"/>
    <w:pPr>
      <w:adjustRightInd w:val="0"/>
      <w:snapToGrid w:val="0"/>
      <w:jc w:val="center"/>
    </w:pPr>
    <w:rPr>
      <w:rFonts w:ascii="宋体" w:hAnsi="Times"/>
    </w:rPr>
  </w:style>
  <w:style w:type="paragraph" w:customStyle="1" w:styleId="2503">
    <w:name w:val="正文单倍行距"/>
    <w:basedOn w:val="1"/>
    <w:qFormat/>
    <w:uiPriority w:val="0"/>
    <w:pPr>
      <w:tabs>
        <w:tab w:val="left" w:pos="8640"/>
      </w:tabs>
      <w:snapToGrid w:val="0"/>
      <w:ind w:firstLine="200" w:firstLineChars="200"/>
    </w:pPr>
    <w:rPr>
      <w:rFonts w:eastAsia="仿宋_GB2312"/>
      <w:sz w:val="24"/>
    </w:rPr>
  </w:style>
  <w:style w:type="paragraph" w:customStyle="1" w:styleId="2504">
    <w:name w:val="表内531"/>
    <w:basedOn w:val="1"/>
    <w:qFormat/>
    <w:uiPriority w:val="0"/>
    <w:pPr>
      <w:adjustRightInd w:val="0"/>
      <w:snapToGrid w:val="0"/>
      <w:spacing w:line="300" w:lineRule="auto"/>
      <w:jc w:val="left"/>
    </w:pPr>
    <w:rPr>
      <w:rFonts w:ascii="宋体"/>
    </w:rPr>
  </w:style>
  <w:style w:type="paragraph" w:customStyle="1" w:styleId="2505">
    <w:name w:val="页眉中106"/>
    <w:basedOn w:val="1"/>
    <w:qFormat/>
    <w:uiPriority w:val="0"/>
    <w:pPr>
      <w:adjustRightInd w:val="0"/>
      <w:snapToGrid w:val="0"/>
      <w:spacing w:line="300" w:lineRule="auto"/>
      <w:jc w:val="left"/>
    </w:pPr>
    <w:rPr>
      <w:rFonts w:ascii="黑体" w:eastAsia="黑体"/>
      <w:bCs/>
      <w:sz w:val="24"/>
    </w:rPr>
  </w:style>
  <w:style w:type="paragraph" w:customStyle="1" w:styleId="2506">
    <w:name w:val="样式表格"/>
    <w:basedOn w:val="1"/>
    <w:qFormat/>
    <w:uiPriority w:val="0"/>
    <w:pPr>
      <w:widowControl/>
      <w:jc w:val="center"/>
    </w:pPr>
    <w:rPr>
      <w:color w:val="000000"/>
      <w:szCs w:val="21"/>
    </w:rPr>
  </w:style>
  <w:style w:type="paragraph" w:customStyle="1" w:styleId="2507">
    <w:name w:val="Char1 Char Char Char Char Char Char Char Char Char2"/>
    <w:basedOn w:val="1"/>
    <w:qFormat/>
    <w:uiPriority w:val="0"/>
    <w:pPr>
      <w:widowControl/>
      <w:adjustRightInd w:val="0"/>
      <w:spacing w:after="160" w:line="240" w:lineRule="exact"/>
      <w:jc w:val="left"/>
      <w:textAlignment w:val="baseline"/>
    </w:pPr>
    <w:rPr>
      <w:rFonts w:ascii="Verdana" w:hAnsi="Verdana" w:eastAsia="仿宋_GB2312"/>
      <w:sz w:val="24"/>
      <w:lang w:eastAsia="en-US"/>
    </w:rPr>
  </w:style>
  <w:style w:type="paragraph" w:customStyle="1" w:styleId="2508">
    <w:name w:val="样式 正文首行缩进 + 左侧:  -0.1 字符"/>
    <w:basedOn w:val="87"/>
    <w:qFormat/>
    <w:uiPriority w:val="0"/>
    <w:pPr>
      <w:keepNext/>
      <w:tabs>
        <w:tab w:val="left" w:pos="628"/>
        <w:tab w:val="left" w:pos="1727"/>
        <w:tab w:val="left" w:pos="1884"/>
        <w:tab w:val="left" w:pos="4900"/>
      </w:tabs>
      <w:autoSpaceDE w:val="0"/>
      <w:autoSpaceDN w:val="0"/>
      <w:adjustRightInd w:val="0"/>
      <w:snapToGrid w:val="0"/>
      <w:spacing w:line="360" w:lineRule="auto"/>
      <w:ind w:firstLine="200" w:firstLineChars="200"/>
    </w:pPr>
    <w:rPr>
      <w:rFonts w:ascii="宋体" w:cs="宋体"/>
      <w:kern w:val="0"/>
      <w:sz w:val="28"/>
      <w:szCs w:val="20"/>
      <w:lang w:val="zh-CN"/>
    </w:rPr>
  </w:style>
  <w:style w:type="paragraph" w:customStyle="1" w:styleId="2509">
    <w:name w:val="style2"/>
    <w:basedOn w:val="1"/>
    <w:qFormat/>
    <w:uiPriority w:val="0"/>
    <w:pPr>
      <w:widowControl/>
      <w:spacing w:before="100" w:beforeAutospacing="1" w:after="100" w:afterAutospacing="1"/>
      <w:jc w:val="left"/>
    </w:pPr>
    <w:rPr>
      <w:rFonts w:ascii="宋体" w:hAnsi="宋体" w:cs="宋体"/>
      <w:b/>
      <w:bCs/>
      <w:sz w:val="36"/>
      <w:szCs w:val="36"/>
    </w:rPr>
  </w:style>
  <w:style w:type="paragraph" w:customStyle="1" w:styleId="2510">
    <w:name w:val="Mercedes"/>
    <w:basedOn w:val="1"/>
    <w:qFormat/>
    <w:uiPriority w:val="0"/>
    <w:pPr>
      <w:widowControl/>
      <w:overflowPunct w:val="0"/>
      <w:autoSpaceDE w:val="0"/>
      <w:autoSpaceDN w:val="0"/>
      <w:adjustRightInd w:val="0"/>
      <w:spacing w:line="360" w:lineRule="auto"/>
      <w:jc w:val="left"/>
      <w:textAlignment w:val="baseline"/>
    </w:pPr>
    <w:rPr>
      <w:rFonts w:ascii="CorporateS-Regular" w:hAnsi="CorporateS-Regular"/>
      <w:sz w:val="24"/>
      <w:lang w:val="de-DE" w:eastAsia="en-US"/>
    </w:rPr>
  </w:style>
  <w:style w:type="paragraph" w:customStyle="1" w:styleId="2511">
    <w:name w:val="xl53"/>
    <w:basedOn w:val="1"/>
    <w:qFormat/>
    <w:uiPriority w:val="0"/>
    <w:pPr>
      <w:widowControl/>
      <w:spacing w:before="100" w:beforeAutospacing="1" w:after="100" w:afterAutospacing="1"/>
      <w:jc w:val="left"/>
    </w:pPr>
    <w:rPr>
      <w:rFonts w:ascii="宋体" w:hAnsi="宋体"/>
      <w:b/>
      <w:bCs/>
      <w:sz w:val="52"/>
      <w:szCs w:val="52"/>
    </w:rPr>
  </w:style>
  <w:style w:type="paragraph" w:customStyle="1" w:styleId="2512">
    <w:name w:val="xl142"/>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2513">
    <w:name w:val="表格 首行：0字符"/>
    <w:basedOn w:val="1"/>
    <w:qFormat/>
    <w:uiPriority w:val="0"/>
    <w:pPr>
      <w:keepNext/>
      <w:adjustRightInd w:val="0"/>
      <w:snapToGrid w:val="0"/>
      <w:spacing w:line="480" w:lineRule="exact"/>
      <w:jc w:val="left"/>
      <w:textAlignment w:val="baseline"/>
    </w:pPr>
    <w:rPr>
      <w:rFonts w:cs="宋体"/>
      <w:szCs w:val="21"/>
    </w:rPr>
  </w:style>
  <w:style w:type="paragraph" w:customStyle="1" w:styleId="2514">
    <w:name w:val="CM19"/>
    <w:basedOn w:val="641"/>
    <w:next w:val="641"/>
    <w:qFormat/>
    <w:uiPriority w:val="0"/>
    <w:pPr>
      <w:spacing w:line="408" w:lineRule="atLeast"/>
    </w:pPr>
    <w:rPr>
      <w:rFonts w:ascii="Arial Unicode MS" w:hAnsi="Arial Unicode MS" w:cs="Times New Roman"/>
      <w:color w:val="auto"/>
    </w:rPr>
  </w:style>
  <w:style w:type="paragraph" w:customStyle="1" w:styleId="2515">
    <w:name w:val="xl129"/>
    <w:basedOn w:val="1"/>
    <w:qFormat/>
    <w:uiPriority w:val="0"/>
    <w:pPr>
      <w:widowControl/>
      <w:pBdr>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color w:val="000000"/>
      <w:sz w:val="18"/>
      <w:szCs w:val="18"/>
    </w:rPr>
  </w:style>
  <w:style w:type="paragraph" w:customStyle="1" w:styleId="2516">
    <w:name w:val="title of table"/>
    <w:basedOn w:val="1"/>
    <w:next w:val="1"/>
    <w:qFormat/>
    <w:uiPriority w:val="0"/>
    <w:pPr>
      <w:spacing w:afterLines="50"/>
      <w:jc w:val="center"/>
    </w:pPr>
    <w:rPr>
      <w:b/>
      <w:color w:val="080808"/>
      <w:sz w:val="24"/>
    </w:rPr>
  </w:style>
  <w:style w:type="paragraph" w:customStyle="1" w:styleId="2517">
    <w:name w:val="样式 正文首行缩进 2 + 首行缩进:  2 字符"/>
    <w:basedOn w:val="37"/>
    <w:next w:val="37"/>
    <w:qFormat/>
    <w:uiPriority w:val="0"/>
    <w:pPr>
      <w:spacing w:after="0" w:line="440" w:lineRule="exact"/>
      <w:ind w:left="0" w:leftChars="0" w:firstLine="200"/>
      <w:jc w:val="left"/>
    </w:pPr>
    <w:rPr>
      <w:rFonts w:cs="宋体"/>
      <w:color w:val="000000"/>
      <w:sz w:val="24"/>
    </w:rPr>
  </w:style>
  <w:style w:type="paragraph" w:customStyle="1" w:styleId="2518">
    <w:name w:val="style15"/>
    <w:basedOn w:val="1"/>
    <w:qFormat/>
    <w:uiPriority w:val="0"/>
    <w:pPr>
      <w:widowControl/>
      <w:spacing w:before="100" w:beforeAutospacing="1" w:after="100" w:afterAutospacing="1"/>
      <w:jc w:val="left"/>
    </w:pPr>
    <w:rPr>
      <w:rFonts w:ascii="宋体" w:hAnsi="宋体" w:cs="宋体"/>
      <w:sz w:val="16"/>
      <w:szCs w:val="16"/>
    </w:rPr>
  </w:style>
  <w:style w:type="paragraph" w:customStyle="1" w:styleId="2519">
    <w:name w:val="xl104"/>
    <w:basedOn w:val="1"/>
    <w:qFormat/>
    <w:uiPriority w:val="0"/>
    <w:pPr>
      <w:widowControl/>
      <w:pBdr>
        <w:left w:val="single" w:color="auto" w:sz="8" w:space="0"/>
      </w:pBdr>
      <w:spacing w:before="100" w:beforeAutospacing="1" w:after="100" w:afterAutospacing="1"/>
      <w:jc w:val="left"/>
      <w:textAlignment w:val="center"/>
    </w:pPr>
    <w:rPr>
      <w:rFonts w:ascii="Arial Unicode MS" w:hAnsi="Arial Unicode MS" w:eastAsia="Arial Unicode MS" w:cs="Arial Unicode MS"/>
      <w:sz w:val="16"/>
      <w:szCs w:val="16"/>
    </w:rPr>
  </w:style>
  <w:style w:type="paragraph" w:customStyle="1" w:styleId="2520">
    <w:name w:val="Char Char Char Char Char Char Char Char Char Char Char Char Char Char Char Char Char Char Char Char Char Char Char Char Char1"/>
    <w:basedOn w:val="1"/>
    <w:qFormat/>
    <w:uiPriority w:val="0"/>
    <w:pPr>
      <w:spacing w:line="360" w:lineRule="auto"/>
      <w:ind w:firstLine="200" w:firstLineChars="200"/>
    </w:pPr>
    <w:rPr>
      <w:rFonts w:ascii="宋体" w:hAnsi="宋体" w:cs="宋体"/>
      <w:sz w:val="24"/>
    </w:rPr>
  </w:style>
  <w:style w:type="paragraph" w:customStyle="1" w:styleId="2521">
    <w:name w:val="样式 表内5 + (符号) 宋体 两端对齐 行距: 单倍行距6"/>
    <w:basedOn w:val="1106"/>
    <w:qFormat/>
    <w:uiPriority w:val="0"/>
    <w:pPr>
      <w:spacing w:line="240" w:lineRule="auto"/>
    </w:pPr>
  </w:style>
  <w:style w:type="paragraph" w:customStyle="1" w:styleId="2522">
    <w:name w:val="样式 表中文字 + 两端对齐"/>
    <w:basedOn w:val="1596"/>
    <w:qFormat/>
    <w:uiPriority w:val="0"/>
    <w:pPr>
      <w:widowControl w:val="0"/>
      <w:tabs>
        <w:tab w:val="left" w:pos="3286"/>
        <w:tab w:val="left" w:pos="8362"/>
      </w:tabs>
      <w:snapToGrid w:val="0"/>
      <w:spacing w:line="320" w:lineRule="exact"/>
      <w:ind w:left="0" w:leftChars="0" w:right="0" w:rightChars="0"/>
      <w:jc w:val="both"/>
    </w:pPr>
    <w:rPr>
      <w:rFonts w:ascii="Arial" w:hAnsi="Arial" w:eastAsia="楷体_GB2312" w:cs="宋体"/>
      <w:kern w:val="2"/>
      <w:shd w:val="clear" w:color="auto" w:fill="FFFFFF"/>
    </w:rPr>
  </w:style>
  <w:style w:type="paragraph" w:customStyle="1" w:styleId="2523">
    <w:name w:val="Char Char Char Char Char Char Char Char Char Char Char Char Char4"/>
    <w:basedOn w:val="1"/>
    <w:qFormat/>
    <w:uiPriority w:val="0"/>
  </w:style>
  <w:style w:type="paragraph" w:customStyle="1" w:styleId="2524">
    <w:name w:val="样式 表标题8.2 + 段前: 1 行"/>
    <w:qFormat/>
    <w:uiPriority w:val="0"/>
    <w:pPr>
      <w:tabs>
        <w:tab w:val="left" w:pos="2190"/>
      </w:tabs>
      <w:ind w:left="619" w:firstLine="851"/>
    </w:pPr>
    <w:rPr>
      <w:rFonts w:ascii="Times New Roman" w:hAnsi="Times New Roman" w:eastAsia="宋体" w:cs="宋体"/>
      <w:bCs/>
      <w:lang w:val="en-US" w:eastAsia="zh-CN" w:bidi="ar-SA"/>
    </w:rPr>
  </w:style>
  <w:style w:type="paragraph" w:customStyle="1" w:styleId="2525">
    <w:name w:val="表题26"/>
    <w:basedOn w:val="1"/>
    <w:qFormat/>
    <w:uiPriority w:val="0"/>
    <w:pPr>
      <w:widowControl/>
      <w:adjustRightInd w:val="0"/>
      <w:snapToGrid w:val="0"/>
      <w:jc w:val="center"/>
    </w:pPr>
    <w:rPr>
      <w:rFonts w:ascii="黑体" w:hAnsi="宋体" w:eastAsia="黑体" w:cs="宋体"/>
      <w:sz w:val="24"/>
    </w:rPr>
  </w:style>
  <w:style w:type="paragraph" w:customStyle="1" w:styleId="2526">
    <w:name w:val="表格名称"/>
    <w:basedOn w:val="1"/>
    <w:next w:val="1"/>
    <w:qFormat/>
    <w:uiPriority w:val="0"/>
    <w:pPr>
      <w:spacing w:line="300" w:lineRule="auto"/>
      <w:ind w:firstLine="200" w:firstLineChars="200"/>
      <w:jc w:val="center"/>
    </w:pPr>
    <w:rPr>
      <w:rFonts w:eastAsia="黑体"/>
      <w:bCs/>
      <w:sz w:val="24"/>
    </w:rPr>
  </w:style>
  <w:style w:type="paragraph" w:customStyle="1" w:styleId="2527">
    <w:name w:val="Char Char Char Char Char Char Char Char Char Char Char Char Char Char Char Char Char Char Char2"/>
    <w:basedOn w:val="1"/>
    <w:qFormat/>
    <w:uiPriority w:val="0"/>
    <w:pPr>
      <w:spacing w:line="480" w:lineRule="exact"/>
    </w:pPr>
  </w:style>
  <w:style w:type="paragraph" w:customStyle="1" w:styleId="2528">
    <w:name w:val="页眉中117"/>
    <w:basedOn w:val="1"/>
    <w:qFormat/>
    <w:uiPriority w:val="0"/>
    <w:pPr>
      <w:adjustRightInd w:val="0"/>
      <w:snapToGrid w:val="0"/>
      <w:spacing w:line="300" w:lineRule="auto"/>
      <w:jc w:val="left"/>
    </w:pPr>
    <w:rPr>
      <w:rFonts w:ascii="黑体" w:hAnsi="宋体" w:eastAsia="黑体"/>
      <w:sz w:val="24"/>
    </w:rPr>
  </w:style>
  <w:style w:type="paragraph" w:customStyle="1" w:styleId="2529">
    <w:name w:val="表内小48"/>
    <w:basedOn w:val="1427"/>
    <w:qFormat/>
    <w:uiPriority w:val="0"/>
    <w:pPr>
      <w:ind w:left="240" w:hanging="240"/>
      <w:jc w:val="both"/>
    </w:pPr>
    <w:rPr>
      <w:rFonts w:cs="Times New Roman"/>
    </w:rPr>
  </w:style>
  <w:style w:type="paragraph" w:customStyle="1" w:styleId="2530">
    <w:name w:val="表内文字大14"/>
    <w:basedOn w:val="1"/>
    <w:qFormat/>
    <w:uiPriority w:val="0"/>
    <w:pPr>
      <w:adjustRightInd w:val="0"/>
      <w:snapToGrid w:val="0"/>
      <w:jc w:val="center"/>
    </w:pPr>
    <w:rPr>
      <w:rFonts w:ascii="宋体" w:hAnsi="Times"/>
      <w:sz w:val="24"/>
    </w:rPr>
  </w:style>
  <w:style w:type="paragraph" w:customStyle="1" w:styleId="2531">
    <w:name w:val="xl76"/>
    <w:basedOn w:val="1"/>
    <w:qFormat/>
    <w:uiPriority w:val="0"/>
    <w:pPr>
      <w:widowControl/>
      <w:pBdr>
        <w:top w:val="single" w:color="auto" w:sz="8" w:space="0"/>
        <w:left w:val="single" w:color="auto" w:sz="4" w:space="0"/>
        <w:bottom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cs="Arial Unicode MS"/>
      <w:sz w:val="16"/>
      <w:szCs w:val="16"/>
    </w:rPr>
  </w:style>
  <w:style w:type="paragraph" w:customStyle="1" w:styleId="2532">
    <w:name w:val="正文13"/>
    <w:basedOn w:val="1"/>
    <w:qFormat/>
    <w:uiPriority w:val="0"/>
    <w:pPr>
      <w:adjustRightInd w:val="0"/>
      <w:spacing w:after="120" w:line="360" w:lineRule="atLeast"/>
      <w:jc w:val="center"/>
      <w:textAlignment w:val="baseline"/>
    </w:pPr>
    <w:rPr>
      <w:rFonts w:ascii="宋体" w:hAnsi="宋体" w:cs="宋体"/>
      <w:sz w:val="24"/>
    </w:rPr>
  </w:style>
  <w:style w:type="paragraph" w:customStyle="1" w:styleId="2533">
    <w:name w:val="图号样式"/>
    <w:basedOn w:val="1"/>
    <w:qFormat/>
    <w:uiPriority w:val="0"/>
    <w:pPr>
      <w:spacing w:line="360" w:lineRule="auto"/>
      <w:jc w:val="center"/>
    </w:pPr>
    <w:rPr>
      <w:sz w:val="24"/>
    </w:rPr>
  </w:style>
  <w:style w:type="paragraph" w:customStyle="1" w:styleId="2534">
    <w:name w:val="需要资料1"/>
    <w:basedOn w:val="1"/>
    <w:qFormat/>
    <w:uiPriority w:val="0"/>
    <w:pPr>
      <w:adjustRightInd w:val="0"/>
      <w:snapToGrid w:val="0"/>
      <w:spacing w:line="360" w:lineRule="auto"/>
      <w:ind w:firstLine="480" w:firstLineChars="200"/>
    </w:pPr>
    <w:rPr>
      <w:rFonts w:ascii="黑体" w:eastAsia="黑体"/>
      <w:color w:val="0000FF"/>
      <w:sz w:val="24"/>
    </w:rPr>
  </w:style>
  <w:style w:type="paragraph" w:customStyle="1" w:styleId="2535">
    <w:name w:val="Body Text Indent 22"/>
    <w:basedOn w:val="1"/>
    <w:qFormat/>
    <w:uiPriority w:val="0"/>
    <w:pPr>
      <w:adjustRightInd w:val="0"/>
      <w:spacing w:line="360" w:lineRule="auto"/>
      <w:ind w:firstLine="480"/>
      <w:textAlignment w:val="baseline"/>
    </w:pPr>
    <w:rPr>
      <w:sz w:val="24"/>
    </w:rPr>
  </w:style>
  <w:style w:type="paragraph" w:customStyle="1" w:styleId="2536">
    <w:name w:val="表内541"/>
    <w:basedOn w:val="1"/>
    <w:qFormat/>
    <w:uiPriority w:val="0"/>
    <w:pPr>
      <w:adjustRightInd w:val="0"/>
      <w:snapToGrid w:val="0"/>
      <w:spacing w:line="300" w:lineRule="auto"/>
      <w:ind w:left="-89"/>
      <w:jc w:val="center"/>
    </w:pPr>
    <w:rPr>
      <w:rFonts w:ascii="宋体" w:hAnsi="宋体" w:cs="宋体"/>
      <w:sz w:val="24"/>
    </w:rPr>
  </w:style>
  <w:style w:type="paragraph" w:customStyle="1" w:styleId="2537">
    <w:name w:val="Char4 Char Char Char3"/>
    <w:basedOn w:val="1"/>
    <w:qFormat/>
    <w:uiPriority w:val="0"/>
    <w:pPr>
      <w:spacing w:line="480" w:lineRule="exact"/>
    </w:pPr>
  </w:style>
  <w:style w:type="paragraph" w:customStyle="1" w:styleId="2538">
    <w:name w:val="表内宋5中46"/>
    <w:basedOn w:val="1"/>
    <w:qFormat/>
    <w:uiPriority w:val="0"/>
    <w:pPr>
      <w:adjustRightInd w:val="0"/>
      <w:snapToGrid w:val="0"/>
      <w:jc w:val="center"/>
      <w:textAlignment w:val="baseline"/>
    </w:pPr>
    <w:rPr>
      <w:rFonts w:ascii="宋体" w:hAnsi="宋体"/>
    </w:rPr>
  </w:style>
  <w:style w:type="paragraph" w:customStyle="1" w:styleId="2539">
    <w:name w:val="目录1111111"/>
    <w:qFormat/>
    <w:uiPriority w:val="0"/>
    <w:rPr>
      <w:rFonts w:ascii="Times New Roman" w:hAnsi="Times New Roman" w:eastAsia="宋体" w:cs="Times New Roman"/>
      <w:sz w:val="32"/>
      <w:szCs w:val="32"/>
      <w:lang w:val="en-US" w:eastAsia="zh-CN" w:bidi="ar-SA"/>
    </w:rPr>
  </w:style>
  <w:style w:type="paragraph" w:customStyle="1" w:styleId="2540">
    <w:name w:val="表内小46"/>
    <w:basedOn w:val="1427"/>
    <w:qFormat/>
    <w:uiPriority w:val="0"/>
    <w:pPr>
      <w:ind w:left="240" w:hanging="240"/>
      <w:jc w:val="both"/>
    </w:pPr>
  </w:style>
  <w:style w:type="paragraph" w:customStyle="1" w:styleId="2541">
    <w:name w:val="样式 标题 2标题2H2h2第一层条标题 2 Char节½Ú?¨²节标题节标题 1.11.1标题2b2..."/>
    <w:basedOn w:val="4"/>
    <w:qFormat/>
    <w:uiPriority w:val="0"/>
    <w:pPr>
      <w:tabs>
        <w:tab w:val="clear" w:pos="1427"/>
      </w:tabs>
      <w:adjustRightInd/>
      <w:spacing w:line="500" w:lineRule="exact"/>
      <w:jc w:val="both"/>
      <w:textAlignment w:val="auto"/>
    </w:pPr>
    <w:rPr>
      <w:rFonts w:ascii="宋体" w:hAnsi="宋体" w:cs="宋体"/>
      <w:bCs/>
      <w:color w:val="FF0000"/>
      <w:kern w:val="44"/>
    </w:rPr>
  </w:style>
  <w:style w:type="paragraph" w:customStyle="1" w:styleId="2542">
    <w:name w:val="unnamed1"/>
    <w:basedOn w:val="1"/>
    <w:qFormat/>
    <w:uiPriority w:val="0"/>
    <w:pPr>
      <w:widowControl/>
      <w:spacing w:before="100" w:beforeAutospacing="1" w:after="100" w:afterAutospacing="1"/>
      <w:jc w:val="left"/>
    </w:pPr>
    <w:rPr>
      <w:rFonts w:ascii="宋体" w:hAnsi="宋体" w:cs="宋体"/>
      <w:sz w:val="18"/>
      <w:szCs w:val="18"/>
    </w:rPr>
  </w:style>
  <w:style w:type="paragraph" w:customStyle="1" w:styleId="2543">
    <w:name w:val="c"/>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2544">
    <w:name w:val="普通文字 Char Char Char Char Char Char"/>
    <w:basedOn w:val="1"/>
    <w:next w:val="47"/>
    <w:qFormat/>
    <w:uiPriority w:val="0"/>
    <w:rPr>
      <w:rFonts w:ascii="宋体" w:hAnsi="Courier New" w:cs="Courier New"/>
      <w:szCs w:val="21"/>
    </w:rPr>
  </w:style>
  <w:style w:type="paragraph" w:customStyle="1" w:styleId="2545">
    <w:name w:val="Achievement"/>
    <w:basedOn w:val="34"/>
    <w:qFormat/>
    <w:uiPriority w:val="0"/>
    <w:pPr>
      <w:widowControl/>
      <w:tabs>
        <w:tab w:val="left" w:pos="960"/>
      </w:tabs>
      <w:spacing w:after="60" w:line="220" w:lineRule="atLeast"/>
      <w:ind w:left="960" w:right="-360" w:hanging="960"/>
      <w:jc w:val="left"/>
    </w:pPr>
    <w:rPr>
      <w:spacing w:val="0"/>
      <w:szCs w:val="24"/>
    </w:rPr>
  </w:style>
  <w:style w:type="paragraph" w:customStyle="1" w:styleId="2546">
    <w:name w:val="bgbt1"/>
    <w:basedOn w:val="1"/>
    <w:qFormat/>
    <w:uiPriority w:val="0"/>
    <w:pPr>
      <w:autoSpaceDE w:val="0"/>
      <w:autoSpaceDN w:val="0"/>
      <w:adjustRightInd w:val="0"/>
      <w:spacing w:line="440" w:lineRule="exact"/>
      <w:ind w:left="2223" w:right="-23"/>
      <w:jc w:val="left"/>
    </w:pPr>
    <w:rPr>
      <w:rFonts w:ascii="宋体" w:cs="宋体"/>
      <w:b/>
      <w:spacing w:val="0"/>
      <w:position w:val="-3"/>
      <w:sz w:val="24"/>
      <w:szCs w:val="24"/>
    </w:rPr>
  </w:style>
  <w:style w:type="paragraph" w:customStyle="1" w:styleId="2547">
    <w:name w:val="表内小42"/>
    <w:basedOn w:val="1427"/>
    <w:qFormat/>
    <w:uiPriority w:val="0"/>
    <w:pPr>
      <w:ind w:left="240" w:hanging="240"/>
      <w:jc w:val="both"/>
    </w:pPr>
  </w:style>
  <w:style w:type="paragraph" w:customStyle="1" w:styleId="2548">
    <w:name w:val="13"/>
    <w:basedOn w:val="1"/>
    <w:next w:val="21"/>
    <w:qFormat/>
    <w:uiPriority w:val="0"/>
    <w:pPr>
      <w:ind w:firstLine="420" w:firstLineChars="200"/>
    </w:pPr>
  </w:style>
  <w:style w:type="paragraph" w:customStyle="1" w:styleId="2549">
    <w:name w:val="列表 51"/>
    <w:basedOn w:val="1"/>
    <w:qFormat/>
    <w:uiPriority w:val="0"/>
    <w:pPr>
      <w:ind w:left="100" w:leftChars="800" w:hanging="200" w:hangingChars="200"/>
    </w:pPr>
  </w:style>
  <w:style w:type="paragraph" w:customStyle="1" w:styleId="2550">
    <w:name w:val="Char Char Char Char Char Char Char Char Char Char Char Char Char Char Char1 Char"/>
    <w:basedOn w:val="1"/>
    <w:qFormat/>
    <w:uiPriority w:val="0"/>
    <w:pPr>
      <w:spacing w:line="360" w:lineRule="auto"/>
      <w:ind w:firstLine="200" w:firstLineChars="200"/>
    </w:pPr>
    <w:rPr>
      <w:rFonts w:ascii="宋体" w:hAnsi="宋体" w:cs="宋体"/>
      <w:sz w:val="24"/>
    </w:rPr>
  </w:style>
  <w:style w:type="paragraph" w:customStyle="1" w:styleId="2551">
    <w:name w:val="!Texte courant"/>
    <w:qFormat/>
    <w:uiPriority w:val="0"/>
    <w:pPr>
      <w:spacing w:before="120" w:line="280" w:lineRule="atLeast"/>
      <w:jc w:val="both"/>
    </w:pPr>
    <w:rPr>
      <w:rFonts w:ascii="Times New Roman" w:hAnsi="Times New Roman" w:eastAsia="宋体" w:cs="Times New Roman"/>
      <w:sz w:val="24"/>
      <w:lang w:val="fr-FR" w:eastAsia="en-US" w:bidi="ar-SA"/>
    </w:rPr>
  </w:style>
  <w:style w:type="paragraph" w:customStyle="1" w:styleId="2552">
    <w:name w:val="表题4"/>
    <w:basedOn w:val="35"/>
    <w:qFormat/>
    <w:uiPriority w:val="0"/>
    <w:pPr>
      <w:tabs>
        <w:tab w:val="left" w:pos="4305"/>
      </w:tabs>
      <w:adjustRightInd w:val="0"/>
      <w:snapToGrid w:val="0"/>
      <w:spacing w:after="0"/>
      <w:ind w:left="0" w:leftChars="0"/>
      <w:jc w:val="center"/>
    </w:pPr>
    <w:rPr>
      <w:rFonts w:ascii="黑体" w:hAnsi="宋体" w:eastAsia="黑体" w:cs="宋体"/>
      <w:color w:val="000000"/>
      <w:sz w:val="24"/>
    </w:rPr>
  </w:style>
  <w:style w:type="paragraph" w:customStyle="1" w:styleId="2553">
    <w:name w:val="样式 标题 1 + 宋体 三号 居中 段前: 5 磅 段后: 5 磅 行距: 最小值 20 磅"/>
    <w:basedOn w:val="3"/>
    <w:qFormat/>
    <w:uiPriority w:val="0"/>
    <w:pPr>
      <w:spacing w:before="100" w:after="100" w:line="400" w:lineRule="atLeast"/>
      <w:jc w:val="center"/>
    </w:pPr>
    <w:rPr>
      <w:rFonts w:ascii="宋体" w:hAnsi="宋体" w:eastAsia="黑体" w:cs="宋体"/>
      <w:b w:val="0"/>
      <w:sz w:val="36"/>
      <w:szCs w:val="20"/>
    </w:rPr>
  </w:style>
  <w:style w:type="paragraph" w:customStyle="1" w:styleId="2554">
    <w:name w:val="表样式1"/>
    <w:basedOn w:val="1"/>
    <w:qFormat/>
    <w:uiPriority w:val="0"/>
    <w:pPr>
      <w:snapToGrid w:val="0"/>
      <w:spacing w:line="400" w:lineRule="exact"/>
      <w:ind w:left="-21" w:leftChars="-10" w:right="-21" w:rightChars="-10"/>
      <w:jc w:val="center"/>
    </w:pPr>
    <w:rPr>
      <w:color w:val="000000"/>
      <w:szCs w:val="21"/>
      <w:lang w:eastAsia="zh-TW"/>
    </w:rPr>
  </w:style>
  <w:style w:type="paragraph" w:customStyle="1" w:styleId="2555">
    <w:name w:val="页眉中72"/>
    <w:basedOn w:val="1"/>
    <w:qFormat/>
    <w:uiPriority w:val="0"/>
    <w:pPr>
      <w:adjustRightInd w:val="0"/>
      <w:snapToGrid w:val="0"/>
      <w:spacing w:line="300" w:lineRule="auto"/>
      <w:jc w:val="left"/>
    </w:pPr>
    <w:rPr>
      <w:rFonts w:ascii="黑体" w:eastAsia="黑体"/>
      <w:bCs/>
      <w:sz w:val="24"/>
    </w:rPr>
  </w:style>
  <w:style w:type="paragraph" w:customStyle="1" w:styleId="2556">
    <w:name w:val="页眉中135"/>
    <w:basedOn w:val="1"/>
    <w:qFormat/>
    <w:uiPriority w:val="0"/>
    <w:pPr>
      <w:adjustRightInd w:val="0"/>
      <w:snapToGrid w:val="0"/>
      <w:spacing w:line="300" w:lineRule="auto"/>
      <w:jc w:val="left"/>
    </w:pPr>
    <w:rPr>
      <w:rFonts w:ascii="黑体" w:eastAsia="黑体"/>
      <w:bCs/>
      <w:sz w:val="24"/>
    </w:rPr>
  </w:style>
  <w:style w:type="paragraph" w:customStyle="1" w:styleId="2557">
    <w:name w:val="xl28"/>
    <w:basedOn w:val="1"/>
    <w:qFormat/>
    <w:uiPriority w:val="0"/>
    <w:pPr>
      <w:widowControl/>
      <w:pBdr>
        <w:left w:val="single" w:color="auto" w:sz="4" w:space="0"/>
      </w:pBdr>
      <w:spacing w:before="100" w:beforeAutospacing="1" w:after="100" w:afterAutospacing="1"/>
      <w:jc w:val="center"/>
    </w:pPr>
    <w:rPr>
      <w:rFonts w:ascii="宋体" w:hAnsi="宋体"/>
      <w:b/>
      <w:bCs/>
      <w:sz w:val="16"/>
      <w:szCs w:val="16"/>
    </w:rPr>
  </w:style>
  <w:style w:type="paragraph" w:customStyle="1" w:styleId="2558">
    <w:name w:val="1 Char Char Char Char Char Char Char Char Char Char Char Char Char"/>
    <w:basedOn w:val="1"/>
    <w:qFormat/>
    <w:uiPriority w:val="0"/>
  </w:style>
  <w:style w:type="paragraph" w:customStyle="1" w:styleId="2559">
    <w:name w:val="表内文字大2"/>
    <w:basedOn w:val="1"/>
    <w:qFormat/>
    <w:uiPriority w:val="0"/>
    <w:pPr>
      <w:adjustRightInd w:val="0"/>
      <w:snapToGrid w:val="0"/>
      <w:jc w:val="center"/>
    </w:pPr>
    <w:rPr>
      <w:rFonts w:ascii="宋体" w:hAnsi="Times" w:cs="宋体"/>
      <w:sz w:val="24"/>
    </w:rPr>
  </w:style>
  <w:style w:type="paragraph" w:customStyle="1" w:styleId="2560">
    <w:name w:val="福建正文缩进26"/>
    <w:basedOn w:val="1"/>
    <w:qFormat/>
    <w:uiPriority w:val="0"/>
    <w:pPr>
      <w:tabs>
        <w:tab w:val="left" w:pos="4305"/>
      </w:tabs>
      <w:adjustRightInd w:val="0"/>
      <w:snapToGrid w:val="0"/>
      <w:spacing w:line="360" w:lineRule="auto"/>
      <w:ind w:firstLine="567"/>
    </w:pPr>
    <w:rPr>
      <w:rFonts w:ascii="宋体" w:hAnsi="宋体"/>
      <w:color w:val="000000"/>
      <w:sz w:val="24"/>
    </w:rPr>
  </w:style>
  <w:style w:type="paragraph" w:customStyle="1" w:styleId="2561">
    <w:name w:val="条(三级)11"/>
    <w:basedOn w:val="1"/>
    <w:next w:val="1"/>
    <w:qFormat/>
    <w:uiPriority w:val="0"/>
    <w:pPr>
      <w:keepNext/>
      <w:keepLines/>
      <w:adjustRightInd w:val="0"/>
      <w:snapToGrid w:val="0"/>
      <w:spacing w:line="460" w:lineRule="exact"/>
      <w:textAlignment w:val="baseline"/>
    </w:pPr>
    <w:rPr>
      <w:rFonts w:hAnsi="Arial"/>
      <w:spacing w:val="3"/>
      <w:kern w:val="24"/>
      <w:sz w:val="18"/>
    </w:rPr>
  </w:style>
  <w:style w:type="paragraph" w:customStyle="1" w:styleId="2562">
    <w:name w:val="默认段落字体 Para Char Char Char1 Char Char Char Char Char Char Char Char Char Char"/>
    <w:basedOn w:val="1"/>
    <w:qFormat/>
    <w:uiPriority w:val="0"/>
    <w:rPr>
      <w:sz w:val="24"/>
    </w:rPr>
  </w:style>
  <w:style w:type="paragraph" w:customStyle="1" w:styleId="2563">
    <w:name w:val="CM25"/>
    <w:basedOn w:val="641"/>
    <w:next w:val="641"/>
    <w:qFormat/>
    <w:uiPriority w:val="0"/>
    <w:pPr>
      <w:spacing w:line="546" w:lineRule="atLeast"/>
    </w:pPr>
    <w:rPr>
      <w:rFonts w:cs="Times New Roman"/>
      <w:color w:val="auto"/>
    </w:rPr>
  </w:style>
  <w:style w:type="paragraph" w:customStyle="1" w:styleId="2564">
    <w:name w:val="表内591"/>
    <w:basedOn w:val="1"/>
    <w:qFormat/>
    <w:uiPriority w:val="0"/>
    <w:pPr>
      <w:adjustRightInd w:val="0"/>
      <w:snapToGrid w:val="0"/>
    </w:pPr>
    <w:rPr>
      <w:rFonts w:ascii="宋体"/>
    </w:rPr>
  </w:style>
  <w:style w:type="paragraph" w:customStyle="1" w:styleId="2565">
    <w:name w:val="样式7.5.7.1"/>
    <w:basedOn w:val="2566"/>
    <w:qFormat/>
    <w:uiPriority w:val="0"/>
    <w:pPr>
      <w:tabs>
        <w:tab w:val="left" w:pos="-164"/>
        <w:tab w:val="left" w:pos="360"/>
        <w:tab w:val="left" w:pos="720"/>
        <w:tab w:val="left" w:pos="1571"/>
        <w:tab w:val="left" w:pos="2160"/>
      </w:tabs>
      <w:ind w:left="-164" w:hanging="425"/>
    </w:pPr>
  </w:style>
  <w:style w:type="paragraph" w:customStyle="1" w:styleId="2566">
    <w:name w:val="7.4.5.1"/>
    <w:basedOn w:val="6"/>
    <w:qFormat/>
    <w:uiPriority w:val="0"/>
    <w:pPr>
      <w:tabs>
        <w:tab w:val="left" w:pos="360"/>
        <w:tab w:val="left" w:pos="720"/>
        <w:tab w:val="left" w:pos="1571"/>
      </w:tabs>
      <w:spacing w:before="120" w:after="120" w:line="312" w:lineRule="auto"/>
      <w:ind w:left="720" w:firstLine="573"/>
    </w:pPr>
    <w:rPr>
      <w:sz w:val="24"/>
      <w:szCs w:val="24"/>
    </w:rPr>
  </w:style>
  <w:style w:type="paragraph" w:customStyle="1" w:styleId="2567">
    <w:name w:val="页眉中131"/>
    <w:basedOn w:val="1"/>
    <w:qFormat/>
    <w:uiPriority w:val="0"/>
    <w:pPr>
      <w:adjustRightInd w:val="0"/>
      <w:snapToGrid w:val="0"/>
      <w:spacing w:line="300" w:lineRule="auto"/>
      <w:jc w:val="left"/>
    </w:pPr>
    <w:rPr>
      <w:rFonts w:ascii="黑体" w:eastAsia="黑体"/>
      <w:bCs/>
      <w:sz w:val="24"/>
    </w:rPr>
  </w:style>
  <w:style w:type="paragraph" w:customStyle="1" w:styleId="2568">
    <w:name w:val="图题12"/>
    <w:basedOn w:val="21"/>
    <w:qFormat/>
    <w:uiPriority w:val="0"/>
    <w:pPr>
      <w:adjustRightInd w:val="0"/>
      <w:snapToGrid w:val="0"/>
      <w:ind w:firstLine="0" w:firstLineChars="0"/>
      <w:jc w:val="center"/>
    </w:pPr>
    <w:rPr>
      <w:rFonts w:ascii="方正大标宋简体" w:hAnsi="宋体" w:eastAsia="方正大标宋简体"/>
      <w:szCs w:val="24"/>
    </w:rPr>
  </w:style>
  <w:style w:type="paragraph" w:customStyle="1" w:styleId="2569">
    <w:name w:val="样式 样式 样式 标题 1 + 段前: 0.5 行 段后: 0.5 行 + 段前: 0.5 行 段后: 0.5 行 + 段前: ..."/>
    <w:basedOn w:val="1"/>
    <w:qFormat/>
    <w:uiPriority w:val="0"/>
    <w:pPr>
      <w:keepNext/>
      <w:pageBreakBefore/>
      <w:widowControl/>
      <w:tabs>
        <w:tab w:val="left" w:pos="-790"/>
      </w:tabs>
      <w:spacing w:beforeLines="50" w:afterLines="50" w:line="360" w:lineRule="auto"/>
      <w:ind w:left="-790" w:hanging="720"/>
      <w:jc w:val="center"/>
      <w:outlineLvl w:val="0"/>
    </w:pPr>
    <w:rPr>
      <w:rFonts w:eastAsia="黑体" w:cs="宋体"/>
      <w:b/>
      <w:bCs/>
      <w:kern w:val="44"/>
      <w:sz w:val="30"/>
    </w:rPr>
  </w:style>
  <w:style w:type="paragraph" w:customStyle="1" w:styleId="2570">
    <w:name w:val="样式 样式 表格标题 + 段前: 0.5 行2 + 段前: 0.5 行1"/>
    <w:basedOn w:val="2571"/>
    <w:qFormat/>
    <w:uiPriority w:val="0"/>
    <w:rPr>
      <w:rFonts w:ascii="黑体" w:hAnsi="黑体"/>
      <w:b/>
    </w:rPr>
  </w:style>
  <w:style w:type="paragraph" w:customStyle="1" w:styleId="2571">
    <w:name w:val="样式 表格标题 + 段前: 0.5 行2"/>
    <w:basedOn w:val="21"/>
    <w:qFormat/>
    <w:uiPriority w:val="0"/>
    <w:pPr>
      <w:autoSpaceDE w:val="0"/>
      <w:autoSpaceDN w:val="0"/>
      <w:adjustRightInd w:val="0"/>
      <w:spacing w:beforeLines="50" w:line="400" w:lineRule="exact"/>
      <w:ind w:firstLine="0" w:firstLineChars="0"/>
      <w:jc w:val="center"/>
    </w:pPr>
    <w:rPr>
      <w:rFonts w:ascii="宋体" w:hAnsi="Calibri" w:eastAsia="黑体" w:cs="宋体"/>
      <w:szCs w:val="22"/>
      <w:lang w:val="zh-CN"/>
    </w:rPr>
  </w:style>
  <w:style w:type="paragraph" w:customStyle="1" w:styleId="2572">
    <w:name w:val="表题24"/>
    <w:basedOn w:val="1"/>
    <w:qFormat/>
    <w:uiPriority w:val="0"/>
    <w:pPr>
      <w:widowControl/>
      <w:adjustRightInd w:val="0"/>
      <w:snapToGrid w:val="0"/>
      <w:jc w:val="center"/>
    </w:pPr>
    <w:rPr>
      <w:rFonts w:ascii="黑体" w:hAnsi="宋体" w:eastAsia="黑体" w:cs="宋体"/>
      <w:sz w:val="24"/>
    </w:rPr>
  </w:style>
  <w:style w:type="paragraph" w:customStyle="1" w:styleId="2573">
    <w:name w:val="样式 标题 1 + 字距调整小四"/>
    <w:basedOn w:val="3"/>
    <w:qFormat/>
    <w:uiPriority w:val="0"/>
    <w:pPr>
      <w:jc w:val="center"/>
    </w:pPr>
    <w:rPr>
      <w:b w:val="0"/>
      <w:kern w:val="24"/>
    </w:rPr>
  </w:style>
  <w:style w:type="paragraph" w:customStyle="1" w:styleId="2574">
    <w:name w:val="表内宋512"/>
    <w:basedOn w:val="82"/>
    <w:qFormat/>
    <w:uiPriority w:val="0"/>
    <w:pPr>
      <w:widowControl/>
      <w:adjustRightInd w:val="0"/>
      <w:snapToGrid w:val="0"/>
    </w:pPr>
    <w:rPr>
      <w:rFonts w:ascii="宋体" w:hAnsi="宋体" w:cs="宋体"/>
      <w:color w:val="000000"/>
      <w:sz w:val="21"/>
    </w:rPr>
  </w:style>
  <w:style w:type="paragraph" w:customStyle="1" w:styleId="2575">
    <w:name w:val="等核实24"/>
    <w:basedOn w:val="35"/>
    <w:qFormat/>
    <w:uiPriority w:val="0"/>
    <w:pPr>
      <w:tabs>
        <w:tab w:val="left" w:pos="4305"/>
      </w:tabs>
      <w:adjustRightInd w:val="0"/>
      <w:snapToGrid w:val="0"/>
      <w:spacing w:after="0" w:line="360" w:lineRule="auto"/>
      <w:ind w:left="0" w:leftChars="0" w:firstLine="561"/>
    </w:pPr>
    <w:rPr>
      <w:rFonts w:ascii="宋体" w:hAnsi="宋体" w:cs="宋体"/>
      <w:color w:val="000000"/>
      <w:sz w:val="24"/>
    </w:rPr>
  </w:style>
  <w:style w:type="paragraph" w:customStyle="1" w:styleId="2576">
    <w:name w:val="燕山正文4"/>
    <w:basedOn w:val="1"/>
    <w:qFormat/>
    <w:uiPriority w:val="0"/>
    <w:pPr>
      <w:tabs>
        <w:tab w:val="left" w:pos="4680"/>
      </w:tabs>
      <w:adjustRightInd w:val="0"/>
      <w:snapToGrid w:val="0"/>
      <w:spacing w:line="360" w:lineRule="auto"/>
      <w:ind w:firstLine="200" w:firstLineChars="200"/>
      <w:jc w:val="left"/>
    </w:pPr>
    <w:rPr>
      <w:rFonts w:ascii="宋体" w:hAnsi="宋体" w:cs="宋体"/>
      <w:color w:val="000000"/>
      <w:sz w:val="28"/>
      <w:szCs w:val="28"/>
    </w:rPr>
  </w:style>
  <w:style w:type="paragraph" w:customStyle="1" w:styleId="2577">
    <w:name w:val="页眉中141"/>
    <w:basedOn w:val="1"/>
    <w:qFormat/>
    <w:uiPriority w:val="0"/>
    <w:pPr>
      <w:adjustRightInd w:val="0"/>
      <w:snapToGrid w:val="0"/>
      <w:spacing w:line="300" w:lineRule="auto"/>
      <w:jc w:val="left"/>
    </w:pPr>
    <w:rPr>
      <w:rFonts w:ascii="黑体" w:eastAsia="黑体"/>
      <w:bCs/>
      <w:sz w:val="24"/>
    </w:rPr>
  </w:style>
  <w:style w:type="paragraph" w:customStyle="1" w:styleId="2578">
    <w:name w:val="Char1 Char Char Char Char Char Char Char Char Char Char Char3"/>
    <w:basedOn w:val="1"/>
    <w:next w:val="1"/>
    <w:qFormat/>
    <w:uiPriority w:val="0"/>
    <w:pPr>
      <w:keepNext/>
      <w:keepLines/>
      <w:widowControl/>
      <w:adjustRightInd w:val="0"/>
      <w:spacing w:before="40" w:after="40" w:line="360" w:lineRule="auto"/>
      <w:ind w:firstLine="200" w:firstLineChars="200"/>
    </w:pPr>
    <w:rPr>
      <w:rFonts w:cs="宋体"/>
      <w:sz w:val="24"/>
      <w:szCs w:val="28"/>
    </w:rPr>
  </w:style>
  <w:style w:type="paragraph" w:customStyle="1" w:styleId="2579">
    <w:name w:val="待定小4"/>
    <w:basedOn w:val="1645"/>
    <w:qFormat/>
    <w:uiPriority w:val="0"/>
    <w:pPr>
      <w:spacing w:line="240" w:lineRule="auto"/>
      <w:ind w:firstLine="0" w:firstLineChars="200"/>
    </w:pPr>
    <w:rPr>
      <w:rFonts w:cs="Times New Roman"/>
      <w:color w:val="0000FF"/>
      <w:sz w:val="21"/>
      <w:szCs w:val="20"/>
    </w:rPr>
  </w:style>
  <w:style w:type="paragraph" w:customStyle="1" w:styleId="2580">
    <w:name w:val="样式 样式 样式 样式 样式 样式 样式 标题 4 + Times + 首行缩进:  2 字符 + 首行缩进:  2 字符 + ..."/>
    <w:basedOn w:val="1"/>
    <w:qFormat/>
    <w:uiPriority w:val="0"/>
    <w:pPr>
      <w:adjustRightInd w:val="0"/>
      <w:spacing w:line="480" w:lineRule="exact"/>
      <w:ind w:firstLine="616" w:firstLineChars="200"/>
      <w:textAlignment w:val="baseline"/>
    </w:pPr>
    <w:rPr>
      <w:rFonts w:ascii="Times" w:hAnsi="Times" w:cs="宋体"/>
      <w:color w:val="000000"/>
      <w:spacing w:val="14"/>
      <w:kern w:val="20"/>
      <w:sz w:val="28"/>
    </w:rPr>
  </w:style>
  <w:style w:type="paragraph" w:customStyle="1" w:styleId="2581">
    <w:name w:val="表内文字小63"/>
    <w:basedOn w:val="1"/>
    <w:qFormat/>
    <w:uiPriority w:val="0"/>
    <w:pPr>
      <w:adjustRightInd w:val="0"/>
      <w:snapToGrid w:val="0"/>
      <w:jc w:val="center"/>
    </w:pPr>
    <w:rPr>
      <w:rFonts w:ascii="宋体" w:hAnsi="Times"/>
    </w:rPr>
  </w:style>
  <w:style w:type="paragraph" w:customStyle="1" w:styleId="2582">
    <w:name w:val="样式18"/>
    <w:basedOn w:val="1"/>
    <w:qFormat/>
    <w:uiPriority w:val="0"/>
    <w:pPr>
      <w:adjustRightInd w:val="0"/>
      <w:snapToGrid w:val="0"/>
      <w:spacing w:line="300" w:lineRule="auto"/>
      <w:jc w:val="center"/>
      <w:textAlignment w:val="baseline"/>
    </w:pPr>
    <w:rPr>
      <w:rFonts w:ascii="仿宋_GB2312" w:hAnsi="Courier New" w:eastAsia="仿宋_GB2312"/>
      <w:b/>
      <w:sz w:val="28"/>
    </w:rPr>
  </w:style>
  <w:style w:type="paragraph" w:customStyle="1" w:styleId="2583">
    <w:name w:val="样式 标题 2节第一章 标题 2Heading 2 HiddenHeading 2 CCBSheading 2H2...1"/>
    <w:basedOn w:val="4"/>
    <w:qFormat/>
    <w:uiPriority w:val="0"/>
    <w:pPr>
      <w:tabs>
        <w:tab w:val="clear" w:pos="1427"/>
      </w:tabs>
      <w:adjustRightInd/>
      <w:spacing w:beforeLines="0" w:afterLines="0"/>
      <w:jc w:val="both"/>
      <w:textAlignment w:val="auto"/>
    </w:pPr>
    <w:rPr>
      <w:rFonts w:ascii="黑体" w:hAnsi="宋体"/>
      <w:b w:val="0"/>
      <w:kern w:val="2"/>
      <w:szCs w:val="28"/>
    </w:rPr>
  </w:style>
  <w:style w:type="paragraph" w:customStyle="1" w:styleId="2584">
    <w:name w:val="图题65"/>
    <w:basedOn w:val="1"/>
    <w:qFormat/>
    <w:uiPriority w:val="0"/>
    <w:pPr>
      <w:jc w:val="center"/>
    </w:pPr>
    <w:rPr>
      <w:rFonts w:ascii="黑体" w:eastAsia="黑体"/>
      <w:sz w:val="24"/>
    </w:rPr>
  </w:style>
  <w:style w:type="paragraph" w:customStyle="1" w:styleId="2585">
    <w:name w:val="图表名称2"/>
    <w:basedOn w:val="87"/>
    <w:qFormat/>
    <w:uiPriority w:val="0"/>
    <w:pPr>
      <w:adjustRightInd w:val="0"/>
      <w:snapToGrid w:val="0"/>
      <w:ind w:firstLine="0" w:firstLineChars="0"/>
      <w:jc w:val="center"/>
    </w:pPr>
    <w:rPr>
      <w:rFonts w:ascii="宋体" w:hAnsi="宋体"/>
      <w:sz w:val="24"/>
      <w:szCs w:val="21"/>
    </w:rPr>
  </w:style>
  <w:style w:type="paragraph" w:customStyle="1" w:styleId="2586">
    <w:name w:val="样式 表标题5.12 + 居中 段前: 1 行"/>
    <w:qFormat/>
    <w:uiPriority w:val="0"/>
    <w:pPr>
      <w:tabs>
        <w:tab w:val="center" w:pos="4060"/>
        <w:tab w:val="left" w:pos="4080"/>
        <w:tab w:val="right" w:pos="8261"/>
      </w:tabs>
      <w:ind w:left="3356" w:firstLine="4"/>
      <w:jc w:val="center"/>
    </w:pPr>
    <w:rPr>
      <w:rFonts w:ascii="Times New Roman" w:hAnsi="Times New Roman" w:eastAsia="宋体" w:cs="宋体"/>
      <w:bCs/>
      <w:lang w:val="en-US" w:eastAsia="zh-CN" w:bidi="ar-SA"/>
    </w:rPr>
  </w:style>
  <w:style w:type="paragraph" w:customStyle="1" w:styleId="2587">
    <w:name w:val="p16"/>
    <w:basedOn w:val="1"/>
    <w:qFormat/>
    <w:uiPriority w:val="0"/>
    <w:pPr>
      <w:widowControl/>
      <w:spacing w:line="360" w:lineRule="auto"/>
    </w:pPr>
    <w:rPr>
      <w:rFonts w:ascii="黑体" w:hAnsi="宋体" w:eastAsia="黑体" w:cs="宋体"/>
      <w:sz w:val="30"/>
      <w:szCs w:val="30"/>
    </w:rPr>
  </w:style>
  <w:style w:type="paragraph" w:customStyle="1" w:styleId="2588">
    <w:name w:val="Char12"/>
    <w:basedOn w:val="1"/>
    <w:qFormat/>
    <w:uiPriority w:val="0"/>
    <w:pPr>
      <w:ind w:left="-48"/>
    </w:pPr>
  </w:style>
  <w:style w:type="paragraph" w:customStyle="1" w:styleId="2589">
    <w:name w:val="16.7.3.1"/>
    <w:basedOn w:val="6"/>
    <w:qFormat/>
    <w:uiPriority w:val="0"/>
    <w:pPr>
      <w:keepNext w:val="0"/>
      <w:keepLines w:val="0"/>
      <w:tabs>
        <w:tab w:val="left" w:pos="1800"/>
      </w:tabs>
      <w:spacing w:before="120" w:after="120" w:line="312" w:lineRule="auto"/>
      <w:ind w:left="851" w:hanging="851"/>
    </w:pPr>
    <w:rPr>
      <w:sz w:val="24"/>
      <w:szCs w:val="24"/>
    </w:rPr>
  </w:style>
  <w:style w:type="paragraph" w:customStyle="1" w:styleId="2590">
    <w:name w:val="页眉中132"/>
    <w:basedOn w:val="1"/>
    <w:qFormat/>
    <w:uiPriority w:val="0"/>
    <w:pPr>
      <w:adjustRightInd w:val="0"/>
      <w:snapToGrid w:val="0"/>
      <w:spacing w:line="300" w:lineRule="auto"/>
      <w:jc w:val="left"/>
    </w:pPr>
    <w:rPr>
      <w:rFonts w:ascii="黑体" w:eastAsia="黑体"/>
      <w:bCs/>
      <w:sz w:val="24"/>
    </w:rPr>
  </w:style>
  <w:style w:type="paragraph" w:customStyle="1" w:styleId="2591">
    <w:name w:val="表题63"/>
    <w:basedOn w:val="35"/>
    <w:qFormat/>
    <w:uiPriority w:val="0"/>
    <w:pPr>
      <w:tabs>
        <w:tab w:val="left" w:pos="4305"/>
      </w:tabs>
      <w:adjustRightInd w:val="0"/>
      <w:snapToGrid w:val="0"/>
      <w:spacing w:after="0"/>
      <w:ind w:left="0" w:leftChars="0" w:firstLine="480" w:firstLineChars="200"/>
      <w:jc w:val="center"/>
    </w:pPr>
    <w:rPr>
      <w:rFonts w:ascii="黑体" w:hAnsi="宋体" w:eastAsia="黑体"/>
      <w:sz w:val="24"/>
      <w:szCs w:val="20"/>
    </w:rPr>
  </w:style>
  <w:style w:type="paragraph" w:customStyle="1" w:styleId="2592">
    <w:name w:val="1标题3级"/>
    <w:basedOn w:val="2593"/>
    <w:qFormat/>
    <w:uiPriority w:val="0"/>
    <w:pPr>
      <w:outlineLvl w:val="2"/>
    </w:pPr>
    <w:rPr>
      <w:sz w:val="30"/>
    </w:rPr>
  </w:style>
  <w:style w:type="paragraph" w:customStyle="1" w:styleId="2593">
    <w:name w:val="1标题2级"/>
    <w:basedOn w:val="1"/>
    <w:qFormat/>
    <w:uiPriority w:val="0"/>
    <w:pPr>
      <w:snapToGrid w:val="0"/>
      <w:spacing w:line="360" w:lineRule="auto"/>
      <w:outlineLvl w:val="1"/>
    </w:pPr>
    <w:rPr>
      <w:rFonts w:eastAsia="仿宋_GB2312"/>
      <w:b/>
      <w:sz w:val="32"/>
    </w:rPr>
  </w:style>
  <w:style w:type="paragraph" w:customStyle="1" w:styleId="2594">
    <w:name w:val="p18"/>
    <w:basedOn w:val="1"/>
    <w:qFormat/>
    <w:uiPriority w:val="0"/>
    <w:pPr>
      <w:widowControl/>
      <w:spacing w:line="360" w:lineRule="auto"/>
    </w:pPr>
    <w:rPr>
      <w:rFonts w:ascii="黑体" w:hAnsi="宋体" w:eastAsia="黑体" w:cs="宋体"/>
      <w:sz w:val="28"/>
      <w:szCs w:val="28"/>
    </w:rPr>
  </w:style>
  <w:style w:type="paragraph" w:customStyle="1" w:styleId="2595">
    <w:name w:val="纯文本12"/>
    <w:basedOn w:val="1"/>
    <w:qFormat/>
    <w:uiPriority w:val="0"/>
    <w:pPr>
      <w:adjustRightInd w:val="0"/>
      <w:textAlignment w:val="baseline"/>
    </w:pPr>
    <w:rPr>
      <w:rFonts w:ascii="宋体" w:hAnsi="Courier New"/>
    </w:rPr>
  </w:style>
  <w:style w:type="paragraph" w:customStyle="1" w:styleId="2596">
    <w:name w:val="样式 标题 1 + 段前: 0.5 行 段后: 0.5 行"/>
    <w:basedOn w:val="3"/>
    <w:qFormat/>
    <w:uiPriority w:val="0"/>
    <w:pPr>
      <w:tabs>
        <w:tab w:val="left" w:pos="0"/>
      </w:tabs>
      <w:adjustRightInd w:val="0"/>
      <w:snapToGrid w:val="0"/>
      <w:spacing w:before="0" w:afterLines="50" w:line="240" w:lineRule="auto"/>
      <w:ind w:firstLine="980"/>
    </w:pPr>
    <w:rPr>
      <w:rFonts w:eastAsia="华文楷体"/>
      <w:b w:val="0"/>
      <w:sz w:val="28"/>
      <w:szCs w:val="20"/>
    </w:rPr>
  </w:style>
  <w:style w:type="paragraph" w:customStyle="1" w:styleId="2597">
    <w:name w:val="正文缩4"/>
    <w:basedOn w:val="1"/>
    <w:qFormat/>
    <w:uiPriority w:val="0"/>
    <w:pPr>
      <w:adjustRightInd w:val="0"/>
      <w:snapToGrid w:val="0"/>
      <w:spacing w:line="480" w:lineRule="atLeast"/>
      <w:ind w:firstLine="567"/>
      <w:textAlignment w:val="baseline"/>
    </w:pPr>
    <w:rPr>
      <w:rFonts w:ascii="宋体"/>
      <w:color w:val="000080"/>
      <w:spacing w:val="6"/>
      <w:sz w:val="28"/>
    </w:rPr>
  </w:style>
  <w:style w:type="paragraph" w:customStyle="1" w:styleId="2598">
    <w:name w:val="正文（1）"/>
    <w:basedOn w:val="1"/>
    <w:qFormat/>
    <w:uiPriority w:val="0"/>
    <w:pPr>
      <w:autoSpaceDE w:val="0"/>
      <w:autoSpaceDN w:val="0"/>
      <w:adjustRightInd w:val="0"/>
      <w:snapToGrid w:val="0"/>
      <w:spacing w:line="480" w:lineRule="exact"/>
      <w:ind w:firstLine="480" w:firstLineChars="200"/>
    </w:pPr>
    <w:rPr>
      <w:color w:val="000000"/>
      <w:sz w:val="24"/>
      <w:lang w:val="zh-CN"/>
    </w:rPr>
  </w:style>
  <w:style w:type="paragraph" w:customStyle="1" w:styleId="2599">
    <w:name w:val="样式 标题 3 + (符号) Times New Roman 四号 两端对齐 段前: 12 磅 行距: 1.5 倍行距3"/>
    <w:basedOn w:val="5"/>
    <w:qFormat/>
    <w:uiPriority w:val="0"/>
    <w:pPr>
      <w:keepNext w:val="0"/>
      <w:keepLines w:val="0"/>
      <w:tabs>
        <w:tab w:val="clear" w:pos="720"/>
      </w:tabs>
      <w:snapToGrid w:val="0"/>
      <w:spacing w:before="120" w:afterLines="50"/>
      <w:ind w:left="0" w:firstLine="0"/>
      <w:jc w:val="both"/>
      <w:textAlignment w:val="auto"/>
    </w:pPr>
    <w:rPr>
      <w:rFonts w:ascii="黑体" w:cs="宋体"/>
      <w:color w:val="auto"/>
      <w:spacing w:val="0"/>
      <w:kern w:val="2"/>
      <w:szCs w:val="28"/>
    </w:rPr>
  </w:style>
  <w:style w:type="paragraph" w:customStyle="1" w:styleId="2600">
    <w:name w:val="xl22"/>
    <w:basedOn w:val="1"/>
    <w:qFormat/>
    <w:uiPriority w:val="0"/>
    <w:pPr>
      <w:widowControl/>
      <w:spacing w:before="100" w:beforeAutospacing="1" w:after="100" w:afterAutospacing="1"/>
      <w:jc w:val="center"/>
      <w:textAlignment w:val="top"/>
    </w:pPr>
    <w:rPr>
      <w:rFonts w:ascii="Arial Unicode MS" w:hAnsi="Arial Unicode MS" w:eastAsia="Arial Unicode MS" w:cs="Arial Unicode MS"/>
      <w:sz w:val="18"/>
      <w:szCs w:val="18"/>
    </w:rPr>
  </w:style>
  <w:style w:type="paragraph" w:customStyle="1" w:styleId="2601">
    <w:name w:val="表题105"/>
    <w:basedOn w:val="21"/>
    <w:qFormat/>
    <w:uiPriority w:val="0"/>
    <w:pPr>
      <w:ind w:firstLine="0" w:firstLineChars="0"/>
      <w:jc w:val="center"/>
    </w:pPr>
    <w:rPr>
      <w:rFonts w:ascii="黑体" w:eastAsia="黑体"/>
      <w:szCs w:val="24"/>
    </w:rPr>
  </w:style>
  <w:style w:type="paragraph" w:customStyle="1" w:styleId="2602">
    <w:name w:val="样式 正文缩进 + 小四 段后: 7.8 磅 行距: 多倍行距 1.2 字行"/>
    <w:basedOn w:val="21"/>
    <w:qFormat/>
    <w:uiPriority w:val="0"/>
    <w:pPr>
      <w:snapToGrid w:val="0"/>
      <w:spacing w:line="360" w:lineRule="auto"/>
      <w:ind w:firstLine="200"/>
    </w:pPr>
    <w:rPr>
      <w:rFonts w:ascii="Calibri" w:hAnsi="Calibri" w:cs="宋体"/>
      <w:szCs w:val="22"/>
    </w:rPr>
  </w:style>
  <w:style w:type="paragraph" w:customStyle="1" w:styleId="2603">
    <w:name w:val="Char Char Char1 Char"/>
    <w:basedOn w:val="1"/>
    <w:qFormat/>
    <w:uiPriority w:val="0"/>
  </w:style>
  <w:style w:type="paragraph" w:customStyle="1" w:styleId="2604">
    <w:name w:val="表内文字小62"/>
    <w:basedOn w:val="1"/>
    <w:qFormat/>
    <w:uiPriority w:val="0"/>
    <w:pPr>
      <w:adjustRightInd w:val="0"/>
      <w:snapToGrid w:val="0"/>
      <w:jc w:val="center"/>
    </w:pPr>
    <w:rPr>
      <w:rFonts w:ascii="宋体" w:hAnsi="Times"/>
    </w:rPr>
  </w:style>
  <w:style w:type="paragraph" w:customStyle="1" w:styleId="2605">
    <w:name w:val="列表接续 21"/>
    <w:basedOn w:val="1"/>
    <w:qFormat/>
    <w:uiPriority w:val="0"/>
    <w:pPr>
      <w:spacing w:after="120"/>
      <w:ind w:left="840" w:leftChars="400"/>
    </w:pPr>
  </w:style>
  <w:style w:type="paragraph" w:customStyle="1" w:styleId="2606">
    <w:name w:val="样式 样式 标题 4 + 段前: 0 磅 段后: 0 磅 行距: 单倍行距 + Times New Roman 小四 行距:..."/>
    <w:basedOn w:val="1"/>
    <w:qFormat/>
    <w:uiPriority w:val="0"/>
    <w:pPr>
      <w:keepNext/>
      <w:keepLines/>
      <w:tabs>
        <w:tab w:val="left" w:pos="2945"/>
      </w:tabs>
      <w:adjustRightInd w:val="0"/>
      <w:spacing w:line="360" w:lineRule="auto"/>
      <w:ind w:left="1996" w:hanging="851"/>
      <w:textAlignment w:val="baseline"/>
      <w:outlineLvl w:val="3"/>
    </w:pPr>
    <w:rPr>
      <w:rFonts w:cs="宋体"/>
      <w:b/>
      <w:bCs/>
      <w:sz w:val="24"/>
    </w:rPr>
  </w:style>
  <w:style w:type="paragraph" w:customStyle="1" w:styleId="2607">
    <w:name w:val="样式 表内5 + (符号) 宋体 两端对齐 行距: 单倍行距5"/>
    <w:basedOn w:val="1106"/>
    <w:qFormat/>
    <w:uiPriority w:val="0"/>
    <w:pPr>
      <w:spacing w:line="240" w:lineRule="auto"/>
    </w:pPr>
  </w:style>
  <w:style w:type="paragraph" w:customStyle="1" w:styleId="2608">
    <w:name w:val="表头四号 + 段前: 0.5 行 + 段前: 0.5 行"/>
    <w:basedOn w:val="1"/>
    <w:qFormat/>
    <w:uiPriority w:val="0"/>
    <w:pPr>
      <w:adjustRightInd w:val="0"/>
      <w:snapToGrid w:val="0"/>
      <w:spacing w:beforeLines="25" w:line="500" w:lineRule="atLeast"/>
    </w:pPr>
    <w:rPr>
      <w:rFonts w:ascii="宋体" w:hAnsi="宋体" w:cs="宋体"/>
      <w:b/>
      <w:bCs/>
      <w:sz w:val="28"/>
    </w:rPr>
  </w:style>
  <w:style w:type="paragraph" w:customStyle="1" w:styleId="2609">
    <w:name w:val="Char1 Char Char Char1"/>
    <w:basedOn w:val="1"/>
    <w:qFormat/>
    <w:uiPriority w:val="0"/>
    <w:pPr>
      <w:spacing w:line="360" w:lineRule="auto"/>
      <w:ind w:firstLine="200" w:firstLineChars="200"/>
    </w:pPr>
    <w:rPr>
      <w:rFonts w:ascii="宋体" w:hAnsi="宋体" w:cs="宋体"/>
      <w:sz w:val="24"/>
    </w:rPr>
  </w:style>
  <w:style w:type="paragraph" w:customStyle="1" w:styleId="2610">
    <w:name w:val="Char Char Char Char Char Char Char Char2 Char1"/>
    <w:basedOn w:val="1"/>
    <w:qFormat/>
    <w:uiPriority w:val="0"/>
    <w:pPr>
      <w:widowControl/>
      <w:spacing w:after="160" w:line="240" w:lineRule="exact"/>
      <w:jc w:val="left"/>
    </w:pPr>
  </w:style>
  <w:style w:type="paragraph" w:customStyle="1" w:styleId="2611">
    <w:name w:val="表内宋5中34"/>
    <w:basedOn w:val="1"/>
    <w:qFormat/>
    <w:uiPriority w:val="0"/>
    <w:pPr>
      <w:adjustRightInd w:val="0"/>
      <w:snapToGrid w:val="0"/>
      <w:spacing w:line="360" w:lineRule="auto"/>
      <w:jc w:val="center"/>
      <w:textAlignment w:val="baseline"/>
    </w:pPr>
    <w:rPr>
      <w:rFonts w:ascii="宋体" w:hAnsi="宋体"/>
      <w:szCs w:val="21"/>
    </w:rPr>
  </w:style>
  <w:style w:type="paragraph" w:customStyle="1" w:styleId="2612">
    <w:name w:val="Char133"/>
    <w:basedOn w:val="1"/>
    <w:qFormat/>
    <w:uiPriority w:val="0"/>
    <w:pPr>
      <w:ind w:left="-48"/>
    </w:pPr>
  </w:style>
  <w:style w:type="paragraph" w:customStyle="1" w:styleId="2613">
    <w:name w:val="标题1样式"/>
    <w:basedOn w:val="3"/>
    <w:qFormat/>
    <w:uiPriority w:val="0"/>
    <w:pPr>
      <w:widowControl/>
      <w:tabs>
        <w:tab w:val="left" w:pos="432"/>
      </w:tabs>
      <w:spacing w:before="0" w:after="0" w:line="500" w:lineRule="exact"/>
      <w:ind w:left="432" w:hanging="432"/>
      <w:jc w:val="left"/>
    </w:pPr>
    <w:rPr>
      <w:rFonts w:ascii="宋体" w:hAnsi="宋体" w:eastAsia="黑体"/>
      <w:kern w:val="2"/>
      <w:sz w:val="24"/>
    </w:rPr>
  </w:style>
  <w:style w:type="paragraph" w:customStyle="1" w:styleId="2614">
    <w:name w:val="表的格式（小四）"/>
    <w:basedOn w:val="1"/>
    <w:qFormat/>
    <w:uiPriority w:val="0"/>
    <w:pPr>
      <w:adjustRightInd w:val="0"/>
      <w:spacing w:line="360" w:lineRule="atLeast"/>
      <w:jc w:val="center"/>
    </w:pPr>
    <w:rPr>
      <w:sz w:val="24"/>
    </w:rPr>
  </w:style>
  <w:style w:type="paragraph" w:customStyle="1" w:styleId="2615">
    <w:name w:val="环评正文4"/>
    <w:qFormat/>
    <w:uiPriority w:val="0"/>
    <w:pPr>
      <w:spacing w:line="360" w:lineRule="exact"/>
      <w:ind w:firstLine="200" w:firstLineChars="200"/>
    </w:pPr>
    <w:rPr>
      <w:rFonts w:ascii="Times New Roman" w:hAnsi="Times New Roman" w:eastAsia="宋体" w:cs="Times New Roman"/>
      <w:color w:val="000000"/>
      <w:kern w:val="21"/>
      <w:sz w:val="24"/>
      <w:szCs w:val="24"/>
      <w:lang w:val="en-US" w:eastAsia="zh-CN" w:bidi="ar-SA"/>
    </w:rPr>
  </w:style>
  <w:style w:type="paragraph" w:customStyle="1" w:styleId="2616">
    <w:name w:val="xl65"/>
    <w:basedOn w:val="1"/>
    <w:qFormat/>
    <w:uiPriority w:val="0"/>
    <w:pPr>
      <w:widowControl/>
      <w:pBdr>
        <w:left w:val="single" w:color="auto" w:sz="8" w:space="0"/>
        <w:right w:val="single" w:color="auto" w:sz="4" w:space="0"/>
      </w:pBdr>
      <w:spacing w:before="100" w:beforeAutospacing="1" w:after="100" w:afterAutospacing="1"/>
      <w:jc w:val="center"/>
      <w:textAlignment w:val="center"/>
    </w:pPr>
    <w:rPr>
      <w:rFonts w:eastAsia="Arial Unicode MS"/>
    </w:rPr>
  </w:style>
  <w:style w:type="paragraph" w:customStyle="1" w:styleId="2617">
    <w:name w:val="表内宋5中51"/>
    <w:basedOn w:val="1"/>
    <w:qFormat/>
    <w:uiPriority w:val="0"/>
    <w:pPr>
      <w:adjustRightInd w:val="0"/>
      <w:snapToGrid w:val="0"/>
      <w:spacing w:line="360" w:lineRule="auto"/>
      <w:textAlignment w:val="baseline"/>
    </w:pPr>
    <w:rPr>
      <w:rFonts w:ascii="宋体" w:hAnsi="宋体"/>
      <w:szCs w:val="21"/>
    </w:rPr>
  </w:style>
  <w:style w:type="paragraph" w:customStyle="1" w:styleId="2618">
    <w:name w:val="Char Char Char3"/>
    <w:basedOn w:val="1"/>
    <w:qFormat/>
    <w:uiPriority w:val="0"/>
    <w:pPr>
      <w:spacing w:line="360" w:lineRule="auto"/>
      <w:ind w:firstLine="200" w:firstLineChars="200"/>
    </w:pPr>
    <w:rPr>
      <w:rFonts w:ascii="宋体" w:hAnsi="宋体" w:cs="宋体"/>
      <w:sz w:val="24"/>
    </w:rPr>
  </w:style>
  <w:style w:type="paragraph" w:customStyle="1" w:styleId="2619">
    <w:name w:val="表中文字中修改5"/>
    <w:basedOn w:val="1596"/>
    <w:qFormat/>
    <w:uiPriority w:val="0"/>
    <w:pPr>
      <w:adjustRightInd w:val="0"/>
    </w:pPr>
    <w:rPr>
      <w:color w:val="000000"/>
    </w:rPr>
  </w:style>
  <w:style w:type="paragraph" w:customStyle="1" w:styleId="2620">
    <w:name w:val="表内517"/>
    <w:basedOn w:val="1"/>
    <w:qFormat/>
    <w:uiPriority w:val="0"/>
    <w:pPr>
      <w:adjustRightInd w:val="0"/>
      <w:snapToGrid w:val="0"/>
      <w:spacing w:line="300" w:lineRule="auto"/>
      <w:jc w:val="left"/>
    </w:pPr>
    <w:rPr>
      <w:rFonts w:ascii="宋体" w:hAnsi="宋体" w:cs="宋体"/>
    </w:rPr>
  </w:style>
  <w:style w:type="paragraph" w:customStyle="1" w:styleId="2621">
    <w:name w:val="Char103"/>
    <w:basedOn w:val="1"/>
    <w:qFormat/>
    <w:uiPriority w:val="0"/>
    <w:pPr>
      <w:spacing w:line="480" w:lineRule="exact"/>
      <w:ind w:left="-48"/>
    </w:pPr>
  </w:style>
  <w:style w:type="paragraph" w:customStyle="1" w:styleId="2622">
    <w:name w:val="页眉中133"/>
    <w:basedOn w:val="1"/>
    <w:qFormat/>
    <w:uiPriority w:val="0"/>
    <w:pPr>
      <w:adjustRightInd w:val="0"/>
      <w:snapToGrid w:val="0"/>
      <w:spacing w:line="300" w:lineRule="auto"/>
      <w:jc w:val="left"/>
    </w:pPr>
    <w:rPr>
      <w:rFonts w:ascii="黑体" w:eastAsia="黑体"/>
      <w:bCs/>
      <w:sz w:val="24"/>
    </w:rPr>
  </w:style>
  <w:style w:type="paragraph" w:customStyle="1" w:styleId="2623">
    <w:name w:val="图表目录1"/>
    <w:basedOn w:val="21"/>
    <w:next w:val="21"/>
    <w:qFormat/>
    <w:uiPriority w:val="0"/>
    <w:pPr>
      <w:tabs>
        <w:tab w:val="right" w:leader="dot" w:pos="8051"/>
      </w:tabs>
      <w:adjustRightInd w:val="0"/>
      <w:spacing w:line="360" w:lineRule="atLeast"/>
      <w:ind w:left="840" w:hanging="840" w:firstLineChars="0"/>
      <w:jc w:val="left"/>
      <w:textAlignment w:val="baseline"/>
    </w:pPr>
    <w:rPr>
      <w:rFonts w:ascii="宋体" w:hAnsi="Calibri"/>
      <w:szCs w:val="22"/>
    </w:rPr>
  </w:style>
  <w:style w:type="paragraph" w:customStyle="1" w:styleId="2624">
    <w:name w:val="图题15"/>
    <w:basedOn w:val="1"/>
    <w:qFormat/>
    <w:uiPriority w:val="0"/>
    <w:pPr>
      <w:jc w:val="center"/>
    </w:pPr>
    <w:rPr>
      <w:rFonts w:ascii="方正大标宋简体" w:eastAsia="方正大标宋简体"/>
      <w:sz w:val="24"/>
    </w:rPr>
  </w:style>
  <w:style w:type="paragraph" w:customStyle="1" w:styleId="2625">
    <w:name w:val="表内小41"/>
    <w:qFormat/>
    <w:uiPriority w:val="0"/>
    <w:pPr>
      <w:ind w:left="240" w:hanging="240"/>
      <w:jc w:val="both"/>
    </w:pPr>
    <w:rPr>
      <w:rFonts w:ascii="Times New Roman" w:hAnsi="Times New Roman" w:eastAsia="宋体" w:cs="Times New Roman"/>
      <w:lang w:val="en-US" w:eastAsia="zh-CN" w:bidi="ar-SA"/>
    </w:rPr>
  </w:style>
  <w:style w:type="paragraph" w:customStyle="1" w:styleId="2626">
    <w:name w:val="Char1211"/>
    <w:basedOn w:val="1"/>
    <w:qFormat/>
    <w:uiPriority w:val="0"/>
    <w:pPr>
      <w:ind w:left="-48"/>
    </w:pPr>
  </w:style>
  <w:style w:type="paragraph" w:customStyle="1" w:styleId="2627">
    <w:name w:val="样式21"/>
    <w:basedOn w:val="1"/>
    <w:qFormat/>
    <w:uiPriority w:val="0"/>
    <w:pPr>
      <w:tabs>
        <w:tab w:val="left" w:pos="284"/>
        <w:tab w:val="left" w:pos="2847"/>
      </w:tabs>
      <w:spacing w:line="312" w:lineRule="auto"/>
      <w:ind w:left="1395" w:hanging="708"/>
    </w:pPr>
    <w:rPr>
      <w:sz w:val="24"/>
    </w:rPr>
  </w:style>
  <w:style w:type="paragraph" w:customStyle="1" w:styleId="2628">
    <w:name w:val="佛表"/>
    <w:basedOn w:val="67"/>
    <w:qFormat/>
    <w:uiPriority w:val="0"/>
    <w:pPr>
      <w:spacing w:line="0" w:lineRule="atLeast"/>
      <w:ind w:left="0" w:firstLine="0" w:firstLineChars="0"/>
    </w:pPr>
    <w:rPr>
      <w:color w:val="000000"/>
      <w:lang w:val="sq-AL"/>
    </w:rPr>
  </w:style>
  <w:style w:type="paragraph" w:customStyle="1" w:styleId="2629">
    <w:name w:val="纯文本11"/>
    <w:basedOn w:val="1"/>
    <w:qFormat/>
    <w:uiPriority w:val="0"/>
    <w:pPr>
      <w:adjustRightInd w:val="0"/>
      <w:textAlignment w:val="baseline"/>
    </w:pPr>
    <w:rPr>
      <w:rFonts w:ascii="宋体" w:hAnsi="Courier New"/>
    </w:rPr>
  </w:style>
  <w:style w:type="paragraph" w:customStyle="1" w:styleId="2630">
    <w:name w:val="图题5"/>
    <w:basedOn w:val="21"/>
    <w:qFormat/>
    <w:uiPriority w:val="0"/>
    <w:pPr>
      <w:adjustRightInd w:val="0"/>
      <w:snapToGrid w:val="0"/>
      <w:ind w:firstLine="0" w:firstLineChars="0"/>
      <w:jc w:val="center"/>
    </w:pPr>
    <w:rPr>
      <w:rFonts w:ascii="方正大标宋简体" w:hAnsi="宋体" w:eastAsia="方正大标宋简体"/>
      <w:b/>
      <w:color w:val="000000"/>
      <w:szCs w:val="24"/>
    </w:rPr>
  </w:style>
  <w:style w:type="paragraph" w:customStyle="1" w:styleId="2631">
    <w:name w:val="段落2"/>
    <w:basedOn w:val="1"/>
    <w:qFormat/>
    <w:uiPriority w:val="0"/>
    <w:pPr>
      <w:adjustRightInd w:val="0"/>
      <w:spacing w:line="440" w:lineRule="atLeast"/>
    </w:pPr>
    <w:rPr>
      <w:spacing w:val="6"/>
      <w:sz w:val="28"/>
    </w:rPr>
  </w:style>
  <w:style w:type="paragraph" w:customStyle="1" w:styleId="2632">
    <w:name w:val="CM140"/>
    <w:basedOn w:val="641"/>
    <w:next w:val="641"/>
    <w:qFormat/>
    <w:uiPriority w:val="0"/>
    <w:pPr>
      <w:spacing w:after="312"/>
    </w:pPr>
    <w:rPr>
      <w:color w:val="auto"/>
    </w:rPr>
  </w:style>
  <w:style w:type="paragraph" w:customStyle="1" w:styleId="2633">
    <w:name w:val="HTML 预设格式11"/>
    <w:basedOn w:val="1"/>
    <w:qFormat/>
    <w:uiPriority w:val="0"/>
    <w:rPr>
      <w:rFonts w:ascii="Courier New" w:hAnsi="Courier New" w:cs="Courier New"/>
      <w:szCs w:val="22"/>
    </w:rPr>
  </w:style>
  <w:style w:type="paragraph" w:customStyle="1" w:styleId="2634">
    <w:name w:val="其 它 文 件"/>
    <w:basedOn w:val="1"/>
    <w:qFormat/>
    <w:uiPriority w:val="0"/>
    <w:pPr>
      <w:spacing w:after="80" w:line="440" w:lineRule="atLeast"/>
    </w:pPr>
    <w:rPr>
      <w:rFonts w:eastAsia="楷体"/>
      <w:sz w:val="28"/>
    </w:rPr>
  </w:style>
  <w:style w:type="paragraph" w:customStyle="1" w:styleId="2635">
    <w:name w:val="Char Char Char1 Char Char Char Char Char Char Char Char Char Char Char Char1 Char Char Char Char Char Char Char Char Char Char"/>
    <w:basedOn w:val="1"/>
    <w:qFormat/>
    <w:uiPriority w:val="0"/>
  </w:style>
  <w:style w:type="paragraph" w:customStyle="1" w:styleId="2636">
    <w:name w:val="Char1 Char Char Char Char Char Char Char Char Char Char Char"/>
    <w:basedOn w:val="1"/>
    <w:next w:val="1"/>
    <w:qFormat/>
    <w:uiPriority w:val="0"/>
    <w:pPr>
      <w:keepNext/>
      <w:keepLines/>
      <w:widowControl/>
      <w:adjustRightInd w:val="0"/>
      <w:spacing w:before="40" w:after="40" w:line="360" w:lineRule="auto"/>
      <w:ind w:firstLine="200" w:firstLineChars="200"/>
      <w:textAlignment w:val="baseline"/>
    </w:pPr>
    <w:rPr>
      <w:rFonts w:cs="宋体"/>
      <w:sz w:val="24"/>
      <w:szCs w:val="28"/>
    </w:rPr>
  </w:style>
  <w:style w:type="paragraph" w:customStyle="1" w:styleId="2637">
    <w:name w:val="表标题5.7"/>
    <w:basedOn w:val="1"/>
    <w:qFormat/>
    <w:uiPriority w:val="0"/>
    <w:pPr>
      <w:tabs>
        <w:tab w:val="left" w:pos="1653"/>
      </w:tabs>
      <w:spacing w:beforeLines="100" w:line="0" w:lineRule="atLeast"/>
      <w:ind w:left="993" w:hanging="420"/>
      <w:jc w:val="center"/>
    </w:pPr>
    <w:rPr>
      <w:rFonts w:eastAsia="黑体"/>
      <w:b/>
      <w:sz w:val="24"/>
    </w:rPr>
  </w:style>
  <w:style w:type="paragraph" w:customStyle="1" w:styleId="2638">
    <w:name w:val="页眉中63"/>
    <w:basedOn w:val="47"/>
    <w:qFormat/>
    <w:uiPriority w:val="0"/>
    <w:pPr>
      <w:adjustRightInd w:val="0"/>
      <w:spacing w:line="360" w:lineRule="auto"/>
      <w:jc w:val="left"/>
    </w:pPr>
    <w:rPr>
      <w:rFonts w:ascii="黑体" w:hAnsi="Times New Roman" w:eastAsia="黑体"/>
      <w:bCs/>
      <w:sz w:val="24"/>
      <w:szCs w:val="24"/>
    </w:rPr>
  </w:style>
  <w:style w:type="paragraph" w:customStyle="1" w:styleId="2639">
    <w:name w:val="Char Char Char Char Char Char Char Char Char Char Char Char Char Char Char Char"/>
    <w:basedOn w:val="1"/>
    <w:qFormat/>
    <w:uiPriority w:val="0"/>
    <w:pPr>
      <w:spacing w:line="360" w:lineRule="auto"/>
      <w:ind w:firstLine="200" w:firstLineChars="200"/>
    </w:pPr>
    <w:rPr>
      <w:rFonts w:ascii="宋体" w:hAnsi="宋体" w:cs="宋体"/>
      <w:sz w:val="24"/>
    </w:rPr>
  </w:style>
  <w:style w:type="paragraph" w:customStyle="1" w:styleId="2640">
    <w:name w:val="Standardformat Hartu"/>
    <w:qFormat/>
    <w:uiPriority w:val="0"/>
    <w:pPr>
      <w:spacing w:after="240" w:line="240" w:lineRule="exact"/>
    </w:pPr>
    <w:rPr>
      <w:rFonts w:ascii="elite" w:hAnsi="elite" w:eastAsia="宋体" w:cs="Times New Roman"/>
      <w:sz w:val="24"/>
      <w:lang w:val="de-DE" w:eastAsia="de-DE" w:bidi="ar-SA"/>
    </w:rPr>
  </w:style>
  <w:style w:type="paragraph" w:customStyle="1" w:styleId="2641">
    <w:name w:val="表题135"/>
    <w:basedOn w:val="35"/>
    <w:qFormat/>
    <w:uiPriority w:val="0"/>
    <w:pPr>
      <w:tabs>
        <w:tab w:val="left" w:pos="4305"/>
      </w:tabs>
      <w:adjustRightInd w:val="0"/>
      <w:snapToGrid w:val="0"/>
      <w:spacing w:after="0"/>
      <w:ind w:left="0" w:leftChars="0" w:firstLine="480" w:firstLineChars="200"/>
      <w:jc w:val="center"/>
    </w:pPr>
    <w:rPr>
      <w:rFonts w:ascii="黑体" w:hAnsi="宋体" w:eastAsia="黑体"/>
      <w:sz w:val="24"/>
      <w:szCs w:val="20"/>
    </w:rPr>
  </w:style>
  <w:style w:type="paragraph" w:customStyle="1" w:styleId="2642">
    <w:name w:val="3333"/>
    <w:basedOn w:val="1"/>
    <w:qFormat/>
    <w:uiPriority w:val="0"/>
    <w:pPr>
      <w:tabs>
        <w:tab w:val="left" w:pos="2775"/>
      </w:tabs>
      <w:spacing w:beforeLines="100" w:line="560" w:lineRule="exact"/>
      <w:jc w:val="center"/>
    </w:pPr>
    <w:rPr>
      <w:rFonts w:ascii="宋体" w:hAnsi="宋体"/>
      <w:b/>
      <w:sz w:val="44"/>
      <w:szCs w:val="44"/>
    </w:rPr>
  </w:style>
  <w:style w:type="paragraph" w:customStyle="1" w:styleId="2643">
    <w:name w:val="目录4"/>
    <w:basedOn w:val="1"/>
    <w:next w:val="1"/>
    <w:qFormat/>
    <w:uiPriority w:val="0"/>
    <w:pPr>
      <w:widowControl/>
      <w:tabs>
        <w:tab w:val="left" w:leader="dot" w:pos="8503"/>
      </w:tabs>
      <w:spacing w:line="317" w:lineRule="atLeast"/>
      <w:ind w:left="419" w:firstLine="629"/>
      <w:textAlignment w:val="baseline"/>
    </w:pPr>
    <w:rPr>
      <w:color w:val="000000"/>
      <w:u w:color="000000"/>
    </w:rPr>
  </w:style>
  <w:style w:type="paragraph" w:customStyle="1" w:styleId="2644">
    <w:name w:val="表内小421"/>
    <w:basedOn w:val="1"/>
    <w:qFormat/>
    <w:uiPriority w:val="0"/>
    <w:pPr>
      <w:adjustRightInd w:val="0"/>
      <w:snapToGrid w:val="0"/>
      <w:spacing w:line="360" w:lineRule="exact"/>
      <w:ind w:left="225" w:leftChars="75" w:hanging="67" w:hangingChars="32"/>
    </w:pPr>
    <w:rPr>
      <w:rFonts w:ascii="宋体" w:hAnsi="Times" w:cs="宋体"/>
      <w:b/>
      <w:szCs w:val="21"/>
    </w:rPr>
  </w:style>
  <w:style w:type="paragraph" w:customStyle="1" w:styleId="2645">
    <w:name w:val="样式 正文首行缩进 + 首行缩进:  2 字符"/>
    <w:basedOn w:val="87"/>
    <w:qFormat/>
    <w:uiPriority w:val="0"/>
    <w:pPr>
      <w:adjustRightInd w:val="0"/>
      <w:snapToGrid w:val="0"/>
      <w:spacing w:line="520" w:lineRule="atLeast"/>
      <w:ind w:firstLine="549" w:firstLineChars="200"/>
    </w:pPr>
    <w:rPr>
      <w:rFonts w:ascii="Calibri" w:hAnsi="Calibri" w:cs="宋体"/>
      <w:bCs/>
      <w:sz w:val="28"/>
      <w:szCs w:val="20"/>
    </w:rPr>
  </w:style>
  <w:style w:type="paragraph" w:customStyle="1" w:styleId="2646">
    <w:name w:val="条-成果 Char"/>
    <w:basedOn w:val="5"/>
    <w:qFormat/>
    <w:uiPriority w:val="0"/>
    <w:pPr>
      <w:keepNext w:val="0"/>
      <w:keepLines w:val="0"/>
      <w:tabs>
        <w:tab w:val="left" w:pos="1440"/>
        <w:tab w:val="clear" w:pos="720"/>
      </w:tabs>
      <w:adjustRightInd/>
      <w:spacing w:beforeLines="50" w:afterLines="50" w:line="400" w:lineRule="exact"/>
      <w:ind w:left="1440" w:hanging="720"/>
      <w:jc w:val="both"/>
      <w:textAlignment w:val="auto"/>
      <w:outlineLvl w:val="9"/>
    </w:pPr>
    <w:rPr>
      <w:rFonts w:ascii="宋体" w:hAnsi="宋体" w:eastAsia="宋体"/>
      <w:b w:val="0"/>
      <w:bCs/>
      <w:color w:val="auto"/>
      <w:spacing w:val="0"/>
      <w:kern w:val="2"/>
      <w:sz w:val="24"/>
      <w:szCs w:val="30"/>
    </w:rPr>
  </w:style>
  <w:style w:type="paragraph" w:customStyle="1" w:styleId="2647">
    <w:name w:val="列表21"/>
    <w:basedOn w:val="1"/>
    <w:next w:val="1"/>
    <w:qFormat/>
    <w:uiPriority w:val="0"/>
    <w:pPr>
      <w:keepNext/>
      <w:adjustRightInd w:val="0"/>
      <w:spacing w:before="240" w:line="276" w:lineRule="auto"/>
      <w:jc w:val="center"/>
      <w:textAlignment w:val="baseline"/>
    </w:pPr>
    <w:rPr>
      <w:sz w:val="24"/>
    </w:rPr>
  </w:style>
  <w:style w:type="paragraph" w:customStyle="1" w:styleId="2648">
    <w:name w:val="Char Char Char Char Char Char1 Char Char Char Char Char Char1 Char"/>
    <w:basedOn w:val="1"/>
    <w:qFormat/>
    <w:uiPriority w:val="0"/>
  </w:style>
  <w:style w:type="paragraph" w:customStyle="1" w:styleId="2649">
    <w:name w:val="Char Char13 Char Char"/>
    <w:basedOn w:val="1"/>
    <w:qFormat/>
    <w:uiPriority w:val="0"/>
  </w:style>
  <w:style w:type="paragraph" w:customStyle="1" w:styleId="2650">
    <w:name w:val="字母编号2"/>
    <w:basedOn w:val="1"/>
    <w:qFormat/>
    <w:uiPriority w:val="0"/>
    <w:pPr>
      <w:tabs>
        <w:tab w:val="left" w:pos="817"/>
      </w:tabs>
      <w:spacing w:line="300" w:lineRule="auto"/>
      <w:ind w:firstLine="200" w:firstLineChars="200"/>
      <w:textAlignment w:val="center"/>
    </w:pPr>
    <w:rPr>
      <w:sz w:val="24"/>
    </w:rPr>
  </w:style>
  <w:style w:type="paragraph" w:customStyle="1" w:styleId="2651">
    <w:name w:val="样式 正文(首行缩进) + 8 磅 加粗 首行缩进:  2 字符"/>
    <w:basedOn w:val="1"/>
    <w:qFormat/>
    <w:uiPriority w:val="0"/>
    <w:pPr>
      <w:adjustRightInd w:val="0"/>
      <w:snapToGrid w:val="0"/>
      <w:ind w:firstLine="200" w:firstLineChars="200"/>
    </w:pPr>
    <w:rPr>
      <w:rFonts w:cs="宋体"/>
      <w:b/>
      <w:bCs/>
      <w:snapToGrid w:val="0"/>
      <w:sz w:val="16"/>
    </w:rPr>
  </w:style>
  <w:style w:type="paragraph" w:customStyle="1" w:styleId="2652">
    <w:name w:val="BG1"/>
    <w:basedOn w:val="1"/>
    <w:qFormat/>
    <w:uiPriority w:val="0"/>
    <w:pPr>
      <w:spacing w:line="320" w:lineRule="exact"/>
      <w:jc w:val="center"/>
    </w:pPr>
    <w:rPr>
      <w:rFonts w:ascii="宋体" w:hAnsi="宋体"/>
      <w:color w:val="0000FF"/>
      <w:sz w:val="24"/>
    </w:rPr>
  </w:style>
  <w:style w:type="paragraph" w:customStyle="1" w:styleId="2653">
    <w:name w:val="列表项目符号1.缩2"/>
    <w:qFormat/>
    <w:uiPriority w:val="0"/>
    <w:pPr>
      <w:tabs>
        <w:tab w:val="left" w:pos="945"/>
        <w:tab w:val="left" w:pos="1992"/>
      </w:tabs>
      <w:spacing w:line="360" w:lineRule="auto"/>
      <w:ind w:firstLine="425"/>
    </w:pPr>
    <w:rPr>
      <w:rFonts w:ascii="Times New Roman" w:hAnsi="Times New Roman" w:eastAsia="宋体" w:cs="Times New Roman"/>
      <w:sz w:val="24"/>
      <w:szCs w:val="24"/>
      <w:lang w:val="en-US" w:eastAsia="zh-CN" w:bidi="ar-SA"/>
    </w:rPr>
  </w:style>
  <w:style w:type="paragraph" w:customStyle="1" w:styleId="2654">
    <w:name w:val="一级条标题"/>
    <w:basedOn w:val="1"/>
    <w:next w:val="1"/>
    <w:qFormat/>
    <w:uiPriority w:val="0"/>
    <w:pPr>
      <w:widowControl/>
      <w:tabs>
        <w:tab w:val="left" w:pos="360"/>
      </w:tabs>
      <w:outlineLvl w:val="2"/>
    </w:pPr>
    <w:rPr>
      <w:rFonts w:ascii="黑体" w:eastAsia="黑体"/>
    </w:rPr>
  </w:style>
  <w:style w:type="paragraph" w:customStyle="1" w:styleId="2655">
    <w:name w:val="Char Char Char Char Char Char Char Char Char Char Char Char Char Char Char Char Char Char Char Char Char Char1"/>
    <w:basedOn w:val="1"/>
    <w:qFormat/>
    <w:uiPriority w:val="0"/>
  </w:style>
  <w:style w:type="paragraph" w:customStyle="1" w:styleId="2656">
    <w:name w:val="CM15"/>
    <w:basedOn w:val="641"/>
    <w:next w:val="641"/>
    <w:qFormat/>
    <w:uiPriority w:val="0"/>
    <w:pPr>
      <w:spacing w:line="460" w:lineRule="atLeast"/>
    </w:pPr>
    <w:rPr>
      <w:rFonts w:ascii="黑体" w:eastAsia="黑体" w:cs="Times New Roman"/>
      <w:color w:val="auto"/>
      <w:sz w:val="20"/>
    </w:rPr>
  </w:style>
  <w:style w:type="paragraph" w:customStyle="1" w:styleId="2657">
    <w:name w:val="正文文字居中1"/>
    <w:basedOn w:val="1"/>
    <w:qFormat/>
    <w:uiPriority w:val="0"/>
    <w:pPr>
      <w:jc w:val="center"/>
    </w:pPr>
    <w:rPr>
      <w:rFonts w:ascii="宋体"/>
      <w:spacing w:val="10"/>
      <w:sz w:val="24"/>
    </w:rPr>
  </w:style>
  <w:style w:type="paragraph" w:customStyle="1" w:styleId="2658">
    <w:name w:val="需要资料2"/>
    <w:basedOn w:val="1"/>
    <w:qFormat/>
    <w:uiPriority w:val="0"/>
    <w:pPr>
      <w:adjustRightInd w:val="0"/>
      <w:snapToGrid w:val="0"/>
      <w:spacing w:line="360" w:lineRule="auto"/>
      <w:ind w:firstLine="480" w:firstLineChars="200"/>
    </w:pPr>
    <w:rPr>
      <w:rFonts w:ascii="黑体" w:eastAsia="黑体"/>
      <w:color w:val="0000FF"/>
      <w:sz w:val="24"/>
    </w:rPr>
  </w:style>
  <w:style w:type="paragraph" w:customStyle="1" w:styleId="2659">
    <w:name w:val="样式 标题 1 + 宋体 居中"/>
    <w:basedOn w:val="3"/>
    <w:qFormat/>
    <w:uiPriority w:val="0"/>
    <w:pPr>
      <w:jc w:val="center"/>
    </w:pPr>
    <w:rPr>
      <w:rFonts w:ascii="宋体" w:hAnsi="宋体" w:eastAsia="黑体"/>
      <w:b w:val="0"/>
      <w:sz w:val="36"/>
      <w:szCs w:val="20"/>
    </w:rPr>
  </w:style>
  <w:style w:type="paragraph" w:customStyle="1" w:styleId="2660">
    <w:name w:val="样式 标题 3 + Times New Roman 段后: 7.8 磅"/>
    <w:basedOn w:val="5"/>
    <w:qFormat/>
    <w:uiPriority w:val="0"/>
    <w:pPr>
      <w:tabs>
        <w:tab w:val="left" w:pos="1260"/>
        <w:tab w:val="clear" w:pos="720"/>
      </w:tabs>
      <w:snapToGrid w:val="0"/>
      <w:spacing w:afterLines="50" w:line="240" w:lineRule="auto"/>
      <w:ind w:left="1260" w:hanging="420"/>
      <w:jc w:val="both"/>
      <w:textAlignment w:val="auto"/>
    </w:pPr>
    <w:rPr>
      <w:rFonts w:ascii="黑体" w:hAnsi="Arial" w:eastAsia="华文楷体" w:cs="Arial"/>
      <w:b w:val="0"/>
      <w:bCs/>
      <w:color w:val="auto"/>
      <w:spacing w:val="0"/>
      <w:kern w:val="2"/>
    </w:rPr>
  </w:style>
  <w:style w:type="paragraph" w:customStyle="1" w:styleId="2661">
    <w:name w:val="Title 02"/>
    <w:basedOn w:val="1"/>
    <w:qFormat/>
    <w:uiPriority w:val="0"/>
    <w:pPr>
      <w:spacing w:line="480" w:lineRule="exact"/>
      <w:jc w:val="center"/>
    </w:pPr>
    <w:rPr>
      <w:rFonts w:ascii="黑体" w:eastAsia="黑体" w:cs="宋体"/>
      <w:sz w:val="52"/>
    </w:rPr>
  </w:style>
  <w:style w:type="paragraph" w:customStyle="1" w:styleId="2662">
    <w:name w:val="三级标题"/>
    <w:basedOn w:val="5"/>
    <w:next w:val="2107"/>
    <w:qFormat/>
    <w:uiPriority w:val="0"/>
    <w:pPr>
      <w:keepNext w:val="0"/>
      <w:keepLines w:val="0"/>
      <w:tabs>
        <w:tab w:val="clear" w:pos="720"/>
      </w:tabs>
      <w:spacing w:beforeLines="50" w:afterLines="50" w:line="240" w:lineRule="auto"/>
      <w:ind w:left="0" w:firstLine="0"/>
    </w:pPr>
    <w:rPr>
      <w:rFonts w:ascii="楷体_GB2312" w:hAnsi="Arial" w:cs="Arial"/>
      <w:bCs/>
      <w:color w:val="auto"/>
      <w:spacing w:val="0"/>
    </w:rPr>
  </w:style>
  <w:style w:type="paragraph" w:customStyle="1" w:styleId="2663">
    <w:name w:val="Char Char110"/>
    <w:basedOn w:val="1"/>
    <w:qFormat/>
    <w:uiPriority w:val="0"/>
  </w:style>
  <w:style w:type="paragraph" w:customStyle="1" w:styleId="2664">
    <w:name w:val="正文文本缩进 311"/>
    <w:basedOn w:val="1"/>
    <w:qFormat/>
    <w:uiPriority w:val="99"/>
    <w:pPr>
      <w:adjustRightInd w:val="0"/>
      <w:ind w:firstLine="538"/>
      <w:textAlignment w:val="baseline"/>
    </w:pPr>
    <w:rPr>
      <w:rFonts w:ascii="仿宋_GB2312" w:hAnsi="宋体" w:eastAsia="仿宋_GB2312"/>
      <w:kern w:val="28"/>
      <w:sz w:val="28"/>
    </w:rPr>
  </w:style>
  <w:style w:type="paragraph" w:customStyle="1" w:styleId="2665">
    <w:name w:val="回信地址"/>
    <w:qFormat/>
    <w:uiPriority w:val="0"/>
    <w:pPr>
      <w:tabs>
        <w:tab w:val="left" w:pos="2160"/>
      </w:tabs>
      <w:spacing w:line="240" w:lineRule="atLeast"/>
      <w:ind w:right="-240"/>
      <w:jc w:val="center"/>
    </w:pPr>
    <w:rPr>
      <w:rFonts w:ascii="Garamond" w:hAnsi="Garamond" w:eastAsia="宋体" w:cs="Times New Roman"/>
      <w:caps/>
      <w:spacing w:val="30"/>
      <w:sz w:val="15"/>
      <w:lang w:val="en-US" w:eastAsia="zh-CN" w:bidi="ar-SA"/>
    </w:rPr>
  </w:style>
  <w:style w:type="paragraph" w:customStyle="1" w:styleId="2666">
    <w:name w:val="Char Char Char Char1"/>
    <w:basedOn w:val="1"/>
    <w:qFormat/>
    <w:uiPriority w:val="0"/>
  </w:style>
  <w:style w:type="paragraph" w:customStyle="1" w:styleId="2667">
    <w:name w:val="页眉中42"/>
    <w:basedOn w:val="47"/>
    <w:qFormat/>
    <w:uiPriority w:val="0"/>
    <w:pPr>
      <w:adjustRightInd w:val="0"/>
      <w:spacing w:line="300" w:lineRule="auto"/>
      <w:jc w:val="left"/>
    </w:pPr>
    <w:rPr>
      <w:rFonts w:ascii="黑体" w:hAnsi="宋体" w:eastAsia="黑体" w:cs="宋体"/>
      <w:sz w:val="24"/>
      <w:szCs w:val="24"/>
    </w:rPr>
  </w:style>
  <w:style w:type="paragraph" w:customStyle="1" w:styleId="2668">
    <w:name w:val="表内文字大34"/>
    <w:basedOn w:val="1"/>
    <w:qFormat/>
    <w:uiPriority w:val="0"/>
    <w:pPr>
      <w:adjustRightInd w:val="0"/>
      <w:snapToGrid w:val="0"/>
      <w:jc w:val="center"/>
    </w:pPr>
    <w:rPr>
      <w:rFonts w:ascii="宋体" w:hAnsi="Times"/>
      <w:sz w:val="24"/>
    </w:rPr>
  </w:style>
  <w:style w:type="paragraph" w:customStyle="1" w:styleId="2669">
    <w:name w:val="xl740"/>
    <w:basedOn w:val="1"/>
    <w:qFormat/>
    <w:uiPriority w:val="0"/>
    <w:pPr>
      <w:widowControl/>
      <w:pBdr>
        <w:left w:val="single" w:color="auto" w:sz="4" w:space="0"/>
        <w:bottom w:val="single" w:color="auto" w:sz="4" w:space="0"/>
        <w:right w:val="single" w:color="auto" w:sz="4" w:space="0"/>
      </w:pBdr>
      <w:spacing w:before="100" w:after="100"/>
      <w:jc w:val="center"/>
    </w:pPr>
    <w:rPr>
      <w:rFonts w:ascii="Courier New" w:hAnsi="Courier New" w:eastAsia="Arial Unicode MS"/>
      <w:sz w:val="24"/>
    </w:rPr>
  </w:style>
  <w:style w:type="paragraph" w:customStyle="1" w:styleId="2670">
    <w:name w:val="正文段落"/>
    <w:basedOn w:val="1"/>
    <w:qFormat/>
    <w:uiPriority w:val="0"/>
    <w:pPr>
      <w:spacing w:line="360" w:lineRule="auto"/>
      <w:ind w:firstLine="510"/>
    </w:pPr>
    <w:rPr>
      <w:snapToGrid w:val="0"/>
      <w:sz w:val="24"/>
    </w:rPr>
  </w:style>
  <w:style w:type="paragraph" w:customStyle="1" w:styleId="2671">
    <w:name w:val="福建正文缩进25"/>
    <w:basedOn w:val="1"/>
    <w:qFormat/>
    <w:uiPriority w:val="0"/>
    <w:pPr>
      <w:tabs>
        <w:tab w:val="left" w:pos="4305"/>
      </w:tabs>
      <w:adjustRightInd w:val="0"/>
      <w:snapToGrid w:val="0"/>
      <w:spacing w:line="360" w:lineRule="auto"/>
      <w:ind w:firstLine="567"/>
    </w:pPr>
    <w:rPr>
      <w:rFonts w:ascii="宋体" w:hAnsi="宋体"/>
      <w:color w:val="000000"/>
      <w:sz w:val="24"/>
    </w:rPr>
  </w:style>
  <w:style w:type="paragraph" w:customStyle="1" w:styleId="2672">
    <w:name w:val="样式 样式 样式 样式 Times 四号 行距: 固定值 24 磅 + 首行缩进:  1.75 字符 + 首行缩进:  1.75..."/>
    <w:basedOn w:val="1"/>
    <w:qFormat/>
    <w:uiPriority w:val="0"/>
    <w:pPr>
      <w:spacing w:line="480" w:lineRule="exact"/>
      <w:ind w:firstLine="616" w:firstLineChars="200"/>
    </w:pPr>
    <w:rPr>
      <w:rFonts w:cs="宋体"/>
      <w:color w:val="000000"/>
      <w:spacing w:val="14"/>
      <w:kern w:val="20"/>
      <w:sz w:val="28"/>
    </w:rPr>
  </w:style>
  <w:style w:type="paragraph" w:customStyle="1" w:styleId="2673">
    <w:name w:val="标题4."/>
    <w:basedOn w:val="1"/>
    <w:qFormat/>
    <w:uiPriority w:val="0"/>
    <w:pPr>
      <w:tabs>
        <w:tab w:val="left" w:pos="2946"/>
      </w:tabs>
      <w:spacing w:line="312" w:lineRule="auto"/>
      <w:ind w:left="1997" w:hanging="851"/>
    </w:pPr>
    <w:rPr>
      <w:sz w:val="24"/>
    </w:rPr>
  </w:style>
  <w:style w:type="paragraph" w:customStyle="1" w:styleId="2674">
    <w:name w:val="表头样式"/>
    <w:basedOn w:val="1"/>
    <w:qFormat/>
    <w:uiPriority w:val="0"/>
    <w:pPr>
      <w:spacing w:beforeLines="30" w:afterLines="20"/>
      <w:jc w:val="center"/>
    </w:pPr>
    <w:rPr>
      <w:rFonts w:eastAsia="黑体"/>
      <w:sz w:val="28"/>
    </w:rPr>
  </w:style>
  <w:style w:type="paragraph" w:customStyle="1" w:styleId="2675">
    <w:name w:val="样式 样式 样式 宋体 段前: 0.5 行 行距: 固定值 18 磅 + 首行缩进:  2 字符 + 首行缩进:  2 字符1"/>
    <w:basedOn w:val="1"/>
    <w:qFormat/>
    <w:uiPriority w:val="0"/>
    <w:pPr>
      <w:adjustRightInd w:val="0"/>
      <w:snapToGrid w:val="0"/>
      <w:spacing w:beforeLines="50" w:line="360" w:lineRule="auto"/>
      <w:ind w:firstLine="480"/>
    </w:pPr>
    <w:rPr>
      <w:rFonts w:ascii="宋体" w:hAnsi="宋体"/>
      <w:color w:val="FF0000"/>
      <w:sz w:val="24"/>
    </w:rPr>
  </w:style>
  <w:style w:type="paragraph" w:customStyle="1" w:styleId="2676">
    <w:name w:val="CM29"/>
    <w:basedOn w:val="641"/>
    <w:next w:val="641"/>
    <w:qFormat/>
    <w:uiPriority w:val="0"/>
    <w:pPr>
      <w:spacing w:line="456" w:lineRule="atLeast"/>
    </w:pPr>
    <w:rPr>
      <w:color w:val="auto"/>
    </w:rPr>
  </w:style>
  <w:style w:type="paragraph" w:customStyle="1" w:styleId="2677">
    <w:name w:val="Char Char Char1 Char Char Char Char1"/>
    <w:basedOn w:val="1"/>
    <w:next w:val="1"/>
    <w:qFormat/>
    <w:uiPriority w:val="0"/>
    <w:pPr>
      <w:spacing w:line="360" w:lineRule="auto"/>
      <w:ind w:firstLine="200" w:firstLineChars="200"/>
    </w:pPr>
    <w:rPr>
      <w:rFonts w:ascii="宋体" w:hAnsi="宋体" w:eastAsia="汉鼎简书宋" w:cs="宋体"/>
      <w:sz w:val="24"/>
    </w:rPr>
  </w:style>
  <w:style w:type="paragraph" w:customStyle="1" w:styleId="2678">
    <w:name w:val="b"/>
    <w:basedOn w:val="1"/>
    <w:qFormat/>
    <w:uiPriority w:val="0"/>
    <w:pPr>
      <w:jc w:val="center"/>
    </w:pPr>
    <w:rPr>
      <w:b/>
      <w:bCs/>
      <w:szCs w:val="21"/>
    </w:rPr>
  </w:style>
  <w:style w:type="paragraph" w:customStyle="1" w:styleId="2679">
    <w:name w:val="标题111"/>
    <w:basedOn w:val="3"/>
    <w:qFormat/>
    <w:uiPriority w:val="0"/>
    <w:pPr>
      <w:keepLines w:val="0"/>
      <w:spacing w:before="0" w:afterLines="50" w:line="480" w:lineRule="auto"/>
      <w:jc w:val="center"/>
    </w:pPr>
    <w:rPr>
      <w:rFonts w:ascii="宋体" w:eastAsia="Times New Roman"/>
      <w:b w:val="0"/>
      <w:bCs w:val="0"/>
      <w:color w:val="000000"/>
      <w:kern w:val="2"/>
      <w:sz w:val="36"/>
      <w:szCs w:val="24"/>
    </w:rPr>
  </w:style>
  <w:style w:type="paragraph" w:customStyle="1" w:styleId="2680">
    <w:name w:val="页眉中118"/>
    <w:basedOn w:val="47"/>
    <w:qFormat/>
    <w:uiPriority w:val="0"/>
    <w:pPr>
      <w:adjustRightInd w:val="0"/>
      <w:spacing w:line="300" w:lineRule="auto"/>
      <w:jc w:val="left"/>
    </w:pPr>
    <w:rPr>
      <w:rFonts w:hAnsi="宋体" w:cs="宋体"/>
      <w:bCs/>
      <w:sz w:val="24"/>
    </w:rPr>
  </w:style>
  <w:style w:type="paragraph" w:customStyle="1" w:styleId="2681">
    <w:name w:val="标题420"/>
    <w:basedOn w:val="1"/>
    <w:qFormat/>
    <w:uiPriority w:val="0"/>
    <w:pPr>
      <w:adjustRightInd w:val="0"/>
      <w:snapToGrid w:val="0"/>
      <w:spacing w:line="300" w:lineRule="auto"/>
      <w:jc w:val="left"/>
    </w:pPr>
    <w:rPr>
      <w:rFonts w:ascii="宋体" w:hAnsi="宋体"/>
      <w:bCs/>
      <w:sz w:val="24"/>
    </w:rPr>
  </w:style>
  <w:style w:type="paragraph" w:customStyle="1" w:styleId="2682">
    <w:name w:val="表内513"/>
    <w:basedOn w:val="1"/>
    <w:qFormat/>
    <w:uiPriority w:val="0"/>
    <w:pPr>
      <w:adjustRightInd w:val="0"/>
      <w:snapToGrid w:val="0"/>
      <w:spacing w:line="300" w:lineRule="auto"/>
      <w:jc w:val="left"/>
    </w:pPr>
    <w:rPr>
      <w:rFonts w:ascii="宋体" w:hAnsi="宋体" w:cs="宋体"/>
    </w:rPr>
  </w:style>
  <w:style w:type="paragraph" w:customStyle="1" w:styleId="2683">
    <w:name w:val="表题16"/>
    <w:basedOn w:val="35"/>
    <w:qFormat/>
    <w:uiPriority w:val="0"/>
    <w:pPr>
      <w:tabs>
        <w:tab w:val="left" w:pos="4305"/>
      </w:tabs>
      <w:adjustRightInd w:val="0"/>
      <w:snapToGrid w:val="0"/>
      <w:spacing w:after="0"/>
      <w:ind w:left="0" w:leftChars="0"/>
      <w:jc w:val="center"/>
    </w:pPr>
    <w:rPr>
      <w:rFonts w:ascii="黑体" w:hAnsi="宋体" w:eastAsia="黑体" w:cs="宋体"/>
      <w:color w:val="000000"/>
      <w:sz w:val="24"/>
    </w:rPr>
  </w:style>
  <w:style w:type="paragraph" w:customStyle="1" w:styleId="2684">
    <w:name w:val="xl73"/>
    <w:basedOn w:val="1"/>
    <w:qFormat/>
    <w:uiPriority w:val="0"/>
    <w:pPr>
      <w:widowControl/>
      <w:pBdr>
        <w:bottom w:val="single" w:color="auto" w:sz="4" w:space="0"/>
        <w:right w:val="single" w:color="auto" w:sz="4" w:space="0"/>
      </w:pBdr>
      <w:spacing w:before="100" w:after="100"/>
      <w:jc w:val="center"/>
      <w:textAlignment w:val="center"/>
    </w:pPr>
    <w:rPr>
      <w:rFonts w:hint="eastAsia" w:ascii="宋体" w:hAnsi="宋体"/>
      <w:sz w:val="24"/>
    </w:rPr>
  </w:style>
  <w:style w:type="paragraph" w:customStyle="1" w:styleId="2685">
    <w:name w:val="索引 912"/>
    <w:basedOn w:val="1"/>
    <w:next w:val="1"/>
    <w:qFormat/>
    <w:uiPriority w:val="0"/>
    <w:pPr>
      <w:ind w:left="1600" w:leftChars="1600"/>
    </w:pPr>
    <w:rPr>
      <w:sz w:val="24"/>
    </w:rPr>
  </w:style>
  <w:style w:type="paragraph" w:customStyle="1" w:styleId="2686">
    <w:name w:val="热电厂正文 Char"/>
    <w:basedOn w:val="1"/>
    <w:qFormat/>
    <w:uiPriority w:val="0"/>
    <w:pPr>
      <w:spacing w:line="440" w:lineRule="exact"/>
      <w:ind w:firstLine="480" w:firstLineChars="200"/>
    </w:pPr>
    <w:rPr>
      <w:sz w:val="24"/>
    </w:rPr>
  </w:style>
  <w:style w:type="paragraph" w:customStyle="1" w:styleId="2687">
    <w:name w:val="Char2"/>
    <w:basedOn w:val="1"/>
    <w:qFormat/>
    <w:uiPriority w:val="0"/>
    <w:pPr>
      <w:adjustRightInd w:val="0"/>
      <w:snapToGrid w:val="0"/>
      <w:spacing w:line="360" w:lineRule="auto"/>
      <w:ind w:firstLine="200" w:firstLineChars="200"/>
    </w:pPr>
    <w:rPr>
      <w:rFonts w:ascii="黑体" w:eastAsia="黑体"/>
      <w:sz w:val="24"/>
    </w:rPr>
  </w:style>
  <w:style w:type="paragraph" w:customStyle="1" w:styleId="2688">
    <w:name w:val="页眉中35"/>
    <w:basedOn w:val="47"/>
    <w:qFormat/>
    <w:uiPriority w:val="0"/>
    <w:pPr>
      <w:adjustRightInd w:val="0"/>
      <w:spacing w:line="300" w:lineRule="auto"/>
      <w:jc w:val="left"/>
    </w:pPr>
    <w:rPr>
      <w:rFonts w:ascii="黑体" w:hAnsi="宋体" w:eastAsia="黑体"/>
      <w:sz w:val="24"/>
    </w:rPr>
  </w:style>
  <w:style w:type="paragraph" w:customStyle="1" w:styleId="2689">
    <w:name w:val="表内宋51"/>
    <w:basedOn w:val="82"/>
    <w:qFormat/>
    <w:uiPriority w:val="0"/>
    <w:pPr>
      <w:widowControl/>
      <w:adjustRightInd w:val="0"/>
      <w:snapToGrid w:val="0"/>
    </w:pPr>
    <w:rPr>
      <w:rFonts w:ascii="宋体" w:hAnsi="宋体" w:cs="宋体"/>
      <w:color w:val="000000"/>
      <w:sz w:val="21"/>
    </w:rPr>
  </w:style>
  <w:style w:type="paragraph" w:customStyle="1" w:styleId="2690">
    <w:name w:val="封面正文"/>
    <w:qFormat/>
    <w:uiPriority w:val="0"/>
    <w:pPr>
      <w:jc w:val="both"/>
    </w:pPr>
    <w:rPr>
      <w:rFonts w:ascii="Times New Roman" w:hAnsi="Times New Roman" w:eastAsia="宋体" w:cs="Times New Roman"/>
      <w:lang w:val="en-US" w:eastAsia="zh-CN" w:bidi="ar-SA"/>
    </w:rPr>
  </w:style>
  <w:style w:type="paragraph" w:customStyle="1" w:styleId="2691">
    <w:name w:val="表内文字边5"/>
    <w:basedOn w:val="1596"/>
    <w:qFormat/>
    <w:uiPriority w:val="0"/>
    <w:pPr>
      <w:adjustRightInd w:val="0"/>
      <w:snapToGrid w:val="0"/>
      <w:jc w:val="both"/>
    </w:pPr>
  </w:style>
  <w:style w:type="paragraph" w:customStyle="1" w:styleId="2692">
    <w:name w:val="页眉中38"/>
    <w:basedOn w:val="1"/>
    <w:qFormat/>
    <w:uiPriority w:val="0"/>
    <w:pPr>
      <w:adjustRightInd w:val="0"/>
      <w:snapToGrid w:val="0"/>
      <w:spacing w:line="300" w:lineRule="auto"/>
      <w:jc w:val="left"/>
    </w:pPr>
    <w:rPr>
      <w:rFonts w:ascii="黑体" w:hAnsi="宋体" w:eastAsia="黑体"/>
      <w:sz w:val="24"/>
    </w:rPr>
  </w:style>
  <w:style w:type="paragraph" w:customStyle="1" w:styleId="2693">
    <w:name w:val="页眉中6"/>
    <w:basedOn w:val="47"/>
    <w:qFormat/>
    <w:uiPriority w:val="0"/>
    <w:pPr>
      <w:adjustRightInd w:val="0"/>
      <w:spacing w:line="360" w:lineRule="auto"/>
      <w:jc w:val="left"/>
    </w:pPr>
    <w:rPr>
      <w:rFonts w:ascii="黑体" w:hAnsi="Times New Roman" w:eastAsia="黑体"/>
      <w:bCs/>
      <w:sz w:val="24"/>
      <w:szCs w:val="24"/>
    </w:rPr>
  </w:style>
  <w:style w:type="paragraph" w:customStyle="1" w:styleId="2694">
    <w:name w:val="表内5中23"/>
    <w:basedOn w:val="1"/>
    <w:qFormat/>
    <w:uiPriority w:val="0"/>
    <w:pPr>
      <w:adjustRightInd w:val="0"/>
      <w:snapToGrid w:val="0"/>
      <w:jc w:val="center"/>
    </w:pPr>
    <w:rPr>
      <w:rFonts w:ascii="宋体"/>
      <w:color w:val="000000"/>
      <w:szCs w:val="21"/>
    </w:rPr>
  </w:style>
  <w:style w:type="paragraph" w:customStyle="1" w:styleId="2695">
    <w:name w:val="样式 样式 表标题4.4 + 居中 + 段前: 1 行"/>
    <w:qFormat/>
    <w:uiPriority w:val="0"/>
    <w:pPr>
      <w:tabs>
        <w:tab w:val="left" w:pos="1080"/>
      </w:tabs>
      <w:ind w:left="420" w:hanging="420"/>
    </w:pPr>
    <w:rPr>
      <w:rFonts w:ascii="Times New Roman" w:hAnsi="Times New Roman" w:eastAsia="宋体" w:cs="Times New Roman"/>
      <w:lang w:val="en-US" w:eastAsia="zh-CN" w:bidi="ar-SA"/>
    </w:rPr>
  </w:style>
  <w:style w:type="paragraph" w:customStyle="1" w:styleId="2696">
    <w:name w:val="样式 标题 2 + 段后: 0.5 行4"/>
    <w:basedOn w:val="4"/>
    <w:qFormat/>
    <w:uiPriority w:val="0"/>
    <w:pPr>
      <w:widowControl/>
      <w:autoSpaceDN w:val="0"/>
      <w:spacing w:beforeLines="0"/>
    </w:pPr>
    <w:rPr>
      <w:rFonts w:ascii="黑体" w:hAnsi="Arial" w:cs="宋体"/>
      <w:b w:val="0"/>
      <w:sz w:val="30"/>
      <w:szCs w:val="30"/>
    </w:rPr>
  </w:style>
  <w:style w:type="paragraph" w:customStyle="1" w:styleId="2697">
    <w:name w:val="插图"/>
    <w:basedOn w:val="1"/>
    <w:next w:val="1"/>
    <w:qFormat/>
    <w:uiPriority w:val="0"/>
    <w:pPr>
      <w:keepLines/>
      <w:adjustRightInd w:val="0"/>
      <w:spacing w:before="360" w:after="300" w:line="567" w:lineRule="atLeast"/>
      <w:jc w:val="center"/>
      <w:textAlignment w:val="baseline"/>
    </w:pPr>
    <w:rPr>
      <w:spacing w:val="6"/>
      <w:sz w:val="24"/>
    </w:rPr>
  </w:style>
  <w:style w:type="paragraph" w:customStyle="1" w:styleId="2698">
    <w:name w:val="样式 标题 41.1.1.1标题 4.1.1.1.1标题 4 Char款1.1.1.1 Char标4段1.1.1...2"/>
    <w:basedOn w:val="6"/>
    <w:qFormat/>
    <w:uiPriority w:val="0"/>
    <w:pPr>
      <w:keepNext w:val="0"/>
      <w:keepLines w:val="0"/>
      <w:tabs>
        <w:tab w:val="left" w:pos="4582"/>
      </w:tabs>
      <w:spacing w:before="100" w:after="100" w:line="302" w:lineRule="auto"/>
      <w:ind w:left="3130" w:hanging="708"/>
    </w:pPr>
    <w:rPr>
      <w:color w:val="000000"/>
      <w:sz w:val="24"/>
      <w:szCs w:val="24"/>
    </w:rPr>
  </w:style>
  <w:style w:type="paragraph" w:customStyle="1" w:styleId="2699">
    <w:name w:val="CM8"/>
    <w:basedOn w:val="641"/>
    <w:next w:val="641"/>
    <w:qFormat/>
    <w:uiPriority w:val="0"/>
    <w:pPr>
      <w:spacing w:line="460" w:lineRule="atLeast"/>
    </w:pPr>
    <w:rPr>
      <w:rFonts w:ascii="黑体" w:eastAsia="黑体" w:cs="Times New Roman"/>
      <w:color w:val="auto"/>
      <w:sz w:val="20"/>
    </w:rPr>
  </w:style>
  <w:style w:type="paragraph" w:customStyle="1" w:styleId="2700">
    <w:name w:val="Char Char Char12"/>
    <w:basedOn w:val="1"/>
    <w:qFormat/>
    <w:uiPriority w:val="0"/>
    <w:pPr>
      <w:keepNext/>
      <w:widowControl/>
      <w:tabs>
        <w:tab w:val="left" w:pos="425"/>
      </w:tabs>
      <w:autoSpaceDE w:val="0"/>
      <w:autoSpaceDN w:val="0"/>
      <w:adjustRightInd w:val="0"/>
      <w:spacing w:before="80" w:after="80"/>
      <w:ind w:hanging="425"/>
    </w:pPr>
    <w:rPr>
      <w:rFonts w:ascii="Arial" w:hAnsi="Arial" w:cs="Arial"/>
    </w:rPr>
  </w:style>
  <w:style w:type="paragraph" w:customStyle="1" w:styleId="2701">
    <w:name w:val="燕山正文33"/>
    <w:basedOn w:val="1"/>
    <w:qFormat/>
    <w:uiPriority w:val="0"/>
    <w:pPr>
      <w:tabs>
        <w:tab w:val="left" w:pos="4680"/>
      </w:tabs>
      <w:adjustRightInd w:val="0"/>
      <w:snapToGrid w:val="0"/>
      <w:spacing w:line="360" w:lineRule="auto"/>
      <w:ind w:firstLine="560" w:firstLineChars="200"/>
    </w:pPr>
    <w:rPr>
      <w:rFonts w:ascii="宋体" w:hAnsi="宋体"/>
      <w:color w:val="000000"/>
      <w:sz w:val="28"/>
      <w:szCs w:val="28"/>
    </w:rPr>
  </w:style>
  <w:style w:type="paragraph" w:customStyle="1" w:styleId="2702">
    <w:name w:val="xl55"/>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宋体" w:hAnsi="宋体"/>
      <w:sz w:val="48"/>
      <w:szCs w:val="48"/>
    </w:rPr>
  </w:style>
  <w:style w:type="paragraph" w:customStyle="1" w:styleId="2703">
    <w:name w:val="Body Text Indent 21"/>
    <w:basedOn w:val="1"/>
    <w:qFormat/>
    <w:uiPriority w:val="0"/>
    <w:pPr>
      <w:adjustRightInd w:val="0"/>
      <w:spacing w:line="360" w:lineRule="auto"/>
      <w:ind w:firstLine="480"/>
      <w:textAlignment w:val="baseline"/>
    </w:pPr>
    <w:rPr>
      <w:rFonts w:ascii="宋体"/>
      <w:sz w:val="24"/>
    </w:rPr>
  </w:style>
  <w:style w:type="paragraph" w:customStyle="1" w:styleId="2704">
    <w:name w:val="样式 表标题4.4 + 居中"/>
    <w:basedOn w:val="1"/>
    <w:qFormat/>
    <w:uiPriority w:val="0"/>
    <w:pPr>
      <w:spacing w:beforeLines="100" w:line="0" w:lineRule="atLeast"/>
      <w:jc w:val="center"/>
    </w:pPr>
    <w:rPr>
      <w:rFonts w:eastAsia="黑体" w:cs="宋体"/>
      <w:b/>
      <w:bCs/>
      <w:color w:val="000000"/>
      <w:sz w:val="24"/>
    </w:rPr>
  </w:style>
  <w:style w:type="paragraph" w:customStyle="1" w:styleId="2705">
    <w:name w:val="图题26"/>
    <w:basedOn w:val="5"/>
    <w:qFormat/>
    <w:uiPriority w:val="0"/>
    <w:pPr>
      <w:keepNext w:val="0"/>
      <w:keepLines w:val="0"/>
      <w:tabs>
        <w:tab w:val="clear" w:pos="720"/>
      </w:tabs>
      <w:snapToGrid w:val="0"/>
      <w:spacing w:before="120"/>
      <w:ind w:left="0" w:firstLine="0"/>
      <w:jc w:val="center"/>
      <w:textAlignment w:val="auto"/>
    </w:pPr>
    <w:rPr>
      <w:rFonts w:ascii="黑体" w:hAnsi="宋体" w:cs="宋体"/>
      <w:b w:val="0"/>
      <w:bCs/>
      <w:color w:val="auto"/>
      <w:spacing w:val="0"/>
      <w:kern w:val="2"/>
      <w:szCs w:val="28"/>
    </w:rPr>
  </w:style>
  <w:style w:type="paragraph" w:customStyle="1" w:styleId="2706">
    <w:name w:val="等核实41"/>
    <w:basedOn w:val="35"/>
    <w:qFormat/>
    <w:uiPriority w:val="0"/>
    <w:pPr>
      <w:tabs>
        <w:tab w:val="left" w:pos="4305"/>
      </w:tabs>
      <w:adjustRightInd w:val="0"/>
      <w:snapToGrid w:val="0"/>
      <w:spacing w:after="0" w:line="300" w:lineRule="auto"/>
      <w:ind w:left="0" w:leftChars="0" w:firstLine="567"/>
    </w:pPr>
    <w:rPr>
      <w:rFonts w:ascii="宋体" w:hAnsi="宋体"/>
      <w:color w:val="0000FF"/>
      <w:sz w:val="28"/>
      <w:szCs w:val="20"/>
    </w:rPr>
  </w:style>
  <w:style w:type="paragraph" w:customStyle="1" w:styleId="2707">
    <w:name w:val="普通(Web)1"/>
    <w:basedOn w:val="1"/>
    <w:qFormat/>
    <w:uiPriority w:val="0"/>
    <w:pPr>
      <w:widowControl/>
      <w:spacing w:line="432" w:lineRule="auto"/>
      <w:jc w:val="left"/>
    </w:pPr>
    <w:rPr>
      <w:rFonts w:ascii="宋体" w:hAnsi="宋体" w:cs="宋体"/>
      <w:sz w:val="24"/>
    </w:rPr>
  </w:style>
  <w:style w:type="paragraph" w:customStyle="1" w:styleId="2708">
    <w:name w:val="AZ"/>
    <w:basedOn w:val="1"/>
    <w:qFormat/>
    <w:uiPriority w:val="0"/>
    <w:pPr>
      <w:widowControl/>
      <w:tabs>
        <w:tab w:val="left" w:pos="555"/>
        <w:tab w:val="left" w:pos="851"/>
      </w:tabs>
      <w:spacing w:before="60" w:after="120"/>
      <w:ind w:left="555" w:hanging="555"/>
      <w:jc w:val="left"/>
    </w:pPr>
    <w:rPr>
      <w:rFonts w:ascii="Arial" w:hAnsi="Arial"/>
      <w:color w:val="000000"/>
      <w:sz w:val="22"/>
      <w:szCs w:val="22"/>
      <w:lang w:val="de-DE" w:eastAsia="de-DE"/>
    </w:rPr>
  </w:style>
  <w:style w:type="paragraph" w:customStyle="1" w:styleId="2709">
    <w:name w:val="页眉中124"/>
    <w:basedOn w:val="1"/>
    <w:qFormat/>
    <w:uiPriority w:val="0"/>
    <w:pPr>
      <w:adjustRightInd w:val="0"/>
      <w:snapToGrid w:val="0"/>
      <w:spacing w:line="300" w:lineRule="auto"/>
      <w:jc w:val="left"/>
    </w:pPr>
    <w:rPr>
      <w:rFonts w:ascii="黑体" w:eastAsia="黑体"/>
      <w:bCs/>
      <w:sz w:val="24"/>
    </w:rPr>
  </w:style>
  <w:style w:type="paragraph" w:customStyle="1" w:styleId="2710">
    <w:name w:val="标题居中"/>
    <w:qFormat/>
    <w:uiPriority w:val="0"/>
    <w:pPr>
      <w:adjustRightInd w:val="0"/>
      <w:snapToGrid w:val="0"/>
      <w:spacing w:line="480" w:lineRule="atLeast"/>
      <w:jc w:val="center"/>
    </w:pPr>
    <w:rPr>
      <w:rFonts w:ascii="黑体" w:hAnsi="Times New Roman" w:eastAsia="黑体" w:cs="Times New Roman"/>
      <w:snapToGrid w:val="0"/>
      <w:sz w:val="32"/>
      <w:lang w:val="en-US" w:eastAsia="zh-CN" w:bidi="ar-SA"/>
    </w:rPr>
  </w:style>
  <w:style w:type="paragraph" w:customStyle="1" w:styleId="2711">
    <w:name w:val="xl148"/>
    <w:basedOn w:val="1"/>
    <w:qFormat/>
    <w:uiPriority w:val="0"/>
    <w:pPr>
      <w:widowControl/>
      <w:pBdr>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sz w:val="18"/>
      <w:szCs w:val="18"/>
    </w:rPr>
  </w:style>
  <w:style w:type="paragraph" w:customStyle="1" w:styleId="2712">
    <w:name w:val="表内小445"/>
    <w:basedOn w:val="1427"/>
    <w:qFormat/>
    <w:uiPriority w:val="0"/>
    <w:pPr>
      <w:ind w:left="240" w:hanging="240"/>
      <w:jc w:val="both"/>
    </w:pPr>
    <w:rPr>
      <w:rFonts w:cs="Times New Roman"/>
    </w:rPr>
  </w:style>
  <w:style w:type="paragraph" w:customStyle="1" w:styleId="2713">
    <w:name w:val="Char Char Char Char Char Char1 Char Char Char1 Char"/>
    <w:basedOn w:val="1"/>
    <w:qFormat/>
    <w:uiPriority w:val="0"/>
    <w:pPr>
      <w:adjustRightInd w:val="0"/>
      <w:snapToGrid w:val="0"/>
      <w:spacing w:line="360" w:lineRule="auto"/>
      <w:ind w:firstLine="200" w:firstLineChars="200"/>
      <w:jc w:val="left"/>
    </w:pPr>
    <w:rPr>
      <w:rFonts w:ascii="仿宋_GB2312" w:hAnsi="仿宋_GB2312" w:eastAsia="仿宋_GB2312" w:cs="宋体"/>
      <w:sz w:val="24"/>
    </w:rPr>
  </w:style>
  <w:style w:type="paragraph" w:customStyle="1" w:styleId="2714">
    <w:name w:val="图题74"/>
    <w:basedOn w:val="1"/>
    <w:qFormat/>
    <w:uiPriority w:val="0"/>
    <w:pPr>
      <w:adjustRightInd w:val="0"/>
      <w:snapToGrid w:val="0"/>
      <w:ind w:firstLine="533" w:firstLineChars="222"/>
      <w:jc w:val="center"/>
    </w:pPr>
    <w:rPr>
      <w:rFonts w:ascii="黑体" w:hAnsi="宋体" w:eastAsia="黑体"/>
      <w:snapToGrid w:val="0"/>
      <w:sz w:val="24"/>
    </w:rPr>
  </w:style>
  <w:style w:type="paragraph" w:customStyle="1" w:styleId="2715">
    <w:name w:val="燕山正文6"/>
    <w:basedOn w:val="1"/>
    <w:qFormat/>
    <w:uiPriority w:val="0"/>
    <w:pPr>
      <w:tabs>
        <w:tab w:val="left" w:pos="4680"/>
      </w:tabs>
      <w:adjustRightInd w:val="0"/>
      <w:snapToGrid w:val="0"/>
      <w:spacing w:line="360" w:lineRule="auto"/>
      <w:ind w:firstLine="200" w:firstLineChars="200"/>
      <w:jc w:val="left"/>
    </w:pPr>
    <w:rPr>
      <w:rFonts w:ascii="宋体" w:hAnsi="宋体" w:cs="宋体"/>
      <w:color w:val="000000"/>
      <w:sz w:val="28"/>
      <w:szCs w:val="28"/>
    </w:rPr>
  </w:style>
  <w:style w:type="paragraph" w:customStyle="1" w:styleId="2716">
    <w:name w:val="需要资料4"/>
    <w:basedOn w:val="1"/>
    <w:qFormat/>
    <w:uiPriority w:val="0"/>
    <w:pPr>
      <w:adjustRightInd w:val="0"/>
      <w:snapToGrid w:val="0"/>
      <w:spacing w:line="360" w:lineRule="auto"/>
      <w:ind w:firstLine="480" w:firstLineChars="200"/>
    </w:pPr>
    <w:rPr>
      <w:rFonts w:ascii="黑体" w:eastAsia="黑体"/>
      <w:color w:val="0000FF"/>
      <w:sz w:val="24"/>
    </w:rPr>
  </w:style>
  <w:style w:type="paragraph" w:customStyle="1" w:styleId="2717">
    <w:name w:val="表内543"/>
    <w:basedOn w:val="1"/>
    <w:qFormat/>
    <w:uiPriority w:val="0"/>
    <w:pPr>
      <w:adjustRightInd w:val="0"/>
      <w:snapToGrid w:val="0"/>
      <w:spacing w:line="300" w:lineRule="auto"/>
      <w:jc w:val="center"/>
    </w:pPr>
    <w:rPr>
      <w:rFonts w:ascii="宋体" w:hAnsi="宋体" w:cs="宋体"/>
    </w:rPr>
  </w:style>
  <w:style w:type="paragraph" w:customStyle="1" w:styleId="2718">
    <w:name w:val="16.4.2.1"/>
    <w:basedOn w:val="801"/>
    <w:qFormat/>
    <w:uiPriority w:val="0"/>
    <w:pPr>
      <w:tabs>
        <w:tab w:val="left" w:pos="1680"/>
      </w:tabs>
      <w:ind w:left="1680" w:hanging="420"/>
    </w:pPr>
  </w:style>
  <w:style w:type="paragraph" w:customStyle="1" w:styleId="2719">
    <w:name w:val="根据地"/>
    <w:basedOn w:val="1"/>
    <w:qFormat/>
    <w:uiPriority w:val="0"/>
    <w:pPr>
      <w:ind w:left="-140" w:leftChars="-50" w:right="-280" w:rightChars="-100"/>
    </w:pPr>
    <w:rPr>
      <w:rFonts w:eastAsia="楷体_GB2312"/>
      <w:sz w:val="24"/>
    </w:rPr>
  </w:style>
  <w:style w:type="paragraph" w:customStyle="1" w:styleId="2720">
    <w:name w:val="规划正文样式"/>
    <w:basedOn w:val="1"/>
    <w:qFormat/>
    <w:uiPriority w:val="0"/>
    <w:pPr>
      <w:spacing w:line="400" w:lineRule="exact"/>
      <w:ind w:firstLine="480" w:firstLineChars="200"/>
    </w:pPr>
    <w:rPr>
      <w:sz w:val="24"/>
    </w:rPr>
  </w:style>
  <w:style w:type="paragraph" w:customStyle="1" w:styleId="2721">
    <w:name w:val="表题113"/>
    <w:basedOn w:val="1"/>
    <w:qFormat/>
    <w:uiPriority w:val="0"/>
    <w:pPr>
      <w:adjustRightInd w:val="0"/>
      <w:snapToGrid w:val="0"/>
      <w:jc w:val="center"/>
      <w:textAlignment w:val="baseline"/>
    </w:pPr>
    <w:rPr>
      <w:rFonts w:ascii="黑体" w:hAnsi="宋体" w:eastAsia="黑体"/>
      <w:sz w:val="24"/>
    </w:rPr>
  </w:style>
  <w:style w:type="paragraph" w:customStyle="1" w:styleId="2722">
    <w:name w:val="样式 样式 表格标题 + 段前: 0.5 行2 + 段前: 0.5 行"/>
    <w:basedOn w:val="2571"/>
    <w:qFormat/>
    <w:uiPriority w:val="0"/>
    <w:rPr>
      <w:rFonts w:ascii="黑体" w:hAnsi="黑体"/>
      <w:b/>
    </w:rPr>
  </w:style>
  <w:style w:type="paragraph" w:customStyle="1" w:styleId="2723">
    <w:name w:val="热电厂正文"/>
    <w:basedOn w:val="1"/>
    <w:qFormat/>
    <w:uiPriority w:val="0"/>
    <w:pPr>
      <w:spacing w:line="440" w:lineRule="exact"/>
      <w:ind w:firstLine="480" w:firstLineChars="200"/>
    </w:pPr>
    <w:rPr>
      <w:sz w:val="24"/>
    </w:rPr>
  </w:style>
  <w:style w:type="paragraph" w:customStyle="1" w:styleId="2724">
    <w:name w:val="图表目录2"/>
    <w:basedOn w:val="911"/>
    <w:next w:val="911"/>
    <w:qFormat/>
    <w:uiPriority w:val="0"/>
    <w:pPr>
      <w:tabs>
        <w:tab w:val="right" w:leader="dot" w:pos="8051"/>
      </w:tabs>
      <w:spacing w:line="360" w:lineRule="atLeast"/>
      <w:ind w:left="840" w:hanging="840"/>
      <w:jc w:val="left"/>
    </w:pPr>
    <w:rPr>
      <w:rFonts w:eastAsia="Times New Roman"/>
      <w:szCs w:val="22"/>
    </w:rPr>
  </w:style>
  <w:style w:type="paragraph" w:customStyle="1" w:styleId="2725">
    <w:name w:val="表内565"/>
    <w:basedOn w:val="1"/>
    <w:qFormat/>
    <w:uiPriority w:val="0"/>
    <w:pPr>
      <w:adjustRightInd w:val="0"/>
      <w:snapToGrid w:val="0"/>
      <w:spacing w:line="300" w:lineRule="auto"/>
      <w:jc w:val="left"/>
    </w:pPr>
    <w:rPr>
      <w:rFonts w:ascii="宋体"/>
    </w:rPr>
  </w:style>
  <w:style w:type="paragraph" w:customStyle="1" w:styleId="2726">
    <w:name w:val="索引 512"/>
    <w:basedOn w:val="1"/>
    <w:next w:val="1"/>
    <w:qFormat/>
    <w:uiPriority w:val="0"/>
    <w:pPr>
      <w:ind w:left="800" w:leftChars="800"/>
    </w:pPr>
    <w:rPr>
      <w:sz w:val="24"/>
    </w:rPr>
  </w:style>
  <w:style w:type="paragraph" w:customStyle="1" w:styleId="2727">
    <w:name w:val="页眉中20"/>
    <w:basedOn w:val="1"/>
    <w:qFormat/>
    <w:uiPriority w:val="0"/>
    <w:pPr>
      <w:adjustRightInd w:val="0"/>
      <w:snapToGrid w:val="0"/>
      <w:spacing w:line="300" w:lineRule="auto"/>
      <w:jc w:val="center"/>
    </w:pPr>
    <w:rPr>
      <w:rFonts w:ascii="黑体" w:eastAsia="黑体"/>
      <w:bCs/>
      <w:sz w:val="24"/>
    </w:rPr>
  </w:style>
  <w:style w:type="paragraph" w:customStyle="1" w:styleId="2728">
    <w:name w:val="Char Char Char Char Char Char Char Char Char"/>
    <w:basedOn w:val="1"/>
    <w:qFormat/>
    <w:uiPriority w:val="0"/>
    <w:pPr>
      <w:spacing w:line="360" w:lineRule="auto"/>
      <w:ind w:firstLine="200" w:firstLineChars="200"/>
    </w:pPr>
    <w:rPr>
      <w:rFonts w:ascii="宋体" w:hAnsi="宋体" w:cs="宋体"/>
      <w:sz w:val="24"/>
    </w:rPr>
  </w:style>
  <w:style w:type="paragraph" w:customStyle="1" w:styleId="2729">
    <w:name w:val="样式 首行缩进:  1.84 字符"/>
    <w:basedOn w:val="1"/>
    <w:qFormat/>
    <w:uiPriority w:val="0"/>
    <w:pPr>
      <w:spacing w:line="500" w:lineRule="exact"/>
      <w:ind w:firstLine="200" w:firstLineChars="200"/>
    </w:pPr>
    <w:rPr>
      <w:rFonts w:cs="宋体"/>
      <w:sz w:val="24"/>
    </w:rPr>
  </w:style>
  <w:style w:type="paragraph" w:customStyle="1" w:styleId="2730">
    <w:name w:val="表内宋513"/>
    <w:basedOn w:val="82"/>
    <w:qFormat/>
    <w:uiPriority w:val="0"/>
    <w:pPr>
      <w:widowControl/>
      <w:adjustRightInd w:val="0"/>
      <w:snapToGrid w:val="0"/>
    </w:pPr>
    <w:rPr>
      <w:rFonts w:ascii="宋体" w:hAnsi="宋体" w:cs="宋体"/>
      <w:color w:val="000000"/>
      <w:sz w:val="21"/>
    </w:rPr>
  </w:style>
  <w:style w:type="paragraph" w:customStyle="1" w:styleId="2731">
    <w:name w:val="样式 样式 样式 样式 样式 标题 1章标题 1b1 + 非加粗 黑色 居中 段前: 15.6 磅 段后: 15.6 磅 + 段..."/>
    <w:basedOn w:val="1"/>
    <w:qFormat/>
    <w:uiPriority w:val="0"/>
  </w:style>
  <w:style w:type="paragraph" w:customStyle="1" w:styleId="2732">
    <w:name w:val="福建正文缩进7"/>
    <w:basedOn w:val="21"/>
    <w:qFormat/>
    <w:uiPriority w:val="0"/>
    <w:pPr>
      <w:adjustRightInd w:val="0"/>
      <w:snapToGrid w:val="0"/>
      <w:spacing w:line="360" w:lineRule="auto"/>
      <w:ind w:firstLine="539" w:firstLineChars="0"/>
    </w:pPr>
    <w:rPr>
      <w:rFonts w:ascii="宋体"/>
      <w:szCs w:val="24"/>
    </w:rPr>
  </w:style>
  <w:style w:type="paragraph" w:customStyle="1" w:styleId="2733">
    <w:name w:val="福建正文缩进15"/>
    <w:basedOn w:val="21"/>
    <w:qFormat/>
    <w:uiPriority w:val="0"/>
    <w:pPr>
      <w:autoSpaceDE w:val="0"/>
      <w:autoSpaceDN w:val="0"/>
      <w:adjustRightInd w:val="0"/>
      <w:snapToGrid w:val="0"/>
      <w:spacing w:line="360" w:lineRule="auto"/>
      <w:ind w:firstLine="539" w:firstLineChars="0"/>
    </w:pPr>
    <w:rPr>
      <w:rFonts w:ascii="宋体" w:hAnsi="宋体"/>
      <w:szCs w:val="24"/>
    </w:rPr>
  </w:style>
  <w:style w:type="paragraph" w:customStyle="1" w:styleId="2734">
    <w:name w:val="CM82"/>
    <w:basedOn w:val="641"/>
    <w:next w:val="641"/>
    <w:qFormat/>
    <w:uiPriority w:val="0"/>
    <w:pPr>
      <w:spacing w:after="98"/>
    </w:pPr>
    <w:rPr>
      <w:color w:val="auto"/>
    </w:rPr>
  </w:style>
  <w:style w:type="paragraph" w:customStyle="1" w:styleId="2735">
    <w:name w:val="黑宋体"/>
    <w:basedOn w:val="6"/>
    <w:qFormat/>
    <w:uiPriority w:val="0"/>
    <w:pPr>
      <w:spacing w:before="0" w:afterLines="50" w:line="300" w:lineRule="auto"/>
      <w:ind w:firstLine="482" w:firstLineChars="200"/>
      <w:jc w:val="left"/>
      <w:textAlignment w:val="baseline"/>
      <w:outlineLvl w:val="9"/>
    </w:pPr>
    <w:rPr>
      <w:rFonts w:ascii="楷体_GB2312" w:hAnsi="Times New Roman" w:eastAsia="楷体_GB2312"/>
      <w:bCs w:val="0"/>
      <w:color w:val="000000"/>
      <w:sz w:val="24"/>
      <w:szCs w:val="24"/>
    </w:rPr>
  </w:style>
  <w:style w:type="paragraph" w:customStyle="1" w:styleId="2736">
    <w:name w:val="自定义正文"/>
    <w:qFormat/>
    <w:uiPriority w:val="0"/>
    <w:pPr>
      <w:widowControl w:val="0"/>
      <w:adjustRightInd w:val="0"/>
      <w:snapToGrid w:val="0"/>
      <w:spacing w:line="360" w:lineRule="auto"/>
      <w:ind w:firstLine="510"/>
      <w:jc w:val="both"/>
    </w:pPr>
    <w:rPr>
      <w:rFonts w:ascii="Times New Roman" w:hAnsi="Times New Roman" w:eastAsia="宋体" w:cs="Times New Roman"/>
      <w:spacing w:val="-2"/>
      <w:kern w:val="2"/>
      <w:sz w:val="28"/>
      <w:szCs w:val="24"/>
      <w:lang w:val="en-US" w:eastAsia="zh-CN" w:bidi="ar-SA"/>
    </w:rPr>
  </w:style>
  <w:style w:type="paragraph" w:customStyle="1" w:styleId="2737">
    <w:name w:val="图题19"/>
    <w:basedOn w:val="1"/>
    <w:qFormat/>
    <w:uiPriority w:val="0"/>
    <w:pPr>
      <w:jc w:val="center"/>
    </w:pPr>
    <w:rPr>
      <w:rFonts w:ascii="方正大标宋简体" w:eastAsia="方正大标宋简体"/>
      <w:sz w:val="24"/>
    </w:rPr>
  </w:style>
  <w:style w:type="paragraph" w:customStyle="1" w:styleId="2738">
    <w:name w:val="标题455"/>
    <w:basedOn w:val="1"/>
    <w:qFormat/>
    <w:uiPriority w:val="0"/>
    <w:pPr>
      <w:adjustRightInd w:val="0"/>
      <w:snapToGrid w:val="0"/>
      <w:spacing w:line="360" w:lineRule="auto"/>
      <w:jc w:val="left"/>
    </w:pPr>
    <w:rPr>
      <w:rFonts w:ascii="黑体" w:eastAsia="黑体"/>
      <w:bCs/>
      <w:sz w:val="24"/>
    </w:rPr>
  </w:style>
  <w:style w:type="paragraph" w:customStyle="1" w:styleId="2739">
    <w:name w:val="Char Char Char Char Char Char Char Char Char1 Char Char Char Char11"/>
    <w:basedOn w:val="1"/>
    <w:qFormat/>
    <w:uiPriority w:val="0"/>
  </w:style>
  <w:style w:type="paragraph" w:customStyle="1" w:styleId="2740">
    <w:name w:val="答文"/>
    <w:basedOn w:val="47"/>
    <w:qFormat/>
    <w:uiPriority w:val="0"/>
    <w:pPr>
      <w:spacing w:line="360" w:lineRule="auto"/>
      <w:ind w:firstLine="567"/>
    </w:pPr>
    <w:rPr>
      <w:rFonts w:eastAsia="幼圆"/>
      <w:b/>
      <w:spacing w:val="8"/>
      <w:sz w:val="24"/>
    </w:rPr>
  </w:style>
  <w:style w:type="paragraph" w:customStyle="1" w:styleId="2741">
    <w:name w:val="表内5中8"/>
    <w:basedOn w:val="1"/>
    <w:qFormat/>
    <w:uiPriority w:val="0"/>
    <w:pPr>
      <w:adjustRightInd w:val="0"/>
      <w:snapToGrid w:val="0"/>
      <w:jc w:val="center"/>
    </w:pPr>
    <w:rPr>
      <w:rFonts w:ascii="宋体"/>
      <w:color w:val="000000"/>
      <w:szCs w:val="21"/>
    </w:rPr>
  </w:style>
  <w:style w:type="paragraph" w:customStyle="1" w:styleId="2742">
    <w:name w:val="xl79"/>
    <w:basedOn w:val="1"/>
    <w:qFormat/>
    <w:uiPriority w:val="0"/>
    <w:pPr>
      <w:widowControl/>
      <w:pBdr>
        <w:top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sz w:val="16"/>
      <w:szCs w:val="16"/>
    </w:rPr>
  </w:style>
  <w:style w:type="paragraph" w:customStyle="1" w:styleId="2743">
    <w:name w:val="xl78"/>
    <w:basedOn w:val="1"/>
    <w:qFormat/>
    <w:uiPriority w:val="0"/>
    <w:pPr>
      <w:widowControl/>
      <w:pBdr>
        <w:top w:val="single" w:color="auto" w:sz="8" w:space="0"/>
        <w:bottom w:val="single" w:color="auto" w:sz="8" w:space="0"/>
        <w:right w:val="single" w:color="auto" w:sz="8" w:space="0"/>
      </w:pBdr>
      <w:spacing w:before="100" w:beforeAutospacing="1" w:after="100" w:afterAutospacing="1"/>
      <w:jc w:val="center"/>
    </w:pPr>
    <w:rPr>
      <w:color w:val="000000"/>
      <w:sz w:val="18"/>
      <w:szCs w:val="18"/>
    </w:rPr>
  </w:style>
  <w:style w:type="paragraph" w:customStyle="1" w:styleId="2744">
    <w:name w:val="待定小5"/>
    <w:basedOn w:val="1663"/>
    <w:qFormat/>
    <w:uiPriority w:val="0"/>
    <w:rPr>
      <w:color w:val="000000"/>
    </w:rPr>
  </w:style>
  <w:style w:type="paragraph" w:customStyle="1" w:styleId="2745">
    <w:name w:val="Char2 Char Char Char2"/>
    <w:basedOn w:val="1"/>
    <w:qFormat/>
    <w:uiPriority w:val="0"/>
    <w:pPr>
      <w:spacing w:line="360" w:lineRule="auto"/>
      <w:ind w:firstLine="200" w:firstLineChars="200"/>
    </w:pPr>
    <w:rPr>
      <w:rFonts w:ascii="宋体" w:hAnsi="宋体" w:cs="宋体"/>
      <w:sz w:val="24"/>
    </w:rPr>
  </w:style>
  <w:style w:type="paragraph" w:customStyle="1" w:styleId="2746">
    <w:name w:val="Char Char Char Char2"/>
    <w:basedOn w:val="1"/>
    <w:qFormat/>
    <w:uiPriority w:val="0"/>
  </w:style>
  <w:style w:type="paragraph" w:customStyle="1" w:styleId="2747">
    <w:name w:val="xl54"/>
    <w:basedOn w:val="1"/>
    <w:qFormat/>
    <w:uiPriority w:val="0"/>
    <w:pPr>
      <w:widowControl/>
      <w:pBdr>
        <w:top w:val="single" w:color="auto" w:sz="4" w:space="0"/>
        <w:bottom w:val="single" w:color="auto" w:sz="8" w:space="0"/>
        <w:right w:val="single" w:color="auto" w:sz="4" w:space="0"/>
      </w:pBdr>
      <w:spacing w:before="100" w:beforeAutospacing="1" w:after="100" w:afterAutospacing="1"/>
      <w:jc w:val="center"/>
    </w:pPr>
    <w:rPr>
      <w:rFonts w:ascii="宋体" w:hAnsi="宋体"/>
      <w:sz w:val="48"/>
      <w:szCs w:val="48"/>
    </w:rPr>
  </w:style>
  <w:style w:type="paragraph" w:customStyle="1" w:styleId="2748">
    <w:name w:val="标题 413"/>
    <w:basedOn w:val="1"/>
    <w:next w:val="1"/>
    <w:qFormat/>
    <w:uiPriority w:val="0"/>
    <w:pPr>
      <w:adjustRightInd w:val="0"/>
      <w:spacing w:line="440" w:lineRule="atLeast"/>
      <w:ind w:left="198" w:firstLine="567"/>
      <w:textAlignment w:val="baseline"/>
    </w:pPr>
    <w:rPr>
      <w:rFonts w:hint="eastAsia" w:hAnsi="宋体"/>
      <w:kern w:val="28"/>
      <w:sz w:val="24"/>
    </w:rPr>
  </w:style>
  <w:style w:type="paragraph" w:customStyle="1" w:styleId="2749">
    <w:name w:val="页眉中34"/>
    <w:basedOn w:val="47"/>
    <w:qFormat/>
    <w:uiPriority w:val="0"/>
    <w:pPr>
      <w:adjustRightInd w:val="0"/>
      <w:spacing w:line="300" w:lineRule="auto"/>
      <w:jc w:val="left"/>
    </w:pPr>
    <w:rPr>
      <w:rFonts w:ascii="黑体" w:hAnsi="宋体" w:eastAsia="黑体"/>
      <w:sz w:val="24"/>
    </w:rPr>
  </w:style>
  <w:style w:type="paragraph" w:customStyle="1" w:styleId="2750">
    <w:name w:val="表内小443"/>
    <w:basedOn w:val="1427"/>
    <w:qFormat/>
    <w:uiPriority w:val="0"/>
    <w:pPr>
      <w:ind w:left="240" w:hanging="240"/>
      <w:jc w:val="both"/>
    </w:pPr>
    <w:rPr>
      <w:rFonts w:cs="Times New Roman"/>
    </w:rPr>
  </w:style>
  <w:style w:type="paragraph" w:customStyle="1" w:styleId="2751">
    <w:name w:val="表内文字24"/>
    <w:basedOn w:val="1"/>
    <w:qFormat/>
    <w:uiPriority w:val="0"/>
    <w:pPr>
      <w:widowControl/>
      <w:adjustRightInd w:val="0"/>
      <w:snapToGrid w:val="0"/>
      <w:jc w:val="center"/>
    </w:pPr>
    <w:rPr>
      <w:szCs w:val="21"/>
    </w:rPr>
  </w:style>
  <w:style w:type="paragraph" w:customStyle="1" w:styleId="2752">
    <w:name w:val="Char Char Char Char Char Char13"/>
    <w:basedOn w:val="1"/>
    <w:next w:val="1"/>
    <w:qFormat/>
    <w:uiPriority w:val="0"/>
    <w:pPr>
      <w:spacing w:line="336" w:lineRule="auto"/>
      <w:ind w:firstLine="200" w:firstLineChars="200"/>
    </w:pPr>
    <w:rPr>
      <w:rFonts w:ascii="宋体" w:hAnsi="宋体" w:eastAsia="汉鼎简书宋" w:cs="宋体"/>
      <w:spacing w:val="4"/>
      <w:sz w:val="24"/>
    </w:rPr>
  </w:style>
  <w:style w:type="paragraph" w:customStyle="1" w:styleId="2753">
    <w:name w:val="Char16"/>
    <w:basedOn w:val="1"/>
    <w:qFormat/>
    <w:uiPriority w:val="0"/>
  </w:style>
  <w:style w:type="paragraph" w:customStyle="1" w:styleId="2754">
    <w:name w:val="正文（缩进）"/>
    <w:basedOn w:val="1"/>
    <w:qFormat/>
    <w:uiPriority w:val="0"/>
    <w:pPr>
      <w:adjustRightInd w:val="0"/>
      <w:snapToGrid w:val="0"/>
      <w:spacing w:line="360" w:lineRule="auto"/>
      <w:ind w:firstLine="200" w:firstLineChars="200"/>
    </w:pPr>
    <w:rPr>
      <w:snapToGrid w:val="0"/>
      <w:sz w:val="24"/>
    </w:rPr>
  </w:style>
  <w:style w:type="paragraph" w:customStyle="1" w:styleId="2755">
    <w:name w:val="正文首行缩进1"/>
    <w:basedOn w:val="34"/>
    <w:qFormat/>
    <w:uiPriority w:val="0"/>
    <w:pPr>
      <w:spacing w:line="440" w:lineRule="exact"/>
      <w:ind w:firstLine="420" w:firstLineChars="100"/>
    </w:pPr>
    <w:rPr>
      <w:spacing w:val="0"/>
      <w:kern w:val="2"/>
      <w:sz w:val="24"/>
      <w:szCs w:val="24"/>
    </w:rPr>
  </w:style>
  <w:style w:type="paragraph" w:customStyle="1" w:styleId="2756">
    <w:name w:val="图题44"/>
    <w:basedOn w:val="21"/>
    <w:qFormat/>
    <w:uiPriority w:val="0"/>
    <w:pPr>
      <w:tabs>
        <w:tab w:val="left" w:pos="5837"/>
      </w:tabs>
      <w:adjustRightInd w:val="0"/>
      <w:snapToGrid w:val="0"/>
      <w:ind w:firstLine="0" w:firstLineChars="0"/>
      <w:jc w:val="center"/>
    </w:pPr>
    <w:rPr>
      <w:rFonts w:ascii="方正大标宋简体" w:hAnsi="宋体" w:eastAsia="方正大标宋简体" w:cs="宋体"/>
      <w:szCs w:val="24"/>
    </w:rPr>
  </w:style>
  <w:style w:type="paragraph" w:customStyle="1" w:styleId="2757">
    <w:name w:val="表名1"/>
    <w:basedOn w:val="662"/>
    <w:qFormat/>
    <w:uiPriority w:val="0"/>
    <w:pPr>
      <w:overflowPunct w:val="0"/>
      <w:adjustRightInd w:val="0"/>
      <w:snapToGrid w:val="0"/>
      <w:spacing w:before="0"/>
      <w:textAlignment w:val="baseline"/>
    </w:pPr>
    <w:rPr>
      <w:rFonts w:eastAsia="黑体"/>
      <w:b w:val="0"/>
      <w:kern w:val="24"/>
      <w:szCs w:val="21"/>
    </w:rPr>
  </w:style>
  <w:style w:type="paragraph" w:customStyle="1" w:styleId="2758">
    <w:name w:val="表内小4"/>
    <w:basedOn w:val="1427"/>
    <w:qFormat/>
    <w:uiPriority w:val="0"/>
    <w:pPr>
      <w:ind w:left="240" w:hanging="240"/>
      <w:jc w:val="both"/>
    </w:pPr>
  </w:style>
  <w:style w:type="paragraph" w:customStyle="1" w:styleId="2759">
    <w:name w:val="样式 正文首行缩进 + 四号 首行缩进:  1 字符 段后: 2.5 磅 行距: 1.5 倍行距"/>
    <w:basedOn w:val="87"/>
    <w:qFormat/>
    <w:uiPriority w:val="0"/>
    <w:pPr>
      <w:spacing w:line="360" w:lineRule="auto"/>
      <w:ind w:firstLine="100"/>
    </w:pPr>
    <w:rPr>
      <w:rFonts w:cs="宋体"/>
      <w:sz w:val="28"/>
      <w:szCs w:val="20"/>
    </w:rPr>
  </w:style>
  <w:style w:type="paragraph" w:customStyle="1" w:styleId="2760">
    <w:name w:val="小五表格"/>
    <w:basedOn w:val="1"/>
    <w:qFormat/>
    <w:uiPriority w:val="0"/>
    <w:pPr>
      <w:jc w:val="left"/>
    </w:pPr>
    <w:rPr>
      <w:sz w:val="18"/>
    </w:rPr>
  </w:style>
  <w:style w:type="paragraph" w:customStyle="1" w:styleId="2761">
    <w:name w:val="Char Char1 Char Char Char Char Char Char Char Char Char1 Char5"/>
    <w:basedOn w:val="1"/>
    <w:qFormat/>
    <w:uiPriority w:val="0"/>
  </w:style>
  <w:style w:type="paragraph" w:customStyle="1" w:styleId="2762">
    <w:name w:val="font15"/>
    <w:basedOn w:val="1"/>
    <w:qFormat/>
    <w:uiPriority w:val="0"/>
    <w:pPr>
      <w:widowControl/>
      <w:spacing w:before="100" w:beforeAutospacing="1" w:after="100" w:afterAutospacing="1"/>
      <w:jc w:val="left"/>
    </w:pPr>
    <w:rPr>
      <w:rFonts w:eastAsia="Arial Unicode MS"/>
      <w:b/>
      <w:bCs/>
      <w:sz w:val="16"/>
      <w:szCs w:val="16"/>
    </w:rPr>
  </w:style>
  <w:style w:type="paragraph" w:customStyle="1" w:styleId="2763">
    <w:name w:val="正文文本缩进 212"/>
    <w:basedOn w:val="1"/>
    <w:qFormat/>
    <w:uiPriority w:val="0"/>
    <w:pPr>
      <w:adjustRightInd w:val="0"/>
      <w:ind w:firstLine="538"/>
      <w:textAlignment w:val="baseline"/>
    </w:pPr>
    <w:rPr>
      <w:sz w:val="28"/>
    </w:rPr>
  </w:style>
  <w:style w:type="paragraph" w:customStyle="1" w:styleId="2764">
    <w:name w:val="页眉中94"/>
    <w:basedOn w:val="1"/>
    <w:qFormat/>
    <w:uiPriority w:val="0"/>
    <w:pPr>
      <w:adjustRightInd w:val="0"/>
      <w:snapToGrid w:val="0"/>
      <w:spacing w:line="300" w:lineRule="auto"/>
      <w:jc w:val="left"/>
    </w:pPr>
    <w:rPr>
      <w:rFonts w:ascii="黑体" w:eastAsia="黑体"/>
      <w:bCs/>
      <w:sz w:val="24"/>
    </w:rPr>
  </w:style>
  <w:style w:type="paragraph" w:customStyle="1" w:styleId="2765">
    <w:name w:val="燕山正文12"/>
    <w:basedOn w:val="1"/>
    <w:qFormat/>
    <w:uiPriority w:val="0"/>
    <w:pPr>
      <w:tabs>
        <w:tab w:val="left" w:pos="4680"/>
      </w:tabs>
      <w:adjustRightInd w:val="0"/>
      <w:snapToGrid w:val="0"/>
      <w:spacing w:line="360" w:lineRule="auto"/>
      <w:ind w:firstLine="480" w:firstLineChars="200"/>
    </w:pPr>
    <w:rPr>
      <w:rFonts w:ascii="宋体" w:hAnsi="宋体" w:cs="宋体"/>
      <w:bCs/>
      <w:color w:val="000000"/>
      <w:sz w:val="24"/>
    </w:rPr>
  </w:style>
  <w:style w:type="paragraph" w:customStyle="1" w:styleId="2766">
    <w:name w:val="索引 211"/>
    <w:basedOn w:val="1"/>
    <w:next w:val="1"/>
    <w:qFormat/>
    <w:uiPriority w:val="0"/>
    <w:pPr>
      <w:ind w:left="200" w:leftChars="200"/>
    </w:pPr>
    <w:rPr>
      <w:sz w:val="24"/>
    </w:rPr>
  </w:style>
  <w:style w:type="paragraph" w:customStyle="1" w:styleId="2767">
    <w:name w:val="福建正文缩进2"/>
    <w:basedOn w:val="1"/>
    <w:qFormat/>
    <w:uiPriority w:val="0"/>
    <w:pPr>
      <w:tabs>
        <w:tab w:val="left" w:pos="4305"/>
      </w:tabs>
      <w:adjustRightInd w:val="0"/>
      <w:snapToGrid w:val="0"/>
      <w:spacing w:line="360" w:lineRule="auto"/>
      <w:ind w:firstLine="567"/>
    </w:pPr>
    <w:rPr>
      <w:rFonts w:ascii="宋体" w:hAnsi="宋体"/>
      <w:color w:val="000000"/>
      <w:sz w:val="24"/>
    </w:rPr>
  </w:style>
  <w:style w:type="paragraph" w:customStyle="1" w:styleId="2768">
    <w:name w:val="表内5102"/>
    <w:basedOn w:val="1572"/>
    <w:qFormat/>
    <w:uiPriority w:val="0"/>
    <w:pPr>
      <w:spacing w:line="300" w:lineRule="auto"/>
      <w:jc w:val="both"/>
    </w:pPr>
    <w:rPr>
      <w:szCs w:val="24"/>
    </w:rPr>
  </w:style>
  <w:style w:type="paragraph" w:customStyle="1" w:styleId="2769">
    <w:name w:val="表内文字小17"/>
    <w:basedOn w:val="1"/>
    <w:qFormat/>
    <w:uiPriority w:val="0"/>
    <w:pPr>
      <w:adjustRightInd w:val="0"/>
      <w:snapToGrid w:val="0"/>
      <w:jc w:val="center"/>
    </w:pPr>
    <w:rPr>
      <w:rFonts w:ascii="宋体" w:hAnsi="Times"/>
    </w:rPr>
  </w:style>
  <w:style w:type="paragraph" w:customStyle="1" w:styleId="2770">
    <w:name w:val="表内544"/>
    <w:basedOn w:val="1"/>
    <w:qFormat/>
    <w:uiPriority w:val="0"/>
    <w:pPr>
      <w:adjustRightInd w:val="0"/>
      <w:snapToGrid w:val="0"/>
      <w:spacing w:line="300" w:lineRule="auto"/>
      <w:jc w:val="center"/>
    </w:pPr>
    <w:rPr>
      <w:rFonts w:ascii="宋体" w:hAnsi="宋体" w:cs="宋体"/>
    </w:rPr>
  </w:style>
  <w:style w:type="paragraph" w:customStyle="1" w:styleId="2771">
    <w:name w:val="仿宋体"/>
    <w:basedOn w:val="1"/>
    <w:qFormat/>
    <w:uiPriority w:val="0"/>
    <w:pPr>
      <w:widowControl/>
      <w:spacing w:line="844" w:lineRule="atLeast"/>
      <w:ind w:firstLine="419"/>
      <w:textAlignment w:val="baseline"/>
    </w:pPr>
    <w:rPr>
      <w:rFonts w:eastAsia="仿宋_GB2312"/>
      <w:color w:val="000000"/>
      <w:sz w:val="31"/>
      <w:u w:color="000000"/>
    </w:rPr>
  </w:style>
  <w:style w:type="paragraph" w:customStyle="1" w:styleId="2772">
    <w:name w:val="hb3"/>
    <w:basedOn w:val="5"/>
    <w:qFormat/>
    <w:uiPriority w:val="0"/>
    <w:pPr>
      <w:tabs>
        <w:tab w:val="clear" w:pos="720"/>
      </w:tabs>
      <w:spacing w:before="260" w:after="260" w:line="240" w:lineRule="auto"/>
      <w:ind w:left="0" w:firstLine="0"/>
    </w:pPr>
    <w:rPr>
      <w:rFonts w:ascii="宋体" w:hAnsi="宋体" w:eastAsia="宋体"/>
      <w:b w:val="0"/>
      <w:color w:val="auto"/>
      <w:spacing w:val="0"/>
      <w:sz w:val="24"/>
      <w:szCs w:val="24"/>
    </w:rPr>
  </w:style>
  <w:style w:type="paragraph" w:customStyle="1" w:styleId="2773">
    <w:name w:val="font17"/>
    <w:basedOn w:val="1"/>
    <w:qFormat/>
    <w:uiPriority w:val="0"/>
    <w:pPr>
      <w:widowControl/>
      <w:spacing w:before="100" w:beforeAutospacing="1" w:after="100" w:afterAutospacing="1"/>
      <w:jc w:val="left"/>
    </w:pPr>
    <w:rPr>
      <w:rFonts w:eastAsia="Arial Unicode MS"/>
      <w:u w:val="single"/>
    </w:rPr>
  </w:style>
  <w:style w:type="paragraph" w:customStyle="1" w:styleId="2774">
    <w:name w:val="Char Char Char Char Char Char Char Char Char Char Char Char Char Char Char Char Char Char Char4"/>
    <w:basedOn w:val="1"/>
    <w:qFormat/>
    <w:uiPriority w:val="0"/>
  </w:style>
  <w:style w:type="paragraph" w:customStyle="1" w:styleId="2775">
    <w:name w:val="图、表头文字"/>
    <w:basedOn w:val="1"/>
    <w:qFormat/>
    <w:uiPriority w:val="0"/>
    <w:pPr>
      <w:autoSpaceDE w:val="0"/>
      <w:autoSpaceDN w:val="0"/>
      <w:adjustRightInd w:val="0"/>
      <w:spacing w:before="80" w:after="80"/>
      <w:jc w:val="center"/>
      <w:textAlignment w:val="baseline"/>
    </w:pPr>
    <w:rPr>
      <w:rFonts w:ascii="黑体" w:eastAsia="黑体"/>
    </w:rPr>
  </w:style>
  <w:style w:type="paragraph" w:customStyle="1" w:styleId="2776">
    <w:name w:val="表标题2.1"/>
    <w:basedOn w:val="2777"/>
    <w:qFormat/>
    <w:uiPriority w:val="0"/>
    <w:pPr>
      <w:tabs>
        <w:tab w:val="left" w:pos="720"/>
        <w:tab w:val="left" w:pos="3060"/>
        <w:tab w:val="left" w:pos="8207"/>
      </w:tabs>
      <w:ind w:left="2400" w:hanging="420"/>
    </w:pPr>
  </w:style>
  <w:style w:type="paragraph" w:customStyle="1" w:styleId="2777">
    <w:name w:val="表标2.6"/>
    <w:next w:val="1114"/>
    <w:qFormat/>
    <w:uiPriority w:val="0"/>
    <w:pPr>
      <w:tabs>
        <w:tab w:val="left" w:pos="720"/>
        <w:tab w:val="left" w:pos="8207"/>
      </w:tabs>
      <w:adjustRightInd w:val="0"/>
      <w:snapToGrid w:val="0"/>
      <w:spacing w:before="240" w:line="0" w:lineRule="atLeast"/>
      <w:ind w:left="-4" w:firstLine="4"/>
      <w:jc w:val="center"/>
      <w:textAlignment w:val="baseline"/>
    </w:pPr>
    <w:rPr>
      <w:rFonts w:ascii="Times New Roman" w:hAnsi="Times New Roman" w:eastAsia="黑体" w:cs="Times New Roman"/>
      <w:b/>
      <w:color w:val="000000"/>
      <w:kern w:val="2"/>
      <w:sz w:val="24"/>
      <w:szCs w:val="24"/>
      <w:lang w:val="en-US" w:eastAsia="zh-CN" w:bidi="ar-SA"/>
    </w:rPr>
  </w:style>
  <w:style w:type="paragraph" w:customStyle="1" w:styleId="2778">
    <w:name w:val="页眉中12"/>
    <w:basedOn w:val="1"/>
    <w:qFormat/>
    <w:uiPriority w:val="0"/>
    <w:pPr>
      <w:adjustRightInd w:val="0"/>
      <w:snapToGrid w:val="0"/>
      <w:spacing w:line="300" w:lineRule="auto"/>
      <w:jc w:val="left"/>
    </w:pPr>
    <w:rPr>
      <w:rFonts w:ascii="黑体" w:eastAsia="黑体"/>
      <w:bCs/>
      <w:sz w:val="24"/>
    </w:rPr>
  </w:style>
  <w:style w:type="paragraph" w:customStyle="1" w:styleId="2779">
    <w:name w:val="标题样式4"/>
    <w:basedOn w:val="6"/>
    <w:qFormat/>
    <w:uiPriority w:val="0"/>
    <w:pPr>
      <w:keepNext w:val="0"/>
      <w:keepLines w:val="0"/>
      <w:spacing w:before="0" w:after="0" w:line="360" w:lineRule="auto"/>
    </w:pPr>
    <w:rPr>
      <w:rFonts w:ascii="宋体" w:hAnsi="宋体" w:eastAsia="宋体"/>
      <w:sz w:val="24"/>
      <w:szCs w:val="24"/>
      <w:lang w:val="zh-CN"/>
    </w:rPr>
  </w:style>
  <w:style w:type="paragraph" w:customStyle="1" w:styleId="2780">
    <w:name w:val="标题D"/>
    <w:qFormat/>
    <w:uiPriority w:val="0"/>
    <w:pPr>
      <w:adjustRightInd w:val="0"/>
      <w:snapToGrid w:val="0"/>
      <w:spacing w:before="240" w:line="360" w:lineRule="auto"/>
      <w:outlineLvl w:val="3"/>
    </w:pPr>
    <w:rPr>
      <w:rFonts w:ascii="Times New Roman" w:hAnsi="Times New Roman" w:eastAsia="宋体" w:cs="Times New Roman"/>
      <w:b/>
      <w:sz w:val="24"/>
      <w:lang w:val="en-US" w:eastAsia="zh-CN" w:bidi="ar-SA"/>
    </w:rPr>
  </w:style>
  <w:style w:type="paragraph" w:customStyle="1" w:styleId="2781">
    <w:name w:val="标题453"/>
    <w:basedOn w:val="1"/>
    <w:qFormat/>
    <w:uiPriority w:val="0"/>
    <w:pPr>
      <w:adjustRightInd w:val="0"/>
      <w:snapToGrid w:val="0"/>
      <w:spacing w:line="360" w:lineRule="auto"/>
      <w:jc w:val="left"/>
    </w:pPr>
    <w:rPr>
      <w:rFonts w:ascii="黑体" w:eastAsia="黑体"/>
      <w:bCs/>
      <w:sz w:val="24"/>
    </w:rPr>
  </w:style>
  <w:style w:type="paragraph" w:customStyle="1" w:styleId="2782">
    <w:name w:val="列表编号 51"/>
    <w:basedOn w:val="1"/>
    <w:qFormat/>
    <w:uiPriority w:val="0"/>
    <w:pPr>
      <w:tabs>
        <w:tab w:val="left" w:pos="870"/>
        <w:tab w:val="left" w:pos="920"/>
      </w:tabs>
      <w:adjustRightInd w:val="0"/>
      <w:snapToGrid w:val="0"/>
      <w:spacing w:line="360" w:lineRule="auto"/>
      <w:ind w:left="920" w:hanging="360" w:firstLineChars="200"/>
      <w:textAlignment w:val="baseline"/>
    </w:pPr>
    <w:rPr>
      <w:sz w:val="28"/>
    </w:rPr>
  </w:style>
  <w:style w:type="paragraph" w:customStyle="1" w:styleId="2783">
    <w:name w:val="表内小53"/>
    <w:basedOn w:val="1"/>
    <w:qFormat/>
    <w:uiPriority w:val="0"/>
    <w:pPr>
      <w:adjustRightInd w:val="0"/>
      <w:snapToGrid w:val="0"/>
      <w:spacing w:line="300" w:lineRule="auto"/>
    </w:pPr>
    <w:rPr>
      <w:rFonts w:ascii="宋体" w:hAnsi="宋体"/>
      <w:sz w:val="18"/>
    </w:rPr>
  </w:style>
  <w:style w:type="paragraph" w:customStyle="1" w:styleId="2784">
    <w:name w:val="页眉中83"/>
    <w:basedOn w:val="47"/>
    <w:qFormat/>
    <w:uiPriority w:val="0"/>
    <w:pPr>
      <w:adjustRightInd w:val="0"/>
      <w:spacing w:line="360" w:lineRule="auto"/>
      <w:jc w:val="left"/>
    </w:pPr>
    <w:rPr>
      <w:rFonts w:ascii="黑体" w:hAnsi="Times New Roman" w:eastAsia="黑体"/>
      <w:bCs/>
      <w:sz w:val="24"/>
      <w:szCs w:val="24"/>
    </w:rPr>
  </w:style>
  <w:style w:type="paragraph" w:customStyle="1" w:styleId="2785">
    <w:name w:val="VC的副标题行"/>
    <w:basedOn w:val="65"/>
    <w:qFormat/>
    <w:uiPriority w:val="0"/>
    <w:pPr>
      <w:jc w:val="right"/>
    </w:pPr>
  </w:style>
  <w:style w:type="paragraph" w:customStyle="1" w:styleId="2786">
    <w:name w:val="正文缩1"/>
    <w:basedOn w:val="1"/>
    <w:qFormat/>
    <w:uiPriority w:val="0"/>
    <w:pPr>
      <w:adjustRightInd w:val="0"/>
      <w:snapToGrid w:val="0"/>
      <w:spacing w:line="480" w:lineRule="atLeast"/>
      <w:ind w:firstLine="567"/>
      <w:textAlignment w:val="baseline"/>
    </w:pPr>
    <w:rPr>
      <w:rFonts w:ascii="宋体"/>
      <w:color w:val="000080"/>
      <w:spacing w:val="6"/>
      <w:sz w:val="28"/>
    </w:rPr>
  </w:style>
  <w:style w:type="paragraph" w:customStyle="1" w:styleId="2787">
    <w:name w:val="表中文字----------------"/>
    <w:basedOn w:val="1"/>
    <w:qFormat/>
    <w:uiPriority w:val="0"/>
    <w:pPr>
      <w:jc w:val="center"/>
    </w:pPr>
  </w:style>
  <w:style w:type="paragraph" w:customStyle="1" w:styleId="2788">
    <w:name w:val="标题 312"/>
    <w:basedOn w:val="1"/>
    <w:next w:val="1"/>
    <w:qFormat/>
    <w:uiPriority w:val="0"/>
    <w:pPr>
      <w:adjustRightInd w:val="0"/>
      <w:spacing w:line="480" w:lineRule="exact"/>
      <w:textAlignment w:val="baseline"/>
    </w:pPr>
    <w:rPr>
      <w:rFonts w:hint="eastAsia" w:hAnsi="Arial"/>
      <w:color w:val="000000"/>
      <w:sz w:val="24"/>
    </w:rPr>
  </w:style>
  <w:style w:type="paragraph" w:customStyle="1" w:styleId="2789">
    <w:name w:val="正文样式一"/>
    <w:basedOn w:val="1"/>
    <w:qFormat/>
    <w:uiPriority w:val="0"/>
    <w:pPr>
      <w:adjustRightInd w:val="0"/>
      <w:spacing w:line="400" w:lineRule="atLeast"/>
      <w:ind w:firstLine="510"/>
      <w:textAlignment w:val="baseline"/>
    </w:pPr>
    <w:rPr>
      <w:sz w:val="24"/>
    </w:rPr>
  </w:style>
  <w:style w:type="paragraph" w:customStyle="1" w:styleId="2790">
    <w:name w:val="cauc-0 Char Char Char"/>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paragraph" w:customStyle="1" w:styleId="2791">
    <w:name w:val="xl59"/>
    <w:basedOn w:val="1"/>
    <w:qFormat/>
    <w:uiPriority w:val="0"/>
    <w:pPr>
      <w:widowControl/>
      <w:spacing w:before="100" w:beforeAutospacing="1" w:after="100" w:afterAutospacing="1"/>
      <w:jc w:val="left"/>
      <w:textAlignment w:val="top"/>
    </w:pPr>
    <w:rPr>
      <w:rFonts w:ascii="Arial Unicode MS" w:hAnsi="Arial Unicode MS"/>
      <w:color w:val="000000"/>
      <w:sz w:val="24"/>
    </w:rPr>
  </w:style>
  <w:style w:type="paragraph" w:customStyle="1" w:styleId="2792">
    <w:name w:val="1表格"/>
    <w:basedOn w:val="1"/>
    <w:qFormat/>
    <w:uiPriority w:val="0"/>
    <w:pPr>
      <w:snapToGrid w:val="0"/>
      <w:spacing w:line="160" w:lineRule="atLeast"/>
      <w:jc w:val="center"/>
    </w:pPr>
    <w:rPr>
      <w:rFonts w:eastAsia="仿宋_GB2312"/>
    </w:rPr>
  </w:style>
  <w:style w:type="paragraph" w:customStyle="1" w:styleId="2793">
    <w:name w:val="正文文本 211"/>
    <w:basedOn w:val="1"/>
    <w:qFormat/>
    <w:uiPriority w:val="0"/>
    <w:pPr>
      <w:adjustRightInd w:val="0"/>
      <w:ind w:firstLine="840"/>
      <w:textAlignment w:val="baseline"/>
    </w:pPr>
    <w:rPr>
      <w:sz w:val="30"/>
    </w:rPr>
  </w:style>
  <w:style w:type="paragraph" w:customStyle="1" w:styleId="2794">
    <w:name w:val="标题475"/>
    <w:basedOn w:val="1"/>
    <w:qFormat/>
    <w:uiPriority w:val="0"/>
    <w:pPr>
      <w:adjustRightInd w:val="0"/>
      <w:snapToGrid w:val="0"/>
      <w:spacing w:line="300" w:lineRule="auto"/>
    </w:pPr>
    <w:rPr>
      <w:rFonts w:ascii="黑体" w:eastAsia="黑体"/>
      <w:sz w:val="24"/>
    </w:rPr>
  </w:style>
  <w:style w:type="paragraph" w:customStyle="1" w:styleId="2795">
    <w:name w:val="Pa11"/>
    <w:basedOn w:val="1"/>
    <w:next w:val="1"/>
    <w:qFormat/>
    <w:uiPriority w:val="0"/>
    <w:pPr>
      <w:autoSpaceDE w:val="0"/>
      <w:autoSpaceDN w:val="0"/>
      <w:adjustRightInd w:val="0"/>
      <w:spacing w:before="140" w:after="140" w:line="211" w:lineRule="atLeast"/>
      <w:jc w:val="left"/>
    </w:pPr>
    <w:rPr>
      <w:rFonts w:ascii="宋体"/>
      <w:sz w:val="24"/>
    </w:rPr>
  </w:style>
  <w:style w:type="paragraph" w:customStyle="1" w:styleId="2796">
    <w:name w:val="表内文字小8"/>
    <w:basedOn w:val="1"/>
    <w:qFormat/>
    <w:uiPriority w:val="0"/>
    <w:pPr>
      <w:adjustRightInd w:val="0"/>
      <w:snapToGrid w:val="0"/>
      <w:jc w:val="center"/>
    </w:pPr>
    <w:rPr>
      <w:rFonts w:ascii="宋体" w:hAnsi="Times" w:cs="宋体"/>
    </w:rPr>
  </w:style>
  <w:style w:type="paragraph" w:customStyle="1" w:styleId="2797">
    <w:name w:val="样式7.4.4.1"/>
    <w:basedOn w:val="2798"/>
    <w:qFormat/>
    <w:uiPriority w:val="0"/>
    <w:pPr>
      <w:tabs>
        <w:tab w:val="left" w:pos="1571"/>
        <w:tab w:val="left" w:pos="2514"/>
        <w:tab w:val="left" w:pos="2847"/>
      </w:tabs>
      <w:ind w:left="119"/>
    </w:pPr>
  </w:style>
  <w:style w:type="paragraph" w:customStyle="1" w:styleId="2798">
    <w:name w:val="7.3.4.1"/>
    <w:basedOn w:val="1"/>
    <w:qFormat/>
    <w:uiPriority w:val="0"/>
    <w:pPr>
      <w:tabs>
        <w:tab w:val="left" w:pos="1571"/>
        <w:tab w:val="left" w:pos="2514"/>
        <w:tab w:val="left" w:pos="2847"/>
      </w:tabs>
      <w:spacing w:line="312" w:lineRule="auto"/>
      <w:ind w:left="1395" w:hanging="708"/>
      <w:outlineLvl w:val="3"/>
    </w:pPr>
    <w:rPr>
      <w:rFonts w:ascii="黑体" w:hAnsi="Arial" w:eastAsia="黑体" w:cs="宋体"/>
      <w:b/>
      <w:color w:val="000000"/>
      <w:sz w:val="24"/>
    </w:rPr>
  </w:style>
  <w:style w:type="paragraph" w:customStyle="1" w:styleId="2799">
    <w:name w:val="Char2 Char Char Char1"/>
    <w:basedOn w:val="1"/>
    <w:qFormat/>
    <w:uiPriority w:val="0"/>
    <w:pPr>
      <w:spacing w:line="360" w:lineRule="auto"/>
      <w:ind w:firstLine="200" w:firstLineChars="200"/>
    </w:pPr>
    <w:rPr>
      <w:rFonts w:ascii="宋体" w:hAnsi="宋体" w:cs="宋体"/>
      <w:sz w:val="24"/>
    </w:rPr>
  </w:style>
  <w:style w:type="paragraph" w:customStyle="1" w:styleId="2800">
    <w:name w:val="标题423"/>
    <w:basedOn w:val="1"/>
    <w:qFormat/>
    <w:uiPriority w:val="0"/>
    <w:pPr>
      <w:adjustRightInd w:val="0"/>
      <w:snapToGrid w:val="0"/>
      <w:spacing w:line="300" w:lineRule="auto"/>
      <w:jc w:val="left"/>
    </w:pPr>
    <w:rPr>
      <w:rFonts w:ascii="宋体" w:hAnsi="宋体"/>
      <w:sz w:val="24"/>
    </w:rPr>
  </w:style>
  <w:style w:type="paragraph" w:customStyle="1" w:styleId="2801">
    <w:name w:val="表内文字小16"/>
    <w:basedOn w:val="1"/>
    <w:qFormat/>
    <w:uiPriority w:val="0"/>
    <w:pPr>
      <w:adjustRightInd w:val="0"/>
      <w:snapToGrid w:val="0"/>
      <w:jc w:val="center"/>
    </w:pPr>
    <w:rPr>
      <w:rFonts w:ascii="宋体" w:hAnsi="Times" w:cs="宋体"/>
    </w:rPr>
  </w:style>
  <w:style w:type="paragraph" w:customStyle="1" w:styleId="2802">
    <w:name w:val="列表编号 511"/>
    <w:basedOn w:val="1"/>
    <w:qFormat/>
    <w:uiPriority w:val="0"/>
    <w:pPr>
      <w:tabs>
        <w:tab w:val="left" w:pos="870"/>
        <w:tab w:val="left" w:pos="920"/>
      </w:tabs>
      <w:adjustRightInd w:val="0"/>
      <w:snapToGrid w:val="0"/>
      <w:spacing w:line="360" w:lineRule="auto"/>
      <w:ind w:left="920" w:hanging="360" w:firstLineChars="200"/>
      <w:textAlignment w:val="baseline"/>
    </w:pPr>
    <w:rPr>
      <w:sz w:val="28"/>
    </w:rPr>
  </w:style>
  <w:style w:type="paragraph" w:customStyle="1" w:styleId="2803">
    <w:name w:val="表标题4.9"/>
    <w:basedOn w:val="1"/>
    <w:qFormat/>
    <w:uiPriority w:val="0"/>
    <w:pPr>
      <w:tabs>
        <w:tab w:val="center" w:pos="4060"/>
        <w:tab w:val="right" w:pos="8261"/>
      </w:tabs>
      <w:suppressAutoHyphens/>
      <w:adjustRightInd w:val="0"/>
      <w:spacing w:before="240" w:line="0" w:lineRule="atLeast"/>
    </w:pPr>
    <w:rPr>
      <w:rFonts w:ascii="黑体" w:eastAsia="黑体"/>
      <w:b/>
      <w:spacing w:val="6"/>
      <w:sz w:val="26"/>
      <w:szCs w:val="26"/>
    </w:rPr>
  </w:style>
  <w:style w:type="paragraph" w:customStyle="1" w:styleId="2804">
    <w:name w:val="16.2.1.1"/>
    <w:basedOn w:val="6"/>
    <w:qFormat/>
    <w:uiPriority w:val="0"/>
    <w:pPr>
      <w:keepNext w:val="0"/>
      <w:keepLines w:val="0"/>
      <w:spacing w:before="120" w:after="120" w:line="312" w:lineRule="auto"/>
      <w:ind w:left="864" w:hanging="864"/>
    </w:pPr>
    <w:rPr>
      <w:rFonts w:cs="宋体"/>
      <w:sz w:val="24"/>
      <w:szCs w:val="20"/>
    </w:rPr>
  </w:style>
  <w:style w:type="paragraph" w:customStyle="1" w:styleId="2805">
    <w:name w:val="样式7.4.6.1"/>
    <w:qFormat/>
    <w:uiPriority w:val="0"/>
    <w:pPr>
      <w:tabs>
        <w:tab w:val="left" w:pos="360"/>
        <w:tab w:val="left" w:pos="720"/>
        <w:tab w:val="left" w:pos="1571"/>
        <w:tab w:val="left" w:pos="2880"/>
      </w:tabs>
      <w:spacing w:line="360" w:lineRule="auto"/>
      <w:ind w:left="2880" w:hanging="360"/>
    </w:pPr>
    <w:rPr>
      <w:rFonts w:ascii="Times New Roman" w:hAnsi="Times New Roman" w:eastAsia="宋体" w:cs="Times New Roman"/>
      <w:lang w:val="en-US" w:eastAsia="zh-CN" w:bidi="ar-SA"/>
    </w:rPr>
  </w:style>
  <w:style w:type="paragraph" w:customStyle="1" w:styleId="2806">
    <w:name w:val="图题31"/>
    <w:basedOn w:val="21"/>
    <w:qFormat/>
    <w:uiPriority w:val="0"/>
    <w:pPr>
      <w:adjustRightInd w:val="0"/>
      <w:snapToGrid w:val="0"/>
      <w:ind w:firstLine="0" w:firstLineChars="0"/>
      <w:jc w:val="center"/>
    </w:pPr>
    <w:rPr>
      <w:rFonts w:ascii="方正大标宋简体" w:eastAsia="方正大标宋简体"/>
      <w:szCs w:val="24"/>
    </w:rPr>
  </w:style>
  <w:style w:type="paragraph" w:customStyle="1" w:styleId="2807">
    <w:name w:val="GB-1"/>
    <w:qFormat/>
    <w:uiPriority w:val="0"/>
    <w:pPr>
      <w:keepNext/>
      <w:tabs>
        <w:tab w:val="left" w:pos="360"/>
      </w:tabs>
      <w:autoSpaceDE w:val="0"/>
      <w:autoSpaceDN w:val="0"/>
      <w:spacing w:line="480" w:lineRule="auto"/>
      <w:outlineLvl w:val="0"/>
    </w:pPr>
    <w:rPr>
      <w:rFonts w:ascii="黑体" w:hAnsi="Times New Roman" w:eastAsia="黑体" w:cs="Times New Roman"/>
      <w:sz w:val="24"/>
      <w:szCs w:val="21"/>
      <w:lang w:val="en-US" w:eastAsia="zh-CN" w:bidi="ar-SA"/>
    </w:rPr>
  </w:style>
  <w:style w:type="paragraph" w:customStyle="1" w:styleId="2808">
    <w:name w:val="样式 燕山正文 + 首行缩进:  3.5 字符6"/>
    <w:basedOn w:val="1325"/>
    <w:qFormat/>
    <w:uiPriority w:val="0"/>
    <w:pPr>
      <w:ind w:firstLine="560"/>
    </w:pPr>
    <w:rPr>
      <w:bCs w:val="0"/>
      <w:sz w:val="28"/>
      <w:szCs w:val="20"/>
    </w:rPr>
  </w:style>
  <w:style w:type="paragraph" w:customStyle="1" w:styleId="2809">
    <w:name w:val="表内序号3"/>
    <w:basedOn w:val="1"/>
    <w:qFormat/>
    <w:uiPriority w:val="0"/>
    <w:pPr>
      <w:widowControl/>
      <w:adjustRightInd w:val="0"/>
      <w:snapToGrid w:val="0"/>
      <w:spacing w:line="360" w:lineRule="auto"/>
      <w:ind w:firstLine="288"/>
    </w:pPr>
    <w:rPr>
      <w:sz w:val="18"/>
    </w:rPr>
  </w:style>
  <w:style w:type="paragraph" w:customStyle="1" w:styleId="2810">
    <w:name w:val="7.3.3.1"/>
    <w:basedOn w:val="1557"/>
    <w:qFormat/>
    <w:uiPriority w:val="0"/>
    <w:pPr>
      <w:tabs>
        <w:tab w:val="left" w:pos="360"/>
        <w:tab w:val="left" w:pos="2280"/>
        <w:tab w:val="clear" w:pos="2414"/>
      </w:tabs>
      <w:ind w:left="0" w:hanging="420"/>
    </w:pPr>
  </w:style>
  <w:style w:type="paragraph" w:customStyle="1" w:styleId="2811">
    <w:name w:val="cucd-TB"/>
    <w:qFormat/>
    <w:uiPriority w:val="0"/>
    <w:pPr>
      <w:spacing w:line="360" w:lineRule="auto"/>
      <w:jc w:val="center"/>
    </w:pPr>
    <w:rPr>
      <w:rFonts w:ascii="Times New Roman" w:hAnsi="Times New Roman" w:eastAsia="宋体" w:cs="Times New Roman"/>
      <w:kern w:val="2"/>
      <w:sz w:val="21"/>
      <w:szCs w:val="24"/>
      <w:lang w:val="en-US" w:eastAsia="zh-CN" w:bidi="ar-SA"/>
    </w:rPr>
  </w:style>
  <w:style w:type="paragraph" w:customStyle="1" w:styleId="2812">
    <w:name w:val="表内5中1"/>
    <w:basedOn w:val="1510"/>
    <w:qFormat/>
    <w:uiPriority w:val="0"/>
    <w:pPr>
      <w:widowControl/>
      <w:tabs>
        <w:tab w:val="clear" w:pos="4305"/>
      </w:tabs>
    </w:pPr>
    <w:rPr>
      <w:sz w:val="21"/>
      <w:szCs w:val="21"/>
    </w:rPr>
  </w:style>
  <w:style w:type="paragraph" w:customStyle="1" w:styleId="2813">
    <w:name w:val="表内文字小21"/>
    <w:basedOn w:val="1"/>
    <w:qFormat/>
    <w:uiPriority w:val="0"/>
    <w:pPr>
      <w:adjustRightInd w:val="0"/>
      <w:snapToGrid w:val="0"/>
      <w:jc w:val="center"/>
    </w:pPr>
    <w:rPr>
      <w:rFonts w:ascii="宋体" w:hAnsi="Times"/>
      <w:bCs/>
      <w:color w:val="000000"/>
    </w:rPr>
  </w:style>
  <w:style w:type="paragraph" w:customStyle="1" w:styleId="2814">
    <w:name w:val="table1"/>
    <w:basedOn w:val="1"/>
    <w:qFormat/>
    <w:uiPriority w:val="0"/>
    <w:pPr>
      <w:adjustRightInd w:val="0"/>
      <w:spacing w:line="240" w:lineRule="atLeast"/>
      <w:jc w:val="center"/>
      <w:textAlignment w:val="baseline"/>
    </w:pPr>
    <w:rPr>
      <w:rFonts w:eastAsia="黑体"/>
      <w:sz w:val="24"/>
    </w:rPr>
  </w:style>
  <w:style w:type="paragraph" w:customStyle="1" w:styleId="2815">
    <w:name w:val="表内文字小7"/>
    <w:basedOn w:val="1"/>
    <w:qFormat/>
    <w:uiPriority w:val="0"/>
    <w:pPr>
      <w:adjustRightInd w:val="0"/>
      <w:snapToGrid w:val="0"/>
      <w:jc w:val="center"/>
    </w:pPr>
    <w:rPr>
      <w:rFonts w:ascii="宋体" w:hAnsi="Times"/>
    </w:rPr>
  </w:style>
  <w:style w:type="paragraph" w:customStyle="1" w:styleId="2816">
    <w:name w:val="表题134"/>
    <w:basedOn w:val="35"/>
    <w:qFormat/>
    <w:uiPriority w:val="0"/>
    <w:pPr>
      <w:tabs>
        <w:tab w:val="left" w:pos="4305"/>
      </w:tabs>
      <w:adjustRightInd w:val="0"/>
      <w:snapToGrid w:val="0"/>
      <w:spacing w:after="0"/>
      <w:ind w:left="0" w:leftChars="0" w:firstLine="480" w:firstLineChars="200"/>
      <w:jc w:val="center"/>
    </w:pPr>
    <w:rPr>
      <w:rFonts w:ascii="黑体" w:hAnsi="宋体" w:eastAsia="黑体"/>
      <w:sz w:val="24"/>
      <w:szCs w:val="20"/>
    </w:rPr>
  </w:style>
  <w:style w:type="paragraph" w:customStyle="1" w:styleId="2817">
    <w:name w:val="表内文字小75"/>
    <w:basedOn w:val="1"/>
    <w:qFormat/>
    <w:uiPriority w:val="0"/>
    <w:pPr>
      <w:adjustRightInd w:val="0"/>
      <w:snapToGrid w:val="0"/>
      <w:jc w:val="center"/>
    </w:pPr>
    <w:rPr>
      <w:rFonts w:ascii="宋体" w:hAnsi="Times"/>
    </w:rPr>
  </w:style>
  <w:style w:type="paragraph" w:customStyle="1" w:styleId="2818">
    <w:name w:val="表内小413"/>
    <w:basedOn w:val="1427"/>
    <w:qFormat/>
    <w:uiPriority w:val="0"/>
    <w:pPr>
      <w:ind w:left="240" w:hanging="240"/>
      <w:jc w:val="both"/>
    </w:pPr>
    <w:rPr>
      <w:rFonts w:cs="Times New Roman"/>
    </w:rPr>
  </w:style>
  <w:style w:type="paragraph" w:customStyle="1" w:styleId="2819">
    <w:name w:val="燕山正文13"/>
    <w:basedOn w:val="1"/>
    <w:qFormat/>
    <w:uiPriority w:val="0"/>
    <w:pPr>
      <w:tabs>
        <w:tab w:val="left" w:pos="4680"/>
      </w:tabs>
      <w:adjustRightInd w:val="0"/>
      <w:snapToGrid w:val="0"/>
      <w:spacing w:line="360" w:lineRule="auto"/>
      <w:ind w:firstLine="480" w:firstLineChars="200"/>
    </w:pPr>
    <w:rPr>
      <w:rFonts w:ascii="宋体" w:hAnsi="宋体" w:cs="宋体"/>
      <w:bCs/>
      <w:color w:val="000000"/>
      <w:sz w:val="24"/>
    </w:rPr>
  </w:style>
  <w:style w:type="paragraph" w:customStyle="1" w:styleId="2820">
    <w:name w:val="xl74"/>
    <w:basedOn w:val="1"/>
    <w:qFormat/>
    <w:uiPriority w:val="0"/>
    <w:pPr>
      <w:widowControl/>
      <w:pBdr>
        <w:right w:val="single" w:color="auto" w:sz="4" w:space="0"/>
      </w:pBdr>
      <w:spacing w:before="100" w:after="100"/>
      <w:jc w:val="center"/>
      <w:textAlignment w:val="center"/>
    </w:pPr>
    <w:rPr>
      <w:rFonts w:hint="eastAsia" w:ascii="宋体" w:hAnsi="宋体"/>
      <w:sz w:val="24"/>
    </w:rPr>
  </w:style>
  <w:style w:type="paragraph" w:customStyle="1" w:styleId="2821">
    <w:name w:val="样式 标题 2 + 段前: 0.5 行 段后: 0.5 行2"/>
    <w:basedOn w:val="4"/>
    <w:qFormat/>
    <w:uiPriority w:val="0"/>
    <w:pPr>
      <w:keepNext w:val="0"/>
      <w:keepLines w:val="0"/>
      <w:tabs>
        <w:tab w:val="left" w:pos="1460"/>
        <w:tab w:val="clear" w:pos="1427"/>
      </w:tabs>
      <w:adjustRightInd/>
      <w:spacing w:before="156" w:after="156" w:line="500" w:lineRule="exact"/>
      <w:ind w:left="578" w:hanging="578"/>
      <w:jc w:val="both"/>
      <w:textAlignment w:val="auto"/>
    </w:pPr>
    <w:rPr>
      <w:rFonts w:ascii="Arial" w:hAnsi="Arial" w:eastAsia="楷体_GB2312"/>
      <w:bCs/>
      <w:spacing w:val="34"/>
      <w:kern w:val="2"/>
      <w:sz w:val="36"/>
    </w:rPr>
  </w:style>
  <w:style w:type="paragraph" w:customStyle="1" w:styleId="2822">
    <w:name w:val="样式 样式 标题 1标题 1 Char标1章 + 段前: 0.5 行 段后: 0.5 行 + 段前: 0.5 行 段后: 0...."/>
    <w:basedOn w:val="1"/>
    <w:qFormat/>
    <w:uiPriority w:val="0"/>
    <w:pPr>
      <w:keepNext/>
      <w:widowControl/>
      <w:tabs>
        <w:tab w:val="left" w:pos="0"/>
      </w:tabs>
      <w:spacing w:beforeLines="50" w:afterLines="50"/>
      <w:outlineLvl w:val="0"/>
    </w:pPr>
    <w:rPr>
      <w:rFonts w:ascii="黑体" w:hAnsi="Arial" w:eastAsia="黑体" w:cs="宋体"/>
      <w:color w:val="000000"/>
      <w:kern w:val="24"/>
      <w:sz w:val="28"/>
      <w:lang w:val="zh-CN"/>
    </w:rPr>
  </w:style>
  <w:style w:type="paragraph" w:customStyle="1" w:styleId="2823">
    <w:name w:val="样式 四号 行距: 固定值 29 磅1"/>
    <w:basedOn w:val="1"/>
    <w:qFormat/>
    <w:uiPriority w:val="0"/>
    <w:pPr>
      <w:spacing w:line="480" w:lineRule="exact"/>
      <w:ind w:firstLine="200" w:firstLineChars="200"/>
    </w:pPr>
    <w:rPr>
      <w:rFonts w:cs="宋体"/>
      <w:sz w:val="24"/>
    </w:rPr>
  </w:style>
  <w:style w:type="paragraph" w:customStyle="1" w:styleId="2824">
    <w:name w:val="报告表格"/>
    <w:basedOn w:val="1"/>
    <w:next w:val="1"/>
    <w:qFormat/>
    <w:uiPriority w:val="0"/>
    <w:pPr>
      <w:autoSpaceDE w:val="0"/>
      <w:autoSpaceDN w:val="0"/>
      <w:adjustRightInd w:val="0"/>
      <w:spacing w:line="318" w:lineRule="atLeast"/>
      <w:jc w:val="center"/>
      <w:textAlignment w:val="bottom"/>
    </w:pPr>
    <w:rPr>
      <w:sz w:val="24"/>
    </w:rPr>
  </w:style>
  <w:style w:type="paragraph" w:customStyle="1" w:styleId="2825">
    <w:name w:val="样式 小四 段前: 6 磅 段后: 2.4 磅 行距: 固定值 22 磅"/>
    <w:basedOn w:val="1"/>
    <w:qFormat/>
    <w:uiPriority w:val="0"/>
    <w:pPr>
      <w:snapToGrid w:val="0"/>
      <w:spacing w:after="100" w:afterAutospacing="1" w:line="240" w:lineRule="atLeast"/>
      <w:ind w:firstLine="537" w:firstLineChars="200"/>
    </w:pPr>
    <w:rPr>
      <w:rFonts w:ascii="宋体"/>
      <w:b/>
      <w:bCs/>
      <w:color w:val="0000FF"/>
      <w:spacing w:val="4"/>
      <w:sz w:val="26"/>
    </w:rPr>
  </w:style>
  <w:style w:type="paragraph" w:customStyle="1" w:styleId="2826">
    <w:name w:val="样式 行距: 1.5 倍行距"/>
    <w:basedOn w:val="1"/>
    <w:qFormat/>
    <w:uiPriority w:val="0"/>
    <w:pPr>
      <w:spacing w:line="360" w:lineRule="auto"/>
      <w:ind w:firstLine="200" w:firstLineChars="200"/>
    </w:pPr>
    <w:rPr>
      <w:rFonts w:cs="宋体"/>
      <w:sz w:val="24"/>
    </w:rPr>
  </w:style>
  <w:style w:type="paragraph" w:customStyle="1" w:styleId="2827">
    <w:name w:val="1 Char Char Char Char Char Char Char Char Char Char Char Char Char Char Char Char Char Char Char"/>
    <w:basedOn w:val="1"/>
    <w:qFormat/>
    <w:uiPriority w:val="0"/>
  </w:style>
  <w:style w:type="paragraph" w:customStyle="1" w:styleId="2828">
    <w:name w:val="等核实5"/>
    <w:basedOn w:val="35"/>
    <w:qFormat/>
    <w:uiPriority w:val="0"/>
    <w:pPr>
      <w:tabs>
        <w:tab w:val="left" w:pos="4305"/>
      </w:tabs>
      <w:adjustRightInd w:val="0"/>
      <w:snapToGrid w:val="0"/>
      <w:spacing w:after="0" w:line="360" w:lineRule="auto"/>
      <w:ind w:left="0" w:leftChars="0" w:firstLine="567"/>
    </w:pPr>
    <w:rPr>
      <w:rFonts w:ascii="宋体" w:hAnsi="宋体"/>
      <w:color w:val="0000FF"/>
      <w:sz w:val="24"/>
      <w:szCs w:val="20"/>
    </w:rPr>
  </w:style>
  <w:style w:type="paragraph" w:customStyle="1" w:styleId="2829">
    <w:name w:val="标题4 宋体 行距: 固定值 24 磅"/>
    <w:basedOn w:val="6"/>
    <w:next w:val="1"/>
    <w:qFormat/>
    <w:uiPriority w:val="0"/>
    <w:pPr>
      <w:keepNext w:val="0"/>
      <w:keepLines w:val="0"/>
      <w:spacing w:before="0" w:after="0" w:line="480" w:lineRule="exact"/>
    </w:pPr>
    <w:rPr>
      <w:rFonts w:ascii="宋体" w:hAnsi="宋体" w:eastAsia="宋体" w:cs="宋体"/>
      <w:b w:val="0"/>
      <w:sz w:val="24"/>
      <w:szCs w:val="20"/>
    </w:rPr>
  </w:style>
  <w:style w:type="paragraph" w:customStyle="1" w:styleId="2830">
    <w:name w:val="正文112"/>
    <w:basedOn w:val="1"/>
    <w:qFormat/>
    <w:uiPriority w:val="0"/>
    <w:pPr>
      <w:adjustRightInd w:val="0"/>
      <w:snapToGrid w:val="0"/>
      <w:spacing w:after="120"/>
      <w:jc w:val="center"/>
      <w:textAlignment w:val="baseline"/>
    </w:pPr>
    <w:rPr>
      <w:sz w:val="18"/>
    </w:rPr>
  </w:style>
  <w:style w:type="paragraph" w:customStyle="1" w:styleId="2831">
    <w:name w:val="表格小4居中"/>
    <w:basedOn w:val="1"/>
    <w:qFormat/>
    <w:uiPriority w:val="0"/>
    <w:pPr>
      <w:adjustRightInd w:val="0"/>
      <w:snapToGrid w:val="0"/>
      <w:spacing w:before="60" w:after="60" w:line="320" w:lineRule="atLeast"/>
      <w:jc w:val="center"/>
    </w:pPr>
    <w:rPr>
      <w:rFonts w:cs="宋体"/>
      <w:sz w:val="24"/>
    </w:rPr>
  </w:style>
  <w:style w:type="paragraph" w:customStyle="1" w:styleId="2832">
    <w:name w:val="标题a"/>
    <w:basedOn w:val="1"/>
    <w:qFormat/>
    <w:uiPriority w:val="0"/>
    <w:pPr>
      <w:jc w:val="center"/>
    </w:pPr>
    <w:rPr>
      <w:rFonts w:ascii="楷体_GB2312" w:eastAsia="楷体_GB2312" w:cs="宋体"/>
      <w:b/>
      <w:bCs/>
      <w:sz w:val="36"/>
    </w:rPr>
  </w:style>
  <w:style w:type="paragraph" w:customStyle="1" w:styleId="2833">
    <w:name w:val="kyj正文字首行缩进2字符"/>
    <w:basedOn w:val="1"/>
    <w:qFormat/>
    <w:uiPriority w:val="0"/>
    <w:pPr>
      <w:ind w:firstLine="480" w:firstLineChars="200"/>
    </w:pPr>
    <w:rPr>
      <w:rFonts w:ascii="宋体" w:hAnsi="宋体"/>
      <w:sz w:val="24"/>
    </w:rPr>
  </w:style>
  <w:style w:type="paragraph" w:customStyle="1" w:styleId="2834">
    <w:name w:val="尾注文本2"/>
    <w:basedOn w:val="911"/>
    <w:qFormat/>
    <w:uiPriority w:val="0"/>
    <w:pPr>
      <w:spacing w:line="360" w:lineRule="atLeast"/>
      <w:jc w:val="left"/>
    </w:pPr>
    <w:rPr>
      <w:rFonts w:eastAsia="Times New Roman"/>
      <w:sz w:val="21"/>
      <w:szCs w:val="22"/>
    </w:rPr>
  </w:style>
  <w:style w:type="paragraph" w:customStyle="1" w:styleId="2835">
    <w:name w:val="三级编号"/>
    <w:qFormat/>
    <w:uiPriority w:val="0"/>
    <w:pPr>
      <w:tabs>
        <w:tab w:val="left" w:pos="360"/>
        <w:tab w:val="left" w:pos="425"/>
        <w:tab w:val="left" w:pos="780"/>
        <w:tab w:val="left" w:pos="900"/>
        <w:tab w:val="left" w:pos="1125"/>
        <w:tab w:val="left" w:pos="1571"/>
      </w:tabs>
      <w:spacing w:before="120" w:after="120"/>
      <w:ind w:left="1418" w:hanging="567"/>
      <w:outlineLvl w:val="2"/>
    </w:pPr>
    <w:rPr>
      <w:rFonts w:ascii="Times New Roman" w:hAnsi="Times New Roman" w:eastAsia="宋体" w:cs="Times New Roman"/>
      <w:sz w:val="28"/>
      <w:lang w:val="en-US" w:eastAsia="zh-CN" w:bidi="ar-SA"/>
    </w:rPr>
  </w:style>
  <w:style w:type="paragraph" w:customStyle="1" w:styleId="2836">
    <w:name w:val="标题52"/>
    <w:basedOn w:val="1"/>
    <w:qFormat/>
    <w:uiPriority w:val="0"/>
    <w:pPr>
      <w:keepNext/>
      <w:keepLines/>
      <w:widowControl/>
      <w:adjustRightInd w:val="0"/>
      <w:snapToGrid w:val="0"/>
      <w:spacing w:line="360" w:lineRule="auto"/>
      <w:outlineLvl w:val="2"/>
    </w:pPr>
    <w:rPr>
      <w:b/>
      <w:snapToGrid w:val="0"/>
      <w:color w:val="000000"/>
      <w:sz w:val="18"/>
    </w:rPr>
  </w:style>
  <w:style w:type="paragraph" w:customStyle="1" w:styleId="2837">
    <w:name w:val="标题473"/>
    <w:basedOn w:val="1"/>
    <w:qFormat/>
    <w:uiPriority w:val="0"/>
    <w:pPr>
      <w:adjustRightInd w:val="0"/>
      <w:snapToGrid w:val="0"/>
      <w:spacing w:line="300" w:lineRule="auto"/>
    </w:pPr>
    <w:rPr>
      <w:rFonts w:ascii="黑体" w:eastAsia="黑体"/>
      <w:sz w:val="24"/>
    </w:rPr>
  </w:style>
  <w:style w:type="paragraph" w:customStyle="1" w:styleId="2838">
    <w:name w:val="表头四号"/>
    <w:basedOn w:val="67"/>
    <w:qFormat/>
    <w:uiPriority w:val="0"/>
    <w:pPr>
      <w:adjustRightInd w:val="0"/>
      <w:snapToGrid w:val="0"/>
      <w:spacing w:beforeLines="50" w:line="500" w:lineRule="atLeast"/>
      <w:ind w:left="0" w:firstLine="0" w:firstLineChars="0"/>
    </w:pPr>
    <w:rPr>
      <w:rFonts w:ascii="宋体" w:hAnsi="宋体"/>
      <w:b/>
      <w:bCs/>
      <w:sz w:val="28"/>
      <w:szCs w:val="28"/>
    </w:rPr>
  </w:style>
  <w:style w:type="paragraph" w:customStyle="1" w:styleId="2839">
    <w:name w:val="dandan6-13正文 Char Char Char"/>
    <w:basedOn w:val="1"/>
    <w:next w:val="1"/>
    <w:qFormat/>
    <w:uiPriority w:val="0"/>
    <w:pPr>
      <w:keepNext/>
      <w:keepLines/>
      <w:widowControl/>
      <w:adjustRightInd w:val="0"/>
      <w:spacing w:before="40" w:after="40" w:line="360" w:lineRule="auto"/>
      <w:ind w:firstLine="200" w:firstLineChars="200"/>
      <w:textAlignment w:val="baseline"/>
    </w:pPr>
    <w:rPr>
      <w:rFonts w:cs="宋体"/>
      <w:sz w:val="24"/>
      <w:szCs w:val="28"/>
    </w:rPr>
  </w:style>
  <w:style w:type="paragraph" w:customStyle="1" w:styleId="2840">
    <w:name w:val="小标题2"/>
    <w:basedOn w:val="1"/>
    <w:qFormat/>
    <w:uiPriority w:val="0"/>
    <w:pPr>
      <w:overflowPunct w:val="0"/>
      <w:snapToGrid w:val="0"/>
      <w:spacing w:line="440" w:lineRule="exact"/>
      <w:ind w:firstLine="480" w:firstLineChars="200"/>
    </w:pPr>
    <w:rPr>
      <w:rFonts w:ascii="宋体" w:hAnsi="宋体"/>
      <w:sz w:val="24"/>
    </w:rPr>
  </w:style>
  <w:style w:type="paragraph" w:customStyle="1" w:styleId="2841">
    <w:name w:val="表标题8.3"/>
    <w:basedOn w:val="7"/>
    <w:qFormat/>
    <w:uiPriority w:val="0"/>
    <w:pPr>
      <w:keepNext w:val="0"/>
      <w:keepLines w:val="0"/>
      <w:tabs>
        <w:tab w:val="left" w:pos="360"/>
        <w:tab w:val="center" w:pos="4060"/>
        <w:tab w:val="right" w:pos="8261"/>
      </w:tabs>
      <w:suppressAutoHyphens/>
      <w:snapToGrid/>
      <w:spacing w:beforeLines="100" w:after="0" w:line="0" w:lineRule="atLeast"/>
      <w:ind w:firstLine="0" w:firstLineChars="0"/>
      <w:jc w:val="center"/>
      <w:outlineLvl w:val="9"/>
    </w:pPr>
    <w:rPr>
      <w:rFonts w:ascii="黑体" w:eastAsia="黑体" w:cs="宋体"/>
      <w:bCs/>
      <w:spacing w:val="6"/>
      <w:sz w:val="24"/>
      <w:szCs w:val="20"/>
    </w:rPr>
  </w:style>
  <w:style w:type="paragraph" w:customStyle="1" w:styleId="2842">
    <w:name w:val="右侧"/>
    <w:qFormat/>
    <w:uiPriority w:val="0"/>
    <w:pPr>
      <w:spacing w:line="280" w:lineRule="exact"/>
      <w:jc w:val="right"/>
    </w:pPr>
    <w:rPr>
      <w:rFonts w:ascii="Batang" w:hAnsi="Batang" w:eastAsia="宋体" w:cs="Times New Roman"/>
      <w:color w:val="000000"/>
      <w:sz w:val="18"/>
      <w:lang w:val="en-US" w:eastAsia="zh-CN" w:bidi="ar-SA"/>
    </w:rPr>
  </w:style>
  <w:style w:type="paragraph" w:customStyle="1" w:styleId="2843">
    <w:name w:val="表内563"/>
    <w:basedOn w:val="1"/>
    <w:qFormat/>
    <w:uiPriority w:val="0"/>
    <w:pPr>
      <w:adjustRightInd w:val="0"/>
      <w:snapToGrid w:val="0"/>
      <w:spacing w:line="300" w:lineRule="auto"/>
      <w:jc w:val="left"/>
    </w:pPr>
    <w:rPr>
      <w:rFonts w:ascii="宋体"/>
    </w:rPr>
  </w:style>
  <w:style w:type="paragraph" w:customStyle="1" w:styleId="2844">
    <w:name w:val="正文文本缩进 22"/>
    <w:basedOn w:val="1"/>
    <w:qFormat/>
    <w:uiPriority w:val="0"/>
    <w:pPr>
      <w:adjustRightInd w:val="0"/>
      <w:spacing w:line="360" w:lineRule="auto"/>
      <w:ind w:firstLine="492"/>
      <w:textAlignment w:val="baseline"/>
    </w:pPr>
    <w:rPr>
      <w:rFonts w:ascii="宋体" w:hAnsi="宋体"/>
      <w:spacing w:val="3"/>
      <w:sz w:val="24"/>
    </w:rPr>
  </w:style>
  <w:style w:type="paragraph" w:customStyle="1" w:styleId="2845">
    <w:name w:val="日期3"/>
    <w:basedOn w:val="1"/>
    <w:next w:val="1"/>
    <w:qFormat/>
    <w:uiPriority w:val="0"/>
    <w:pPr>
      <w:adjustRightInd w:val="0"/>
      <w:textAlignment w:val="baseline"/>
    </w:pPr>
    <w:rPr>
      <w:rFonts w:ascii="宋体"/>
      <w:sz w:val="32"/>
    </w:rPr>
  </w:style>
  <w:style w:type="paragraph" w:customStyle="1" w:styleId="2846">
    <w:name w:val="样式 样式 小四 段后: 6 磅 行距: 1.5 倍行距 + 首行缩进:  2 字符"/>
    <w:basedOn w:val="1"/>
    <w:qFormat/>
    <w:uiPriority w:val="0"/>
    <w:pPr>
      <w:keepNext/>
      <w:spacing w:line="360" w:lineRule="auto"/>
      <w:ind w:firstLine="200" w:firstLineChars="200"/>
      <w:jc w:val="left"/>
    </w:pPr>
    <w:rPr>
      <w:rFonts w:ascii="宋体" w:hAnsi="宋体" w:cs="宋体"/>
      <w:sz w:val="28"/>
    </w:rPr>
  </w:style>
  <w:style w:type="paragraph" w:customStyle="1" w:styleId="2847">
    <w:name w:val="MFS表格表头"/>
    <w:basedOn w:val="1"/>
    <w:qFormat/>
    <w:uiPriority w:val="0"/>
    <w:pPr>
      <w:spacing w:line="500" w:lineRule="exact"/>
      <w:jc w:val="center"/>
    </w:pPr>
    <w:rPr>
      <w:rFonts w:ascii="宋体" w:hAnsi="宋体"/>
      <w:b/>
      <w:szCs w:val="21"/>
    </w:rPr>
  </w:style>
  <w:style w:type="paragraph" w:customStyle="1" w:styleId="2848">
    <w:name w:val="ch中文正文"/>
    <w:qFormat/>
    <w:uiPriority w:val="0"/>
    <w:pPr>
      <w:spacing w:beforeLines="50" w:afterLines="50" w:line="360" w:lineRule="auto"/>
      <w:ind w:firstLine="200" w:firstLineChars="200"/>
    </w:pPr>
    <w:rPr>
      <w:rFonts w:ascii="Times New Roman" w:hAnsi="Times New Roman" w:eastAsia="宋体" w:cs="Times New Roman"/>
      <w:sz w:val="24"/>
      <w:lang w:val="en-US" w:eastAsia="zh-CN" w:bidi="ar-SA"/>
    </w:rPr>
  </w:style>
  <w:style w:type="paragraph" w:customStyle="1" w:styleId="2849">
    <w:name w:val="表题36"/>
    <w:basedOn w:val="35"/>
    <w:qFormat/>
    <w:uiPriority w:val="0"/>
    <w:pPr>
      <w:tabs>
        <w:tab w:val="left" w:pos="4305"/>
      </w:tabs>
      <w:adjustRightInd w:val="0"/>
      <w:snapToGrid w:val="0"/>
      <w:spacing w:after="0"/>
      <w:ind w:left="0" w:leftChars="0"/>
      <w:jc w:val="center"/>
    </w:pPr>
    <w:rPr>
      <w:rFonts w:ascii="宋体" w:hAnsi="宋体"/>
      <w:sz w:val="24"/>
      <w:szCs w:val="20"/>
    </w:rPr>
  </w:style>
  <w:style w:type="paragraph" w:customStyle="1" w:styleId="2850">
    <w:name w:val="寄信人地址12"/>
    <w:basedOn w:val="1"/>
    <w:qFormat/>
    <w:uiPriority w:val="0"/>
    <w:pPr>
      <w:snapToGrid w:val="0"/>
    </w:pPr>
    <w:rPr>
      <w:rFonts w:ascii="Arial" w:hAnsi="Arial" w:cs="Arial"/>
    </w:rPr>
  </w:style>
  <w:style w:type="paragraph" w:customStyle="1" w:styleId="2851">
    <w:name w:val="样式 标题 3条标题1.1.1BSH-3 + (中文) 黑体 玫瑰红 首行缩进:  2 字符 段前: 6 磅 段后:..."/>
    <w:basedOn w:val="5"/>
    <w:qFormat/>
    <w:uiPriority w:val="0"/>
    <w:pPr>
      <w:tabs>
        <w:tab w:val="clear" w:pos="720"/>
      </w:tabs>
      <w:adjustRightInd/>
      <w:spacing w:line="560" w:lineRule="exact"/>
      <w:ind w:left="0" w:firstLine="0"/>
      <w:jc w:val="both"/>
      <w:textAlignment w:val="auto"/>
    </w:pPr>
    <w:rPr>
      <w:rFonts w:cs="宋体"/>
      <w:b w:val="0"/>
      <w:color w:val="FF99CC"/>
      <w:spacing w:val="0"/>
      <w:kern w:val="2"/>
      <w:sz w:val="30"/>
      <w:szCs w:val="30"/>
    </w:rPr>
  </w:style>
  <w:style w:type="paragraph" w:customStyle="1" w:styleId="2852">
    <w:name w:val="Char142"/>
    <w:basedOn w:val="1"/>
    <w:qFormat/>
    <w:uiPriority w:val="0"/>
    <w:pPr>
      <w:ind w:left="-48"/>
    </w:pPr>
  </w:style>
  <w:style w:type="paragraph" w:customStyle="1" w:styleId="2853">
    <w:name w:val="表内564"/>
    <w:basedOn w:val="1"/>
    <w:qFormat/>
    <w:uiPriority w:val="0"/>
    <w:pPr>
      <w:adjustRightInd w:val="0"/>
      <w:snapToGrid w:val="0"/>
      <w:spacing w:line="300" w:lineRule="auto"/>
      <w:jc w:val="left"/>
    </w:pPr>
    <w:rPr>
      <w:rFonts w:ascii="宋体"/>
    </w:rPr>
  </w:style>
  <w:style w:type="paragraph" w:customStyle="1" w:styleId="2854">
    <w:name w:val="列表接续11"/>
    <w:basedOn w:val="1"/>
    <w:qFormat/>
    <w:uiPriority w:val="0"/>
    <w:pPr>
      <w:spacing w:after="120"/>
      <w:ind w:left="420" w:leftChars="200"/>
    </w:pPr>
  </w:style>
  <w:style w:type="paragraph" w:customStyle="1" w:styleId="2855">
    <w:name w:val="+标题2"/>
    <w:basedOn w:val="4"/>
    <w:qFormat/>
    <w:uiPriority w:val="0"/>
    <w:pPr>
      <w:keepLines w:val="0"/>
      <w:tabs>
        <w:tab w:val="left" w:pos="1166"/>
        <w:tab w:val="clear" w:pos="1427"/>
      </w:tabs>
      <w:adjustRightInd/>
      <w:snapToGrid/>
      <w:spacing w:beforeLines="0" w:afterLines="0" w:line="240" w:lineRule="auto"/>
      <w:jc w:val="center"/>
      <w:textAlignment w:val="auto"/>
      <w:outlineLvl w:val="0"/>
    </w:pPr>
    <w:rPr>
      <w:bCs/>
      <w:snapToGrid w:val="0"/>
      <w:kern w:val="28"/>
      <w:sz w:val="36"/>
      <w:szCs w:val="28"/>
    </w:rPr>
  </w:style>
  <w:style w:type="paragraph" w:customStyle="1" w:styleId="2856">
    <w:name w:val="样式 样式1 + 行距: 固定值 18 磅"/>
    <w:basedOn w:val="237"/>
    <w:qFormat/>
    <w:uiPriority w:val="0"/>
    <w:pPr>
      <w:widowControl w:val="0"/>
      <w:spacing w:line="360" w:lineRule="exact"/>
      <w:ind w:firstLine="0"/>
      <w:jc w:val="center"/>
    </w:pPr>
    <w:rPr>
      <w:rFonts w:cs="宋体"/>
      <w:sz w:val="21"/>
      <w:szCs w:val="21"/>
    </w:rPr>
  </w:style>
  <w:style w:type="paragraph" w:customStyle="1" w:styleId="2857">
    <w:name w:val="表内525"/>
    <w:basedOn w:val="1572"/>
    <w:qFormat/>
    <w:uiPriority w:val="0"/>
    <w:pPr>
      <w:spacing w:line="300" w:lineRule="auto"/>
      <w:jc w:val="both"/>
    </w:pPr>
    <w:rPr>
      <w:szCs w:val="24"/>
    </w:rPr>
  </w:style>
  <w:style w:type="paragraph" w:customStyle="1" w:styleId="2858">
    <w:name w:val="正文居中1"/>
    <w:basedOn w:val="1"/>
    <w:qFormat/>
    <w:uiPriority w:val="0"/>
    <w:pPr>
      <w:adjustRightInd w:val="0"/>
      <w:snapToGrid w:val="0"/>
      <w:spacing w:line="480" w:lineRule="atLeast"/>
      <w:jc w:val="center"/>
    </w:pPr>
    <w:rPr>
      <w:rFonts w:ascii="宋体"/>
      <w:snapToGrid w:val="0"/>
      <w:spacing w:val="6"/>
      <w:sz w:val="28"/>
    </w:rPr>
  </w:style>
  <w:style w:type="paragraph" w:customStyle="1" w:styleId="2859">
    <w:name w:val="Body Text 22"/>
    <w:basedOn w:val="1"/>
    <w:qFormat/>
    <w:uiPriority w:val="0"/>
    <w:pPr>
      <w:adjustRightInd w:val="0"/>
      <w:spacing w:line="460" w:lineRule="atLeast"/>
      <w:ind w:firstLine="560"/>
      <w:textAlignment w:val="baseline"/>
    </w:pPr>
    <w:rPr>
      <w:spacing w:val="26"/>
      <w:sz w:val="24"/>
    </w:rPr>
  </w:style>
  <w:style w:type="paragraph" w:customStyle="1" w:styleId="2860">
    <w:name w:val="表题94"/>
    <w:basedOn w:val="47"/>
    <w:qFormat/>
    <w:uiPriority w:val="0"/>
    <w:pPr>
      <w:adjustRightInd w:val="0"/>
      <w:spacing w:line="300" w:lineRule="auto"/>
      <w:jc w:val="center"/>
    </w:pPr>
    <w:rPr>
      <w:rFonts w:ascii="黑体" w:eastAsia="黑体"/>
      <w:sz w:val="24"/>
    </w:rPr>
  </w:style>
  <w:style w:type="paragraph" w:customStyle="1" w:styleId="2861">
    <w:name w:val="正文5"/>
    <w:qFormat/>
    <w:uiPriority w:val="0"/>
    <w:pPr>
      <w:widowControl w:val="0"/>
      <w:adjustRightInd w:val="0"/>
      <w:spacing w:line="315" w:lineRule="atLeast"/>
      <w:textAlignment w:val="baseline"/>
    </w:pPr>
    <w:rPr>
      <w:rFonts w:ascii="宋体" w:hAnsi="Times New Roman" w:eastAsia="宋体" w:cs="Times New Roman"/>
      <w:sz w:val="24"/>
      <w:lang w:val="en-US" w:eastAsia="zh-CN" w:bidi="ar-SA"/>
    </w:rPr>
  </w:style>
  <w:style w:type="paragraph" w:customStyle="1" w:styleId="2862">
    <w:name w:val="Char Char Char Char Char Char Char Char Char Char Char Char Char Char Char Char Char"/>
    <w:basedOn w:val="1"/>
    <w:qFormat/>
    <w:uiPriority w:val="0"/>
  </w:style>
  <w:style w:type="paragraph" w:customStyle="1" w:styleId="2863">
    <w:name w:val="表内514"/>
    <w:basedOn w:val="1"/>
    <w:qFormat/>
    <w:uiPriority w:val="0"/>
    <w:pPr>
      <w:adjustRightInd w:val="0"/>
      <w:snapToGrid w:val="0"/>
      <w:spacing w:line="300" w:lineRule="exact"/>
      <w:ind w:right="34"/>
      <w:jc w:val="center"/>
    </w:pPr>
    <w:rPr>
      <w:rFonts w:ascii="宋体"/>
      <w:szCs w:val="21"/>
    </w:rPr>
  </w:style>
  <w:style w:type="paragraph" w:customStyle="1" w:styleId="2864">
    <w:name w:val="表题101"/>
    <w:basedOn w:val="21"/>
    <w:qFormat/>
    <w:uiPriority w:val="0"/>
    <w:pPr>
      <w:ind w:firstLine="0" w:firstLineChars="0"/>
      <w:jc w:val="center"/>
    </w:pPr>
    <w:rPr>
      <w:rFonts w:ascii="黑体" w:eastAsia="黑体"/>
      <w:b/>
      <w:szCs w:val="24"/>
    </w:rPr>
  </w:style>
  <w:style w:type="paragraph" w:customStyle="1" w:styleId="2865">
    <w:name w:val="等核实31"/>
    <w:basedOn w:val="35"/>
    <w:qFormat/>
    <w:uiPriority w:val="0"/>
    <w:pPr>
      <w:tabs>
        <w:tab w:val="left" w:pos="4305"/>
      </w:tabs>
      <w:adjustRightInd w:val="0"/>
      <w:snapToGrid w:val="0"/>
      <w:spacing w:after="0" w:line="360" w:lineRule="auto"/>
      <w:ind w:left="0" w:leftChars="0" w:firstLine="480" w:firstLineChars="200"/>
    </w:pPr>
    <w:rPr>
      <w:rFonts w:ascii="宋体" w:hAnsi="宋体"/>
      <w:color w:val="0000FF"/>
      <w:sz w:val="24"/>
      <w:szCs w:val="20"/>
    </w:rPr>
  </w:style>
  <w:style w:type="paragraph" w:customStyle="1" w:styleId="2866">
    <w:name w:val="Char Char Char Char12"/>
    <w:basedOn w:val="1"/>
    <w:qFormat/>
    <w:uiPriority w:val="0"/>
    <w:pPr>
      <w:spacing w:line="360" w:lineRule="auto"/>
      <w:ind w:firstLine="200" w:firstLineChars="200"/>
    </w:pPr>
    <w:rPr>
      <w:rFonts w:ascii="宋体" w:hAnsi="宋体" w:cs="宋体"/>
      <w:sz w:val="24"/>
    </w:rPr>
  </w:style>
  <w:style w:type="paragraph" w:customStyle="1" w:styleId="2867">
    <w:name w:val="xl140"/>
    <w:basedOn w:val="1"/>
    <w:qFormat/>
    <w:uiPriority w:val="0"/>
    <w:pPr>
      <w:widowControl/>
      <w:pBdr>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2868">
    <w:name w:val="样式 正文缩进 + 小四 首行缩进:  2 字符1"/>
    <w:basedOn w:val="21"/>
    <w:qFormat/>
    <w:uiPriority w:val="0"/>
    <w:pPr>
      <w:keepNext/>
      <w:tabs>
        <w:tab w:val="left" w:pos="1727"/>
        <w:tab w:val="left" w:pos="1884"/>
      </w:tabs>
      <w:spacing w:line="360" w:lineRule="auto"/>
      <w:ind w:firstLine="480"/>
      <w:jc w:val="left"/>
      <w:outlineLvl w:val="0"/>
    </w:pPr>
    <w:rPr>
      <w:rFonts w:ascii="宋体" w:hAnsi="宋体" w:cs="宋体"/>
      <w:snapToGrid w:val="0"/>
      <w:color w:val="000000"/>
      <w:sz w:val="28"/>
    </w:rPr>
  </w:style>
  <w:style w:type="paragraph" w:customStyle="1" w:styleId="2869">
    <w:name w:val="xl51"/>
    <w:basedOn w:val="1"/>
    <w:qFormat/>
    <w:uiPriority w:val="0"/>
    <w:pPr>
      <w:widowControl/>
      <w:spacing w:before="100" w:beforeAutospacing="1" w:after="100" w:afterAutospacing="1"/>
      <w:jc w:val="center"/>
    </w:pPr>
    <w:rPr>
      <w:rFonts w:ascii="宋体" w:hAnsi="宋体"/>
      <w:b/>
      <w:bCs/>
      <w:sz w:val="52"/>
      <w:szCs w:val="52"/>
    </w:rPr>
  </w:style>
  <w:style w:type="paragraph" w:customStyle="1" w:styleId="2870">
    <w:name w:val="页脚31"/>
    <w:basedOn w:val="2861"/>
    <w:qFormat/>
    <w:uiPriority w:val="0"/>
    <w:pPr>
      <w:tabs>
        <w:tab w:val="center" w:pos="4153"/>
        <w:tab w:val="right" w:pos="8306"/>
      </w:tabs>
      <w:spacing w:line="240" w:lineRule="atLeast"/>
    </w:pPr>
    <w:rPr>
      <w:sz w:val="18"/>
    </w:rPr>
  </w:style>
  <w:style w:type="paragraph" w:customStyle="1" w:styleId="2871">
    <w:name w:val="样式 正文居中五号 +"/>
    <w:qFormat/>
    <w:uiPriority w:val="0"/>
    <w:pPr>
      <w:textAlignment w:val="center"/>
    </w:pPr>
    <w:rPr>
      <w:rFonts w:ascii="Times New Roman" w:hAnsi="Times New Roman" w:eastAsia="宋体" w:cs="Times New Roman"/>
      <w:lang w:val="en-US" w:eastAsia="zh-CN" w:bidi="ar-SA"/>
    </w:rPr>
  </w:style>
  <w:style w:type="paragraph" w:customStyle="1" w:styleId="2872">
    <w:name w:val="表题116"/>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2873">
    <w:name w:val="表题 Char4"/>
    <w:basedOn w:val="1"/>
    <w:qFormat/>
    <w:uiPriority w:val="0"/>
    <w:pPr>
      <w:spacing w:line="360" w:lineRule="auto"/>
      <w:jc w:val="center"/>
    </w:pPr>
    <w:rPr>
      <w:rFonts w:ascii="黑体" w:eastAsia="黑体"/>
      <w:bCs/>
      <w:sz w:val="28"/>
      <w:szCs w:val="28"/>
    </w:rPr>
  </w:style>
  <w:style w:type="paragraph" w:customStyle="1" w:styleId="2874">
    <w:name w:val="样式 表标题4.2 + 居中 段前: 1 行"/>
    <w:basedOn w:val="2433"/>
    <w:qFormat/>
    <w:uiPriority w:val="0"/>
    <w:pPr>
      <w:tabs>
        <w:tab w:val="left" w:pos="4440"/>
      </w:tabs>
      <w:spacing w:beforeLines="0"/>
      <w:ind w:left="3780" w:hanging="420"/>
      <w:jc w:val="center"/>
    </w:pPr>
    <w:rPr>
      <w:rFonts w:cs="宋体"/>
      <w:bCs/>
    </w:rPr>
  </w:style>
  <w:style w:type="paragraph" w:customStyle="1" w:styleId="2875">
    <w:name w:val="表中文字5"/>
    <w:basedOn w:val="1"/>
    <w:qFormat/>
    <w:uiPriority w:val="0"/>
    <w:pPr>
      <w:widowControl/>
      <w:spacing w:line="240" w:lineRule="atLeast"/>
      <w:ind w:left="-24" w:leftChars="-10" w:right="-48" w:rightChars="-20"/>
      <w:jc w:val="center"/>
    </w:pPr>
    <w:rPr>
      <w:rFonts w:ascii="宋体"/>
      <w:szCs w:val="21"/>
    </w:rPr>
  </w:style>
  <w:style w:type="paragraph" w:customStyle="1" w:styleId="2876">
    <w:name w:val="正文修改2"/>
    <w:basedOn w:val="1325"/>
    <w:qFormat/>
    <w:uiPriority w:val="0"/>
    <w:pPr>
      <w:ind w:right="210" w:rightChars="100" w:firstLine="209" w:firstLineChars="87"/>
    </w:pPr>
    <w:rPr>
      <w:bCs w:val="0"/>
    </w:rPr>
  </w:style>
  <w:style w:type="paragraph" w:customStyle="1" w:styleId="2877">
    <w:name w:val="样式 表格文字居中 + 右侧:  -0.06 字符1"/>
    <w:basedOn w:val="1159"/>
    <w:qFormat/>
    <w:uiPriority w:val="0"/>
    <w:pPr>
      <w:keepNext/>
      <w:ind w:left="-6"/>
    </w:pPr>
    <w:rPr>
      <w:rFonts w:cs="宋体"/>
      <w:szCs w:val="20"/>
    </w:rPr>
  </w:style>
  <w:style w:type="paragraph" w:customStyle="1" w:styleId="2878">
    <w:name w:val="福建正文缩进24"/>
    <w:basedOn w:val="1"/>
    <w:qFormat/>
    <w:uiPriority w:val="0"/>
    <w:pPr>
      <w:tabs>
        <w:tab w:val="left" w:pos="4305"/>
      </w:tabs>
      <w:adjustRightInd w:val="0"/>
      <w:snapToGrid w:val="0"/>
      <w:spacing w:line="360" w:lineRule="auto"/>
      <w:ind w:firstLine="567"/>
    </w:pPr>
    <w:rPr>
      <w:rFonts w:ascii="宋体" w:hAnsi="宋体"/>
      <w:color w:val="000000"/>
      <w:sz w:val="24"/>
    </w:rPr>
  </w:style>
  <w:style w:type="paragraph" w:customStyle="1" w:styleId="2879">
    <w:name w:val="Char14"/>
    <w:basedOn w:val="1"/>
    <w:qFormat/>
    <w:uiPriority w:val="0"/>
    <w:pPr>
      <w:ind w:left="-48"/>
    </w:pPr>
  </w:style>
  <w:style w:type="paragraph" w:customStyle="1" w:styleId="2880">
    <w:name w:val="题图1"/>
    <w:basedOn w:val="1"/>
    <w:qFormat/>
    <w:uiPriority w:val="0"/>
    <w:pPr>
      <w:adjustRightInd w:val="0"/>
      <w:snapToGrid w:val="0"/>
      <w:jc w:val="center"/>
    </w:pPr>
    <w:rPr>
      <w:rFonts w:ascii="宋体" w:hAnsi="宋体" w:cs="宋体"/>
      <w:sz w:val="28"/>
    </w:rPr>
  </w:style>
  <w:style w:type="paragraph" w:customStyle="1" w:styleId="2881">
    <w:name w:val="标题4110"/>
    <w:basedOn w:val="1"/>
    <w:qFormat/>
    <w:uiPriority w:val="0"/>
    <w:pPr>
      <w:adjustRightInd w:val="0"/>
      <w:snapToGrid w:val="0"/>
      <w:spacing w:line="300" w:lineRule="auto"/>
      <w:jc w:val="left"/>
    </w:pPr>
    <w:rPr>
      <w:rFonts w:ascii="黑体" w:hAnsi="宋体" w:eastAsia="黑体" w:cs="宋体"/>
      <w:bCs/>
      <w:sz w:val="24"/>
    </w:rPr>
  </w:style>
  <w:style w:type="paragraph" w:customStyle="1" w:styleId="2882">
    <w:name w:val="8"/>
    <w:basedOn w:val="1"/>
    <w:qFormat/>
    <w:uiPriority w:val="0"/>
    <w:pPr>
      <w:spacing w:line="360" w:lineRule="auto"/>
      <w:ind w:firstLine="480" w:firstLineChars="200"/>
    </w:pPr>
    <w:rPr>
      <w:kern w:val="10"/>
      <w:sz w:val="24"/>
    </w:rPr>
  </w:style>
  <w:style w:type="paragraph" w:customStyle="1" w:styleId="2883">
    <w:name w:val="Address 2"/>
    <w:basedOn w:val="1"/>
    <w:qFormat/>
    <w:uiPriority w:val="0"/>
    <w:pPr>
      <w:widowControl/>
      <w:spacing w:line="200" w:lineRule="atLeast"/>
      <w:jc w:val="left"/>
    </w:pPr>
    <w:rPr>
      <w:sz w:val="16"/>
    </w:rPr>
  </w:style>
  <w:style w:type="paragraph" w:customStyle="1" w:styleId="2884">
    <w:name w:val="样式 13.4.4.1 +"/>
    <w:basedOn w:val="2798"/>
    <w:qFormat/>
    <w:uiPriority w:val="0"/>
    <w:rPr>
      <w:bCs/>
    </w:rPr>
  </w:style>
  <w:style w:type="paragraph" w:customStyle="1" w:styleId="2885">
    <w:name w:val="表题7"/>
    <w:basedOn w:val="35"/>
    <w:qFormat/>
    <w:uiPriority w:val="0"/>
    <w:pPr>
      <w:tabs>
        <w:tab w:val="left" w:pos="4305"/>
      </w:tabs>
      <w:adjustRightInd w:val="0"/>
      <w:snapToGrid w:val="0"/>
      <w:spacing w:after="0"/>
      <w:ind w:left="0" w:leftChars="0"/>
      <w:jc w:val="center"/>
    </w:pPr>
    <w:rPr>
      <w:rFonts w:ascii="黑体" w:hAnsi="宋体" w:eastAsia="黑体"/>
      <w:sz w:val="24"/>
    </w:rPr>
  </w:style>
  <w:style w:type="paragraph" w:customStyle="1" w:styleId="2886">
    <w:name w:val="表内553"/>
    <w:basedOn w:val="1572"/>
    <w:qFormat/>
    <w:uiPriority w:val="0"/>
    <w:pPr>
      <w:spacing w:line="300" w:lineRule="auto"/>
      <w:jc w:val="both"/>
    </w:pPr>
    <w:rPr>
      <w:color w:val="000000"/>
    </w:rPr>
  </w:style>
  <w:style w:type="paragraph" w:customStyle="1" w:styleId="2887">
    <w:name w:val="正文16"/>
    <w:basedOn w:val="1"/>
    <w:qFormat/>
    <w:uiPriority w:val="0"/>
    <w:pPr>
      <w:adjustRightInd w:val="0"/>
      <w:spacing w:after="120" w:line="360" w:lineRule="atLeast"/>
      <w:jc w:val="center"/>
      <w:textAlignment w:val="baseline"/>
    </w:pPr>
    <w:rPr>
      <w:rFonts w:ascii="宋体" w:hAnsi="宋体" w:cs="宋体"/>
      <w:sz w:val="24"/>
    </w:rPr>
  </w:style>
  <w:style w:type="paragraph" w:customStyle="1" w:styleId="2888">
    <w:name w:val="xl117"/>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color w:val="000000"/>
      <w:sz w:val="18"/>
      <w:szCs w:val="18"/>
    </w:rPr>
  </w:style>
  <w:style w:type="paragraph" w:customStyle="1" w:styleId="2889">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2890">
    <w:name w:val="LOGO"/>
    <w:basedOn w:val="1"/>
    <w:qFormat/>
    <w:uiPriority w:val="0"/>
    <w:pPr>
      <w:spacing w:line="480" w:lineRule="exact"/>
      <w:ind w:left="482"/>
      <w:jc w:val="right"/>
    </w:pPr>
    <w:rPr>
      <w:rFonts w:cs="宋体"/>
      <w:sz w:val="24"/>
    </w:rPr>
  </w:style>
  <w:style w:type="paragraph" w:customStyle="1" w:styleId="2891">
    <w:name w:val="Char2 Char Char Char Char Char Char Char Char Char"/>
    <w:basedOn w:val="1"/>
    <w:qFormat/>
    <w:uiPriority w:val="0"/>
  </w:style>
  <w:style w:type="paragraph" w:customStyle="1" w:styleId="2892">
    <w:name w:val="文章标题"/>
    <w:basedOn w:val="3"/>
    <w:next w:val="1"/>
    <w:qFormat/>
    <w:uiPriority w:val="0"/>
    <w:pPr>
      <w:tabs>
        <w:tab w:val="left" w:pos="1134"/>
        <w:tab w:val="right" w:pos="7371"/>
      </w:tabs>
      <w:overflowPunct w:val="0"/>
      <w:adjustRightInd w:val="0"/>
      <w:spacing w:before="240" w:after="240" w:line="360" w:lineRule="auto"/>
      <w:jc w:val="center"/>
      <w:textAlignment w:val="baseline"/>
      <w:outlineLvl w:val="9"/>
    </w:pPr>
    <w:rPr>
      <w:rFonts w:eastAsia="黑体"/>
      <w:b w:val="0"/>
      <w:bCs w:val="0"/>
      <w:color w:val="FF0000"/>
      <w:szCs w:val="20"/>
    </w:rPr>
  </w:style>
  <w:style w:type="paragraph" w:customStyle="1" w:styleId="2893">
    <w:name w:val="样式 标题 2节节标题 1.1H2（一）Underrubrik1prop2Heading 2 HiddenHea...2"/>
    <w:basedOn w:val="4"/>
    <w:qFormat/>
    <w:uiPriority w:val="0"/>
    <w:pPr>
      <w:tabs>
        <w:tab w:val="left" w:pos="576"/>
        <w:tab w:val="clear" w:pos="1427"/>
      </w:tabs>
      <w:adjustRightInd/>
      <w:spacing w:before="156"/>
      <w:textAlignment w:val="auto"/>
    </w:pPr>
    <w:rPr>
      <w:rFonts w:ascii="宋体" w:hAnsi="宋体"/>
      <w:bCs/>
      <w:color w:val="000000"/>
      <w:kern w:val="2"/>
      <w:sz w:val="30"/>
      <w:szCs w:val="32"/>
    </w:rPr>
  </w:style>
  <w:style w:type="paragraph" w:customStyle="1" w:styleId="2894">
    <w:name w:val="样式 标题 21.1标题 21.1标题2标题 2 Char1节标2_标题 2"/>
    <w:basedOn w:val="4"/>
    <w:qFormat/>
    <w:uiPriority w:val="0"/>
    <w:pPr>
      <w:adjustRightInd/>
      <w:spacing w:beforeLines="0" w:afterLines="0" w:line="312" w:lineRule="auto"/>
      <w:ind w:left="238"/>
      <w:jc w:val="both"/>
      <w:textAlignment w:val="auto"/>
    </w:pPr>
    <w:rPr>
      <w:rFonts w:ascii="Arial" w:hAnsi="Arial" w:cs="宋体"/>
      <w:bCs/>
      <w:color w:val="000000"/>
      <w:kern w:val="2"/>
      <w:sz w:val="24"/>
    </w:rPr>
  </w:style>
  <w:style w:type="paragraph" w:customStyle="1" w:styleId="2895">
    <w:name w:val="样式 首行缩进:  2 字符1"/>
    <w:basedOn w:val="1"/>
    <w:qFormat/>
    <w:uiPriority w:val="0"/>
    <w:pPr>
      <w:spacing w:line="480" w:lineRule="exact"/>
      <w:ind w:firstLine="200" w:firstLineChars="200"/>
    </w:pPr>
    <w:rPr>
      <w:sz w:val="24"/>
    </w:rPr>
  </w:style>
  <w:style w:type="paragraph" w:customStyle="1" w:styleId="2896">
    <w:name w:val="表题110"/>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2897">
    <w:name w:val="样式 标题 3 + 行距: 最小值 25 磅"/>
    <w:basedOn w:val="5"/>
    <w:qFormat/>
    <w:uiPriority w:val="0"/>
    <w:pPr>
      <w:keepLines w:val="0"/>
      <w:tabs>
        <w:tab w:val="clear" w:pos="720"/>
      </w:tabs>
      <w:snapToGrid w:val="0"/>
      <w:spacing w:line="490" w:lineRule="atLeast"/>
      <w:ind w:left="0" w:firstLine="0"/>
      <w:textAlignment w:val="auto"/>
    </w:pPr>
    <w:rPr>
      <w:rFonts w:eastAsia="宋体"/>
      <w:b w:val="0"/>
      <w:color w:val="auto"/>
      <w:spacing w:val="0"/>
      <w:kern w:val="2"/>
      <w:szCs w:val="28"/>
    </w:rPr>
  </w:style>
  <w:style w:type="paragraph" w:customStyle="1" w:styleId="2898">
    <w:name w:val="尾消息标题"/>
    <w:basedOn w:val="80"/>
    <w:next w:val="34"/>
    <w:qFormat/>
    <w:uiPriority w:val="0"/>
    <w:pPr>
      <w:keepLines/>
      <w:widowControl/>
      <w:pBdr>
        <w:top w:val="double" w:color="auto" w:sz="6" w:space="18"/>
        <w:left w:val="none" w:color="auto" w:sz="0" w:space="0"/>
        <w:bottom w:val="double" w:color="auto" w:sz="6" w:space="18"/>
        <w:right w:val="none" w:color="auto" w:sz="0" w:space="0"/>
        <w:between w:val="single" w:color="auto" w:sz="6" w:space="18"/>
      </w:pBdr>
      <w:shd w:val="clear" w:color="auto" w:fill="auto"/>
      <w:tabs>
        <w:tab w:val="left" w:pos="1279"/>
        <w:tab w:val="left" w:pos="2940"/>
        <w:tab w:val="left" w:pos="5100"/>
        <w:tab w:val="right" w:pos="8640"/>
      </w:tabs>
      <w:spacing w:before="13" w:after="40" w:line="140" w:lineRule="atLeast"/>
      <w:ind w:left="0" w:leftChars="0" w:firstLine="0" w:firstLineChars="0"/>
      <w:jc w:val="left"/>
    </w:pPr>
    <w:rPr>
      <w:rFonts w:ascii="Garamond" w:hAnsi="Garamond"/>
      <w:spacing w:val="-5"/>
      <w:sz w:val="21"/>
      <w:szCs w:val="20"/>
      <w:shd w:val="pct20" w:color="auto" w:fill="auto"/>
    </w:rPr>
  </w:style>
  <w:style w:type="paragraph" w:customStyle="1" w:styleId="2899">
    <w:name w:val="文"/>
    <w:basedOn w:val="5"/>
    <w:qFormat/>
    <w:uiPriority w:val="0"/>
    <w:pPr>
      <w:keepNext w:val="0"/>
      <w:keepLines w:val="0"/>
      <w:tabs>
        <w:tab w:val="clear" w:pos="720"/>
      </w:tabs>
      <w:adjustRightInd/>
      <w:ind w:left="0" w:firstLine="480" w:firstLineChars="200"/>
      <w:jc w:val="both"/>
      <w:textAlignment w:val="auto"/>
      <w:outlineLvl w:val="9"/>
    </w:pPr>
    <w:rPr>
      <w:rFonts w:eastAsia="宋体"/>
      <w:b w:val="0"/>
      <w:color w:val="auto"/>
      <w:spacing w:val="0"/>
      <w:kern w:val="2"/>
      <w:sz w:val="24"/>
      <w:szCs w:val="24"/>
    </w:rPr>
  </w:style>
  <w:style w:type="paragraph" w:customStyle="1" w:styleId="2900">
    <w:name w:val="表头名称"/>
    <w:basedOn w:val="21"/>
    <w:qFormat/>
    <w:uiPriority w:val="0"/>
    <w:pPr>
      <w:autoSpaceDE w:val="0"/>
      <w:autoSpaceDN w:val="0"/>
      <w:adjustRightInd w:val="0"/>
      <w:spacing w:line="360" w:lineRule="auto"/>
      <w:ind w:firstLine="0" w:firstLineChars="0"/>
      <w:jc w:val="center"/>
    </w:pPr>
    <w:rPr>
      <w:rFonts w:ascii="楷体_GB2312" w:hAnsi="Calibri" w:eastAsia="楷体_GB2312"/>
      <w:szCs w:val="22"/>
    </w:rPr>
  </w:style>
  <w:style w:type="paragraph" w:customStyle="1" w:styleId="2901">
    <w:name w:val="Char Char Char Char Char Char Char Char Char Char Char Char Char Char Char Char Char Char Char11"/>
    <w:basedOn w:val="1"/>
    <w:qFormat/>
    <w:uiPriority w:val="0"/>
  </w:style>
  <w:style w:type="paragraph" w:customStyle="1" w:styleId="2902">
    <w:name w:val="2级"/>
    <w:basedOn w:val="1"/>
    <w:next w:val="21"/>
    <w:qFormat/>
    <w:uiPriority w:val="0"/>
    <w:pPr>
      <w:spacing w:line="420" w:lineRule="auto"/>
      <w:outlineLvl w:val="1"/>
    </w:pPr>
    <w:rPr>
      <w:b/>
      <w:sz w:val="28"/>
      <w:szCs w:val="28"/>
    </w:rPr>
  </w:style>
  <w:style w:type="paragraph" w:customStyle="1" w:styleId="2903">
    <w:name w:val="表标题7.2"/>
    <w:basedOn w:val="2841"/>
    <w:qFormat/>
    <w:uiPriority w:val="0"/>
    <w:pPr>
      <w:tabs>
        <w:tab w:val="left" w:pos="726"/>
      </w:tabs>
      <w:ind w:left="2" w:firstLine="4"/>
    </w:pPr>
    <w:rPr>
      <w:szCs w:val="24"/>
    </w:rPr>
  </w:style>
  <w:style w:type="paragraph" w:customStyle="1" w:styleId="2904">
    <w:name w:val="页眉中74"/>
    <w:basedOn w:val="1"/>
    <w:qFormat/>
    <w:uiPriority w:val="0"/>
    <w:pPr>
      <w:adjustRightInd w:val="0"/>
      <w:snapToGrid w:val="0"/>
      <w:spacing w:line="300" w:lineRule="auto"/>
      <w:jc w:val="left"/>
    </w:pPr>
    <w:rPr>
      <w:rFonts w:ascii="黑体" w:eastAsia="黑体"/>
      <w:bCs/>
      <w:sz w:val="24"/>
    </w:rPr>
  </w:style>
  <w:style w:type="paragraph" w:customStyle="1" w:styleId="2905">
    <w:name w:val="样式 标题 3 + (符号) Times New Roman 四号 两端对齐 段前: 12 磅 行距: 1.5 倍行距1"/>
    <w:basedOn w:val="5"/>
    <w:qFormat/>
    <w:uiPriority w:val="0"/>
    <w:pPr>
      <w:keepNext w:val="0"/>
      <w:keepLines w:val="0"/>
      <w:tabs>
        <w:tab w:val="clear" w:pos="720"/>
      </w:tabs>
      <w:snapToGrid w:val="0"/>
      <w:spacing w:before="120" w:afterLines="50"/>
      <w:ind w:left="0" w:firstLine="0"/>
      <w:jc w:val="both"/>
      <w:textAlignment w:val="auto"/>
    </w:pPr>
    <w:rPr>
      <w:rFonts w:ascii="黑体" w:cs="宋体"/>
      <w:color w:val="auto"/>
      <w:spacing w:val="0"/>
      <w:kern w:val="2"/>
      <w:szCs w:val="28"/>
    </w:rPr>
  </w:style>
  <w:style w:type="paragraph" w:customStyle="1" w:styleId="2906">
    <w:name w:val="收信人地址12"/>
    <w:basedOn w:val="1"/>
    <w:qFormat/>
    <w:uiPriority w:val="0"/>
    <w:pPr>
      <w:snapToGrid w:val="0"/>
      <w:ind w:left="100" w:leftChars="1400"/>
    </w:pPr>
    <w:rPr>
      <w:rFonts w:ascii="Arial" w:hAnsi="Arial" w:cs="Arial"/>
      <w:sz w:val="24"/>
    </w:rPr>
  </w:style>
  <w:style w:type="paragraph" w:customStyle="1" w:styleId="2907">
    <w:name w:val="Char Char Char2 Char11"/>
    <w:basedOn w:val="1"/>
    <w:qFormat/>
    <w:uiPriority w:val="0"/>
  </w:style>
  <w:style w:type="paragraph" w:customStyle="1" w:styleId="2908">
    <w:name w:val="正文仿宋"/>
    <w:basedOn w:val="1"/>
    <w:qFormat/>
    <w:uiPriority w:val="0"/>
    <w:pPr>
      <w:adjustRightInd w:val="0"/>
      <w:snapToGrid w:val="0"/>
      <w:spacing w:line="360" w:lineRule="auto"/>
      <w:ind w:firstLine="567"/>
    </w:pPr>
    <w:rPr>
      <w:rFonts w:eastAsia="仿宋_GB2312"/>
      <w:snapToGrid w:val="0"/>
      <w:sz w:val="24"/>
    </w:rPr>
  </w:style>
  <w:style w:type="paragraph" w:customStyle="1" w:styleId="2909">
    <w:name w:val="xl89"/>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eastAsia="Arial Unicode MS"/>
      <w:sz w:val="16"/>
      <w:szCs w:val="16"/>
    </w:rPr>
  </w:style>
  <w:style w:type="paragraph" w:customStyle="1" w:styleId="2910">
    <w:name w:val="样式123"/>
    <w:basedOn w:val="47"/>
    <w:qFormat/>
    <w:uiPriority w:val="0"/>
    <w:pPr>
      <w:adjustRightInd w:val="0"/>
      <w:spacing w:line="300" w:lineRule="auto"/>
      <w:ind w:firstLine="560" w:firstLineChars="200"/>
    </w:pPr>
    <w:rPr>
      <w:rFonts w:ascii="黑体" w:hAnsi="Times New Roman" w:eastAsia="黑体"/>
      <w:sz w:val="28"/>
    </w:rPr>
  </w:style>
  <w:style w:type="paragraph" w:customStyle="1" w:styleId="2911">
    <w:name w:val="表内宋55"/>
    <w:basedOn w:val="82"/>
    <w:qFormat/>
    <w:uiPriority w:val="0"/>
    <w:pPr>
      <w:widowControl/>
      <w:adjustRightInd w:val="0"/>
      <w:snapToGrid w:val="0"/>
      <w:spacing w:before="100" w:beforeAutospacing="1" w:after="100" w:afterAutospacing="1"/>
    </w:pPr>
    <w:rPr>
      <w:rFonts w:ascii="宋体" w:hAnsi="宋体"/>
      <w:color w:val="000000"/>
      <w:sz w:val="21"/>
    </w:rPr>
  </w:style>
  <w:style w:type="paragraph" w:customStyle="1" w:styleId="2912">
    <w:name w:val="图表名称1"/>
    <w:basedOn w:val="87"/>
    <w:qFormat/>
    <w:uiPriority w:val="0"/>
    <w:pPr>
      <w:adjustRightInd w:val="0"/>
      <w:snapToGrid w:val="0"/>
      <w:ind w:firstLine="0" w:firstLineChars="0"/>
      <w:jc w:val="center"/>
    </w:pPr>
    <w:rPr>
      <w:rFonts w:ascii="宋体" w:hAnsi="宋体"/>
      <w:sz w:val="24"/>
      <w:szCs w:val="21"/>
    </w:rPr>
  </w:style>
  <w:style w:type="paragraph" w:customStyle="1" w:styleId="2913">
    <w:name w:val="xl141"/>
    <w:basedOn w:val="1"/>
    <w:qFormat/>
    <w:uiPriority w:val="0"/>
    <w:pPr>
      <w:widowControl/>
      <w:pBdr>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2914">
    <w:name w:val="表左"/>
    <w:basedOn w:val="1"/>
    <w:next w:val="1"/>
    <w:qFormat/>
    <w:uiPriority w:val="0"/>
    <w:pPr>
      <w:spacing w:line="280" w:lineRule="exact"/>
    </w:pPr>
    <w:rPr>
      <w:snapToGrid w:val="0"/>
      <w:color w:val="000000"/>
      <w:sz w:val="18"/>
    </w:rPr>
  </w:style>
  <w:style w:type="paragraph" w:customStyle="1" w:styleId="2915">
    <w:name w:val="标题 1 + (西文) 黑体 (中文) 黑体 三号 居中"/>
    <w:basedOn w:val="3"/>
    <w:qFormat/>
    <w:uiPriority w:val="0"/>
    <w:pPr>
      <w:tabs>
        <w:tab w:val="left" w:pos="900"/>
      </w:tabs>
      <w:spacing w:beforeLines="50" w:after="0" w:line="240" w:lineRule="auto"/>
      <w:ind w:left="900" w:hanging="420"/>
    </w:pPr>
    <w:rPr>
      <w:rFonts w:eastAsia="黑体"/>
      <w:b w:val="0"/>
      <w:sz w:val="32"/>
      <w:szCs w:val="20"/>
    </w:rPr>
  </w:style>
  <w:style w:type="paragraph" w:customStyle="1" w:styleId="2916">
    <w:name w:val="表内小47"/>
    <w:basedOn w:val="1427"/>
    <w:qFormat/>
    <w:uiPriority w:val="0"/>
    <w:pPr>
      <w:ind w:left="240" w:hanging="240"/>
      <w:jc w:val="both"/>
    </w:pPr>
    <w:rPr>
      <w:rFonts w:cs="Times New Roman"/>
    </w:rPr>
  </w:style>
  <w:style w:type="paragraph" w:customStyle="1" w:styleId="2917">
    <w:name w:val="页眉中16"/>
    <w:basedOn w:val="47"/>
    <w:qFormat/>
    <w:uiPriority w:val="0"/>
    <w:pPr>
      <w:adjustRightInd w:val="0"/>
      <w:spacing w:line="300" w:lineRule="auto"/>
      <w:jc w:val="left"/>
    </w:pPr>
    <w:rPr>
      <w:rFonts w:ascii="黑体" w:hAnsi="宋体" w:eastAsia="黑体" w:cs="宋体"/>
      <w:bCs/>
      <w:sz w:val="24"/>
    </w:rPr>
  </w:style>
  <w:style w:type="paragraph" w:customStyle="1" w:styleId="2918">
    <w:name w:val="福建正文缩进22"/>
    <w:basedOn w:val="1"/>
    <w:qFormat/>
    <w:uiPriority w:val="0"/>
    <w:pPr>
      <w:tabs>
        <w:tab w:val="left" w:pos="4305"/>
      </w:tabs>
      <w:adjustRightInd w:val="0"/>
      <w:snapToGrid w:val="0"/>
      <w:spacing w:line="360" w:lineRule="auto"/>
      <w:ind w:firstLine="567"/>
    </w:pPr>
    <w:rPr>
      <w:rFonts w:ascii="宋体" w:hAnsi="宋体"/>
      <w:color w:val="000000"/>
      <w:sz w:val="24"/>
    </w:rPr>
  </w:style>
  <w:style w:type="paragraph" w:customStyle="1" w:styleId="2919">
    <w:name w:val="索引 91"/>
    <w:basedOn w:val="1"/>
    <w:next w:val="1"/>
    <w:qFormat/>
    <w:uiPriority w:val="0"/>
    <w:pPr>
      <w:ind w:left="1600" w:leftChars="1600"/>
    </w:pPr>
    <w:rPr>
      <w:sz w:val="24"/>
    </w:rPr>
  </w:style>
  <w:style w:type="paragraph" w:customStyle="1" w:styleId="2920">
    <w:name w:val="样式 燕山正文 + 首行缩进:  3.5 字符2"/>
    <w:basedOn w:val="1"/>
    <w:qFormat/>
    <w:uiPriority w:val="0"/>
    <w:pPr>
      <w:tabs>
        <w:tab w:val="left" w:pos="4680"/>
      </w:tabs>
      <w:adjustRightInd w:val="0"/>
      <w:snapToGrid w:val="0"/>
      <w:spacing w:line="360" w:lineRule="auto"/>
      <w:ind w:firstLine="200" w:firstLineChars="200"/>
    </w:pPr>
    <w:rPr>
      <w:rFonts w:ascii="宋体" w:hAnsi="宋体" w:cs="宋体"/>
      <w:color w:val="000000"/>
      <w:sz w:val="28"/>
    </w:rPr>
  </w:style>
  <w:style w:type="paragraph" w:customStyle="1" w:styleId="2921">
    <w:name w:val="MFS正文 Char Char"/>
    <w:basedOn w:val="87"/>
    <w:qFormat/>
    <w:uiPriority w:val="0"/>
    <w:pPr>
      <w:adjustRightInd w:val="0"/>
      <w:snapToGrid w:val="0"/>
      <w:spacing w:before="93" w:line="360" w:lineRule="auto"/>
      <w:ind w:firstLine="487" w:firstLineChars="200"/>
    </w:pPr>
    <w:rPr>
      <w:rFonts w:eastAsia="楷体_GB2312"/>
      <w:sz w:val="24"/>
    </w:rPr>
  </w:style>
  <w:style w:type="paragraph" w:customStyle="1" w:styleId="2922">
    <w:name w:val="页眉中121"/>
    <w:basedOn w:val="1"/>
    <w:qFormat/>
    <w:uiPriority w:val="0"/>
    <w:pPr>
      <w:adjustRightInd w:val="0"/>
      <w:snapToGrid w:val="0"/>
      <w:spacing w:line="300" w:lineRule="auto"/>
      <w:jc w:val="left"/>
    </w:pPr>
    <w:rPr>
      <w:rFonts w:ascii="黑体" w:eastAsia="黑体"/>
      <w:bCs/>
      <w:sz w:val="24"/>
    </w:rPr>
  </w:style>
  <w:style w:type="paragraph" w:customStyle="1" w:styleId="2923">
    <w:name w:val="等核实44"/>
    <w:basedOn w:val="35"/>
    <w:qFormat/>
    <w:uiPriority w:val="0"/>
    <w:pPr>
      <w:tabs>
        <w:tab w:val="left" w:pos="4305"/>
      </w:tabs>
      <w:adjustRightInd w:val="0"/>
      <w:snapToGrid w:val="0"/>
      <w:spacing w:after="0" w:line="300" w:lineRule="auto"/>
      <w:ind w:left="0" w:leftChars="0" w:firstLine="567"/>
    </w:pPr>
    <w:rPr>
      <w:rFonts w:ascii="宋体" w:hAnsi="宋体"/>
      <w:color w:val="0000FF"/>
      <w:sz w:val="28"/>
      <w:szCs w:val="20"/>
    </w:rPr>
  </w:style>
  <w:style w:type="paragraph" w:customStyle="1" w:styleId="2924">
    <w:name w:val="样式 仿宋_GB2312 小四1"/>
    <w:basedOn w:val="1"/>
    <w:qFormat/>
    <w:uiPriority w:val="0"/>
    <w:pPr>
      <w:adjustRightInd w:val="0"/>
      <w:spacing w:line="360" w:lineRule="auto"/>
      <w:ind w:firstLine="480" w:firstLineChars="200"/>
      <w:textAlignment w:val="baseline"/>
    </w:pPr>
    <w:rPr>
      <w:rFonts w:eastAsia="仿宋_GB2312"/>
      <w:sz w:val="24"/>
    </w:rPr>
  </w:style>
  <w:style w:type="paragraph" w:customStyle="1" w:styleId="2925">
    <w:name w:val="Char Char1 Char Char Char Char Char Char Char1"/>
    <w:basedOn w:val="1"/>
    <w:qFormat/>
    <w:uiPriority w:val="0"/>
  </w:style>
  <w:style w:type="paragraph" w:customStyle="1" w:styleId="2926">
    <w:name w:val="表内512"/>
    <w:basedOn w:val="1"/>
    <w:qFormat/>
    <w:uiPriority w:val="0"/>
    <w:pPr>
      <w:adjustRightInd w:val="0"/>
      <w:snapToGrid w:val="0"/>
      <w:spacing w:line="300" w:lineRule="auto"/>
      <w:jc w:val="left"/>
    </w:pPr>
    <w:rPr>
      <w:rFonts w:ascii="宋体" w:hAnsi="宋体" w:cs="宋体"/>
    </w:rPr>
  </w:style>
  <w:style w:type="paragraph" w:customStyle="1" w:styleId="2927">
    <w:name w:val="xl105"/>
    <w:basedOn w:val="1"/>
    <w:qFormat/>
    <w:uiPriority w:val="0"/>
    <w:pPr>
      <w:widowControl/>
      <w:pBdr>
        <w:top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sz w:val="16"/>
      <w:szCs w:val="16"/>
    </w:rPr>
  </w:style>
  <w:style w:type="paragraph" w:customStyle="1" w:styleId="2928">
    <w:name w:val="表内5中32"/>
    <w:basedOn w:val="1"/>
    <w:qFormat/>
    <w:uiPriority w:val="0"/>
    <w:pPr>
      <w:adjustRightInd w:val="0"/>
      <w:snapToGrid w:val="0"/>
      <w:jc w:val="center"/>
    </w:pPr>
    <w:rPr>
      <w:rFonts w:ascii="宋体"/>
    </w:rPr>
  </w:style>
  <w:style w:type="paragraph" w:customStyle="1" w:styleId="2929">
    <w:name w:val="kk"/>
    <w:basedOn w:val="34"/>
    <w:qFormat/>
    <w:uiPriority w:val="0"/>
    <w:pPr>
      <w:autoSpaceDE w:val="0"/>
      <w:autoSpaceDN w:val="0"/>
      <w:adjustRightInd w:val="0"/>
      <w:spacing w:after="0" w:line="360" w:lineRule="auto"/>
      <w:textAlignment w:val="baseline"/>
    </w:pPr>
    <w:rPr>
      <w:spacing w:val="10"/>
      <w:sz w:val="24"/>
    </w:rPr>
  </w:style>
  <w:style w:type="paragraph" w:customStyle="1" w:styleId="2930">
    <w:name w:val="Char611"/>
    <w:basedOn w:val="1"/>
    <w:qFormat/>
    <w:uiPriority w:val="0"/>
    <w:pPr>
      <w:ind w:left="-48"/>
    </w:pPr>
  </w:style>
  <w:style w:type="paragraph" w:customStyle="1" w:styleId="2931">
    <w:name w:val="xl46"/>
    <w:basedOn w:val="1"/>
    <w:qFormat/>
    <w:uiPriority w:val="0"/>
    <w:pPr>
      <w:widowControl/>
      <w:pBdr>
        <w:top w:val="single" w:color="auto" w:sz="8" w:space="0"/>
      </w:pBdr>
      <w:spacing w:before="100" w:beforeAutospacing="1" w:after="100" w:afterAutospacing="1"/>
      <w:jc w:val="center"/>
    </w:pPr>
    <w:rPr>
      <w:rFonts w:ascii="宋体" w:hAnsi="宋体"/>
      <w:sz w:val="24"/>
    </w:rPr>
  </w:style>
  <w:style w:type="paragraph" w:customStyle="1" w:styleId="2932">
    <w:name w:val="Char Char Char Char Char Char Char Char Char2 Char Char Char Char Char Char Char Char Char Char Char Char"/>
    <w:basedOn w:val="1"/>
    <w:qFormat/>
    <w:uiPriority w:val="0"/>
    <w:pPr>
      <w:spacing w:line="360" w:lineRule="auto"/>
      <w:ind w:firstLine="200" w:firstLineChars="200"/>
    </w:pPr>
    <w:rPr>
      <w:rFonts w:ascii="宋体" w:hAnsi="宋体" w:cs="宋体"/>
      <w:sz w:val="24"/>
    </w:rPr>
  </w:style>
  <w:style w:type="paragraph" w:customStyle="1" w:styleId="2933">
    <w:name w:val="Char26"/>
    <w:basedOn w:val="1"/>
    <w:qFormat/>
    <w:uiPriority w:val="0"/>
  </w:style>
  <w:style w:type="paragraph" w:customStyle="1" w:styleId="2934">
    <w:name w:val="表内序号5"/>
    <w:basedOn w:val="1"/>
    <w:qFormat/>
    <w:uiPriority w:val="0"/>
    <w:pPr>
      <w:widowControl/>
      <w:adjustRightInd w:val="0"/>
      <w:snapToGrid w:val="0"/>
      <w:spacing w:line="360" w:lineRule="auto"/>
      <w:ind w:firstLine="288"/>
    </w:pPr>
    <w:rPr>
      <w:sz w:val="18"/>
    </w:rPr>
  </w:style>
  <w:style w:type="paragraph" w:customStyle="1" w:styleId="2935">
    <w:name w:val="页眉中123"/>
    <w:basedOn w:val="1"/>
    <w:qFormat/>
    <w:uiPriority w:val="0"/>
    <w:pPr>
      <w:adjustRightInd w:val="0"/>
      <w:snapToGrid w:val="0"/>
      <w:spacing w:line="300" w:lineRule="auto"/>
      <w:jc w:val="left"/>
    </w:pPr>
    <w:rPr>
      <w:rFonts w:ascii="黑体" w:eastAsia="黑体"/>
      <w:bCs/>
      <w:sz w:val="24"/>
    </w:rPr>
  </w:style>
  <w:style w:type="paragraph" w:customStyle="1" w:styleId="2936">
    <w:name w:val="表题 Char1"/>
    <w:basedOn w:val="1"/>
    <w:qFormat/>
    <w:uiPriority w:val="0"/>
    <w:pPr>
      <w:spacing w:line="360" w:lineRule="auto"/>
      <w:jc w:val="center"/>
    </w:pPr>
    <w:rPr>
      <w:rFonts w:ascii="黑体" w:eastAsia="黑体"/>
      <w:bCs/>
      <w:sz w:val="28"/>
      <w:szCs w:val="28"/>
    </w:rPr>
  </w:style>
  <w:style w:type="paragraph" w:customStyle="1" w:styleId="2937">
    <w:name w:val="Char Char Char13"/>
    <w:basedOn w:val="1"/>
    <w:qFormat/>
    <w:uiPriority w:val="0"/>
    <w:pPr>
      <w:keepNext/>
      <w:widowControl/>
      <w:tabs>
        <w:tab w:val="left" w:pos="425"/>
      </w:tabs>
      <w:autoSpaceDE w:val="0"/>
      <w:autoSpaceDN w:val="0"/>
      <w:adjustRightInd w:val="0"/>
      <w:spacing w:before="80" w:after="80"/>
      <w:ind w:hanging="425"/>
    </w:pPr>
    <w:rPr>
      <w:rFonts w:ascii="Arial" w:hAnsi="Arial" w:cs="Arial"/>
    </w:rPr>
  </w:style>
  <w:style w:type="paragraph" w:customStyle="1" w:styleId="2938">
    <w:name w:val="样式32"/>
    <w:basedOn w:val="34"/>
    <w:qFormat/>
    <w:uiPriority w:val="0"/>
    <w:pPr>
      <w:widowControl/>
      <w:overflowPunct w:val="0"/>
      <w:autoSpaceDE w:val="0"/>
      <w:autoSpaceDN w:val="0"/>
      <w:adjustRightInd w:val="0"/>
      <w:snapToGrid w:val="0"/>
      <w:spacing w:after="0" w:line="360" w:lineRule="auto"/>
      <w:ind w:firstLine="567"/>
      <w:textAlignment w:val="baseline"/>
    </w:pPr>
    <w:rPr>
      <w:rFonts w:ascii="宋体"/>
      <w:spacing w:val="20"/>
      <w:sz w:val="24"/>
    </w:rPr>
  </w:style>
  <w:style w:type="paragraph" w:customStyle="1" w:styleId="2939">
    <w:name w:val="Char Char Char Char Char Char Char7"/>
    <w:basedOn w:val="1"/>
    <w:next w:val="1"/>
    <w:qFormat/>
    <w:uiPriority w:val="0"/>
    <w:pPr>
      <w:keepNext/>
      <w:keepLines/>
      <w:widowControl/>
      <w:adjustRightInd w:val="0"/>
      <w:spacing w:before="40" w:after="40" w:line="360" w:lineRule="auto"/>
      <w:ind w:firstLine="200" w:firstLineChars="200"/>
    </w:pPr>
    <w:rPr>
      <w:rFonts w:cs="宋体"/>
      <w:sz w:val="24"/>
      <w:szCs w:val="28"/>
    </w:rPr>
  </w:style>
  <w:style w:type="paragraph" w:customStyle="1" w:styleId="2940">
    <w:name w:val="表内526"/>
    <w:basedOn w:val="1"/>
    <w:qFormat/>
    <w:uiPriority w:val="0"/>
    <w:pPr>
      <w:adjustRightInd w:val="0"/>
      <w:snapToGrid w:val="0"/>
      <w:ind w:right="32"/>
      <w:jc w:val="center"/>
    </w:pPr>
    <w:rPr>
      <w:rFonts w:ascii="宋体"/>
      <w:color w:val="000000"/>
      <w:szCs w:val="21"/>
    </w:rPr>
  </w:style>
  <w:style w:type="paragraph" w:customStyle="1" w:styleId="2941">
    <w:name w:val="样式 表内5 + (符号) 宋体 两端对齐 行距: 单倍行距11"/>
    <w:basedOn w:val="1"/>
    <w:qFormat/>
    <w:uiPriority w:val="0"/>
    <w:pPr>
      <w:adjustRightInd w:val="0"/>
      <w:snapToGrid w:val="0"/>
      <w:jc w:val="center"/>
    </w:pPr>
    <w:rPr>
      <w:rFonts w:ascii="宋体" w:hAnsi="宋体" w:cs="宋体"/>
    </w:rPr>
  </w:style>
  <w:style w:type="paragraph" w:customStyle="1" w:styleId="2942">
    <w:name w:val="ST20_5"/>
    <w:qFormat/>
    <w:uiPriority w:val="0"/>
    <w:pPr>
      <w:widowControl w:val="0"/>
      <w:autoSpaceDE w:val="0"/>
      <w:autoSpaceDN w:val="0"/>
      <w:adjustRightInd w:val="0"/>
      <w:jc w:val="both"/>
      <w:textAlignment w:val="baseline"/>
    </w:pPr>
    <w:rPr>
      <w:rFonts w:ascii="宋体" w:hAnsi="Tms Rmn" w:eastAsia="宋体" w:cs="Times New Roman"/>
      <w:sz w:val="21"/>
      <w:lang w:val="en-US" w:eastAsia="zh-CN" w:bidi="ar-SA"/>
    </w:rPr>
  </w:style>
  <w:style w:type="paragraph" w:customStyle="1" w:styleId="2943">
    <w:name w:val="图题18"/>
    <w:basedOn w:val="1"/>
    <w:qFormat/>
    <w:uiPriority w:val="0"/>
    <w:pPr>
      <w:adjustRightInd w:val="0"/>
      <w:snapToGrid w:val="0"/>
      <w:ind w:firstLine="533" w:firstLineChars="222"/>
      <w:jc w:val="center"/>
    </w:pPr>
    <w:rPr>
      <w:rFonts w:ascii="黑体" w:hAnsi="宋体" w:eastAsia="黑体"/>
      <w:snapToGrid w:val="0"/>
      <w:sz w:val="24"/>
    </w:rPr>
  </w:style>
  <w:style w:type="paragraph" w:customStyle="1" w:styleId="2944">
    <w:name w:val="样式14"/>
    <w:basedOn w:val="35"/>
    <w:qFormat/>
    <w:uiPriority w:val="0"/>
    <w:pPr>
      <w:adjustRightInd w:val="0"/>
      <w:snapToGrid w:val="0"/>
      <w:spacing w:after="0"/>
      <w:ind w:left="0" w:leftChars="0"/>
    </w:pPr>
    <w:rPr>
      <w:rFonts w:ascii="方正大标宋简体" w:hAnsi="宋体" w:eastAsia="方正大标宋简体" w:cs="宋体"/>
      <w:color w:val="0000FF"/>
      <w:sz w:val="24"/>
    </w:rPr>
  </w:style>
  <w:style w:type="paragraph" w:customStyle="1" w:styleId="2945">
    <w:name w:val="样式 表内5 + (符号) 宋体 两端对齐 行距: 单倍行距12"/>
    <w:basedOn w:val="1"/>
    <w:qFormat/>
    <w:uiPriority w:val="0"/>
    <w:pPr>
      <w:adjustRightInd w:val="0"/>
      <w:snapToGrid w:val="0"/>
      <w:jc w:val="center"/>
    </w:pPr>
    <w:rPr>
      <w:rFonts w:ascii="宋体" w:hAnsi="宋体" w:cs="宋体"/>
    </w:rPr>
  </w:style>
  <w:style w:type="paragraph" w:customStyle="1" w:styleId="2946">
    <w:name w:val="CM88"/>
    <w:basedOn w:val="641"/>
    <w:next w:val="641"/>
    <w:qFormat/>
    <w:uiPriority w:val="0"/>
    <w:pPr>
      <w:spacing w:after="255"/>
    </w:pPr>
    <w:rPr>
      <w:color w:val="auto"/>
    </w:rPr>
  </w:style>
  <w:style w:type="paragraph" w:customStyle="1" w:styleId="2947">
    <w:name w:val="16.7.2.1"/>
    <w:basedOn w:val="6"/>
    <w:qFormat/>
    <w:uiPriority w:val="0"/>
    <w:pPr>
      <w:keepNext w:val="0"/>
      <w:keepLines w:val="0"/>
      <w:tabs>
        <w:tab w:val="left" w:pos="1800"/>
      </w:tabs>
      <w:spacing w:before="120" w:after="120" w:line="312" w:lineRule="auto"/>
      <w:ind w:left="851" w:hanging="851"/>
    </w:pPr>
    <w:rPr>
      <w:sz w:val="24"/>
      <w:szCs w:val="24"/>
    </w:rPr>
  </w:style>
  <w:style w:type="paragraph" w:customStyle="1" w:styleId="2948">
    <w:name w:val="表内文字小34"/>
    <w:basedOn w:val="1"/>
    <w:qFormat/>
    <w:uiPriority w:val="0"/>
    <w:pPr>
      <w:adjustRightInd w:val="0"/>
      <w:snapToGrid w:val="0"/>
      <w:jc w:val="center"/>
    </w:pPr>
    <w:rPr>
      <w:rFonts w:ascii="宋体" w:hAnsi="Times" w:cs="宋体"/>
      <w:bCs/>
      <w:color w:val="003366"/>
    </w:rPr>
  </w:style>
  <w:style w:type="paragraph" w:customStyle="1" w:styleId="2949">
    <w:name w:val="Char Char Char Char1 Char Char Char1"/>
    <w:basedOn w:val="1"/>
    <w:qFormat/>
    <w:uiPriority w:val="0"/>
    <w:pPr>
      <w:widowControl/>
      <w:spacing w:after="160" w:line="240" w:lineRule="exact"/>
      <w:jc w:val="left"/>
    </w:pPr>
    <w:rPr>
      <w:rFonts w:ascii="Verdana" w:hAnsi="Verdana"/>
      <w:lang w:eastAsia="en-US"/>
    </w:rPr>
  </w:style>
  <w:style w:type="paragraph" w:customStyle="1" w:styleId="2950">
    <w:name w:val="样式 表中文字 + 黑体 图案: 清除 行距: 固定值 16 磅"/>
    <w:basedOn w:val="1596"/>
    <w:qFormat/>
    <w:uiPriority w:val="0"/>
    <w:pPr>
      <w:widowControl w:val="0"/>
      <w:tabs>
        <w:tab w:val="left" w:pos="3286"/>
        <w:tab w:val="left" w:pos="8362"/>
      </w:tabs>
      <w:snapToGrid w:val="0"/>
      <w:spacing w:line="320" w:lineRule="exact"/>
      <w:ind w:left="0" w:leftChars="0" w:right="0" w:rightChars="0"/>
    </w:pPr>
    <w:rPr>
      <w:rFonts w:ascii="黑体" w:eastAsia="Times New Roman" w:cs="宋体"/>
      <w:kern w:val="2"/>
      <w:sz w:val="24"/>
      <w:szCs w:val="20"/>
    </w:rPr>
  </w:style>
  <w:style w:type="paragraph" w:customStyle="1" w:styleId="2951">
    <w:name w:val="表内小410"/>
    <w:basedOn w:val="1427"/>
    <w:qFormat/>
    <w:uiPriority w:val="0"/>
    <w:pPr>
      <w:ind w:left="240" w:hanging="240"/>
      <w:jc w:val="both"/>
    </w:pPr>
    <w:rPr>
      <w:rFonts w:cs="Times New Roman"/>
    </w:rPr>
  </w:style>
  <w:style w:type="paragraph" w:customStyle="1" w:styleId="2952">
    <w:name w:val="日期111"/>
    <w:basedOn w:val="1"/>
    <w:next w:val="1"/>
    <w:qFormat/>
    <w:uiPriority w:val="0"/>
    <w:pPr>
      <w:adjustRightInd w:val="0"/>
      <w:textAlignment w:val="baseline"/>
    </w:pPr>
    <w:rPr>
      <w:rFonts w:ascii="宋体"/>
      <w:spacing w:val="0"/>
      <w:sz w:val="32"/>
    </w:rPr>
  </w:style>
  <w:style w:type="paragraph" w:customStyle="1" w:styleId="2953">
    <w:name w:val="CM17"/>
    <w:basedOn w:val="1"/>
    <w:next w:val="1"/>
    <w:qFormat/>
    <w:uiPriority w:val="0"/>
    <w:pPr>
      <w:autoSpaceDE w:val="0"/>
      <w:autoSpaceDN w:val="0"/>
      <w:adjustRightInd w:val="0"/>
      <w:spacing w:line="548" w:lineRule="atLeast"/>
      <w:jc w:val="left"/>
    </w:pPr>
    <w:rPr>
      <w:rFonts w:ascii="宋体"/>
      <w:sz w:val="24"/>
    </w:rPr>
  </w:style>
  <w:style w:type="paragraph" w:customStyle="1" w:styleId="2954">
    <w:name w:val="样式 标题 2标题2 + (西文) Arial (中文) 黑体 居中 段后: 2 磅"/>
    <w:basedOn w:val="4"/>
    <w:qFormat/>
    <w:uiPriority w:val="0"/>
    <w:pPr>
      <w:tabs>
        <w:tab w:val="left" w:pos="360"/>
        <w:tab w:val="left" w:pos="800"/>
        <w:tab w:val="clear" w:pos="1427"/>
      </w:tabs>
      <w:spacing w:beforeLines="0"/>
      <w:ind w:left="360" w:hanging="360" w:hangingChars="200"/>
      <w:jc w:val="both"/>
    </w:pPr>
    <w:rPr>
      <w:rFonts w:ascii="Arial" w:hAnsi="宋体"/>
      <w:kern w:val="2"/>
      <w:sz w:val="24"/>
    </w:rPr>
  </w:style>
  <w:style w:type="paragraph" w:customStyle="1" w:styleId="2955">
    <w:name w:val="Normal+2"/>
    <w:basedOn w:val="641"/>
    <w:next w:val="641"/>
    <w:qFormat/>
    <w:uiPriority w:val="0"/>
    <w:rPr>
      <w:rFonts w:cs="Times New Roman"/>
      <w:color w:val="auto"/>
    </w:rPr>
  </w:style>
  <w:style w:type="paragraph" w:customStyle="1" w:styleId="2956">
    <w:name w:val="依据文字"/>
    <w:basedOn w:val="37"/>
    <w:qFormat/>
    <w:uiPriority w:val="0"/>
    <w:pPr>
      <w:tabs>
        <w:tab w:val="left" w:pos="420"/>
        <w:tab w:val="left" w:pos="870"/>
        <w:tab w:val="left" w:pos="3150"/>
      </w:tabs>
      <w:autoSpaceDE w:val="0"/>
      <w:autoSpaceDN w:val="0"/>
      <w:adjustRightInd w:val="0"/>
      <w:snapToGrid w:val="0"/>
      <w:spacing w:before="60" w:after="0" w:line="336" w:lineRule="auto"/>
      <w:ind w:left="0" w:leftChars="0" w:firstLine="527" w:firstLineChars="0"/>
      <w:textAlignment w:val="baseline"/>
    </w:pPr>
    <w:rPr>
      <w:rFonts w:ascii="宋体" w:hAnsi="Calibri"/>
      <w:sz w:val="24"/>
      <w:szCs w:val="20"/>
    </w:rPr>
  </w:style>
  <w:style w:type="paragraph" w:customStyle="1" w:styleId="2957">
    <w:name w:val="7"/>
    <w:basedOn w:val="1"/>
    <w:next w:val="21"/>
    <w:qFormat/>
    <w:uiPriority w:val="0"/>
    <w:pPr>
      <w:spacing w:line="420" w:lineRule="exact"/>
      <w:ind w:firstLine="420"/>
    </w:pPr>
    <w:rPr>
      <w:sz w:val="24"/>
    </w:rPr>
  </w:style>
  <w:style w:type="paragraph" w:customStyle="1" w:styleId="2958">
    <w:name w:val="1"/>
    <w:basedOn w:val="1"/>
    <w:qFormat/>
    <w:uiPriority w:val="0"/>
    <w:pPr>
      <w:spacing w:line="360" w:lineRule="auto"/>
      <w:ind w:firstLine="520" w:firstLineChars="200"/>
    </w:pPr>
    <w:rPr>
      <w:spacing w:val="10"/>
      <w:sz w:val="24"/>
    </w:rPr>
  </w:style>
  <w:style w:type="paragraph" w:customStyle="1" w:styleId="2959">
    <w:name w:val="目录888888888"/>
    <w:basedOn w:val="1"/>
    <w:qFormat/>
    <w:uiPriority w:val="0"/>
    <w:pPr>
      <w:keepNext/>
      <w:keepLines/>
      <w:spacing w:before="120" w:after="120" w:line="480" w:lineRule="exact"/>
      <w:outlineLvl w:val="1"/>
    </w:pPr>
    <w:rPr>
      <w:rFonts w:ascii="宋体" w:hAnsi="宋体"/>
      <w:b/>
      <w:bCs/>
      <w:sz w:val="30"/>
      <w:szCs w:val="30"/>
    </w:rPr>
  </w:style>
  <w:style w:type="paragraph" w:customStyle="1" w:styleId="2960">
    <w:name w:val="样式 题注 + 首行缩进:  2 字符"/>
    <w:basedOn w:val="22"/>
    <w:qFormat/>
    <w:uiPriority w:val="0"/>
    <w:pPr>
      <w:snapToGrid w:val="0"/>
      <w:spacing w:line="360" w:lineRule="auto"/>
      <w:ind w:firstLine="400" w:firstLineChars="200"/>
      <w:textAlignment w:val="auto"/>
    </w:pPr>
    <w:rPr>
      <w:rFonts w:hAnsi="宋体" w:cs="宋体"/>
      <w:kern w:val="2"/>
      <w:sz w:val="24"/>
      <w:szCs w:val="24"/>
    </w:rPr>
  </w:style>
  <w:style w:type="paragraph" w:customStyle="1" w:styleId="2961">
    <w:name w:val="等核实4"/>
    <w:basedOn w:val="35"/>
    <w:qFormat/>
    <w:uiPriority w:val="0"/>
    <w:pPr>
      <w:tabs>
        <w:tab w:val="left" w:pos="4305"/>
      </w:tabs>
      <w:adjustRightInd w:val="0"/>
      <w:snapToGrid w:val="0"/>
      <w:spacing w:after="0" w:line="300" w:lineRule="auto"/>
      <w:ind w:left="0" w:leftChars="0" w:firstLine="567"/>
    </w:pPr>
    <w:rPr>
      <w:rFonts w:ascii="宋体" w:hAnsi="宋体"/>
      <w:color w:val="0000FF"/>
      <w:sz w:val="28"/>
      <w:szCs w:val="20"/>
    </w:rPr>
  </w:style>
  <w:style w:type="paragraph" w:customStyle="1" w:styleId="2962">
    <w:name w:val="标题443"/>
    <w:basedOn w:val="1"/>
    <w:qFormat/>
    <w:uiPriority w:val="0"/>
    <w:pPr>
      <w:adjustRightInd w:val="0"/>
      <w:snapToGrid w:val="0"/>
      <w:spacing w:line="300" w:lineRule="auto"/>
      <w:jc w:val="left"/>
    </w:pPr>
    <w:rPr>
      <w:rFonts w:ascii="黑体" w:eastAsia="黑体"/>
      <w:bCs/>
      <w:color w:val="000000"/>
      <w:sz w:val="24"/>
    </w:rPr>
  </w:style>
  <w:style w:type="paragraph" w:customStyle="1" w:styleId="2963">
    <w:name w:val="批注框文本1"/>
    <w:basedOn w:val="1"/>
    <w:qFormat/>
    <w:uiPriority w:val="0"/>
    <w:rPr>
      <w:sz w:val="18"/>
      <w:szCs w:val="18"/>
    </w:rPr>
  </w:style>
  <w:style w:type="paragraph" w:customStyle="1" w:styleId="2964">
    <w:name w:val="流程图"/>
    <w:basedOn w:val="1"/>
    <w:qFormat/>
    <w:uiPriority w:val="0"/>
    <w:pPr>
      <w:tabs>
        <w:tab w:val="left" w:pos="0"/>
      </w:tabs>
      <w:autoSpaceDE w:val="0"/>
      <w:autoSpaceDN w:val="0"/>
      <w:adjustRightInd w:val="0"/>
      <w:spacing w:line="240" w:lineRule="atLeast"/>
      <w:jc w:val="center"/>
      <w:textAlignment w:val="bottom"/>
    </w:pPr>
    <w:rPr>
      <w:rFonts w:ascii="宋体"/>
      <w:bCs/>
      <w:iCs/>
      <w:szCs w:val="21"/>
    </w:rPr>
  </w:style>
  <w:style w:type="paragraph" w:customStyle="1" w:styleId="2965">
    <w:name w:val="4级标题"/>
    <w:basedOn w:val="495"/>
    <w:qFormat/>
    <w:uiPriority w:val="0"/>
    <w:pPr>
      <w:ind w:firstLine="0" w:firstLineChars="0"/>
    </w:pPr>
    <w:rPr>
      <w:b/>
    </w:rPr>
  </w:style>
  <w:style w:type="paragraph" w:customStyle="1" w:styleId="2966">
    <w:name w:val="表内宋5中21"/>
    <w:basedOn w:val="1"/>
    <w:qFormat/>
    <w:uiPriority w:val="0"/>
    <w:pPr>
      <w:adjustRightInd w:val="0"/>
      <w:snapToGrid w:val="0"/>
      <w:jc w:val="center"/>
      <w:textAlignment w:val="baseline"/>
    </w:pPr>
    <w:rPr>
      <w:rFonts w:ascii="宋体" w:hAnsi="宋体"/>
    </w:rPr>
  </w:style>
  <w:style w:type="paragraph" w:customStyle="1" w:styleId="2967">
    <w:name w:val="样式 标题 31.1.1条标题 3 Char Char标题 3 C标题3"/>
    <w:basedOn w:val="5"/>
    <w:qFormat/>
    <w:uiPriority w:val="0"/>
    <w:pPr>
      <w:keepNext w:val="0"/>
      <w:keepLines w:val="0"/>
      <w:tabs>
        <w:tab w:val="clear" w:pos="720"/>
      </w:tabs>
      <w:adjustRightInd/>
      <w:spacing w:beforeLines="50" w:afterLines="50" w:line="312" w:lineRule="auto"/>
      <w:ind w:left="0" w:firstLine="0"/>
      <w:jc w:val="both"/>
      <w:textAlignment w:val="auto"/>
    </w:pPr>
    <w:rPr>
      <w:rFonts w:ascii="宋体" w:hAnsi="宋体" w:eastAsia="宋体" w:cs="宋体"/>
      <w:b w:val="0"/>
      <w:bCs/>
      <w:color w:val="auto"/>
      <w:spacing w:val="0"/>
      <w:kern w:val="2"/>
      <w:sz w:val="24"/>
      <w:szCs w:val="24"/>
    </w:rPr>
  </w:style>
  <w:style w:type="paragraph" w:customStyle="1" w:styleId="2968">
    <w:name w:val="12 Char Char Char Char Char Char Char Char Char Char"/>
    <w:basedOn w:val="1"/>
    <w:qFormat/>
    <w:uiPriority w:val="0"/>
    <w:pPr>
      <w:spacing w:line="360" w:lineRule="auto"/>
      <w:ind w:firstLine="200" w:firstLineChars="200"/>
    </w:pPr>
    <w:rPr>
      <w:rFonts w:ascii="宋体" w:hAnsi="宋体" w:cs="宋体"/>
      <w:sz w:val="24"/>
    </w:rPr>
  </w:style>
  <w:style w:type="paragraph" w:customStyle="1" w:styleId="2969">
    <w:name w:val="首缩5"/>
    <w:basedOn w:val="1"/>
    <w:qFormat/>
    <w:uiPriority w:val="0"/>
    <w:pPr>
      <w:adjustRightInd w:val="0"/>
      <w:snapToGrid w:val="0"/>
      <w:spacing w:line="500" w:lineRule="exact"/>
      <w:ind w:firstLine="200" w:firstLineChars="200"/>
    </w:pPr>
    <w:rPr>
      <w:rFonts w:eastAsia="仿宋_GB2312"/>
      <w:snapToGrid w:val="0"/>
      <w:sz w:val="28"/>
    </w:rPr>
  </w:style>
  <w:style w:type="paragraph" w:customStyle="1" w:styleId="2970">
    <w:name w:val="正文文本 311"/>
    <w:basedOn w:val="1"/>
    <w:qFormat/>
    <w:uiPriority w:val="0"/>
    <w:pPr>
      <w:adjustRightInd w:val="0"/>
      <w:textAlignment w:val="baseline"/>
    </w:pPr>
    <w:rPr>
      <w:sz w:val="24"/>
    </w:rPr>
  </w:style>
  <w:style w:type="paragraph" w:customStyle="1" w:styleId="2971">
    <w:name w:val="Char 正文"/>
    <w:basedOn w:val="3"/>
    <w:qFormat/>
    <w:uiPriority w:val="0"/>
    <w:pPr>
      <w:adjustRightInd w:val="0"/>
      <w:snapToGrid w:val="0"/>
      <w:spacing w:before="240" w:after="240" w:line="348" w:lineRule="auto"/>
    </w:pPr>
    <w:rPr>
      <w:rFonts w:ascii="Tahoma" w:hAnsi="Tahoma"/>
      <w:bCs w:val="0"/>
      <w:sz w:val="24"/>
      <w:szCs w:val="20"/>
    </w:rPr>
  </w:style>
  <w:style w:type="paragraph" w:customStyle="1" w:styleId="2972">
    <w:name w:val="表头样式1"/>
    <w:basedOn w:val="1"/>
    <w:qFormat/>
    <w:uiPriority w:val="0"/>
    <w:pPr>
      <w:autoSpaceDE w:val="0"/>
      <w:autoSpaceDN w:val="0"/>
      <w:adjustRightInd w:val="0"/>
      <w:spacing w:afterLines="20" w:line="500" w:lineRule="exact"/>
      <w:ind w:firstLine="482"/>
      <w:jc w:val="center"/>
    </w:pPr>
    <w:rPr>
      <w:rFonts w:ascii="黑体" w:eastAsia="黑体" w:cs="黑体"/>
      <w:sz w:val="24"/>
    </w:rPr>
  </w:style>
  <w:style w:type="paragraph" w:customStyle="1" w:styleId="2973">
    <w:name w:val="Char Char Char Char3"/>
    <w:basedOn w:val="1"/>
    <w:qFormat/>
    <w:uiPriority w:val="0"/>
  </w:style>
  <w:style w:type="paragraph" w:customStyle="1" w:styleId="2974">
    <w:name w:val="福建正文缩进23"/>
    <w:basedOn w:val="1"/>
    <w:qFormat/>
    <w:uiPriority w:val="0"/>
    <w:pPr>
      <w:tabs>
        <w:tab w:val="left" w:pos="4305"/>
      </w:tabs>
      <w:adjustRightInd w:val="0"/>
      <w:snapToGrid w:val="0"/>
      <w:spacing w:line="360" w:lineRule="auto"/>
      <w:ind w:firstLine="567"/>
    </w:pPr>
    <w:rPr>
      <w:rFonts w:ascii="宋体" w:hAnsi="宋体"/>
      <w:color w:val="000000"/>
      <w:sz w:val="24"/>
    </w:rPr>
  </w:style>
  <w:style w:type="paragraph" w:customStyle="1" w:styleId="2975">
    <w:name w:val="正文cf"/>
    <w:basedOn w:val="1"/>
    <w:qFormat/>
    <w:uiPriority w:val="0"/>
    <w:pPr>
      <w:adjustRightInd w:val="0"/>
      <w:snapToGrid w:val="0"/>
      <w:spacing w:line="360" w:lineRule="auto"/>
      <w:ind w:firstLine="482"/>
    </w:pPr>
    <w:rPr>
      <w:rFonts w:ascii="宋体" w:hAnsi="宋体" w:cs="宋体"/>
      <w:sz w:val="24"/>
    </w:rPr>
  </w:style>
  <w:style w:type="paragraph" w:customStyle="1" w:styleId="2976">
    <w:name w:val="标准符号 行距1倍"/>
    <w:basedOn w:val="1"/>
    <w:qFormat/>
    <w:uiPriority w:val="0"/>
    <w:pPr>
      <w:tabs>
        <w:tab w:val="left" w:pos="-164"/>
        <w:tab w:val="left" w:pos="900"/>
      </w:tabs>
      <w:adjustRightInd w:val="0"/>
      <w:snapToGrid w:val="0"/>
      <w:spacing w:line="480" w:lineRule="exact"/>
      <w:ind w:left="-164" w:hanging="425"/>
      <w:textAlignment w:val="center"/>
    </w:pPr>
    <w:rPr>
      <w:rFonts w:cs="宋体"/>
      <w:sz w:val="24"/>
    </w:rPr>
  </w:style>
  <w:style w:type="paragraph" w:customStyle="1" w:styleId="2977">
    <w:name w:val="二级标题"/>
    <w:basedOn w:val="1"/>
    <w:next w:val="1"/>
    <w:qFormat/>
    <w:uiPriority w:val="0"/>
    <w:pPr>
      <w:keepNext/>
      <w:adjustRightInd w:val="0"/>
      <w:spacing w:before="240" w:after="240" w:line="312" w:lineRule="atLeast"/>
      <w:jc w:val="center"/>
    </w:pPr>
    <w:rPr>
      <w:sz w:val="28"/>
    </w:rPr>
  </w:style>
  <w:style w:type="paragraph" w:customStyle="1" w:styleId="2978">
    <w:name w:val="样式 首行缩进:  0.85 厘米"/>
    <w:basedOn w:val="1"/>
    <w:qFormat/>
    <w:uiPriority w:val="0"/>
    <w:pPr>
      <w:spacing w:line="400" w:lineRule="exact"/>
      <w:ind w:firstLine="561" w:firstLineChars="200"/>
    </w:pPr>
    <w:rPr>
      <w:bCs/>
      <w:sz w:val="24"/>
    </w:rPr>
  </w:style>
  <w:style w:type="paragraph" w:customStyle="1" w:styleId="2979">
    <w:name w:val="kyj标题 2"/>
    <w:basedOn w:val="4"/>
    <w:qFormat/>
    <w:uiPriority w:val="0"/>
    <w:pPr>
      <w:tabs>
        <w:tab w:val="clear" w:pos="1427"/>
      </w:tabs>
      <w:spacing w:beforeLines="100" w:afterLines="0"/>
      <w:jc w:val="both"/>
      <w:textAlignment w:val="auto"/>
    </w:pPr>
    <w:rPr>
      <w:b w:val="0"/>
      <w:kern w:val="2"/>
      <w:sz w:val="30"/>
      <w:szCs w:val="30"/>
    </w:rPr>
  </w:style>
  <w:style w:type="paragraph" w:customStyle="1" w:styleId="2980">
    <w:name w:val="样式 首行缩进:  2 字符 行距: 1.5 倍行距"/>
    <w:basedOn w:val="1"/>
    <w:qFormat/>
    <w:uiPriority w:val="0"/>
    <w:pPr>
      <w:spacing w:line="440" w:lineRule="exact"/>
      <w:ind w:firstLine="200" w:firstLineChars="200"/>
    </w:pPr>
    <w:rPr>
      <w:sz w:val="24"/>
    </w:rPr>
  </w:style>
  <w:style w:type="paragraph" w:customStyle="1" w:styleId="2981">
    <w:name w:val="样式 样式 标题 2(C+F2)(F3)Title22nd levelh22Header 2l2heading 2...1 + ..."/>
    <w:basedOn w:val="1"/>
    <w:qFormat/>
    <w:uiPriority w:val="0"/>
    <w:pPr>
      <w:adjustRightInd w:val="0"/>
      <w:snapToGrid w:val="0"/>
      <w:spacing w:beforeLines="50" w:line="360" w:lineRule="auto"/>
      <w:outlineLvl w:val="1"/>
    </w:pPr>
    <w:rPr>
      <w:rFonts w:eastAsia="黑体" w:cs="宋体"/>
      <w:b/>
      <w:bCs/>
      <w:sz w:val="28"/>
    </w:rPr>
  </w:style>
  <w:style w:type="paragraph" w:customStyle="1" w:styleId="2982">
    <w:name w:val="表内宋5中54"/>
    <w:basedOn w:val="1"/>
    <w:qFormat/>
    <w:uiPriority w:val="0"/>
    <w:pPr>
      <w:adjustRightInd w:val="0"/>
      <w:snapToGrid w:val="0"/>
      <w:spacing w:line="360" w:lineRule="auto"/>
      <w:textAlignment w:val="baseline"/>
    </w:pPr>
    <w:rPr>
      <w:rFonts w:ascii="宋体" w:hAnsi="宋体"/>
      <w:szCs w:val="21"/>
    </w:rPr>
  </w:style>
  <w:style w:type="paragraph" w:customStyle="1" w:styleId="2983">
    <w:name w:val="表内文字大35"/>
    <w:basedOn w:val="1"/>
    <w:qFormat/>
    <w:uiPriority w:val="0"/>
    <w:pPr>
      <w:adjustRightInd w:val="0"/>
      <w:snapToGrid w:val="0"/>
      <w:jc w:val="center"/>
    </w:pPr>
    <w:rPr>
      <w:rFonts w:ascii="宋体" w:hAnsi="Times"/>
      <w:sz w:val="24"/>
    </w:rPr>
  </w:style>
  <w:style w:type="paragraph" w:customStyle="1" w:styleId="2984">
    <w:name w:val="样式125"/>
    <w:basedOn w:val="47"/>
    <w:qFormat/>
    <w:uiPriority w:val="0"/>
    <w:pPr>
      <w:adjustRightInd w:val="0"/>
      <w:spacing w:line="300" w:lineRule="auto"/>
      <w:ind w:firstLine="560" w:firstLineChars="200"/>
    </w:pPr>
    <w:rPr>
      <w:rFonts w:hAnsi="宋体"/>
      <w:sz w:val="28"/>
    </w:rPr>
  </w:style>
  <w:style w:type="paragraph" w:customStyle="1" w:styleId="2985">
    <w:name w:val="表3.3"/>
    <w:basedOn w:val="1"/>
    <w:qFormat/>
    <w:uiPriority w:val="0"/>
    <w:pPr>
      <w:tabs>
        <w:tab w:val="left" w:pos="720"/>
        <w:tab w:val="center" w:pos="4060"/>
        <w:tab w:val="right" w:pos="8261"/>
      </w:tabs>
      <w:suppressAutoHyphens/>
      <w:adjustRightInd w:val="0"/>
      <w:spacing w:before="240" w:line="0" w:lineRule="atLeast"/>
      <w:ind w:left="-4" w:firstLine="4"/>
    </w:pPr>
    <w:rPr>
      <w:rFonts w:ascii="黑体" w:eastAsia="黑体"/>
      <w:b/>
      <w:spacing w:val="6"/>
      <w:sz w:val="26"/>
      <w:szCs w:val="26"/>
    </w:rPr>
  </w:style>
  <w:style w:type="paragraph" w:customStyle="1" w:styleId="2986">
    <w:name w:val="Char92"/>
    <w:basedOn w:val="1"/>
    <w:qFormat/>
    <w:uiPriority w:val="0"/>
    <w:pPr>
      <w:spacing w:line="480" w:lineRule="exact"/>
      <w:ind w:left="-48"/>
    </w:pPr>
  </w:style>
  <w:style w:type="paragraph" w:customStyle="1" w:styleId="2987">
    <w:name w:val="表题31"/>
    <w:basedOn w:val="35"/>
    <w:qFormat/>
    <w:uiPriority w:val="0"/>
    <w:pPr>
      <w:tabs>
        <w:tab w:val="left" w:pos="4305"/>
      </w:tabs>
      <w:adjustRightInd w:val="0"/>
      <w:snapToGrid w:val="0"/>
      <w:spacing w:after="0"/>
      <w:ind w:left="0" w:leftChars="0"/>
      <w:jc w:val="center"/>
    </w:pPr>
    <w:rPr>
      <w:rFonts w:ascii="宋体" w:hAnsi="宋体"/>
      <w:sz w:val="24"/>
      <w:szCs w:val="20"/>
    </w:rPr>
  </w:style>
  <w:style w:type="paragraph" w:customStyle="1" w:styleId="2988">
    <w:name w:val="样式 样式 标题 2节标题 1.11.1标题2b2 + 宋体 段前: 8 磅 段后: 8 磅 行距: 多倍行距 1.73 ......"/>
    <w:basedOn w:val="1"/>
    <w:qFormat/>
    <w:uiPriority w:val="0"/>
    <w:pPr>
      <w:keepNext/>
      <w:keepLines/>
      <w:tabs>
        <w:tab w:val="left" w:pos="747"/>
      </w:tabs>
      <w:adjustRightInd w:val="0"/>
      <w:spacing w:before="160" w:after="160" w:line="360" w:lineRule="auto"/>
      <w:ind w:left="747" w:hanging="567"/>
      <w:textAlignment w:val="baseline"/>
      <w:outlineLvl w:val="1"/>
    </w:pPr>
    <w:rPr>
      <w:rFonts w:ascii="Arial Narrow" w:hAnsi="Arial Narrow" w:cs="宋体"/>
      <w:b/>
      <w:bCs/>
      <w:sz w:val="24"/>
    </w:rPr>
  </w:style>
  <w:style w:type="paragraph" w:customStyle="1" w:styleId="2989">
    <w:name w:val="表样式1.1"/>
    <w:basedOn w:val="2554"/>
    <w:qFormat/>
    <w:uiPriority w:val="0"/>
    <w:pPr>
      <w:autoSpaceDE w:val="0"/>
      <w:autoSpaceDN w:val="0"/>
      <w:adjustRightInd w:val="0"/>
      <w:spacing w:line="374" w:lineRule="exact"/>
      <w:ind w:left="0" w:leftChars="0" w:right="0" w:rightChars="0"/>
    </w:pPr>
    <w:rPr>
      <w:rFonts w:ascii="宋体" w:hAnsi="宋体" w:cs="宋体"/>
      <w:bCs/>
      <w:lang w:eastAsia="zh-CN"/>
    </w:rPr>
  </w:style>
  <w:style w:type="paragraph" w:customStyle="1" w:styleId="2990">
    <w:name w:val="dandan6-13正文 Char Char Char Char Char1 Char"/>
    <w:basedOn w:val="1"/>
    <w:next w:val="1"/>
    <w:qFormat/>
    <w:uiPriority w:val="0"/>
    <w:pPr>
      <w:keepNext/>
      <w:keepLines/>
      <w:widowControl/>
      <w:adjustRightInd w:val="0"/>
      <w:spacing w:before="40" w:after="40" w:line="360" w:lineRule="auto"/>
      <w:ind w:firstLine="200" w:firstLineChars="200"/>
      <w:textAlignment w:val="baseline"/>
    </w:pPr>
    <w:rPr>
      <w:rFonts w:ascii="宋体" w:hAnsi="宋体" w:eastAsia="楷体_GB2312"/>
      <w:sz w:val="24"/>
    </w:rPr>
  </w:style>
  <w:style w:type="paragraph" w:customStyle="1" w:styleId="2991">
    <w:name w:val="xl4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sz w:val="18"/>
      <w:szCs w:val="18"/>
    </w:rPr>
  </w:style>
  <w:style w:type="paragraph" w:customStyle="1" w:styleId="2992">
    <w:name w:val="Char Char1 Char Char Char Char Char Char Char Char Char1 Char11"/>
    <w:basedOn w:val="1"/>
    <w:qFormat/>
    <w:uiPriority w:val="0"/>
  </w:style>
  <w:style w:type="paragraph" w:customStyle="1" w:styleId="2993">
    <w:name w:val="表内宋5中5"/>
    <w:basedOn w:val="1"/>
    <w:qFormat/>
    <w:uiPriority w:val="0"/>
    <w:pPr>
      <w:adjustRightInd w:val="0"/>
      <w:snapToGrid w:val="0"/>
      <w:spacing w:line="360" w:lineRule="auto"/>
      <w:textAlignment w:val="baseline"/>
    </w:pPr>
    <w:rPr>
      <w:rFonts w:ascii="宋体" w:hAnsi="宋体"/>
      <w:szCs w:val="21"/>
    </w:rPr>
  </w:style>
  <w:style w:type="paragraph" w:customStyle="1" w:styleId="2994">
    <w:name w:val="标题 51"/>
    <w:basedOn w:val="1"/>
    <w:next w:val="1"/>
    <w:qFormat/>
    <w:uiPriority w:val="0"/>
    <w:pPr>
      <w:adjustRightInd w:val="0"/>
      <w:snapToGrid w:val="0"/>
      <w:spacing w:line="440" w:lineRule="atLeast"/>
      <w:ind w:firstLine="567"/>
      <w:textAlignment w:val="baseline"/>
    </w:pPr>
    <w:rPr>
      <w:rFonts w:hint="eastAsia"/>
      <w:sz w:val="24"/>
    </w:rPr>
  </w:style>
  <w:style w:type="paragraph" w:customStyle="1" w:styleId="2995">
    <w:name w:val="reader-word-layer reader-word-s3-4"/>
    <w:basedOn w:val="1"/>
    <w:qFormat/>
    <w:uiPriority w:val="0"/>
    <w:pPr>
      <w:widowControl/>
      <w:spacing w:before="100" w:beforeAutospacing="1" w:after="100" w:afterAutospacing="1"/>
      <w:jc w:val="left"/>
    </w:pPr>
    <w:rPr>
      <w:rFonts w:ascii="宋体" w:hAnsi="宋体" w:cs="宋体"/>
      <w:sz w:val="24"/>
    </w:rPr>
  </w:style>
  <w:style w:type="paragraph" w:customStyle="1" w:styleId="2996">
    <w:name w:val="样式 左侧:  0.98 厘米"/>
    <w:basedOn w:val="1"/>
    <w:qFormat/>
    <w:uiPriority w:val="0"/>
    <w:pPr>
      <w:adjustRightInd w:val="0"/>
      <w:snapToGrid w:val="0"/>
      <w:spacing w:line="490" w:lineRule="exact"/>
      <w:ind w:firstLine="560" w:firstLineChars="200"/>
    </w:pPr>
    <w:rPr>
      <w:rFonts w:eastAsia="仿宋_GB2312"/>
      <w:sz w:val="28"/>
    </w:rPr>
  </w:style>
  <w:style w:type="paragraph" w:customStyle="1" w:styleId="2997">
    <w:name w:val="表内宋5中1"/>
    <w:basedOn w:val="1"/>
    <w:qFormat/>
    <w:uiPriority w:val="0"/>
    <w:pPr>
      <w:adjustRightInd w:val="0"/>
      <w:snapToGrid w:val="0"/>
      <w:jc w:val="center"/>
      <w:textAlignment w:val="baseline"/>
    </w:pPr>
    <w:rPr>
      <w:rFonts w:ascii="宋体" w:hAnsi="宋体" w:cs="宋体"/>
    </w:rPr>
  </w:style>
  <w:style w:type="paragraph" w:customStyle="1" w:styleId="2998">
    <w:name w:val="表内5115"/>
    <w:basedOn w:val="1"/>
    <w:qFormat/>
    <w:uiPriority w:val="0"/>
    <w:pPr>
      <w:adjustRightInd w:val="0"/>
      <w:snapToGrid w:val="0"/>
      <w:spacing w:line="300" w:lineRule="auto"/>
      <w:jc w:val="left"/>
    </w:pPr>
    <w:rPr>
      <w:rFonts w:ascii="宋体"/>
    </w:rPr>
  </w:style>
  <w:style w:type="paragraph" w:customStyle="1" w:styleId="2999">
    <w:name w:val="页眉中52"/>
    <w:basedOn w:val="1"/>
    <w:qFormat/>
    <w:uiPriority w:val="0"/>
    <w:pPr>
      <w:adjustRightInd w:val="0"/>
      <w:snapToGrid w:val="0"/>
      <w:spacing w:line="300" w:lineRule="auto"/>
      <w:jc w:val="center"/>
    </w:pPr>
    <w:rPr>
      <w:rFonts w:ascii="黑体" w:eastAsia="黑体"/>
      <w:bCs/>
      <w:sz w:val="24"/>
    </w:rPr>
  </w:style>
  <w:style w:type="paragraph" w:customStyle="1" w:styleId="3000">
    <w:name w:val="xl75"/>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cs="Arial Unicode MS"/>
      <w:sz w:val="16"/>
      <w:szCs w:val="16"/>
    </w:rPr>
  </w:style>
  <w:style w:type="paragraph" w:customStyle="1" w:styleId="3001">
    <w:name w:val="Char Char1 Char Char Char Char Char Char Char Char Char Char Char Char Char Char1"/>
    <w:basedOn w:val="1"/>
    <w:qFormat/>
    <w:uiPriority w:val="0"/>
    <w:pPr>
      <w:widowControl/>
      <w:spacing w:after="160" w:line="240" w:lineRule="exact"/>
      <w:jc w:val="left"/>
    </w:pPr>
    <w:rPr>
      <w:rFonts w:ascii="Verdana" w:hAnsi="Verdana"/>
      <w:lang w:eastAsia="en-US"/>
    </w:rPr>
  </w:style>
  <w:style w:type="paragraph" w:customStyle="1" w:styleId="3002">
    <w:name w:val="标-5"/>
    <w:basedOn w:val="1"/>
    <w:qFormat/>
    <w:uiPriority w:val="0"/>
    <w:pPr>
      <w:tabs>
        <w:tab w:val="right" w:leader="dot" w:pos="8789"/>
      </w:tabs>
      <w:spacing w:before="120"/>
      <w:ind w:left="1276" w:hanging="425"/>
    </w:pPr>
    <w:rPr>
      <w:sz w:val="24"/>
    </w:rPr>
  </w:style>
  <w:style w:type="paragraph" w:customStyle="1" w:styleId="3003">
    <w:name w:val="正文格式5"/>
    <w:basedOn w:val="1"/>
    <w:qFormat/>
    <w:uiPriority w:val="0"/>
    <w:pPr>
      <w:adjustRightInd w:val="0"/>
      <w:snapToGrid w:val="0"/>
      <w:spacing w:line="360" w:lineRule="auto"/>
      <w:ind w:firstLine="480" w:firstLineChars="200"/>
    </w:pPr>
    <w:rPr>
      <w:rFonts w:ascii="宋体" w:cs="宋体"/>
      <w:sz w:val="24"/>
    </w:rPr>
  </w:style>
  <w:style w:type="paragraph" w:customStyle="1" w:styleId="3004">
    <w:name w:val="2005年10月"/>
    <w:basedOn w:val="4"/>
    <w:qFormat/>
    <w:uiPriority w:val="0"/>
    <w:pPr>
      <w:tabs>
        <w:tab w:val="left" w:pos="360"/>
        <w:tab w:val="left" w:pos="916"/>
        <w:tab w:val="clear" w:pos="1427"/>
      </w:tabs>
      <w:adjustRightInd/>
      <w:ind w:left="403" w:hanging="567"/>
      <w:textAlignment w:val="auto"/>
    </w:pPr>
    <w:rPr>
      <w:rFonts w:ascii="Arial" w:hAnsi="Arial"/>
      <w:b w:val="0"/>
      <w:bCs/>
      <w:kern w:val="2"/>
      <w:szCs w:val="32"/>
    </w:rPr>
  </w:style>
  <w:style w:type="paragraph" w:customStyle="1" w:styleId="3005">
    <w:name w:val="表内515"/>
    <w:basedOn w:val="1"/>
    <w:qFormat/>
    <w:uiPriority w:val="0"/>
    <w:pPr>
      <w:adjustRightInd w:val="0"/>
      <w:snapToGrid w:val="0"/>
      <w:spacing w:line="300" w:lineRule="auto"/>
      <w:jc w:val="left"/>
    </w:pPr>
    <w:rPr>
      <w:rFonts w:ascii="宋体"/>
    </w:rPr>
  </w:style>
  <w:style w:type="paragraph" w:customStyle="1" w:styleId="3006">
    <w:name w:val="高旭"/>
    <w:basedOn w:val="1"/>
    <w:qFormat/>
    <w:uiPriority w:val="0"/>
    <w:pPr>
      <w:widowControl/>
      <w:tabs>
        <w:tab w:val="left" w:pos="426"/>
        <w:tab w:val="left" w:pos="480"/>
      </w:tabs>
      <w:autoSpaceDE w:val="0"/>
      <w:autoSpaceDN w:val="0"/>
      <w:spacing w:line="264" w:lineRule="auto"/>
      <w:jc w:val="center"/>
      <w:textAlignment w:val="bottom"/>
    </w:pPr>
    <w:rPr>
      <w:rFonts w:eastAsia="仿宋_GB2312"/>
    </w:rPr>
  </w:style>
  <w:style w:type="paragraph" w:customStyle="1" w:styleId="3007">
    <w:name w:val="样式 标题 1章标题 1b1 + 四号 段前: 8 磅 段后: 8 磅 行距: 单倍行距"/>
    <w:basedOn w:val="3"/>
    <w:qFormat/>
    <w:uiPriority w:val="0"/>
    <w:pPr>
      <w:tabs>
        <w:tab w:val="left" w:pos="425"/>
      </w:tabs>
      <w:adjustRightInd w:val="0"/>
      <w:spacing w:before="160" w:after="160" w:line="240" w:lineRule="auto"/>
      <w:ind w:left="425" w:hanging="425"/>
      <w:textAlignment w:val="baseline"/>
    </w:pPr>
    <w:rPr>
      <w:rFonts w:cs="宋体"/>
      <w:sz w:val="28"/>
      <w:szCs w:val="20"/>
    </w:rPr>
  </w:style>
  <w:style w:type="paragraph" w:customStyle="1" w:styleId="3008">
    <w:name w:val="页眉中10"/>
    <w:basedOn w:val="1"/>
    <w:qFormat/>
    <w:uiPriority w:val="0"/>
    <w:pPr>
      <w:adjustRightInd w:val="0"/>
      <w:snapToGrid w:val="0"/>
      <w:spacing w:line="300" w:lineRule="auto"/>
      <w:jc w:val="left"/>
    </w:pPr>
    <w:rPr>
      <w:rFonts w:ascii="黑体" w:eastAsia="黑体"/>
      <w:bCs/>
      <w:sz w:val="24"/>
    </w:rPr>
  </w:style>
  <w:style w:type="paragraph" w:customStyle="1" w:styleId="3009">
    <w:name w:val="文本块12"/>
    <w:basedOn w:val="1"/>
    <w:qFormat/>
    <w:uiPriority w:val="0"/>
    <w:pPr>
      <w:spacing w:after="120"/>
      <w:ind w:left="1440" w:leftChars="700" w:right="1440" w:rightChars="700"/>
    </w:pPr>
  </w:style>
  <w:style w:type="paragraph" w:customStyle="1" w:styleId="3010">
    <w:name w:val="样式 样式 样式 标题 3 + 段前: 0.5 行 段后: 0.5 行 + 段前: 0.5 行 段后: 0.5 行 + 段前: ..."/>
    <w:basedOn w:val="1"/>
    <w:qFormat/>
    <w:uiPriority w:val="0"/>
    <w:pPr>
      <w:widowControl/>
      <w:tabs>
        <w:tab w:val="left" w:pos="720"/>
      </w:tabs>
      <w:spacing w:line="360" w:lineRule="auto"/>
      <w:ind w:left="720" w:hanging="720"/>
      <w:outlineLvl w:val="2"/>
    </w:pPr>
    <w:rPr>
      <w:rFonts w:eastAsia="黑体" w:cs="宋体"/>
      <w:b/>
      <w:bCs/>
      <w:sz w:val="28"/>
    </w:rPr>
  </w:style>
  <w:style w:type="paragraph" w:customStyle="1" w:styleId="3011">
    <w:name w:val="样式 标题 2H2节标题 1.1节标题 1.1 Char1.1  标题 2  节标题 1.1第一章 标题 2Head..."/>
    <w:basedOn w:val="4"/>
    <w:qFormat/>
    <w:uiPriority w:val="0"/>
    <w:pPr>
      <w:tabs>
        <w:tab w:val="clear" w:pos="1427"/>
      </w:tabs>
      <w:adjustRightInd/>
      <w:jc w:val="both"/>
      <w:textAlignment w:val="auto"/>
    </w:pPr>
    <w:rPr>
      <w:bCs/>
      <w:kern w:val="2"/>
      <w:sz w:val="24"/>
    </w:rPr>
  </w:style>
  <w:style w:type="paragraph" w:customStyle="1" w:styleId="3012">
    <w:name w:val="正文999"/>
    <w:basedOn w:val="1"/>
    <w:qFormat/>
    <w:uiPriority w:val="0"/>
    <w:pPr>
      <w:spacing w:line="360" w:lineRule="auto"/>
      <w:ind w:firstLine="480" w:firstLineChars="200"/>
    </w:pPr>
    <w:rPr>
      <w:rFonts w:ascii="宋体" w:hAnsi="宋体"/>
      <w:sz w:val="24"/>
    </w:rPr>
  </w:style>
  <w:style w:type="paragraph" w:customStyle="1" w:styleId="3013">
    <w:name w:val="标题 61"/>
    <w:basedOn w:val="1"/>
    <w:next w:val="1"/>
    <w:qFormat/>
    <w:uiPriority w:val="0"/>
    <w:pPr>
      <w:adjustRightInd w:val="0"/>
      <w:snapToGrid w:val="0"/>
      <w:spacing w:line="480" w:lineRule="atLeast"/>
      <w:ind w:left="3" w:firstLine="567"/>
      <w:textAlignment w:val="baseline"/>
    </w:pPr>
    <w:rPr>
      <w:rFonts w:hint="eastAsia" w:ascii="Arial" w:hAnsi="Arial"/>
      <w:sz w:val="24"/>
    </w:rPr>
  </w:style>
  <w:style w:type="paragraph" w:customStyle="1" w:styleId="3014">
    <w:name w:val="条(三级)"/>
    <w:basedOn w:val="1"/>
    <w:next w:val="1"/>
    <w:qFormat/>
    <w:uiPriority w:val="0"/>
    <w:pPr>
      <w:keepNext/>
      <w:keepLines/>
      <w:adjustRightInd w:val="0"/>
      <w:spacing w:line="460" w:lineRule="exact"/>
      <w:jc w:val="left"/>
      <w:textAlignment w:val="baseline"/>
    </w:pPr>
    <w:rPr>
      <w:rFonts w:ascii="宋体" w:hAnsi="Arial" w:cs="宋体"/>
      <w:spacing w:val="3"/>
      <w:kern w:val="24"/>
      <w:sz w:val="24"/>
    </w:rPr>
  </w:style>
  <w:style w:type="paragraph" w:customStyle="1" w:styleId="3015">
    <w:name w:val="Char Char Char Char Char Char Char Char Char Char31"/>
    <w:basedOn w:val="1"/>
    <w:qFormat/>
    <w:uiPriority w:val="0"/>
    <w:pPr>
      <w:spacing w:line="360" w:lineRule="auto"/>
      <w:ind w:firstLine="200" w:firstLineChars="200"/>
    </w:pPr>
    <w:rPr>
      <w:rFonts w:ascii="宋体" w:hAnsi="宋体" w:cs="宋体"/>
      <w:sz w:val="24"/>
    </w:rPr>
  </w:style>
  <w:style w:type="paragraph" w:customStyle="1" w:styleId="3016">
    <w:name w:val="表内宋57"/>
    <w:basedOn w:val="82"/>
    <w:qFormat/>
    <w:uiPriority w:val="0"/>
    <w:pPr>
      <w:widowControl/>
      <w:adjustRightInd w:val="0"/>
      <w:snapToGrid w:val="0"/>
      <w:spacing w:before="100" w:beforeAutospacing="1" w:after="100" w:afterAutospacing="1"/>
    </w:pPr>
    <w:rPr>
      <w:rFonts w:ascii="宋体" w:hAnsi="宋体"/>
      <w:color w:val="000000"/>
      <w:sz w:val="21"/>
    </w:rPr>
  </w:style>
  <w:style w:type="paragraph" w:customStyle="1" w:styleId="3017">
    <w:name w:val="表内5中54"/>
    <w:basedOn w:val="1"/>
    <w:qFormat/>
    <w:uiPriority w:val="0"/>
    <w:pPr>
      <w:adjustRightInd w:val="0"/>
      <w:snapToGrid w:val="0"/>
      <w:jc w:val="center"/>
    </w:pPr>
    <w:rPr>
      <w:rFonts w:ascii="宋体"/>
    </w:rPr>
  </w:style>
  <w:style w:type="paragraph" w:customStyle="1" w:styleId="3018">
    <w:name w:val="Char2 Char Char Char3"/>
    <w:basedOn w:val="1"/>
    <w:qFormat/>
    <w:uiPriority w:val="0"/>
    <w:pPr>
      <w:spacing w:line="480" w:lineRule="exact"/>
    </w:pPr>
  </w:style>
  <w:style w:type="paragraph" w:customStyle="1" w:styleId="3019">
    <w:name w:val="表内小416"/>
    <w:basedOn w:val="1427"/>
    <w:qFormat/>
    <w:uiPriority w:val="0"/>
    <w:pPr>
      <w:ind w:left="240" w:hanging="240"/>
      <w:jc w:val="both"/>
    </w:pPr>
    <w:rPr>
      <w:rFonts w:cs="Times New Roman"/>
    </w:rPr>
  </w:style>
  <w:style w:type="paragraph" w:customStyle="1" w:styleId="3020">
    <w:name w:val="表内文字小55"/>
    <w:basedOn w:val="1"/>
    <w:qFormat/>
    <w:uiPriority w:val="0"/>
    <w:pPr>
      <w:adjustRightInd w:val="0"/>
      <w:snapToGrid w:val="0"/>
      <w:jc w:val="center"/>
    </w:pPr>
    <w:rPr>
      <w:rFonts w:ascii="宋体" w:hAnsi="Times"/>
    </w:rPr>
  </w:style>
  <w:style w:type="paragraph" w:customStyle="1" w:styleId="3021">
    <w:name w:val="标题463"/>
    <w:basedOn w:val="1"/>
    <w:qFormat/>
    <w:uiPriority w:val="0"/>
    <w:pPr>
      <w:adjustRightInd w:val="0"/>
      <w:snapToGrid w:val="0"/>
      <w:spacing w:line="360" w:lineRule="auto"/>
      <w:jc w:val="left"/>
    </w:pPr>
    <w:rPr>
      <w:rFonts w:ascii="黑体" w:eastAsia="黑体"/>
      <w:bCs/>
      <w:sz w:val="24"/>
    </w:rPr>
  </w:style>
  <w:style w:type="paragraph" w:customStyle="1" w:styleId="3022">
    <w:name w:val="样式 标题 3 + (西文) Times New Roman (中文) 宋体 小四 左 段前: 12 磅 段后: 2 ..."/>
    <w:basedOn w:val="5"/>
    <w:qFormat/>
    <w:uiPriority w:val="0"/>
    <w:pPr>
      <w:keepNext w:val="0"/>
      <w:keepLines w:val="0"/>
      <w:tabs>
        <w:tab w:val="left" w:pos="360"/>
        <w:tab w:val="left" w:pos="799"/>
        <w:tab w:val="clear" w:pos="720"/>
      </w:tabs>
      <w:snapToGrid w:val="0"/>
      <w:spacing w:before="120"/>
      <w:ind w:left="360" w:hanging="360" w:hangingChars="200"/>
    </w:pPr>
    <w:rPr>
      <w:rFonts w:hAnsi="宋体" w:eastAsia="宋体"/>
      <w:b w:val="0"/>
      <w:color w:val="auto"/>
      <w:spacing w:val="0"/>
      <w:kern w:val="2"/>
      <w:sz w:val="24"/>
    </w:rPr>
  </w:style>
  <w:style w:type="paragraph" w:customStyle="1" w:styleId="3023">
    <w:name w:val="样式 宋体 黑色"/>
    <w:basedOn w:val="1"/>
    <w:qFormat/>
    <w:uiPriority w:val="0"/>
    <w:pPr>
      <w:spacing w:line="520" w:lineRule="exact"/>
      <w:ind w:firstLine="480" w:firstLineChars="200"/>
    </w:pPr>
    <w:rPr>
      <w:color w:val="000000"/>
      <w:sz w:val="24"/>
    </w:rPr>
  </w:style>
  <w:style w:type="paragraph" w:customStyle="1" w:styleId="3024">
    <w:name w:val="概算说明"/>
    <w:basedOn w:val="1"/>
    <w:qFormat/>
    <w:uiPriority w:val="0"/>
    <w:pPr>
      <w:adjustRightInd w:val="0"/>
      <w:spacing w:line="490" w:lineRule="atLeast"/>
      <w:textAlignment w:val="baseline"/>
    </w:pPr>
    <w:rPr>
      <w:sz w:val="28"/>
    </w:rPr>
  </w:style>
  <w:style w:type="paragraph" w:customStyle="1" w:styleId="3025">
    <w:name w:val="标题 712"/>
    <w:basedOn w:val="1"/>
    <w:next w:val="1"/>
    <w:qFormat/>
    <w:uiPriority w:val="0"/>
    <w:pPr>
      <w:keepNext/>
      <w:keepLines/>
      <w:adjustRightInd w:val="0"/>
      <w:spacing w:line="480" w:lineRule="exact"/>
      <w:ind w:firstLine="851"/>
      <w:textAlignment w:val="baseline"/>
    </w:pPr>
    <w:rPr>
      <w:rFonts w:hint="eastAsia"/>
      <w:sz w:val="24"/>
    </w:rPr>
  </w:style>
  <w:style w:type="paragraph" w:customStyle="1" w:styleId="3026">
    <w:name w:val="编号项"/>
    <w:basedOn w:val="1"/>
    <w:qFormat/>
    <w:uiPriority w:val="0"/>
    <w:pPr>
      <w:widowControl/>
      <w:tabs>
        <w:tab w:val="left" w:pos="425"/>
        <w:tab w:val="left" w:pos="992"/>
      </w:tabs>
      <w:spacing w:before="120" w:line="288" w:lineRule="auto"/>
      <w:ind w:left="425" w:hanging="425"/>
    </w:pPr>
    <w:rPr>
      <w:sz w:val="28"/>
    </w:rPr>
  </w:style>
  <w:style w:type="paragraph" w:customStyle="1" w:styleId="3027">
    <w:name w:val="标题54"/>
    <w:basedOn w:val="1"/>
    <w:qFormat/>
    <w:uiPriority w:val="0"/>
    <w:pPr>
      <w:keepNext/>
      <w:keepLines/>
      <w:widowControl/>
      <w:adjustRightInd w:val="0"/>
      <w:snapToGrid w:val="0"/>
      <w:spacing w:line="360" w:lineRule="auto"/>
      <w:outlineLvl w:val="2"/>
    </w:pPr>
    <w:rPr>
      <w:b/>
      <w:snapToGrid w:val="0"/>
      <w:color w:val="000000"/>
      <w:sz w:val="18"/>
    </w:rPr>
  </w:style>
  <w:style w:type="paragraph" w:customStyle="1" w:styleId="3028">
    <w:name w:val="Char Char Char Char Char Char Char Char2 Char"/>
    <w:basedOn w:val="1"/>
    <w:qFormat/>
    <w:uiPriority w:val="0"/>
    <w:pPr>
      <w:widowControl/>
      <w:spacing w:after="160" w:line="240" w:lineRule="exact"/>
      <w:jc w:val="left"/>
    </w:pPr>
  </w:style>
  <w:style w:type="paragraph" w:customStyle="1" w:styleId="3029">
    <w:name w:val="样式 标题 31.1.1条标题 3 Char Char标题 3 Char标3§1.1.1.. (1.1.1)- ...1"/>
    <w:basedOn w:val="5"/>
    <w:qFormat/>
    <w:uiPriority w:val="0"/>
    <w:pPr>
      <w:keepNext w:val="0"/>
      <w:keepLines w:val="0"/>
      <w:tabs>
        <w:tab w:val="left" w:pos="-437"/>
        <w:tab w:val="clear" w:pos="720"/>
      </w:tabs>
      <w:adjustRightInd/>
      <w:spacing w:before="120" w:after="120" w:line="240" w:lineRule="auto"/>
      <w:ind w:left="0" w:firstLine="0"/>
      <w:jc w:val="both"/>
      <w:textAlignment w:val="auto"/>
    </w:pPr>
    <w:rPr>
      <w:rFonts w:cs="宋体"/>
      <w:bCs/>
      <w:color w:val="auto"/>
      <w:spacing w:val="0"/>
      <w:kern w:val="2"/>
      <w:sz w:val="24"/>
    </w:rPr>
  </w:style>
  <w:style w:type="paragraph" w:customStyle="1" w:styleId="3030">
    <w:name w:val="Char122"/>
    <w:basedOn w:val="1"/>
    <w:qFormat/>
    <w:uiPriority w:val="0"/>
    <w:pPr>
      <w:ind w:left="-48"/>
    </w:pPr>
  </w:style>
  <w:style w:type="paragraph" w:customStyle="1" w:styleId="3031">
    <w:name w:val="福建正文缩进8"/>
    <w:basedOn w:val="21"/>
    <w:qFormat/>
    <w:uiPriority w:val="0"/>
    <w:pPr>
      <w:adjustRightInd w:val="0"/>
      <w:snapToGrid w:val="0"/>
      <w:spacing w:line="360" w:lineRule="auto"/>
      <w:ind w:firstLine="539" w:firstLineChars="0"/>
    </w:pPr>
    <w:rPr>
      <w:rFonts w:ascii="宋体"/>
      <w:szCs w:val="24"/>
    </w:rPr>
  </w:style>
  <w:style w:type="paragraph" w:customStyle="1" w:styleId="3032">
    <w:name w:val="Char Char Char Char7"/>
    <w:basedOn w:val="1"/>
    <w:qFormat/>
    <w:uiPriority w:val="0"/>
  </w:style>
  <w:style w:type="paragraph" w:customStyle="1" w:styleId="3033">
    <w:name w:val="表内520"/>
    <w:basedOn w:val="1"/>
    <w:qFormat/>
    <w:uiPriority w:val="0"/>
    <w:pPr>
      <w:adjustRightInd w:val="0"/>
      <w:snapToGrid w:val="0"/>
      <w:spacing w:line="300" w:lineRule="auto"/>
      <w:jc w:val="left"/>
    </w:pPr>
    <w:rPr>
      <w:rFonts w:ascii="宋体"/>
    </w:rPr>
  </w:style>
  <w:style w:type="paragraph" w:customStyle="1" w:styleId="3034">
    <w:name w:val="样式 表内小5 + 左侧:  0 厘米 悬挂缩进: 0.98 字符1"/>
    <w:basedOn w:val="1"/>
    <w:qFormat/>
    <w:uiPriority w:val="0"/>
    <w:pPr>
      <w:adjustRightInd w:val="0"/>
      <w:snapToGrid w:val="0"/>
      <w:spacing w:line="300" w:lineRule="auto"/>
      <w:ind w:left="289" w:leftChars="-200" w:hanging="769"/>
    </w:pPr>
    <w:rPr>
      <w:rFonts w:ascii="宋体" w:hAnsi="宋体" w:cs="宋体"/>
      <w:sz w:val="18"/>
    </w:rPr>
  </w:style>
  <w:style w:type="paragraph" w:customStyle="1" w:styleId="3035">
    <w:name w:val="Char Char1 Char Char Char Char Char Char11"/>
    <w:basedOn w:val="1"/>
    <w:qFormat/>
    <w:uiPriority w:val="0"/>
  </w:style>
  <w:style w:type="paragraph" w:customStyle="1" w:styleId="3036">
    <w:name w:val="表内572"/>
    <w:basedOn w:val="1572"/>
    <w:qFormat/>
    <w:uiPriority w:val="0"/>
    <w:pPr>
      <w:spacing w:line="300" w:lineRule="auto"/>
      <w:jc w:val="both"/>
    </w:pPr>
    <w:rPr>
      <w:szCs w:val="24"/>
    </w:rPr>
  </w:style>
  <w:style w:type="paragraph" w:customStyle="1" w:styleId="3037">
    <w:name w:val="正文表格"/>
    <w:basedOn w:val="1"/>
    <w:qFormat/>
    <w:uiPriority w:val="0"/>
    <w:pPr>
      <w:keepNext/>
      <w:keepLines/>
      <w:overflowPunct w:val="0"/>
      <w:adjustRightInd w:val="0"/>
      <w:spacing w:before="80"/>
      <w:jc w:val="center"/>
      <w:textAlignment w:val="bottom"/>
    </w:pPr>
    <w:rPr>
      <w:sz w:val="28"/>
    </w:rPr>
  </w:style>
  <w:style w:type="paragraph" w:customStyle="1" w:styleId="3038">
    <w:name w:val="热电厂正文 Char Char Char Char"/>
    <w:basedOn w:val="1"/>
    <w:qFormat/>
    <w:uiPriority w:val="0"/>
    <w:pPr>
      <w:spacing w:line="440" w:lineRule="exact"/>
      <w:ind w:firstLine="480" w:firstLineChars="200"/>
    </w:pPr>
    <w:rPr>
      <w:sz w:val="24"/>
    </w:rPr>
  </w:style>
  <w:style w:type="paragraph" w:customStyle="1" w:styleId="3039">
    <w:name w:val="Char Char Char Char Char Char Char Char Char Char Char Char Char Char Char1 Char4"/>
    <w:basedOn w:val="1"/>
    <w:qFormat/>
    <w:uiPriority w:val="0"/>
    <w:pPr>
      <w:spacing w:line="360" w:lineRule="auto"/>
      <w:ind w:firstLine="200" w:firstLineChars="200"/>
    </w:pPr>
    <w:rPr>
      <w:rFonts w:ascii="宋体" w:hAnsi="宋体" w:cs="宋体"/>
      <w:sz w:val="24"/>
    </w:rPr>
  </w:style>
  <w:style w:type="paragraph" w:customStyle="1" w:styleId="3040">
    <w:name w:val="默认段落字体 Para Char Char Char Char Char Char Char Char Char1 Char Char Char Char Char Char Char Char Char Char"/>
    <w:basedOn w:val="26"/>
    <w:qFormat/>
    <w:uiPriority w:val="0"/>
    <w:rPr>
      <w:rFonts w:ascii="Tahoma" w:hAnsi="Tahoma"/>
      <w:sz w:val="24"/>
    </w:rPr>
  </w:style>
  <w:style w:type="paragraph" w:customStyle="1" w:styleId="3041">
    <w:name w:val="MG"/>
    <w:basedOn w:val="3"/>
    <w:qFormat/>
    <w:uiPriority w:val="0"/>
    <w:pPr>
      <w:keepLines w:val="0"/>
      <w:widowControl/>
      <w:tabs>
        <w:tab w:val="left" w:pos="2260"/>
        <w:tab w:val="left" w:pos="2820"/>
        <w:tab w:val="left" w:pos="3420"/>
      </w:tabs>
      <w:adjustRightInd w:val="0"/>
      <w:snapToGrid w:val="0"/>
      <w:spacing w:before="440" w:after="0" w:line="240" w:lineRule="auto"/>
      <w:ind w:left="851" w:right="-28" w:hanging="851"/>
    </w:pPr>
    <w:rPr>
      <w:rFonts w:ascii="Arial" w:hAnsi="Arial"/>
      <w:bCs w:val="0"/>
      <w:kern w:val="0"/>
      <w:sz w:val="22"/>
      <w:szCs w:val="20"/>
      <w:lang w:val="en-GB"/>
    </w:rPr>
  </w:style>
  <w:style w:type="paragraph" w:customStyle="1" w:styleId="3042">
    <w:name w:val="纯文本3"/>
    <w:basedOn w:val="1"/>
    <w:qFormat/>
    <w:uiPriority w:val="0"/>
    <w:pPr>
      <w:adjustRightInd w:val="0"/>
      <w:textAlignment w:val="baseline"/>
    </w:pPr>
    <w:rPr>
      <w:rFonts w:ascii="宋体" w:hAnsi="Courier New"/>
    </w:rPr>
  </w:style>
  <w:style w:type="paragraph" w:customStyle="1" w:styleId="3043">
    <w:name w:val="环表"/>
    <w:basedOn w:val="1"/>
    <w:qFormat/>
    <w:uiPriority w:val="0"/>
    <w:pPr>
      <w:widowControl/>
      <w:suppressAutoHyphens/>
      <w:adjustRightInd w:val="0"/>
      <w:spacing w:line="312" w:lineRule="atLeast"/>
      <w:ind w:right="29"/>
      <w:jc w:val="center"/>
      <w:textAlignment w:val="baseline"/>
    </w:pPr>
    <w:rPr>
      <w:rFonts w:ascii="宋体" w:hAnsi="宋体"/>
      <w:spacing w:val="-20"/>
    </w:rPr>
  </w:style>
  <w:style w:type="paragraph" w:customStyle="1" w:styleId="3044">
    <w:name w:val="样式 正文首行缩进 2 + 首行缩进:  2 字符 行距: 1.5 倍行距"/>
    <w:basedOn w:val="37"/>
    <w:qFormat/>
    <w:uiPriority w:val="0"/>
    <w:pPr>
      <w:spacing w:after="0" w:line="440" w:lineRule="exact"/>
      <w:ind w:left="0" w:leftChars="0" w:firstLine="200"/>
      <w:jc w:val="left"/>
    </w:pPr>
    <w:rPr>
      <w:rFonts w:cs="宋体"/>
      <w:color w:val="000000"/>
      <w:sz w:val="24"/>
    </w:rPr>
  </w:style>
  <w:style w:type="paragraph" w:customStyle="1" w:styleId="3045">
    <w:name w:val="font14"/>
    <w:basedOn w:val="1"/>
    <w:qFormat/>
    <w:uiPriority w:val="0"/>
    <w:pPr>
      <w:widowControl/>
      <w:spacing w:before="100" w:beforeAutospacing="1" w:after="100" w:afterAutospacing="1"/>
      <w:jc w:val="left"/>
    </w:pPr>
    <w:rPr>
      <w:rFonts w:hint="eastAsia" w:ascii="宋体" w:hAnsi="宋体" w:cs="Arial Unicode MS"/>
      <w:b/>
      <w:bCs/>
      <w:sz w:val="16"/>
      <w:szCs w:val="16"/>
    </w:rPr>
  </w:style>
  <w:style w:type="paragraph" w:customStyle="1" w:styleId="3046">
    <w:name w:val="修订1"/>
    <w:qFormat/>
    <w:uiPriority w:val="99"/>
    <w:rPr>
      <w:rFonts w:ascii="Times New Roman" w:hAnsi="Times New Roman" w:eastAsia="宋体" w:cs="Times New Roman"/>
      <w:kern w:val="2"/>
      <w:sz w:val="21"/>
      <w:szCs w:val="24"/>
      <w:lang w:val="en-US" w:eastAsia="zh-CN" w:bidi="ar-SA"/>
    </w:rPr>
  </w:style>
  <w:style w:type="paragraph" w:customStyle="1" w:styleId="3047">
    <w:name w:val="表标12.2"/>
    <w:next w:val="1"/>
    <w:qFormat/>
    <w:uiPriority w:val="0"/>
    <w:pPr>
      <w:widowControl w:val="0"/>
      <w:tabs>
        <w:tab w:val="left" w:pos="280"/>
      </w:tabs>
      <w:adjustRightInd w:val="0"/>
      <w:snapToGrid w:val="0"/>
      <w:spacing w:beforeLines="100" w:line="0" w:lineRule="atLeast"/>
      <w:jc w:val="center"/>
    </w:pPr>
    <w:rPr>
      <w:rFonts w:ascii="黑体" w:hAnsi="宋体" w:eastAsia="黑体" w:cs="Times New Roman"/>
      <w:b/>
      <w:kern w:val="2"/>
      <w:sz w:val="24"/>
      <w:szCs w:val="24"/>
      <w:lang w:val="en-US" w:eastAsia="zh-CN" w:bidi="ar-SA"/>
    </w:rPr>
  </w:style>
  <w:style w:type="paragraph" w:customStyle="1" w:styleId="3048">
    <w:name w:val="表内文字13"/>
    <w:basedOn w:val="1"/>
    <w:qFormat/>
    <w:uiPriority w:val="0"/>
    <w:pPr>
      <w:widowControl/>
      <w:adjustRightInd w:val="0"/>
      <w:snapToGrid w:val="0"/>
      <w:spacing w:line="420" w:lineRule="exact"/>
      <w:jc w:val="center"/>
    </w:pPr>
    <w:rPr>
      <w:rFonts w:ascii="宋体"/>
      <w:spacing w:val="10"/>
      <w:sz w:val="18"/>
    </w:rPr>
  </w:style>
  <w:style w:type="paragraph" w:customStyle="1" w:styleId="3049">
    <w:name w:val="中文报告书样式3"/>
    <w:basedOn w:val="1"/>
    <w:qFormat/>
    <w:uiPriority w:val="0"/>
    <w:pPr>
      <w:adjustRightInd w:val="0"/>
      <w:spacing w:line="480" w:lineRule="atLeast"/>
      <w:ind w:firstLine="482"/>
      <w:textAlignment w:val="baseline"/>
    </w:pPr>
    <w:rPr>
      <w:rFonts w:ascii="宋体" w:hAnsi="宋体"/>
      <w:kern w:val="24"/>
      <w:sz w:val="24"/>
    </w:rPr>
  </w:style>
  <w:style w:type="paragraph" w:customStyle="1" w:styleId="3050">
    <w:name w:val="Char Char Char Char Char Char Char5"/>
    <w:basedOn w:val="1"/>
    <w:qFormat/>
    <w:uiPriority w:val="0"/>
    <w:pPr>
      <w:spacing w:line="360" w:lineRule="auto"/>
      <w:ind w:firstLine="200" w:firstLineChars="200"/>
    </w:pPr>
    <w:rPr>
      <w:rFonts w:ascii="宋体" w:hAnsi="宋体" w:cs="宋体"/>
      <w:sz w:val="24"/>
    </w:rPr>
  </w:style>
  <w:style w:type="paragraph" w:customStyle="1" w:styleId="3051">
    <w:name w:val="表内小5中2"/>
    <w:basedOn w:val="1"/>
    <w:qFormat/>
    <w:uiPriority w:val="0"/>
    <w:pPr>
      <w:adjustRightInd w:val="0"/>
      <w:snapToGrid w:val="0"/>
      <w:jc w:val="center"/>
    </w:pPr>
    <w:rPr>
      <w:rFonts w:ascii="宋体" w:hAnsi="宋体"/>
      <w:sz w:val="18"/>
    </w:rPr>
  </w:style>
  <w:style w:type="paragraph" w:customStyle="1" w:styleId="3052">
    <w:name w:val="目录5555555"/>
    <w:basedOn w:val="1"/>
    <w:qFormat/>
    <w:uiPriority w:val="0"/>
    <w:pPr>
      <w:keepNext/>
      <w:keepLines/>
      <w:spacing w:before="260" w:after="260" w:line="400" w:lineRule="exact"/>
      <w:jc w:val="left"/>
      <w:outlineLvl w:val="1"/>
    </w:pPr>
    <w:rPr>
      <w:rFonts w:ascii="宋体" w:hAnsi="宋体"/>
      <w:b/>
      <w:bCs/>
      <w:sz w:val="28"/>
      <w:szCs w:val="32"/>
    </w:rPr>
  </w:style>
  <w:style w:type="paragraph" w:customStyle="1" w:styleId="3053">
    <w:name w:val="表题122"/>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3054">
    <w:name w:val="表内宋5中18"/>
    <w:basedOn w:val="1"/>
    <w:qFormat/>
    <w:uiPriority w:val="0"/>
    <w:pPr>
      <w:adjustRightInd w:val="0"/>
      <w:snapToGrid w:val="0"/>
      <w:jc w:val="center"/>
      <w:textAlignment w:val="baseline"/>
    </w:pPr>
    <w:rPr>
      <w:rFonts w:ascii="宋体" w:hAnsi="宋体"/>
    </w:rPr>
  </w:style>
  <w:style w:type="paragraph" w:customStyle="1" w:styleId="3055">
    <w:name w:val="样式 正文（首行缩进两字） + 行距: 固定值 20 磅"/>
    <w:basedOn w:val="21"/>
    <w:qFormat/>
    <w:uiPriority w:val="0"/>
    <w:pPr>
      <w:spacing w:afterLines="20" w:line="400" w:lineRule="exact"/>
      <w:ind w:firstLine="480"/>
    </w:pPr>
    <w:rPr>
      <w:rFonts w:ascii="黑体" w:hAnsi="黑体" w:eastAsia="黑体"/>
      <w:color w:val="FF0000"/>
      <w:szCs w:val="22"/>
    </w:rPr>
  </w:style>
  <w:style w:type="paragraph" w:customStyle="1" w:styleId="3056">
    <w:name w:val="p0"/>
    <w:basedOn w:val="1"/>
    <w:qFormat/>
    <w:uiPriority w:val="0"/>
    <w:pPr>
      <w:widowControl/>
      <w:spacing w:line="595" w:lineRule="atLeast"/>
      <w:ind w:left="1"/>
      <w:textAlignment w:val="bottom"/>
    </w:pPr>
    <w:rPr>
      <w:color w:val="000000"/>
      <w:szCs w:val="21"/>
    </w:rPr>
  </w:style>
  <w:style w:type="paragraph" w:customStyle="1" w:styleId="3057">
    <w:name w:val="Char1 Char Char Char4"/>
    <w:basedOn w:val="1"/>
    <w:qFormat/>
    <w:uiPriority w:val="0"/>
    <w:pPr>
      <w:spacing w:line="360" w:lineRule="auto"/>
      <w:ind w:firstLine="200" w:firstLineChars="200"/>
    </w:pPr>
    <w:rPr>
      <w:rFonts w:ascii="宋体" w:hAnsi="宋体" w:cs="宋体"/>
      <w:sz w:val="24"/>
    </w:rPr>
  </w:style>
  <w:style w:type="paragraph" w:customStyle="1" w:styleId="3058">
    <w:name w:val="表内文字7"/>
    <w:basedOn w:val="1"/>
    <w:qFormat/>
    <w:uiPriority w:val="0"/>
    <w:pPr>
      <w:widowControl/>
      <w:adjustRightInd w:val="0"/>
      <w:snapToGrid w:val="0"/>
      <w:jc w:val="center"/>
    </w:pPr>
    <w:rPr>
      <w:rFonts w:ascii="宋体" w:hAnsi="宋体" w:cs="宋体"/>
      <w:color w:val="000000"/>
      <w:sz w:val="24"/>
    </w:rPr>
  </w:style>
  <w:style w:type="paragraph" w:customStyle="1" w:styleId="3059">
    <w:name w:val="条(三级)6"/>
    <w:basedOn w:val="1"/>
    <w:next w:val="1"/>
    <w:qFormat/>
    <w:uiPriority w:val="0"/>
    <w:pPr>
      <w:keepNext/>
      <w:keepLines/>
      <w:adjustRightInd w:val="0"/>
      <w:spacing w:line="460" w:lineRule="exact"/>
      <w:jc w:val="left"/>
      <w:textAlignment w:val="baseline"/>
    </w:pPr>
    <w:rPr>
      <w:rFonts w:ascii="宋体" w:hAnsi="Arial" w:cs="宋体"/>
      <w:spacing w:val="3"/>
      <w:kern w:val="24"/>
      <w:sz w:val="24"/>
    </w:rPr>
  </w:style>
  <w:style w:type="paragraph" w:customStyle="1" w:styleId="3060">
    <w:name w:val="二级条标题"/>
    <w:next w:val="1"/>
    <w:qFormat/>
    <w:uiPriority w:val="0"/>
    <w:pPr>
      <w:tabs>
        <w:tab w:val="left" w:pos="360"/>
      </w:tabs>
      <w:outlineLvl w:val="3"/>
    </w:pPr>
    <w:rPr>
      <w:rFonts w:ascii="Times New Roman" w:hAnsi="Times New Roman" w:eastAsia="宋体" w:cs="Times New Roman"/>
      <w:lang w:val="en-US" w:eastAsia="zh-CN" w:bidi="ar-SA"/>
    </w:rPr>
  </w:style>
  <w:style w:type="paragraph" w:customStyle="1" w:styleId="3061">
    <w:name w:val="ENUM"/>
    <w:basedOn w:val="1"/>
    <w:qFormat/>
    <w:uiPriority w:val="0"/>
    <w:pPr>
      <w:widowControl/>
      <w:tabs>
        <w:tab w:val="left" w:pos="840"/>
        <w:tab w:val="left" w:pos="1418"/>
      </w:tabs>
      <w:spacing w:before="60" w:after="60"/>
      <w:ind w:left="1418" w:hanging="284" w:firstLineChars="200"/>
    </w:pPr>
    <w:rPr>
      <w:rFonts w:ascii="Arial" w:hAnsi="Arial"/>
      <w:sz w:val="22"/>
      <w:lang w:val="en-GB"/>
    </w:rPr>
  </w:style>
  <w:style w:type="paragraph" w:customStyle="1" w:styleId="3062">
    <w:name w:val="表标"/>
    <w:next w:val="1"/>
    <w:qFormat/>
    <w:uiPriority w:val="0"/>
    <w:pPr>
      <w:tabs>
        <w:tab w:val="left" w:pos="8207"/>
      </w:tabs>
      <w:adjustRightInd w:val="0"/>
      <w:snapToGrid w:val="0"/>
      <w:spacing w:before="120" w:line="0" w:lineRule="atLeast"/>
      <w:jc w:val="center"/>
      <w:textAlignment w:val="baseline"/>
    </w:pPr>
    <w:rPr>
      <w:rFonts w:ascii="Arial" w:hAnsi="Arial" w:eastAsia="楷体_GB2312" w:cs="Times New Roman"/>
      <w:b/>
      <w:kern w:val="2"/>
      <w:sz w:val="28"/>
      <w:lang w:val="en-US" w:eastAsia="zh-CN" w:bidi="ar-SA"/>
    </w:rPr>
  </w:style>
  <w:style w:type="paragraph" w:customStyle="1" w:styleId="3063">
    <w:name w:val="标题454"/>
    <w:basedOn w:val="1"/>
    <w:qFormat/>
    <w:uiPriority w:val="0"/>
    <w:pPr>
      <w:adjustRightInd w:val="0"/>
      <w:snapToGrid w:val="0"/>
      <w:spacing w:line="360" w:lineRule="auto"/>
      <w:jc w:val="left"/>
    </w:pPr>
    <w:rPr>
      <w:rFonts w:ascii="黑体" w:eastAsia="黑体"/>
      <w:bCs/>
      <w:sz w:val="24"/>
    </w:rPr>
  </w:style>
  <w:style w:type="paragraph" w:customStyle="1" w:styleId="3064">
    <w:name w:val="16.9.5.1"/>
    <w:basedOn w:val="6"/>
    <w:qFormat/>
    <w:uiPriority w:val="0"/>
    <w:pPr>
      <w:keepNext w:val="0"/>
      <w:keepLines w:val="0"/>
      <w:tabs>
        <w:tab w:val="left" w:pos="1800"/>
      </w:tabs>
      <w:spacing w:before="120" w:after="120" w:line="312" w:lineRule="auto"/>
      <w:ind w:left="851" w:hanging="851"/>
    </w:pPr>
    <w:rPr>
      <w:sz w:val="24"/>
      <w:szCs w:val="24"/>
    </w:rPr>
  </w:style>
  <w:style w:type="paragraph" w:customStyle="1" w:styleId="3065">
    <w:name w:val="s0"/>
    <w:qFormat/>
    <w:uiPriority w:val="0"/>
    <w:pPr>
      <w:widowControl w:val="0"/>
      <w:autoSpaceDE w:val="0"/>
      <w:autoSpaceDN w:val="0"/>
      <w:adjustRightInd w:val="0"/>
    </w:pPr>
    <w:rPr>
      <w:rFonts w:ascii="????" w:hAnsi="Times New Roman" w:eastAsia="????" w:cs="Times New Roman"/>
      <w:lang w:val="en-US" w:eastAsia="zh-CN" w:bidi="ar-SA"/>
    </w:rPr>
  </w:style>
  <w:style w:type="paragraph" w:customStyle="1" w:styleId="3066">
    <w:name w:val="字元 字元"/>
    <w:basedOn w:val="1"/>
    <w:qFormat/>
    <w:uiPriority w:val="0"/>
  </w:style>
  <w:style w:type="paragraph" w:customStyle="1" w:styleId="3067">
    <w:name w:val="Char811"/>
    <w:basedOn w:val="1"/>
    <w:qFormat/>
    <w:uiPriority w:val="0"/>
    <w:pPr>
      <w:ind w:left="-48"/>
    </w:pPr>
  </w:style>
  <w:style w:type="paragraph" w:customStyle="1" w:styleId="3068">
    <w:name w:val="图题21"/>
    <w:basedOn w:val="5"/>
    <w:qFormat/>
    <w:uiPriority w:val="0"/>
    <w:pPr>
      <w:keepNext w:val="0"/>
      <w:keepLines w:val="0"/>
      <w:tabs>
        <w:tab w:val="clear" w:pos="720"/>
      </w:tabs>
      <w:snapToGrid w:val="0"/>
      <w:spacing w:before="120"/>
      <w:ind w:left="0" w:firstLine="0"/>
      <w:jc w:val="center"/>
      <w:textAlignment w:val="auto"/>
    </w:pPr>
    <w:rPr>
      <w:rFonts w:ascii="黑体" w:hAnsi="宋体" w:cs="宋体"/>
      <w:b w:val="0"/>
      <w:bCs/>
      <w:color w:val="auto"/>
      <w:spacing w:val="0"/>
      <w:kern w:val="2"/>
      <w:szCs w:val="28"/>
    </w:rPr>
  </w:style>
  <w:style w:type="paragraph" w:customStyle="1" w:styleId="3069">
    <w:name w:val="列表2"/>
    <w:basedOn w:val="1"/>
    <w:next w:val="1"/>
    <w:qFormat/>
    <w:uiPriority w:val="0"/>
    <w:pPr>
      <w:keepNext/>
      <w:adjustRightInd w:val="0"/>
      <w:spacing w:before="240" w:line="276" w:lineRule="auto"/>
      <w:jc w:val="center"/>
      <w:textAlignment w:val="baseline"/>
    </w:pPr>
    <w:rPr>
      <w:sz w:val="24"/>
    </w:rPr>
  </w:style>
  <w:style w:type="paragraph" w:customStyle="1" w:styleId="3070">
    <w:name w:val="表内宋5中9"/>
    <w:basedOn w:val="1"/>
    <w:qFormat/>
    <w:uiPriority w:val="0"/>
    <w:pPr>
      <w:adjustRightInd w:val="0"/>
      <w:snapToGrid w:val="0"/>
      <w:spacing w:line="360" w:lineRule="auto"/>
      <w:jc w:val="center"/>
      <w:textAlignment w:val="baseline"/>
    </w:pPr>
    <w:rPr>
      <w:rFonts w:ascii="宋体" w:hAnsi="宋体"/>
      <w:szCs w:val="21"/>
    </w:rPr>
  </w:style>
  <w:style w:type="paragraph" w:customStyle="1" w:styleId="3071">
    <w:name w:val="样式 正文缩进文本条款表格标题正文（首行缩进两字） Char Char Char Char Char Char Char..."/>
    <w:basedOn w:val="21"/>
    <w:qFormat/>
    <w:uiPriority w:val="0"/>
    <w:pPr>
      <w:adjustRightInd w:val="0"/>
      <w:spacing w:line="440" w:lineRule="exact"/>
      <w:ind w:firstLine="560"/>
    </w:pPr>
    <w:rPr>
      <w:rFonts w:ascii="Calibri" w:hAnsi="Calibri"/>
      <w:sz w:val="28"/>
      <w:szCs w:val="24"/>
    </w:rPr>
  </w:style>
  <w:style w:type="paragraph" w:customStyle="1" w:styleId="3072">
    <w:name w:val="样式 标题 2 + 段后: 0.5 行3"/>
    <w:basedOn w:val="4"/>
    <w:qFormat/>
    <w:uiPriority w:val="0"/>
    <w:pPr>
      <w:widowControl/>
      <w:autoSpaceDN w:val="0"/>
      <w:spacing w:beforeLines="0"/>
    </w:pPr>
    <w:rPr>
      <w:rFonts w:ascii="黑体" w:hAnsi="Arial" w:cs="宋体"/>
      <w:b w:val="0"/>
      <w:sz w:val="30"/>
      <w:szCs w:val="30"/>
    </w:rPr>
  </w:style>
  <w:style w:type="paragraph" w:customStyle="1" w:styleId="3073">
    <w:name w:val="表标16.6"/>
    <w:next w:val="1114"/>
    <w:qFormat/>
    <w:uiPriority w:val="0"/>
    <w:pPr>
      <w:tabs>
        <w:tab w:val="left" w:pos="1560"/>
        <w:tab w:val="left" w:pos="2160"/>
      </w:tabs>
      <w:adjustRightInd w:val="0"/>
      <w:snapToGrid w:val="0"/>
      <w:spacing w:line="0" w:lineRule="atLeast"/>
      <w:jc w:val="center"/>
      <w:textAlignment w:val="baseline"/>
    </w:pPr>
    <w:rPr>
      <w:rFonts w:ascii="Times New Roman" w:hAnsi="Times New Roman" w:eastAsia="黑体" w:cs="Times New Roman"/>
      <w:b/>
      <w:color w:val="000000"/>
      <w:kern w:val="2"/>
      <w:sz w:val="24"/>
      <w:szCs w:val="24"/>
      <w:lang w:val="en-US" w:eastAsia="zh-CN" w:bidi="ar-SA"/>
    </w:rPr>
  </w:style>
  <w:style w:type="paragraph" w:customStyle="1" w:styleId="3074">
    <w:name w:val="Char Char Char Char Char Char12"/>
    <w:basedOn w:val="1"/>
    <w:next w:val="1"/>
    <w:qFormat/>
    <w:uiPriority w:val="0"/>
    <w:pPr>
      <w:spacing w:line="336" w:lineRule="auto"/>
      <w:ind w:firstLine="200" w:firstLineChars="200"/>
    </w:pPr>
    <w:rPr>
      <w:rFonts w:ascii="宋体" w:hAnsi="宋体" w:eastAsia="汉鼎简书宋" w:cs="宋体"/>
      <w:spacing w:val="4"/>
      <w:sz w:val="24"/>
    </w:rPr>
  </w:style>
  <w:style w:type="paragraph" w:customStyle="1" w:styleId="3075">
    <w:name w:val="表内宋5中53"/>
    <w:basedOn w:val="1"/>
    <w:qFormat/>
    <w:uiPriority w:val="0"/>
    <w:pPr>
      <w:adjustRightInd w:val="0"/>
      <w:snapToGrid w:val="0"/>
      <w:spacing w:line="360" w:lineRule="auto"/>
      <w:textAlignment w:val="baseline"/>
    </w:pPr>
    <w:rPr>
      <w:rFonts w:ascii="宋体" w:hAnsi="宋体"/>
      <w:szCs w:val="21"/>
    </w:rPr>
  </w:style>
  <w:style w:type="paragraph" w:customStyle="1" w:styleId="3076">
    <w:name w:val="纯文本4"/>
    <w:basedOn w:val="1"/>
    <w:qFormat/>
    <w:uiPriority w:val="0"/>
    <w:pPr>
      <w:adjustRightInd w:val="0"/>
      <w:textAlignment w:val="baseline"/>
    </w:pPr>
    <w:rPr>
      <w:rFonts w:ascii="宋体" w:hAnsi="Courier New"/>
    </w:rPr>
  </w:style>
  <w:style w:type="paragraph" w:customStyle="1" w:styleId="3077">
    <w:name w:val="环评副标题"/>
    <w:basedOn w:val="1"/>
    <w:qFormat/>
    <w:uiPriority w:val="0"/>
    <w:pPr>
      <w:spacing w:line="480" w:lineRule="exact"/>
      <w:jc w:val="center"/>
    </w:pPr>
    <w:rPr>
      <w:rFonts w:cs="宋体"/>
      <w:sz w:val="44"/>
    </w:rPr>
  </w:style>
  <w:style w:type="paragraph" w:customStyle="1" w:styleId="3078">
    <w:name w:val="样式122"/>
    <w:basedOn w:val="47"/>
    <w:qFormat/>
    <w:uiPriority w:val="0"/>
    <w:pPr>
      <w:adjustRightInd w:val="0"/>
      <w:spacing w:line="300" w:lineRule="auto"/>
      <w:ind w:firstLine="560" w:firstLineChars="200"/>
    </w:pPr>
    <w:rPr>
      <w:rFonts w:ascii="黑体" w:hAnsi="Times New Roman" w:eastAsia="黑体"/>
      <w:sz w:val="28"/>
    </w:rPr>
  </w:style>
  <w:style w:type="paragraph" w:customStyle="1" w:styleId="3079">
    <w:name w:val="样式 黑体 小四"/>
    <w:basedOn w:val="1"/>
    <w:qFormat/>
    <w:uiPriority w:val="0"/>
    <w:pPr>
      <w:jc w:val="center"/>
    </w:pPr>
    <w:rPr>
      <w:rFonts w:ascii="宋体" w:hAnsi="宋体" w:cs="宋体"/>
      <w:sz w:val="24"/>
    </w:rPr>
  </w:style>
  <w:style w:type="paragraph" w:customStyle="1" w:styleId="3080">
    <w:name w:val="表内文字小45"/>
    <w:basedOn w:val="1"/>
    <w:qFormat/>
    <w:uiPriority w:val="0"/>
    <w:pPr>
      <w:adjustRightInd w:val="0"/>
      <w:snapToGrid w:val="0"/>
      <w:jc w:val="center"/>
    </w:pPr>
    <w:rPr>
      <w:rFonts w:ascii="宋体" w:hAnsi="Times"/>
    </w:rPr>
  </w:style>
  <w:style w:type="paragraph" w:customStyle="1" w:styleId="3081">
    <w:name w:val="1.2.3"/>
    <w:basedOn w:val="1"/>
    <w:qFormat/>
    <w:uiPriority w:val="0"/>
    <w:pPr>
      <w:spacing w:line="520" w:lineRule="exact"/>
      <w:ind w:firstLine="540"/>
    </w:pPr>
    <w:rPr>
      <w:sz w:val="28"/>
    </w:rPr>
  </w:style>
  <w:style w:type="paragraph" w:customStyle="1" w:styleId="3082">
    <w:name w:val="Char Char Char1 Char1"/>
    <w:basedOn w:val="1"/>
    <w:qFormat/>
    <w:uiPriority w:val="0"/>
  </w:style>
  <w:style w:type="paragraph" w:customStyle="1" w:styleId="3083">
    <w:name w:val="Char21"/>
    <w:basedOn w:val="1"/>
    <w:qFormat/>
    <w:uiPriority w:val="0"/>
    <w:pPr>
      <w:spacing w:line="360" w:lineRule="auto"/>
      <w:ind w:firstLine="200" w:firstLineChars="200"/>
    </w:pPr>
    <w:rPr>
      <w:rFonts w:ascii="宋体" w:hAnsi="宋体" w:cs="宋体"/>
      <w:sz w:val="24"/>
    </w:rPr>
  </w:style>
  <w:style w:type="paragraph" w:customStyle="1" w:styleId="3084">
    <w:name w:val="样式 表内5 + (符号) 宋体 两端对齐 行距: 单倍行距14"/>
    <w:basedOn w:val="1"/>
    <w:qFormat/>
    <w:uiPriority w:val="0"/>
    <w:pPr>
      <w:adjustRightInd w:val="0"/>
      <w:snapToGrid w:val="0"/>
      <w:jc w:val="center"/>
    </w:pPr>
    <w:rPr>
      <w:rFonts w:ascii="宋体" w:hAnsi="宋体" w:cs="宋体"/>
    </w:rPr>
  </w:style>
  <w:style w:type="paragraph" w:customStyle="1" w:styleId="3085">
    <w:name w:val="页眉中101"/>
    <w:basedOn w:val="1"/>
    <w:qFormat/>
    <w:uiPriority w:val="0"/>
    <w:pPr>
      <w:adjustRightInd w:val="0"/>
      <w:snapToGrid w:val="0"/>
      <w:spacing w:line="300" w:lineRule="auto"/>
      <w:jc w:val="left"/>
    </w:pPr>
    <w:rPr>
      <w:rFonts w:ascii="黑体" w:eastAsia="黑体"/>
      <w:bCs/>
      <w:sz w:val="24"/>
    </w:rPr>
  </w:style>
  <w:style w:type="paragraph" w:customStyle="1" w:styleId="3086">
    <w:name w:val="表题9"/>
    <w:basedOn w:val="47"/>
    <w:qFormat/>
    <w:uiPriority w:val="0"/>
    <w:pPr>
      <w:adjustRightInd w:val="0"/>
      <w:spacing w:line="300" w:lineRule="auto"/>
      <w:jc w:val="center"/>
    </w:pPr>
    <w:rPr>
      <w:rFonts w:ascii="黑体" w:eastAsia="黑体"/>
      <w:sz w:val="24"/>
    </w:rPr>
  </w:style>
  <w:style w:type="paragraph" w:customStyle="1" w:styleId="3087">
    <w:name w:val="福建正文缩进35"/>
    <w:basedOn w:val="21"/>
    <w:qFormat/>
    <w:uiPriority w:val="0"/>
    <w:pPr>
      <w:autoSpaceDE w:val="0"/>
      <w:autoSpaceDN w:val="0"/>
      <w:adjustRightInd w:val="0"/>
      <w:snapToGrid w:val="0"/>
      <w:spacing w:line="360" w:lineRule="auto"/>
      <w:ind w:firstLine="539" w:firstLineChars="0"/>
    </w:pPr>
    <w:rPr>
      <w:rFonts w:ascii="宋体" w:hAnsi="宋体"/>
      <w:szCs w:val="24"/>
    </w:rPr>
  </w:style>
  <w:style w:type="paragraph" w:customStyle="1" w:styleId="3088">
    <w:name w:val="font8"/>
    <w:basedOn w:val="1"/>
    <w:qFormat/>
    <w:uiPriority w:val="0"/>
    <w:pPr>
      <w:widowControl/>
      <w:spacing w:before="100" w:beforeAutospacing="1" w:after="100" w:afterAutospacing="1"/>
      <w:jc w:val="left"/>
    </w:pPr>
    <w:rPr>
      <w:rFonts w:hint="eastAsia" w:ascii="宋体" w:hAnsi="宋体"/>
      <w:color w:val="FF0000"/>
      <w:sz w:val="16"/>
      <w:szCs w:val="16"/>
    </w:rPr>
  </w:style>
  <w:style w:type="paragraph" w:customStyle="1" w:styleId="3089">
    <w:name w:val="xl109"/>
    <w:basedOn w:val="1"/>
    <w:qFormat/>
    <w:uiPriority w:val="0"/>
    <w:pPr>
      <w:widowControl/>
      <w:pBdr>
        <w:top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sz w:val="16"/>
      <w:szCs w:val="16"/>
    </w:rPr>
  </w:style>
  <w:style w:type="paragraph" w:customStyle="1" w:styleId="3090">
    <w:name w:val="正文标题"/>
    <w:basedOn w:val="1"/>
    <w:next w:val="860"/>
    <w:qFormat/>
    <w:uiPriority w:val="0"/>
    <w:pPr>
      <w:snapToGrid w:val="0"/>
      <w:spacing w:before="60" w:line="480" w:lineRule="atLeast"/>
      <w:ind w:firstLine="200" w:firstLineChars="200"/>
    </w:pPr>
    <w:rPr>
      <w:b/>
      <w:sz w:val="24"/>
    </w:rPr>
  </w:style>
  <w:style w:type="paragraph" w:customStyle="1" w:styleId="3091">
    <w:name w:val="符号后文字"/>
    <w:basedOn w:val="21"/>
    <w:qFormat/>
    <w:uiPriority w:val="0"/>
    <w:pPr>
      <w:spacing w:before="62" w:line="400" w:lineRule="exact"/>
      <w:ind w:firstLine="480"/>
    </w:pPr>
    <w:rPr>
      <w:rFonts w:ascii="黑体" w:hAnsi="黑体" w:eastAsia="黑体"/>
      <w:color w:val="FF0000"/>
      <w:szCs w:val="22"/>
    </w:rPr>
  </w:style>
  <w:style w:type="paragraph" w:customStyle="1" w:styleId="3092">
    <w:name w:val="Pa9"/>
    <w:basedOn w:val="1"/>
    <w:next w:val="1"/>
    <w:qFormat/>
    <w:uiPriority w:val="0"/>
    <w:pPr>
      <w:autoSpaceDE w:val="0"/>
      <w:autoSpaceDN w:val="0"/>
      <w:adjustRightInd w:val="0"/>
      <w:spacing w:line="241" w:lineRule="atLeast"/>
      <w:jc w:val="left"/>
    </w:pPr>
    <w:rPr>
      <w:rFonts w:ascii="宋体"/>
      <w:sz w:val="24"/>
    </w:rPr>
  </w:style>
  <w:style w:type="paragraph" w:customStyle="1" w:styleId="3093">
    <w:name w:val="xl43"/>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sz w:val="24"/>
    </w:rPr>
  </w:style>
  <w:style w:type="paragraph" w:customStyle="1" w:styleId="3094">
    <w:name w:val="表内5中12"/>
    <w:basedOn w:val="1510"/>
    <w:qFormat/>
    <w:uiPriority w:val="0"/>
    <w:pPr>
      <w:widowControl/>
      <w:tabs>
        <w:tab w:val="clear" w:pos="4305"/>
      </w:tabs>
    </w:pPr>
    <w:rPr>
      <w:sz w:val="21"/>
      <w:szCs w:val="21"/>
    </w:rPr>
  </w:style>
  <w:style w:type="paragraph" w:customStyle="1" w:styleId="3095">
    <w:name w:val="编制人员"/>
    <w:basedOn w:val="1"/>
    <w:qFormat/>
    <w:uiPriority w:val="0"/>
    <w:pPr>
      <w:adjustRightInd w:val="0"/>
      <w:snapToGrid w:val="0"/>
      <w:spacing w:beforeLines="50" w:afterLines="50"/>
      <w:ind w:firstLine="200" w:firstLineChars="200"/>
    </w:pPr>
    <w:rPr>
      <w:rFonts w:ascii="Arial Unicode MS" w:hAnsi="Arial Unicode MS" w:eastAsia="Arial Unicode MS"/>
      <w:b/>
      <w:sz w:val="28"/>
    </w:rPr>
  </w:style>
  <w:style w:type="paragraph" w:customStyle="1" w:styleId="3096">
    <w:name w:val="索引 11"/>
    <w:basedOn w:val="1"/>
    <w:next w:val="1"/>
    <w:qFormat/>
    <w:uiPriority w:val="0"/>
    <w:rPr>
      <w:sz w:val="24"/>
    </w:rPr>
  </w:style>
  <w:style w:type="paragraph" w:customStyle="1" w:styleId="3097">
    <w:name w:val="表内文字大16"/>
    <w:basedOn w:val="1"/>
    <w:qFormat/>
    <w:uiPriority w:val="0"/>
    <w:pPr>
      <w:adjustRightInd w:val="0"/>
      <w:snapToGrid w:val="0"/>
      <w:jc w:val="center"/>
    </w:pPr>
    <w:rPr>
      <w:rFonts w:ascii="宋体" w:hAnsi="Times"/>
      <w:sz w:val="24"/>
    </w:rPr>
  </w:style>
  <w:style w:type="paragraph" w:customStyle="1" w:styleId="3098">
    <w:name w:val="表题125"/>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3099">
    <w:name w:val="表内宋5中23"/>
    <w:basedOn w:val="1"/>
    <w:qFormat/>
    <w:uiPriority w:val="0"/>
    <w:pPr>
      <w:adjustRightInd w:val="0"/>
      <w:snapToGrid w:val="0"/>
      <w:jc w:val="center"/>
      <w:textAlignment w:val="baseline"/>
    </w:pPr>
    <w:rPr>
      <w:rFonts w:ascii="宋体" w:hAnsi="宋体"/>
    </w:rPr>
  </w:style>
  <w:style w:type="paragraph" w:customStyle="1" w:styleId="3100">
    <w:name w:val="Char Char1 Char Char Char Char1"/>
    <w:basedOn w:val="1"/>
    <w:qFormat/>
    <w:uiPriority w:val="0"/>
  </w:style>
  <w:style w:type="paragraph" w:customStyle="1" w:styleId="3101">
    <w:name w:val="正文正文正文"/>
    <w:basedOn w:val="1"/>
    <w:next w:val="1"/>
    <w:qFormat/>
    <w:uiPriority w:val="0"/>
    <w:pPr>
      <w:keepNext/>
      <w:keepLines/>
      <w:widowControl/>
      <w:adjustRightInd w:val="0"/>
      <w:spacing w:before="40" w:after="40" w:line="360" w:lineRule="auto"/>
      <w:ind w:firstLine="200" w:firstLineChars="200"/>
      <w:textAlignment w:val="baseline"/>
    </w:pPr>
    <w:rPr>
      <w:rFonts w:cs="宋体"/>
      <w:bCs/>
      <w:sz w:val="24"/>
      <w:szCs w:val="28"/>
    </w:rPr>
  </w:style>
  <w:style w:type="paragraph" w:customStyle="1" w:styleId="3102">
    <w:name w:val="样式 样式 样式 样式 标题 21.1标题 21.1标题2标题 2 Char1节标2_Heading 2一级条二级标题，黑粗，...."/>
    <w:basedOn w:val="1"/>
    <w:qFormat/>
    <w:uiPriority w:val="0"/>
    <w:pPr>
      <w:keepNext/>
      <w:widowControl/>
      <w:snapToGrid w:val="0"/>
      <w:spacing w:beforeLines="50" w:afterLines="50"/>
      <w:outlineLvl w:val="1"/>
    </w:pPr>
    <w:rPr>
      <w:rFonts w:ascii="黑体" w:hAnsi="Arial" w:eastAsia="黑体" w:cs="宋体"/>
      <w:color w:val="000000"/>
      <w:kern w:val="24"/>
      <w:sz w:val="28"/>
      <w:lang w:val="zh-CN"/>
    </w:rPr>
  </w:style>
  <w:style w:type="paragraph" w:customStyle="1" w:styleId="3103">
    <w:name w:val="Char6"/>
    <w:basedOn w:val="1"/>
    <w:qFormat/>
    <w:uiPriority w:val="0"/>
    <w:pPr>
      <w:ind w:left="-48"/>
    </w:pPr>
  </w:style>
  <w:style w:type="paragraph" w:customStyle="1" w:styleId="3104">
    <w:name w:val="图表标题"/>
    <w:basedOn w:val="1"/>
    <w:qFormat/>
    <w:uiPriority w:val="0"/>
    <w:pPr>
      <w:adjustRightInd w:val="0"/>
      <w:snapToGrid w:val="0"/>
      <w:spacing w:line="360" w:lineRule="auto"/>
      <w:jc w:val="center"/>
    </w:pPr>
    <w:rPr>
      <w:rFonts w:ascii="黑体" w:eastAsia="黑体"/>
      <w:b/>
      <w:color w:val="000000"/>
      <w:sz w:val="24"/>
      <w:szCs w:val="21"/>
    </w:rPr>
  </w:style>
  <w:style w:type="paragraph" w:customStyle="1" w:styleId="3105">
    <w:name w:val="样式7.5.4.1"/>
    <w:basedOn w:val="2566"/>
    <w:qFormat/>
    <w:uiPriority w:val="0"/>
    <w:pPr>
      <w:tabs>
        <w:tab w:val="left" w:pos="-164"/>
      </w:tabs>
      <w:ind w:left="0"/>
    </w:pPr>
  </w:style>
  <w:style w:type="paragraph" w:customStyle="1" w:styleId="3106">
    <w:name w:val="xl116"/>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color w:val="000000"/>
      <w:sz w:val="18"/>
      <w:szCs w:val="18"/>
    </w:rPr>
  </w:style>
  <w:style w:type="paragraph" w:customStyle="1" w:styleId="3107">
    <w:name w:val="Char Char Char Char Char Char1 Char Char Char Char"/>
    <w:basedOn w:val="1"/>
    <w:qFormat/>
    <w:uiPriority w:val="0"/>
  </w:style>
  <w:style w:type="paragraph" w:customStyle="1" w:styleId="3108">
    <w:name w:val="标题 711"/>
    <w:basedOn w:val="1"/>
    <w:next w:val="1"/>
    <w:qFormat/>
    <w:uiPriority w:val="0"/>
    <w:pPr>
      <w:keepNext/>
      <w:keepLines/>
      <w:adjustRightInd w:val="0"/>
      <w:spacing w:line="480" w:lineRule="exact"/>
      <w:ind w:firstLine="851"/>
      <w:textAlignment w:val="baseline"/>
    </w:pPr>
    <w:rPr>
      <w:rFonts w:hint="eastAsia"/>
      <w:sz w:val="24"/>
    </w:rPr>
  </w:style>
  <w:style w:type="paragraph" w:customStyle="1" w:styleId="3109">
    <w:name w:val="表内文字小33"/>
    <w:basedOn w:val="1"/>
    <w:qFormat/>
    <w:uiPriority w:val="0"/>
    <w:pPr>
      <w:adjustRightInd w:val="0"/>
      <w:snapToGrid w:val="0"/>
      <w:jc w:val="center"/>
    </w:pPr>
    <w:rPr>
      <w:rFonts w:ascii="宋体" w:hAnsi="Times" w:cs="宋体"/>
      <w:bCs/>
      <w:color w:val="003366"/>
    </w:rPr>
  </w:style>
  <w:style w:type="paragraph" w:customStyle="1" w:styleId="3110">
    <w:name w:val="公司名"/>
    <w:basedOn w:val="34"/>
    <w:qFormat/>
    <w:uiPriority w:val="0"/>
    <w:pPr>
      <w:keepLines/>
      <w:widowControl/>
      <w:spacing w:after="80" w:line="240" w:lineRule="atLeast"/>
      <w:jc w:val="center"/>
    </w:pPr>
    <w:rPr>
      <w:rFonts w:ascii="Garamond" w:hAnsi="Garamond" w:eastAsia="隶书"/>
      <w:caps/>
      <w:spacing w:val="75"/>
      <w:sz w:val="32"/>
    </w:rPr>
  </w:style>
  <w:style w:type="paragraph" w:customStyle="1" w:styleId="3111">
    <w:name w:val="xl103"/>
    <w:basedOn w:val="1"/>
    <w:qFormat/>
    <w:uiPriority w:val="0"/>
    <w:pPr>
      <w:widowControl/>
      <w:pBdr>
        <w:top w:val="single" w:color="auto" w:sz="4" w:space="0"/>
        <w:left w:val="single" w:color="auto" w:sz="8" w:space="0"/>
      </w:pBdr>
      <w:spacing w:before="100" w:beforeAutospacing="1" w:after="100" w:afterAutospacing="1"/>
      <w:jc w:val="left"/>
      <w:textAlignment w:val="center"/>
    </w:pPr>
    <w:rPr>
      <w:rFonts w:ascii="Arial Unicode MS" w:hAnsi="Arial Unicode MS" w:eastAsia="Arial Unicode MS" w:cs="Arial Unicode MS"/>
      <w:sz w:val="16"/>
      <w:szCs w:val="16"/>
    </w:rPr>
  </w:style>
  <w:style w:type="paragraph" w:customStyle="1" w:styleId="3112">
    <w:name w:val="页眉中64"/>
    <w:basedOn w:val="47"/>
    <w:qFormat/>
    <w:uiPriority w:val="0"/>
    <w:pPr>
      <w:adjustRightInd w:val="0"/>
      <w:spacing w:line="360" w:lineRule="auto"/>
      <w:jc w:val="left"/>
    </w:pPr>
    <w:rPr>
      <w:rFonts w:ascii="黑体" w:hAnsi="Times New Roman" w:eastAsia="黑体"/>
      <w:bCs/>
      <w:sz w:val="24"/>
      <w:szCs w:val="24"/>
    </w:rPr>
  </w:style>
  <w:style w:type="paragraph" w:customStyle="1" w:styleId="3113">
    <w:name w:val="12.2.6.1"/>
    <w:basedOn w:val="2338"/>
    <w:qFormat/>
    <w:uiPriority w:val="0"/>
  </w:style>
  <w:style w:type="paragraph" w:customStyle="1" w:styleId="3114">
    <w:name w:val="样式 样式 样式 样式1 + 段前: 4.75 磅 段后: 4.75 磅 + 非加粗 + 行距: 最小值 26 磅"/>
    <w:basedOn w:val="1"/>
    <w:qFormat/>
    <w:uiPriority w:val="0"/>
    <w:pPr>
      <w:tabs>
        <w:tab w:val="left" w:pos="1440"/>
      </w:tabs>
      <w:adjustRightInd w:val="0"/>
      <w:snapToGrid w:val="0"/>
      <w:spacing w:line="520" w:lineRule="atLeast"/>
      <w:outlineLvl w:val="4"/>
    </w:pPr>
    <w:rPr>
      <w:rFonts w:cs="宋体"/>
      <w:sz w:val="28"/>
    </w:rPr>
  </w:style>
  <w:style w:type="paragraph" w:customStyle="1" w:styleId="3115">
    <w:name w:val="表内序号"/>
    <w:basedOn w:val="1"/>
    <w:qFormat/>
    <w:uiPriority w:val="0"/>
    <w:pPr>
      <w:widowControl/>
      <w:adjustRightInd w:val="0"/>
      <w:snapToGrid w:val="0"/>
      <w:spacing w:line="360" w:lineRule="auto"/>
      <w:ind w:firstLine="288"/>
    </w:pPr>
    <w:rPr>
      <w:sz w:val="18"/>
    </w:rPr>
  </w:style>
  <w:style w:type="paragraph" w:customStyle="1" w:styleId="3116">
    <w:name w:val="神华环评标题三级"/>
    <w:basedOn w:val="1"/>
    <w:qFormat/>
    <w:uiPriority w:val="0"/>
    <w:pPr>
      <w:tabs>
        <w:tab w:val="left" w:pos="4320"/>
      </w:tabs>
      <w:spacing w:line="360" w:lineRule="auto"/>
      <w:ind w:left="4320" w:hanging="420"/>
      <w:outlineLvl w:val="2"/>
    </w:pPr>
    <w:rPr>
      <w:rFonts w:ascii="Arial" w:hAnsi="Arial" w:cs="宋体"/>
      <w:b/>
      <w:bCs/>
      <w:sz w:val="24"/>
    </w:rPr>
  </w:style>
  <w:style w:type="paragraph" w:customStyle="1" w:styleId="3117">
    <w:name w:val="标题471"/>
    <w:basedOn w:val="1"/>
    <w:qFormat/>
    <w:uiPriority w:val="0"/>
    <w:pPr>
      <w:adjustRightInd w:val="0"/>
      <w:snapToGrid w:val="0"/>
      <w:spacing w:line="300" w:lineRule="auto"/>
    </w:pPr>
    <w:rPr>
      <w:rFonts w:ascii="黑体" w:eastAsia="黑体"/>
      <w:sz w:val="24"/>
    </w:rPr>
  </w:style>
  <w:style w:type="paragraph" w:customStyle="1" w:styleId="3118">
    <w:name w:val="Char Char Char Char6"/>
    <w:basedOn w:val="1"/>
    <w:qFormat/>
    <w:uiPriority w:val="0"/>
  </w:style>
  <w:style w:type="paragraph" w:customStyle="1" w:styleId="3119">
    <w:name w:val="正文缩5"/>
    <w:basedOn w:val="1"/>
    <w:qFormat/>
    <w:uiPriority w:val="0"/>
    <w:pPr>
      <w:adjustRightInd w:val="0"/>
      <w:snapToGrid w:val="0"/>
      <w:spacing w:line="480" w:lineRule="atLeast"/>
      <w:ind w:firstLine="567"/>
      <w:textAlignment w:val="baseline"/>
    </w:pPr>
    <w:rPr>
      <w:rFonts w:ascii="宋体"/>
      <w:color w:val="000080"/>
      <w:spacing w:val="6"/>
      <w:sz w:val="28"/>
    </w:rPr>
  </w:style>
  <w:style w:type="paragraph" w:customStyle="1" w:styleId="3120">
    <w:name w:val="样式 燕山正文 + 首行缩进:  3.5 字符25"/>
    <w:basedOn w:val="1"/>
    <w:qFormat/>
    <w:uiPriority w:val="0"/>
    <w:pPr>
      <w:tabs>
        <w:tab w:val="left" w:pos="4680"/>
      </w:tabs>
      <w:adjustRightInd w:val="0"/>
      <w:snapToGrid w:val="0"/>
      <w:spacing w:line="360" w:lineRule="auto"/>
      <w:ind w:firstLine="200" w:firstLineChars="200"/>
    </w:pPr>
    <w:rPr>
      <w:rFonts w:ascii="宋体" w:hAnsi="宋体" w:cs="宋体"/>
      <w:color w:val="000000"/>
      <w:sz w:val="28"/>
    </w:rPr>
  </w:style>
  <w:style w:type="paragraph" w:customStyle="1" w:styleId="3121">
    <w:name w:val="Char Char Char Char Char Char Char Char Char1 Char Char Char Char1"/>
    <w:basedOn w:val="1"/>
    <w:qFormat/>
    <w:uiPriority w:val="0"/>
  </w:style>
  <w:style w:type="paragraph" w:customStyle="1" w:styleId="3122">
    <w:name w:val="文本框 Char Char Char Char Char Char"/>
    <w:basedOn w:val="1"/>
    <w:qFormat/>
    <w:uiPriority w:val="0"/>
    <w:pPr>
      <w:adjustRightInd w:val="0"/>
      <w:snapToGrid w:val="0"/>
      <w:spacing w:line="300" w:lineRule="exact"/>
      <w:jc w:val="center"/>
    </w:pPr>
    <w:rPr>
      <w:sz w:val="24"/>
    </w:rPr>
  </w:style>
  <w:style w:type="paragraph" w:customStyle="1" w:styleId="3123">
    <w:name w:val="等核实22"/>
    <w:basedOn w:val="35"/>
    <w:qFormat/>
    <w:uiPriority w:val="0"/>
    <w:pPr>
      <w:tabs>
        <w:tab w:val="left" w:pos="4305"/>
      </w:tabs>
      <w:adjustRightInd w:val="0"/>
      <w:snapToGrid w:val="0"/>
      <w:spacing w:after="0" w:line="360" w:lineRule="auto"/>
      <w:ind w:left="0" w:leftChars="0" w:firstLine="561"/>
    </w:pPr>
    <w:rPr>
      <w:rFonts w:ascii="宋体" w:hAnsi="宋体" w:cs="宋体"/>
      <w:color w:val="000000"/>
      <w:sz w:val="24"/>
    </w:rPr>
  </w:style>
  <w:style w:type="paragraph" w:customStyle="1" w:styleId="3124">
    <w:name w:val="样式 标题 3 + (符号) Times New Roman 四号 两端对齐 段前: 12 磅 行距: 1.5 倍行距4"/>
    <w:basedOn w:val="5"/>
    <w:qFormat/>
    <w:uiPriority w:val="0"/>
    <w:pPr>
      <w:keepNext w:val="0"/>
      <w:keepLines w:val="0"/>
      <w:tabs>
        <w:tab w:val="clear" w:pos="720"/>
      </w:tabs>
      <w:snapToGrid w:val="0"/>
      <w:spacing w:before="120" w:afterLines="50"/>
      <w:ind w:left="0" w:firstLine="0"/>
      <w:jc w:val="both"/>
      <w:textAlignment w:val="auto"/>
    </w:pPr>
    <w:rPr>
      <w:rFonts w:ascii="黑体" w:cs="宋体"/>
      <w:color w:val="auto"/>
      <w:spacing w:val="0"/>
      <w:kern w:val="2"/>
      <w:szCs w:val="28"/>
    </w:rPr>
  </w:style>
  <w:style w:type="paragraph" w:customStyle="1" w:styleId="3125">
    <w:name w:val="表标题5.2"/>
    <w:basedOn w:val="3126"/>
    <w:qFormat/>
    <w:uiPriority w:val="0"/>
    <w:pPr>
      <w:tabs>
        <w:tab w:val="left" w:pos="720"/>
        <w:tab w:val="left" w:pos="3060"/>
        <w:tab w:val="left" w:pos="8207"/>
      </w:tabs>
      <w:ind w:left="2400" w:hanging="420"/>
    </w:pPr>
  </w:style>
  <w:style w:type="paragraph" w:customStyle="1" w:styleId="3126">
    <w:name w:val="表标5.8"/>
    <w:next w:val="1114"/>
    <w:qFormat/>
    <w:uiPriority w:val="0"/>
    <w:pPr>
      <w:tabs>
        <w:tab w:val="left" w:pos="720"/>
        <w:tab w:val="left" w:pos="8207"/>
      </w:tabs>
      <w:adjustRightInd w:val="0"/>
      <w:snapToGrid w:val="0"/>
      <w:spacing w:before="240" w:line="0" w:lineRule="atLeast"/>
      <w:ind w:left="-4" w:firstLine="4"/>
      <w:jc w:val="center"/>
      <w:textAlignment w:val="baseline"/>
    </w:pPr>
    <w:rPr>
      <w:rFonts w:ascii="Times New Roman" w:hAnsi="Times New Roman" w:eastAsia="黑体" w:cs="Times New Roman"/>
      <w:b/>
      <w:color w:val="000000"/>
      <w:kern w:val="2"/>
      <w:sz w:val="24"/>
      <w:szCs w:val="24"/>
      <w:lang w:val="en-US" w:eastAsia="zh-CN" w:bidi="ar-SA"/>
    </w:rPr>
  </w:style>
  <w:style w:type="paragraph" w:customStyle="1" w:styleId="3127">
    <w:name w:val="索引标题12"/>
    <w:basedOn w:val="1"/>
    <w:next w:val="1"/>
    <w:qFormat/>
    <w:uiPriority w:val="0"/>
    <w:rPr>
      <w:rFonts w:ascii="Arial" w:hAnsi="Arial" w:cs="Arial"/>
      <w:b/>
      <w:bCs/>
      <w:sz w:val="24"/>
    </w:rPr>
  </w:style>
  <w:style w:type="paragraph" w:customStyle="1" w:styleId="3128">
    <w:name w:val="页眉中116"/>
    <w:basedOn w:val="47"/>
    <w:qFormat/>
    <w:uiPriority w:val="0"/>
    <w:pPr>
      <w:adjustRightInd w:val="0"/>
      <w:spacing w:line="300" w:lineRule="auto"/>
      <w:jc w:val="left"/>
    </w:pPr>
    <w:rPr>
      <w:rFonts w:ascii="黑体" w:hAnsi="宋体" w:eastAsia="黑体" w:cs="宋体"/>
      <w:bCs/>
      <w:sz w:val="24"/>
    </w:rPr>
  </w:style>
  <w:style w:type="paragraph" w:customStyle="1" w:styleId="3129">
    <w:name w:val="表内594"/>
    <w:basedOn w:val="1"/>
    <w:qFormat/>
    <w:uiPriority w:val="0"/>
    <w:pPr>
      <w:adjustRightInd w:val="0"/>
      <w:snapToGrid w:val="0"/>
    </w:pPr>
    <w:rPr>
      <w:rFonts w:ascii="宋体"/>
    </w:rPr>
  </w:style>
  <w:style w:type="paragraph" w:customStyle="1" w:styleId="3130">
    <w:name w:val="等核实23"/>
    <w:basedOn w:val="35"/>
    <w:qFormat/>
    <w:uiPriority w:val="0"/>
    <w:pPr>
      <w:tabs>
        <w:tab w:val="left" w:pos="4305"/>
      </w:tabs>
      <w:adjustRightInd w:val="0"/>
      <w:snapToGrid w:val="0"/>
      <w:spacing w:after="0" w:line="360" w:lineRule="auto"/>
      <w:ind w:left="0" w:leftChars="0" w:firstLine="561"/>
    </w:pPr>
    <w:rPr>
      <w:rFonts w:ascii="宋体" w:hAnsi="宋体" w:cs="宋体"/>
      <w:color w:val="000000"/>
      <w:sz w:val="24"/>
    </w:rPr>
  </w:style>
  <w:style w:type="paragraph" w:customStyle="1" w:styleId="3131">
    <w:name w:val="页眉中210"/>
    <w:basedOn w:val="1"/>
    <w:qFormat/>
    <w:uiPriority w:val="0"/>
    <w:pPr>
      <w:adjustRightInd w:val="0"/>
      <w:snapToGrid w:val="0"/>
      <w:jc w:val="center"/>
    </w:pPr>
    <w:rPr>
      <w:rFonts w:ascii="黑体" w:eastAsia="黑体"/>
      <w:bCs/>
    </w:rPr>
  </w:style>
  <w:style w:type="paragraph" w:customStyle="1" w:styleId="3132">
    <w:name w:val="Char51"/>
    <w:basedOn w:val="1"/>
    <w:qFormat/>
    <w:uiPriority w:val="0"/>
    <w:pPr>
      <w:ind w:left="-48"/>
    </w:pPr>
  </w:style>
  <w:style w:type="paragraph" w:customStyle="1" w:styleId="3133">
    <w:name w:val="表标题8.1"/>
    <w:basedOn w:val="7"/>
    <w:qFormat/>
    <w:uiPriority w:val="0"/>
    <w:pPr>
      <w:keepNext w:val="0"/>
      <w:keepLines w:val="0"/>
      <w:tabs>
        <w:tab w:val="center" w:pos="4060"/>
        <w:tab w:val="right" w:pos="8261"/>
      </w:tabs>
      <w:suppressAutoHyphens/>
      <w:snapToGrid/>
      <w:spacing w:beforeLines="100" w:after="0" w:line="0" w:lineRule="atLeast"/>
      <w:ind w:firstLine="0" w:firstLineChars="0"/>
      <w:jc w:val="center"/>
      <w:outlineLvl w:val="9"/>
    </w:pPr>
    <w:rPr>
      <w:rFonts w:ascii="黑体" w:eastAsia="黑体" w:cs="宋体"/>
      <w:bCs/>
      <w:spacing w:val="6"/>
      <w:sz w:val="24"/>
    </w:rPr>
  </w:style>
  <w:style w:type="paragraph" w:customStyle="1" w:styleId="3134">
    <w:name w:val="表标题12.5-1"/>
    <w:qFormat/>
    <w:uiPriority w:val="0"/>
    <w:pPr>
      <w:tabs>
        <w:tab w:val="left" w:pos="851"/>
      </w:tabs>
      <w:spacing w:before="100"/>
    </w:pPr>
    <w:rPr>
      <w:rFonts w:ascii="Times New Roman" w:hAnsi="Times New Roman" w:eastAsia="宋体" w:cs="Times New Roman"/>
      <w:lang w:val="en-US" w:eastAsia="zh-CN" w:bidi="ar-SA"/>
    </w:rPr>
  </w:style>
  <w:style w:type="paragraph" w:customStyle="1" w:styleId="3135">
    <w:name w:val="样式 标题 2 + 黑体 小四 非加粗 段前: 0 磅 段后: 0 磅 行距: 固定值 22 磅"/>
    <w:basedOn w:val="4"/>
    <w:qFormat/>
    <w:uiPriority w:val="0"/>
    <w:pPr>
      <w:tabs>
        <w:tab w:val="clear" w:pos="1427"/>
      </w:tabs>
      <w:adjustRightInd/>
      <w:spacing w:before="156" w:after="156" w:line="440" w:lineRule="exact"/>
      <w:jc w:val="both"/>
      <w:textAlignment w:val="auto"/>
    </w:pPr>
    <w:rPr>
      <w:rFonts w:ascii="黑体" w:hAnsi="Arial" w:cs="宋体"/>
      <w:b w:val="0"/>
      <w:kern w:val="2"/>
      <w:szCs w:val="28"/>
    </w:rPr>
  </w:style>
  <w:style w:type="paragraph" w:customStyle="1" w:styleId="3136">
    <w:name w:val="正文114"/>
    <w:basedOn w:val="1"/>
    <w:qFormat/>
    <w:uiPriority w:val="0"/>
    <w:pPr>
      <w:adjustRightInd w:val="0"/>
      <w:snapToGrid w:val="0"/>
      <w:spacing w:after="120"/>
      <w:jc w:val="center"/>
      <w:textAlignment w:val="baseline"/>
    </w:pPr>
    <w:rPr>
      <w:sz w:val="18"/>
    </w:rPr>
  </w:style>
  <w:style w:type="paragraph" w:customStyle="1" w:styleId="3137">
    <w:name w:val="样式 目录 2 + 首行缩进:  2 字符2"/>
    <w:basedOn w:val="75"/>
    <w:qFormat/>
    <w:uiPriority w:val="0"/>
    <w:pPr>
      <w:tabs>
        <w:tab w:val="left" w:pos="1200"/>
        <w:tab w:val="clear" w:pos="8303"/>
      </w:tabs>
      <w:spacing w:line="480" w:lineRule="exact"/>
      <w:ind w:firstLine="480"/>
    </w:pPr>
    <w:rPr>
      <w:rFonts w:cs="宋体"/>
    </w:rPr>
  </w:style>
  <w:style w:type="paragraph" w:customStyle="1" w:styleId="3138">
    <w:name w:val="表内文字边2"/>
    <w:qFormat/>
    <w:uiPriority w:val="0"/>
    <w:pPr>
      <w:adjustRightInd w:val="0"/>
      <w:snapToGrid w:val="0"/>
      <w:jc w:val="both"/>
    </w:pPr>
    <w:rPr>
      <w:rFonts w:ascii="Times New Roman" w:hAnsi="Times New Roman" w:eastAsia="宋体" w:cs="Times New Roman"/>
      <w:lang w:val="en-US" w:eastAsia="zh-CN" w:bidi="ar-SA"/>
    </w:rPr>
  </w:style>
  <w:style w:type="paragraph" w:customStyle="1" w:styleId="3139">
    <w:name w:val="表内58"/>
    <w:basedOn w:val="1"/>
    <w:qFormat/>
    <w:uiPriority w:val="0"/>
    <w:pPr>
      <w:adjustRightInd w:val="0"/>
      <w:snapToGrid w:val="0"/>
      <w:spacing w:line="300" w:lineRule="auto"/>
      <w:jc w:val="left"/>
    </w:pPr>
    <w:rPr>
      <w:rFonts w:ascii="宋体"/>
    </w:rPr>
  </w:style>
  <w:style w:type="paragraph" w:customStyle="1" w:styleId="3140">
    <w:name w:val="Char11"/>
    <w:basedOn w:val="1"/>
    <w:qFormat/>
    <w:uiPriority w:val="0"/>
    <w:pPr>
      <w:ind w:left="-48"/>
    </w:pPr>
  </w:style>
  <w:style w:type="paragraph" w:customStyle="1" w:styleId="3141">
    <w:name w:val="font6"/>
    <w:basedOn w:val="1"/>
    <w:qFormat/>
    <w:uiPriority w:val="0"/>
    <w:pPr>
      <w:widowControl/>
      <w:spacing w:before="100" w:beforeAutospacing="1" w:after="100" w:afterAutospacing="1"/>
      <w:jc w:val="left"/>
    </w:pPr>
    <w:rPr>
      <w:rFonts w:hint="eastAsia" w:ascii="宋体" w:hAnsi="宋体"/>
      <w:sz w:val="16"/>
      <w:szCs w:val="16"/>
    </w:rPr>
  </w:style>
  <w:style w:type="paragraph" w:customStyle="1" w:styleId="3142">
    <w:name w:val="33333333"/>
    <w:basedOn w:val="1"/>
    <w:qFormat/>
    <w:uiPriority w:val="0"/>
    <w:pPr>
      <w:spacing w:line="360" w:lineRule="auto"/>
      <w:jc w:val="left"/>
    </w:pPr>
    <w:rPr>
      <w:b/>
      <w:sz w:val="24"/>
    </w:rPr>
  </w:style>
  <w:style w:type="paragraph" w:customStyle="1" w:styleId="3143">
    <w:name w:val="pic-info"/>
    <w:basedOn w:val="1"/>
    <w:qFormat/>
    <w:uiPriority w:val="0"/>
    <w:pPr>
      <w:widowControl/>
      <w:spacing w:before="100" w:beforeAutospacing="1" w:after="100" w:afterAutospacing="1"/>
      <w:jc w:val="left"/>
    </w:pPr>
    <w:rPr>
      <w:rFonts w:ascii="宋体" w:hAnsi="宋体" w:cs="宋体"/>
      <w:sz w:val="24"/>
    </w:rPr>
  </w:style>
  <w:style w:type="paragraph" w:customStyle="1" w:styleId="3144">
    <w:name w:val="Char3 Char Char Char11"/>
    <w:basedOn w:val="1"/>
    <w:qFormat/>
    <w:uiPriority w:val="0"/>
    <w:pPr>
      <w:spacing w:line="360" w:lineRule="auto"/>
      <w:ind w:firstLine="200" w:firstLineChars="200"/>
    </w:pPr>
    <w:rPr>
      <w:rFonts w:ascii="宋体" w:hAnsi="宋体" w:cs="宋体"/>
      <w:sz w:val="24"/>
    </w:rPr>
  </w:style>
  <w:style w:type="paragraph" w:customStyle="1" w:styleId="3145">
    <w:name w:val="Char Char Char Char Char Char Char Char Char2 Char Char Char Char Char Char Char Char Char Char Char Char1"/>
    <w:basedOn w:val="1"/>
    <w:qFormat/>
    <w:uiPriority w:val="0"/>
    <w:pPr>
      <w:spacing w:line="360" w:lineRule="auto"/>
      <w:ind w:firstLine="200" w:firstLineChars="200"/>
    </w:pPr>
    <w:rPr>
      <w:rFonts w:ascii="宋体" w:hAnsi="宋体" w:cs="宋体"/>
      <w:sz w:val="24"/>
    </w:rPr>
  </w:style>
  <w:style w:type="paragraph" w:customStyle="1" w:styleId="3146">
    <w:name w:val="table"/>
    <w:basedOn w:val="1"/>
    <w:qFormat/>
    <w:uiPriority w:val="0"/>
    <w:pPr>
      <w:widowControl/>
      <w:overflowPunct w:val="0"/>
      <w:autoSpaceDE w:val="0"/>
      <w:autoSpaceDN w:val="0"/>
      <w:adjustRightInd w:val="0"/>
      <w:spacing w:before="60" w:after="60"/>
      <w:jc w:val="center"/>
      <w:textAlignment w:val="baseline"/>
    </w:pPr>
    <w:rPr>
      <w:rFonts w:ascii="仿宋体" w:eastAsia="仿宋体"/>
      <w:sz w:val="24"/>
    </w:rPr>
  </w:style>
  <w:style w:type="paragraph" w:customStyle="1" w:styleId="3147">
    <w:name w:val="等核实16"/>
    <w:basedOn w:val="35"/>
    <w:qFormat/>
    <w:uiPriority w:val="0"/>
    <w:pPr>
      <w:tabs>
        <w:tab w:val="left" w:pos="4305"/>
      </w:tabs>
      <w:adjustRightInd w:val="0"/>
      <w:snapToGrid w:val="0"/>
      <w:spacing w:after="0" w:line="360" w:lineRule="auto"/>
      <w:ind w:left="0" w:leftChars="0" w:firstLine="567"/>
    </w:pPr>
    <w:rPr>
      <w:rFonts w:ascii="宋体" w:hAnsi="宋体"/>
      <w:color w:val="0000FF"/>
      <w:sz w:val="24"/>
      <w:szCs w:val="20"/>
    </w:rPr>
  </w:style>
  <w:style w:type="paragraph" w:customStyle="1" w:styleId="3148">
    <w:name w:val="样式8.2"/>
    <w:qFormat/>
    <w:uiPriority w:val="0"/>
    <w:pPr>
      <w:pageBreakBefore/>
      <w:tabs>
        <w:tab w:val="left" w:pos="480"/>
        <w:tab w:val="left" w:pos="945"/>
        <w:tab w:val="left" w:pos="1080"/>
        <w:tab w:val="left" w:pos="1920"/>
      </w:tabs>
      <w:spacing w:after="120"/>
      <w:ind w:left="420" w:hanging="420"/>
    </w:pPr>
    <w:rPr>
      <w:rFonts w:ascii="Times New Roman" w:hAnsi="Times New Roman" w:eastAsia="宋体" w:cs="Times New Roman"/>
      <w:lang w:val="en-US" w:eastAsia="zh-CN" w:bidi="ar-SA"/>
    </w:rPr>
  </w:style>
  <w:style w:type="paragraph" w:customStyle="1" w:styleId="3149">
    <w:name w:val="Char Char Char1 Char Char Char Char Char Char Char Char Char Char Char Char1 Char Char Char Char Char Char Char Char Char Char4"/>
    <w:basedOn w:val="1"/>
    <w:qFormat/>
    <w:uiPriority w:val="0"/>
  </w:style>
  <w:style w:type="paragraph" w:customStyle="1" w:styleId="3150">
    <w:name w:val="A定-正文"/>
    <w:basedOn w:val="35"/>
    <w:qFormat/>
    <w:uiPriority w:val="0"/>
    <w:pPr>
      <w:adjustRightInd w:val="0"/>
      <w:snapToGrid w:val="0"/>
      <w:spacing w:after="0" w:line="360" w:lineRule="auto"/>
      <w:ind w:left="0" w:leftChars="0" w:firstLine="480" w:firstLineChars="200"/>
    </w:pPr>
    <w:rPr>
      <w:rFonts w:ascii="宋体" w:hAnsi="宋体"/>
      <w:color w:val="0000FF"/>
      <w:sz w:val="24"/>
    </w:rPr>
  </w:style>
  <w:style w:type="paragraph" w:customStyle="1" w:styleId="3151">
    <w:name w:val="页眉中19"/>
    <w:basedOn w:val="47"/>
    <w:qFormat/>
    <w:uiPriority w:val="0"/>
    <w:pPr>
      <w:adjustRightInd w:val="0"/>
      <w:spacing w:line="300" w:lineRule="auto"/>
      <w:jc w:val="left"/>
    </w:pPr>
    <w:rPr>
      <w:rFonts w:ascii="黑体" w:hAnsi="宋体" w:eastAsia="黑体" w:cs="宋体"/>
      <w:sz w:val="24"/>
      <w:szCs w:val="24"/>
    </w:rPr>
  </w:style>
  <w:style w:type="paragraph" w:customStyle="1" w:styleId="3152">
    <w:name w:val="Char Char Char Char9"/>
    <w:basedOn w:val="1"/>
    <w:qFormat/>
    <w:uiPriority w:val="0"/>
  </w:style>
  <w:style w:type="paragraph" w:customStyle="1" w:styleId="3153">
    <w:name w:val="xl112"/>
    <w:basedOn w:val="1"/>
    <w:qFormat/>
    <w:uiPriority w:val="0"/>
    <w:pPr>
      <w:widowControl/>
      <w:pBdr>
        <w:top w:val="single" w:color="auto" w:sz="4" w:space="0"/>
        <w:left w:val="single" w:color="auto" w:sz="4" w:space="0"/>
      </w:pBdr>
      <w:spacing w:before="100" w:beforeAutospacing="1" w:after="100" w:afterAutospacing="1"/>
      <w:jc w:val="center"/>
      <w:textAlignment w:val="center"/>
    </w:pPr>
    <w:rPr>
      <w:rFonts w:ascii="宋体" w:hAnsi="宋体" w:cs="宋体"/>
      <w:sz w:val="18"/>
      <w:szCs w:val="18"/>
    </w:rPr>
  </w:style>
  <w:style w:type="paragraph" w:customStyle="1" w:styleId="3154">
    <w:name w:val="xl87"/>
    <w:basedOn w:val="1"/>
    <w:qFormat/>
    <w:uiPriority w:val="0"/>
    <w:pPr>
      <w:widowControl/>
      <w:pBdr>
        <w:top w:val="single" w:color="auto" w:sz="8" w:space="0"/>
        <w:bottom w:val="single" w:color="auto" w:sz="4" w:space="0"/>
        <w:right w:val="single" w:color="auto" w:sz="4" w:space="0"/>
      </w:pBdr>
      <w:spacing w:before="100" w:beforeAutospacing="1" w:after="100" w:afterAutospacing="1"/>
      <w:jc w:val="left"/>
    </w:pPr>
    <w:rPr>
      <w:rFonts w:eastAsia="Arial Unicode MS"/>
      <w:sz w:val="16"/>
      <w:szCs w:val="16"/>
    </w:rPr>
  </w:style>
  <w:style w:type="paragraph" w:customStyle="1" w:styleId="3155">
    <w:name w:val="xl2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olor w:val="FF0000"/>
      <w:sz w:val="18"/>
      <w:szCs w:val="18"/>
    </w:rPr>
  </w:style>
  <w:style w:type="paragraph" w:customStyle="1" w:styleId="3156">
    <w:name w:val="Char Char Char4"/>
    <w:basedOn w:val="1"/>
    <w:qFormat/>
    <w:uiPriority w:val="0"/>
    <w:pPr>
      <w:spacing w:line="360" w:lineRule="auto"/>
      <w:ind w:firstLine="200" w:firstLineChars="200"/>
    </w:pPr>
    <w:rPr>
      <w:rFonts w:ascii="宋体" w:hAnsi="宋体" w:cs="宋体"/>
      <w:sz w:val="24"/>
    </w:rPr>
  </w:style>
  <w:style w:type="paragraph" w:customStyle="1" w:styleId="3157">
    <w:name w:val="样式 标题 2 + 段前: 0.5 行 段后: 0.5 行"/>
    <w:basedOn w:val="4"/>
    <w:qFormat/>
    <w:uiPriority w:val="0"/>
    <w:pPr>
      <w:keepNext w:val="0"/>
      <w:keepLines w:val="0"/>
      <w:tabs>
        <w:tab w:val="left" w:pos="1460"/>
        <w:tab w:val="clear" w:pos="1427"/>
      </w:tabs>
      <w:adjustRightInd/>
      <w:spacing w:before="156" w:after="156" w:line="500" w:lineRule="exact"/>
      <w:ind w:left="578" w:hanging="578"/>
      <w:jc w:val="both"/>
      <w:textAlignment w:val="auto"/>
    </w:pPr>
    <w:rPr>
      <w:rFonts w:ascii="Arial" w:hAnsi="Arial" w:eastAsia="楷体_GB2312"/>
      <w:bCs/>
      <w:spacing w:val="34"/>
      <w:kern w:val="2"/>
      <w:sz w:val="36"/>
    </w:rPr>
  </w:style>
  <w:style w:type="paragraph" w:customStyle="1" w:styleId="3158">
    <w:name w:val="xl110"/>
    <w:basedOn w:val="1"/>
    <w:qFormat/>
    <w:uiPriority w:val="0"/>
    <w:pPr>
      <w:widowControl/>
      <w:pBdr>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sz w:val="16"/>
      <w:szCs w:val="16"/>
    </w:rPr>
  </w:style>
  <w:style w:type="paragraph" w:customStyle="1" w:styleId="3159">
    <w:name w:val="+标题4"/>
    <w:basedOn w:val="6"/>
    <w:qFormat/>
    <w:uiPriority w:val="0"/>
    <w:pPr>
      <w:tabs>
        <w:tab w:val="left" w:pos="0"/>
      </w:tabs>
      <w:spacing w:before="0" w:after="0" w:line="360" w:lineRule="auto"/>
      <w:jc w:val="left"/>
      <w:outlineLvl w:val="2"/>
    </w:pPr>
    <w:rPr>
      <w:rFonts w:ascii="Times New Roman" w:hAnsi="Times New Roman" w:eastAsia="宋体"/>
      <w:sz w:val="24"/>
    </w:rPr>
  </w:style>
  <w:style w:type="paragraph" w:customStyle="1" w:styleId="3160">
    <w:name w:val="Char Char Char Char Char Char Char Char Char Char Char Char Char Char"/>
    <w:basedOn w:val="1"/>
    <w:qFormat/>
    <w:uiPriority w:val="0"/>
  </w:style>
  <w:style w:type="paragraph" w:customStyle="1" w:styleId="3161">
    <w:name w:val="咨询公司名称"/>
    <w:basedOn w:val="1"/>
    <w:qFormat/>
    <w:uiPriority w:val="0"/>
    <w:pPr>
      <w:spacing w:line="480" w:lineRule="exact"/>
      <w:jc w:val="center"/>
    </w:pPr>
    <w:rPr>
      <w:rFonts w:ascii="黑体" w:eastAsia="黑体" w:cs="宋体"/>
      <w:sz w:val="32"/>
    </w:rPr>
  </w:style>
  <w:style w:type="paragraph" w:customStyle="1" w:styleId="3162">
    <w:name w:val="reader-word-layer reader-word-s1-11"/>
    <w:basedOn w:val="1"/>
    <w:qFormat/>
    <w:uiPriority w:val="0"/>
    <w:pPr>
      <w:widowControl/>
      <w:spacing w:before="100" w:beforeAutospacing="1" w:after="100" w:afterAutospacing="1"/>
      <w:jc w:val="left"/>
    </w:pPr>
    <w:rPr>
      <w:rFonts w:ascii="宋体" w:hAnsi="宋体" w:cs="宋体"/>
      <w:sz w:val="24"/>
    </w:rPr>
  </w:style>
  <w:style w:type="paragraph" w:customStyle="1" w:styleId="3163">
    <w:name w:val="样式 标题 3 + (西文) Times New Roman (中文) 宋体 行距: 固定值 24 磅1"/>
    <w:basedOn w:val="5"/>
    <w:qFormat/>
    <w:uiPriority w:val="0"/>
    <w:pPr>
      <w:keepNext w:val="0"/>
      <w:keepLines w:val="0"/>
      <w:tabs>
        <w:tab w:val="left" w:pos="1560"/>
        <w:tab w:val="left" w:pos="1680"/>
        <w:tab w:val="clear" w:pos="720"/>
      </w:tabs>
      <w:adjustRightInd/>
      <w:spacing w:line="480" w:lineRule="exact"/>
      <w:ind w:left="851" w:hanging="284"/>
      <w:jc w:val="both"/>
      <w:textAlignment w:val="auto"/>
    </w:pPr>
    <w:rPr>
      <w:rFonts w:eastAsia="宋体"/>
      <w:bCs/>
      <w:color w:val="auto"/>
      <w:spacing w:val="0"/>
      <w:kern w:val="2"/>
    </w:rPr>
  </w:style>
  <w:style w:type="paragraph" w:customStyle="1" w:styleId="3164">
    <w:name w:val="002"/>
    <w:basedOn w:val="1"/>
    <w:qFormat/>
    <w:uiPriority w:val="0"/>
    <w:pPr>
      <w:spacing w:after="156" w:line="500" w:lineRule="exact"/>
      <w:jc w:val="left"/>
      <w:outlineLvl w:val="1"/>
    </w:pPr>
    <w:rPr>
      <w:rFonts w:ascii="宋体" w:hAnsi="宋体"/>
      <w:b/>
      <w:sz w:val="28"/>
    </w:rPr>
  </w:style>
  <w:style w:type="paragraph" w:customStyle="1" w:styleId="3165">
    <w:name w:val="燕山正文7"/>
    <w:basedOn w:val="1"/>
    <w:qFormat/>
    <w:uiPriority w:val="0"/>
    <w:pPr>
      <w:tabs>
        <w:tab w:val="left" w:pos="4680"/>
      </w:tabs>
      <w:adjustRightInd w:val="0"/>
      <w:snapToGrid w:val="0"/>
      <w:spacing w:line="360" w:lineRule="auto"/>
      <w:ind w:firstLine="480" w:firstLineChars="200"/>
      <w:jc w:val="left"/>
    </w:pPr>
    <w:rPr>
      <w:rFonts w:ascii="宋体"/>
      <w:color w:val="000000"/>
      <w:sz w:val="24"/>
    </w:rPr>
  </w:style>
  <w:style w:type="paragraph" w:customStyle="1" w:styleId="3166">
    <w:name w:val="页眉中136"/>
    <w:basedOn w:val="1"/>
    <w:qFormat/>
    <w:uiPriority w:val="0"/>
    <w:pPr>
      <w:adjustRightInd w:val="0"/>
      <w:snapToGrid w:val="0"/>
      <w:spacing w:line="300" w:lineRule="auto"/>
      <w:jc w:val="left"/>
    </w:pPr>
    <w:rPr>
      <w:rFonts w:ascii="黑体" w:eastAsia="黑体"/>
      <w:bCs/>
      <w:sz w:val="24"/>
    </w:rPr>
  </w:style>
  <w:style w:type="paragraph" w:customStyle="1" w:styleId="3167">
    <w:name w:val="Body Text First Indent3"/>
    <w:basedOn w:val="34"/>
    <w:qFormat/>
    <w:uiPriority w:val="0"/>
    <w:pPr>
      <w:adjustRightInd w:val="0"/>
      <w:spacing w:after="0" w:line="312" w:lineRule="auto"/>
      <w:ind w:firstLine="567"/>
      <w:textAlignment w:val="baseline"/>
    </w:pPr>
    <w:rPr>
      <w:spacing w:val="0"/>
      <w:sz w:val="28"/>
    </w:rPr>
  </w:style>
  <w:style w:type="paragraph" w:customStyle="1" w:styleId="3168">
    <w:name w:val="页眉中114"/>
    <w:basedOn w:val="47"/>
    <w:qFormat/>
    <w:uiPriority w:val="0"/>
    <w:pPr>
      <w:adjustRightInd w:val="0"/>
      <w:spacing w:line="300" w:lineRule="auto"/>
      <w:jc w:val="left"/>
    </w:pPr>
    <w:rPr>
      <w:rFonts w:ascii="黑体" w:hAnsi="宋体" w:eastAsia="黑体" w:cs="宋体"/>
      <w:bCs/>
      <w:sz w:val="24"/>
    </w:rPr>
  </w:style>
  <w:style w:type="paragraph" w:customStyle="1" w:styleId="3169">
    <w:name w:val="表13.4-1"/>
    <w:basedOn w:val="1"/>
    <w:next w:val="1"/>
    <w:qFormat/>
    <w:uiPriority w:val="0"/>
    <w:pPr>
      <w:tabs>
        <w:tab w:val="left" w:pos="-164"/>
        <w:tab w:val="left" w:pos="3732"/>
      </w:tabs>
      <w:spacing w:line="312" w:lineRule="auto"/>
      <w:ind w:left="-164" w:hanging="425"/>
    </w:pPr>
    <w:rPr>
      <w:rFonts w:ascii="黑体" w:hAnsi="宋体" w:eastAsia="黑体" w:cs="宋体"/>
      <w:b/>
      <w:sz w:val="24"/>
    </w:rPr>
  </w:style>
  <w:style w:type="paragraph" w:customStyle="1" w:styleId="3170">
    <w:name w:val="样式 标题 51)项标5标题 5 Char1) Char项 Char一级项 +"/>
    <w:basedOn w:val="7"/>
    <w:qFormat/>
    <w:uiPriority w:val="0"/>
    <w:pPr>
      <w:keepNext w:val="0"/>
      <w:keepLines w:val="0"/>
      <w:tabs>
        <w:tab w:val="left" w:pos="2138"/>
      </w:tabs>
      <w:snapToGrid/>
      <w:spacing w:before="0" w:after="0" w:line="360" w:lineRule="auto"/>
      <w:ind w:hanging="992" w:firstLineChars="0"/>
      <w:jc w:val="left"/>
      <w:textAlignment w:val="baseline"/>
    </w:pPr>
    <w:rPr>
      <w:rFonts w:ascii="宋体" w:hAnsi="宋体"/>
      <w:b w:val="0"/>
      <w:color w:val="000000"/>
      <w:spacing w:val="0"/>
      <w:szCs w:val="28"/>
    </w:rPr>
  </w:style>
  <w:style w:type="paragraph" w:customStyle="1" w:styleId="3171">
    <w:name w:val="表内宋54"/>
    <w:basedOn w:val="82"/>
    <w:qFormat/>
    <w:uiPriority w:val="0"/>
    <w:pPr>
      <w:widowControl/>
      <w:adjustRightInd w:val="0"/>
      <w:snapToGrid w:val="0"/>
      <w:spacing w:before="100" w:beforeAutospacing="1" w:after="100" w:afterAutospacing="1"/>
    </w:pPr>
    <w:rPr>
      <w:rFonts w:ascii="宋体" w:hAnsi="宋体"/>
      <w:color w:val="000000"/>
      <w:sz w:val="21"/>
    </w:rPr>
  </w:style>
  <w:style w:type="paragraph" w:customStyle="1" w:styleId="3172">
    <w:name w:val="样式 正文缩进正文（首行缩进两字）文本条款表正文正文非缩进表格标题正文（首行缩进两字） Char Char Char..."/>
    <w:basedOn w:val="21"/>
    <w:qFormat/>
    <w:uiPriority w:val="0"/>
    <w:pPr>
      <w:adjustRightInd w:val="0"/>
      <w:snapToGrid w:val="0"/>
      <w:spacing w:line="500" w:lineRule="atLeast"/>
      <w:ind w:firstLine="200"/>
    </w:pPr>
    <w:rPr>
      <w:rFonts w:ascii="Calibri" w:hAnsi="Calibri" w:cs="宋体"/>
      <w:sz w:val="28"/>
      <w:szCs w:val="22"/>
    </w:rPr>
  </w:style>
  <w:style w:type="paragraph" w:customStyle="1" w:styleId="3173">
    <w:name w:val="正文文本最新 Char Char Char1 Char Char Char Char Char"/>
    <w:qFormat/>
    <w:uiPriority w:val="0"/>
    <w:pPr>
      <w:spacing w:line="360" w:lineRule="auto"/>
      <w:ind w:firstLine="200" w:firstLineChars="200"/>
      <w:jc w:val="both"/>
    </w:pPr>
    <w:rPr>
      <w:rFonts w:ascii="Times New Roman" w:hAnsi="Times New Roman" w:eastAsia="宋体" w:cs="Times New Roman"/>
      <w:bCs/>
      <w:kern w:val="2"/>
      <w:sz w:val="28"/>
      <w:szCs w:val="24"/>
      <w:lang w:val="en-US" w:eastAsia="zh-CN" w:bidi="ar-SA"/>
    </w:rPr>
  </w:style>
  <w:style w:type="paragraph" w:customStyle="1" w:styleId="3174">
    <w:name w:val="样式 正文首行缩进 + 首行缩进:  0 字符"/>
    <w:basedOn w:val="87"/>
    <w:qFormat/>
    <w:uiPriority w:val="0"/>
    <w:pPr>
      <w:adjustRightInd w:val="0"/>
      <w:snapToGrid w:val="0"/>
      <w:spacing w:line="360" w:lineRule="auto"/>
      <w:ind w:firstLine="567" w:firstLineChars="0"/>
    </w:pPr>
    <w:rPr>
      <w:rFonts w:ascii="黑体" w:hAnsi="Calibri" w:eastAsia="黑体"/>
      <w:sz w:val="24"/>
    </w:rPr>
  </w:style>
  <w:style w:type="paragraph" w:customStyle="1" w:styleId="3175">
    <w:name w:val="表题45"/>
    <w:basedOn w:val="35"/>
    <w:qFormat/>
    <w:uiPriority w:val="0"/>
    <w:pPr>
      <w:tabs>
        <w:tab w:val="left" w:pos="4305"/>
      </w:tabs>
      <w:adjustRightInd w:val="0"/>
      <w:snapToGrid w:val="0"/>
      <w:spacing w:after="0"/>
      <w:ind w:left="0" w:leftChars="0"/>
      <w:jc w:val="center"/>
    </w:pPr>
    <w:rPr>
      <w:rFonts w:ascii="黑体" w:hAnsi="宋体" w:eastAsia="黑体" w:cs="宋体"/>
      <w:color w:val="000000"/>
      <w:sz w:val="24"/>
    </w:rPr>
  </w:style>
  <w:style w:type="paragraph" w:customStyle="1" w:styleId="3176">
    <w:name w:val="1.2"/>
    <w:basedOn w:val="1"/>
    <w:qFormat/>
    <w:uiPriority w:val="0"/>
    <w:pPr>
      <w:spacing w:beforeLines="100"/>
      <w:ind w:firstLine="561"/>
    </w:pPr>
    <w:rPr>
      <w:rFonts w:eastAsia="黑体"/>
      <w:sz w:val="32"/>
      <w:szCs w:val="32"/>
    </w:rPr>
  </w:style>
  <w:style w:type="paragraph" w:customStyle="1" w:styleId="3177">
    <w:name w:val="样式 标题 4款标题1.1.1.1标题 4 Char段项1.1.1.1标题 4.1.1.1.1款 + 宋体 小四..."/>
    <w:basedOn w:val="6"/>
    <w:qFormat/>
    <w:uiPriority w:val="0"/>
    <w:pPr>
      <w:spacing w:before="0" w:after="0" w:line="360" w:lineRule="auto"/>
    </w:pPr>
    <w:rPr>
      <w:rFonts w:ascii="宋体" w:hAnsi="宋体" w:eastAsia="宋体"/>
      <w:sz w:val="24"/>
      <w:szCs w:val="20"/>
    </w:rPr>
  </w:style>
  <w:style w:type="paragraph" w:customStyle="1" w:styleId="3178">
    <w:name w:val="p15"/>
    <w:basedOn w:val="1"/>
    <w:qFormat/>
    <w:uiPriority w:val="0"/>
    <w:pPr>
      <w:widowControl/>
      <w:ind w:firstLine="420"/>
    </w:pPr>
    <w:rPr>
      <w:rFonts w:ascii="Calibri" w:hAnsi="Calibri" w:cs="宋体"/>
      <w:szCs w:val="21"/>
    </w:rPr>
  </w:style>
  <w:style w:type="paragraph" w:customStyle="1" w:styleId="3179">
    <w:name w:val="目录1"/>
    <w:basedOn w:val="1"/>
    <w:qFormat/>
    <w:uiPriority w:val="0"/>
    <w:pPr>
      <w:tabs>
        <w:tab w:val="left" w:pos="2850"/>
        <w:tab w:val="center" w:pos="4649"/>
      </w:tabs>
      <w:spacing w:line="480" w:lineRule="exact"/>
      <w:jc w:val="center"/>
    </w:pPr>
    <w:rPr>
      <w:rFonts w:ascii="黑体" w:eastAsia="黑体"/>
      <w:sz w:val="36"/>
      <w:szCs w:val="36"/>
    </w:rPr>
  </w:style>
  <w:style w:type="paragraph" w:customStyle="1" w:styleId="3180">
    <w:name w:val="Char Char Char Char Char Char Char Char Char Char Char Char Char Char Char Char Char Char Char3"/>
    <w:basedOn w:val="1"/>
    <w:qFormat/>
    <w:uiPriority w:val="0"/>
    <w:pPr>
      <w:spacing w:line="480" w:lineRule="exact"/>
    </w:pPr>
  </w:style>
  <w:style w:type="paragraph" w:customStyle="1" w:styleId="3181">
    <w:name w:val="报告书表格"/>
    <w:basedOn w:val="1"/>
    <w:qFormat/>
    <w:uiPriority w:val="0"/>
    <w:pPr>
      <w:adjustRightInd w:val="0"/>
      <w:spacing w:before="60" w:after="60" w:line="240" w:lineRule="atLeast"/>
      <w:jc w:val="center"/>
      <w:textAlignment w:val="baseline"/>
    </w:pPr>
  </w:style>
  <w:style w:type="paragraph" w:customStyle="1" w:styleId="3182">
    <w:name w:val="燕山正文2"/>
    <w:basedOn w:val="1"/>
    <w:qFormat/>
    <w:uiPriority w:val="0"/>
    <w:pPr>
      <w:tabs>
        <w:tab w:val="left" w:pos="4680"/>
      </w:tabs>
      <w:adjustRightInd w:val="0"/>
      <w:snapToGrid w:val="0"/>
      <w:spacing w:line="360" w:lineRule="auto"/>
      <w:ind w:firstLine="480" w:firstLineChars="200"/>
      <w:jc w:val="left"/>
    </w:pPr>
    <w:rPr>
      <w:rFonts w:ascii="宋体" w:hAnsi="宋体"/>
      <w:bCs/>
      <w:color w:val="000000"/>
      <w:sz w:val="24"/>
    </w:rPr>
  </w:style>
  <w:style w:type="paragraph" w:customStyle="1" w:styleId="3183">
    <w:name w:val="标题 3 + 小四 非加粗"/>
    <w:basedOn w:val="5"/>
    <w:qFormat/>
    <w:uiPriority w:val="0"/>
    <w:pPr>
      <w:tabs>
        <w:tab w:val="clear" w:pos="720"/>
      </w:tabs>
      <w:adjustRightInd/>
      <w:spacing w:line="240" w:lineRule="auto"/>
      <w:ind w:left="0" w:firstLine="0"/>
      <w:jc w:val="both"/>
      <w:textAlignment w:val="auto"/>
    </w:pPr>
    <w:rPr>
      <w:rFonts w:eastAsia="宋体"/>
      <w:color w:val="auto"/>
      <w:spacing w:val="0"/>
      <w:kern w:val="2"/>
      <w:sz w:val="24"/>
    </w:rPr>
  </w:style>
  <w:style w:type="paragraph" w:customStyle="1" w:styleId="3184">
    <w:name w:val="样式 表格标题 + 段前: 0.5 行1"/>
    <w:basedOn w:val="21"/>
    <w:qFormat/>
    <w:uiPriority w:val="0"/>
    <w:pPr>
      <w:autoSpaceDE w:val="0"/>
      <w:autoSpaceDN w:val="0"/>
      <w:adjustRightInd w:val="0"/>
      <w:spacing w:beforeLines="50" w:line="400" w:lineRule="exact"/>
      <w:ind w:firstLine="0" w:firstLineChars="0"/>
      <w:jc w:val="center"/>
    </w:pPr>
    <w:rPr>
      <w:rFonts w:ascii="黑体" w:hAnsi="Calibri" w:eastAsia="黑体" w:cs="宋体"/>
      <w:bCs/>
      <w:szCs w:val="22"/>
      <w:lang w:val="zh-CN"/>
    </w:rPr>
  </w:style>
  <w:style w:type="paragraph" w:customStyle="1" w:styleId="3185">
    <w:name w:val="Char Char Char Char Char Char Char Char Char Char3"/>
    <w:basedOn w:val="1"/>
    <w:qFormat/>
    <w:uiPriority w:val="0"/>
    <w:pPr>
      <w:spacing w:line="360" w:lineRule="auto"/>
      <w:ind w:firstLine="200" w:firstLineChars="200"/>
    </w:pPr>
    <w:rPr>
      <w:rFonts w:ascii="宋体" w:hAnsi="宋体" w:cs="宋体"/>
      <w:sz w:val="24"/>
    </w:rPr>
  </w:style>
  <w:style w:type="paragraph" w:customStyle="1" w:styleId="3186">
    <w:name w:val="表内小54"/>
    <w:basedOn w:val="1"/>
    <w:qFormat/>
    <w:uiPriority w:val="0"/>
    <w:pPr>
      <w:adjustRightInd w:val="0"/>
      <w:snapToGrid w:val="0"/>
      <w:spacing w:line="300" w:lineRule="auto"/>
    </w:pPr>
    <w:rPr>
      <w:rFonts w:ascii="宋体" w:hAnsi="宋体"/>
      <w:sz w:val="18"/>
    </w:rPr>
  </w:style>
  <w:style w:type="paragraph" w:customStyle="1" w:styleId="3187">
    <w:name w:val="Char Char Char1"/>
    <w:basedOn w:val="1"/>
    <w:next w:val="1"/>
    <w:qFormat/>
    <w:uiPriority w:val="0"/>
    <w:pPr>
      <w:keepNext/>
      <w:keepLines/>
      <w:widowControl/>
      <w:adjustRightInd w:val="0"/>
      <w:spacing w:before="40" w:after="40" w:line="360" w:lineRule="auto"/>
      <w:ind w:firstLine="200" w:firstLineChars="200"/>
      <w:outlineLvl w:val="3"/>
    </w:pPr>
    <w:rPr>
      <w:rFonts w:eastAsia="仿宋_GB2312" w:cs="宋体"/>
      <w:b/>
      <w:sz w:val="24"/>
      <w:szCs w:val="28"/>
    </w:rPr>
  </w:style>
  <w:style w:type="paragraph" w:customStyle="1" w:styleId="3188">
    <w:name w:val="xl99"/>
    <w:basedOn w:val="1"/>
    <w:qFormat/>
    <w:uiPriority w:val="0"/>
    <w:pPr>
      <w:widowControl/>
      <w:pBdr>
        <w:top w:val="single" w:color="auto" w:sz="8" w:space="0"/>
        <w:left w:val="single" w:color="auto" w:sz="8" w:space="0"/>
        <w:bottom w:val="single" w:color="auto" w:sz="4" w:space="0"/>
      </w:pBdr>
      <w:spacing w:before="100" w:beforeAutospacing="1" w:after="100" w:afterAutospacing="1"/>
      <w:jc w:val="center"/>
    </w:pPr>
    <w:rPr>
      <w:rFonts w:ascii="Arial Unicode MS" w:hAnsi="Arial Unicode MS" w:eastAsia="Arial Unicode MS" w:cs="Arial Unicode MS"/>
      <w:sz w:val="16"/>
      <w:szCs w:val="16"/>
    </w:rPr>
  </w:style>
  <w:style w:type="paragraph" w:customStyle="1" w:styleId="3189">
    <w:name w:val="标题 7111"/>
    <w:basedOn w:val="1"/>
    <w:next w:val="1"/>
    <w:qFormat/>
    <w:uiPriority w:val="0"/>
    <w:pPr>
      <w:keepNext/>
      <w:keepLines/>
      <w:adjustRightInd w:val="0"/>
      <w:spacing w:line="480" w:lineRule="exact"/>
      <w:ind w:firstLine="851"/>
      <w:textAlignment w:val="baseline"/>
    </w:pPr>
    <w:rPr>
      <w:rFonts w:hint="eastAsia"/>
      <w:sz w:val="24"/>
    </w:rPr>
  </w:style>
  <w:style w:type="paragraph" w:customStyle="1" w:styleId="3190">
    <w:name w:val="表内52"/>
    <w:basedOn w:val="1"/>
    <w:qFormat/>
    <w:uiPriority w:val="0"/>
    <w:pPr>
      <w:adjustRightInd w:val="0"/>
      <w:snapToGrid w:val="0"/>
      <w:ind w:right="32"/>
      <w:jc w:val="center"/>
    </w:pPr>
    <w:rPr>
      <w:rFonts w:ascii="宋体"/>
      <w:color w:val="000000"/>
      <w:szCs w:val="21"/>
    </w:rPr>
  </w:style>
  <w:style w:type="paragraph" w:customStyle="1" w:styleId="3191">
    <w:name w:val="图题52"/>
    <w:basedOn w:val="21"/>
    <w:qFormat/>
    <w:uiPriority w:val="0"/>
    <w:pPr>
      <w:adjustRightInd w:val="0"/>
      <w:snapToGrid w:val="0"/>
      <w:ind w:firstLine="0" w:firstLineChars="0"/>
      <w:jc w:val="center"/>
    </w:pPr>
    <w:rPr>
      <w:rFonts w:ascii="宋体" w:hAnsi="宋体"/>
      <w:sz w:val="21"/>
      <w:szCs w:val="21"/>
    </w:rPr>
  </w:style>
  <w:style w:type="paragraph" w:customStyle="1" w:styleId="3192">
    <w:name w:val="xl131"/>
    <w:basedOn w:val="1"/>
    <w:qFormat/>
    <w:uiPriority w:val="0"/>
    <w:pPr>
      <w:widowControl/>
      <w:pBdr>
        <w:left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3193">
    <w:name w:val="xl70"/>
    <w:basedOn w:val="1"/>
    <w:qFormat/>
    <w:uiPriority w:val="0"/>
    <w:pPr>
      <w:widowControl/>
      <w:pBdr>
        <w:left w:val="single" w:color="auto" w:sz="4" w:space="0"/>
        <w:bottom w:val="single" w:color="auto" w:sz="8" w:space="0"/>
        <w:right w:val="single" w:color="auto" w:sz="4" w:space="0"/>
      </w:pBdr>
      <w:spacing w:before="100" w:beforeAutospacing="1" w:after="100" w:afterAutospacing="1"/>
      <w:jc w:val="center"/>
      <w:textAlignment w:val="center"/>
    </w:pPr>
    <w:rPr>
      <w:rFonts w:eastAsia="Arial Unicode MS"/>
      <w:szCs w:val="21"/>
    </w:rPr>
  </w:style>
  <w:style w:type="paragraph" w:customStyle="1" w:styleId="3194">
    <w:name w:val="待核实小2"/>
    <w:basedOn w:val="1427"/>
    <w:qFormat/>
    <w:uiPriority w:val="0"/>
    <w:rPr>
      <w:rFonts w:cs="Times New Roman"/>
      <w:color w:val="000080"/>
      <w:sz w:val="21"/>
    </w:rPr>
  </w:style>
  <w:style w:type="paragraph" w:customStyle="1" w:styleId="3195">
    <w:name w:val="样式 样式 图形标题 + (西文) 宋体 (中文) 宋体 小四 加粗 + 非加粗"/>
    <w:qFormat/>
    <w:uiPriority w:val="0"/>
    <w:rPr>
      <w:rFonts w:ascii="Times New Roman" w:hAnsi="Times New Roman" w:eastAsia="宋体" w:cs="Times New Roman"/>
      <w:lang w:val="en-US" w:eastAsia="zh-CN" w:bidi="ar-SA"/>
    </w:rPr>
  </w:style>
  <w:style w:type="paragraph" w:customStyle="1" w:styleId="3196">
    <w:name w:val="表内551"/>
    <w:basedOn w:val="1572"/>
    <w:qFormat/>
    <w:uiPriority w:val="0"/>
    <w:pPr>
      <w:spacing w:line="300" w:lineRule="auto"/>
      <w:jc w:val="both"/>
    </w:pPr>
    <w:rPr>
      <w:color w:val="000000"/>
    </w:rPr>
  </w:style>
  <w:style w:type="paragraph" w:customStyle="1" w:styleId="3197">
    <w:name w:val="首消息标题"/>
    <w:basedOn w:val="80"/>
    <w:next w:val="80"/>
    <w:qFormat/>
    <w:uiPriority w:val="0"/>
    <w:pPr>
      <w:keepLines/>
      <w:widowControl/>
      <w:pBdr>
        <w:top w:val="none" w:color="auto" w:sz="0" w:space="0"/>
        <w:left w:val="none" w:color="auto" w:sz="0" w:space="0"/>
        <w:bottom w:val="none" w:color="auto" w:sz="0" w:space="0"/>
        <w:right w:val="none" w:color="auto" w:sz="0" w:space="0"/>
      </w:pBdr>
      <w:shd w:val="clear" w:color="auto" w:fill="auto"/>
      <w:spacing w:after="40" w:line="140" w:lineRule="atLeast"/>
      <w:ind w:left="360" w:leftChars="0" w:firstLine="0" w:firstLineChars="0"/>
      <w:jc w:val="left"/>
    </w:pPr>
    <w:rPr>
      <w:rFonts w:ascii="Garamond" w:hAnsi="Garamond"/>
      <w:spacing w:val="-5"/>
      <w:sz w:val="21"/>
      <w:szCs w:val="20"/>
      <w:shd w:val="pct20" w:color="auto" w:fill="auto"/>
    </w:rPr>
  </w:style>
  <w:style w:type="paragraph" w:customStyle="1" w:styleId="3198">
    <w:name w:val="w"/>
    <w:basedOn w:val="1"/>
    <w:qFormat/>
    <w:uiPriority w:val="0"/>
    <w:pPr>
      <w:widowControl/>
      <w:adjustRightInd w:val="0"/>
      <w:snapToGrid w:val="0"/>
      <w:spacing w:line="360" w:lineRule="auto"/>
      <w:ind w:firstLine="200" w:firstLineChars="200"/>
    </w:pPr>
    <w:rPr>
      <w:color w:val="000000"/>
      <w:sz w:val="30"/>
      <w:szCs w:val="30"/>
    </w:rPr>
  </w:style>
  <w:style w:type="paragraph" w:customStyle="1" w:styleId="3199">
    <w:name w:val="表内523"/>
    <w:basedOn w:val="1"/>
    <w:qFormat/>
    <w:uiPriority w:val="0"/>
    <w:pPr>
      <w:adjustRightInd w:val="0"/>
      <w:snapToGrid w:val="0"/>
      <w:ind w:right="32"/>
      <w:jc w:val="center"/>
    </w:pPr>
    <w:rPr>
      <w:rFonts w:ascii="宋体"/>
      <w:color w:val="000000"/>
      <w:szCs w:val="21"/>
    </w:rPr>
  </w:style>
  <w:style w:type="paragraph" w:customStyle="1" w:styleId="3200">
    <w:name w:val="xl132"/>
    <w:basedOn w:val="1"/>
    <w:qFormat/>
    <w:uiPriority w:val="0"/>
    <w:pPr>
      <w:widowControl/>
      <w:pBdr>
        <w:top w:val="single" w:color="auto" w:sz="4" w:space="0"/>
        <w:left w:val="single" w:color="auto" w:sz="4" w:space="0"/>
        <w:right w:val="single" w:color="auto" w:sz="4" w:space="0"/>
      </w:pBdr>
      <w:shd w:val="clear" w:color="000000" w:fill="FFFF00"/>
      <w:spacing w:before="100" w:beforeAutospacing="1" w:after="100" w:afterAutospacing="1"/>
      <w:jc w:val="center"/>
    </w:pPr>
    <w:rPr>
      <w:rFonts w:ascii="宋体" w:hAnsi="宋体" w:cs="宋体"/>
      <w:sz w:val="18"/>
      <w:szCs w:val="18"/>
    </w:rPr>
  </w:style>
  <w:style w:type="paragraph" w:customStyle="1" w:styleId="3201">
    <w:name w:val="1 Char Char Char Char Char Char Char"/>
    <w:basedOn w:val="1"/>
    <w:qFormat/>
    <w:uiPriority w:val="0"/>
    <w:rPr>
      <w:bCs/>
    </w:rPr>
  </w:style>
  <w:style w:type="paragraph" w:customStyle="1" w:styleId="3202">
    <w:name w:val="Char Char1 Char Char Char Char2"/>
    <w:basedOn w:val="1"/>
    <w:qFormat/>
    <w:uiPriority w:val="0"/>
  </w:style>
  <w:style w:type="paragraph" w:customStyle="1" w:styleId="3203">
    <w:name w:val="评价样式1"/>
    <w:basedOn w:val="1"/>
    <w:next w:val="34"/>
    <w:qFormat/>
    <w:uiPriority w:val="0"/>
    <w:pPr>
      <w:spacing w:line="360" w:lineRule="auto"/>
      <w:ind w:left="540"/>
      <w:jc w:val="left"/>
    </w:pPr>
    <w:rPr>
      <w:rFonts w:ascii="宋体" w:hAnsi="宋体"/>
      <w:sz w:val="18"/>
    </w:rPr>
  </w:style>
  <w:style w:type="paragraph" w:customStyle="1" w:styleId="3204">
    <w:name w:val="首缩1"/>
    <w:basedOn w:val="1"/>
    <w:qFormat/>
    <w:uiPriority w:val="0"/>
    <w:pPr>
      <w:adjustRightInd w:val="0"/>
      <w:snapToGrid w:val="0"/>
      <w:spacing w:line="500" w:lineRule="exact"/>
      <w:ind w:firstLine="200" w:firstLineChars="200"/>
    </w:pPr>
    <w:rPr>
      <w:rFonts w:eastAsia="仿宋_GB2312"/>
      <w:snapToGrid w:val="0"/>
      <w:sz w:val="28"/>
    </w:rPr>
  </w:style>
  <w:style w:type="paragraph" w:customStyle="1" w:styleId="3205">
    <w:name w:val="表格文字小四"/>
    <w:basedOn w:val="1"/>
    <w:next w:val="34"/>
    <w:qFormat/>
    <w:uiPriority w:val="0"/>
    <w:pPr>
      <w:adjustRightInd w:val="0"/>
      <w:snapToGrid w:val="0"/>
      <w:ind w:left="-593"/>
      <w:jc w:val="center"/>
    </w:pPr>
    <w:rPr>
      <w:rFonts w:ascii="宋体" w:hAnsi="宋体"/>
      <w:sz w:val="24"/>
    </w:rPr>
  </w:style>
  <w:style w:type="paragraph" w:customStyle="1" w:styleId="3206">
    <w:name w:val="样式 标题 51)项标5标题 5 Char21) Char2项 Char2一级项标题 521)2项2标题 ...1"/>
    <w:basedOn w:val="7"/>
    <w:qFormat/>
    <w:uiPriority w:val="0"/>
    <w:pPr>
      <w:tabs>
        <w:tab w:val="left" w:pos="992"/>
      </w:tabs>
      <w:snapToGrid/>
      <w:spacing w:before="0" w:after="0" w:line="360" w:lineRule="auto"/>
      <w:ind w:left="-367" w:firstLine="567" w:firstLineChars="0"/>
      <w:textAlignment w:val="baseline"/>
    </w:pPr>
    <w:rPr>
      <w:rFonts w:ascii="宋体" w:hAnsi="宋体"/>
      <w:b w:val="0"/>
      <w:color w:val="000000"/>
      <w:spacing w:val="0"/>
      <w:kern w:val="24"/>
      <w:szCs w:val="28"/>
    </w:rPr>
  </w:style>
  <w:style w:type="paragraph" w:customStyle="1" w:styleId="3207">
    <w:name w:val="表格 32"/>
    <w:basedOn w:val="1"/>
    <w:qFormat/>
    <w:uiPriority w:val="0"/>
    <w:pPr>
      <w:autoSpaceDE w:val="0"/>
      <w:autoSpaceDN w:val="0"/>
      <w:adjustRightInd w:val="0"/>
      <w:spacing w:line="240" w:lineRule="atLeast"/>
      <w:jc w:val="center"/>
      <w:textAlignment w:val="baseline"/>
    </w:pPr>
    <w:rPr>
      <w:sz w:val="24"/>
    </w:rPr>
  </w:style>
  <w:style w:type="paragraph" w:customStyle="1" w:styleId="3208">
    <w:name w:val="样式 表格文本 五号 单倍行距 + 两端对齐"/>
    <w:basedOn w:val="653"/>
    <w:qFormat/>
    <w:uiPriority w:val="0"/>
    <w:pPr>
      <w:keepNext/>
      <w:adjustRightInd w:val="0"/>
      <w:snapToGrid w:val="0"/>
      <w:textAlignment w:val="baseline"/>
    </w:pPr>
    <w:rPr>
      <w:rFonts w:ascii="Times New Roman" w:eastAsia="宋体" w:cs="宋体"/>
      <w:sz w:val="18"/>
      <w:szCs w:val="18"/>
    </w:rPr>
  </w:style>
  <w:style w:type="paragraph" w:customStyle="1" w:styleId="3209">
    <w:name w:val="Char Char Char Char Char Char Char Char Char Char Char Char Char Char Char Char Char Char Char Char3"/>
    <w:basedOn w:val="1"/>
    <w:qFormat/>
    <w:uiPriority w:val="0"/>
  </w:style>
  <w:style w:type="paragraph" w:customStyle="1" w:styleId="3210">
    <w:name w:val="页眉中39"/>
    <w:basedOn w:val="1"/>
    <w:qFormat/>
    <w:uiPriority w:val="0"/>
    <w:pPr>
      <w:adjustRightInd w:val="0"/>
      <w:snapToGrid w:val="0"/>
      <w:spacing w:line="300" w:lineRule="auto"/>
      <w:jc w:val="left"/>
    </w:pPr>
    <w:rPr>
      <w:rFonts w:ascii="黑体" w:eastAsia="黑体"/>
      <w:bCs/>
      <w:sz w:val="24"/>
    </w:rPr>
  </w:style>
  <w:style w:type="paragraph" w:customStyle="1" w:styleId="3211">
    <w:name w:val="Table"/>
    <w:basedOn w:val="1"/>
    <w:qFormat/>
    <w:uiPriority w:val="0"/>
    <w:pPr>
      <w:adjustRightInd w:val="0"/>
      <w:jc w:val="center"/>
    </w:pPr>
    <w:rPr>
      <w:spacing w:val="-10"/>
    </w:rPr>
  </w:style>
  <w:style w:type="paragraph" w:customStyle="1" w:styleId="3212">
    <w:name w:val="Char Char Char Char Char Char Char4"/>
    <w:basedOn w:val="1"/>
    <w:qFormat/>
    <w:uiPriority w:val="0"/>
    <w:pPr>
      <w:spacing w:line="360" w:lineRule="auto"/>
      <w:ind w:firstLine="200" w:firstLineChars="200"/>
    </w:pPr>
    <w:rPr>
      <w:rFonts w:ascii="宋体" w:hAnsi="宋体" w:cs="宋体"/>
      <w:sz w:val="24"/>
    </w:rPr>
  </w:style>
  <w:style w:type="paragraph" w:customStyle="1" w:styleId="3213">
    <w:name w:val="xl50"/>
    <w:basedOn w:val="1"/>
    <w:qFormat/>
    <w:uiPriority w:val="0"/>
    <w:pPr>
      <w:widowControl/>
      <w:spacing w:before="100" w:beforeAutospacing="1" w:after="100" w:afterAutospacing="1"/>
      <w:jc w:val="left"/>
    </w:pPr>
    <w:rPr>
      <w:rFonts w:ascii="宋体" w:hAnsi="宋体"/>
      <w:b/>
      <w:bCs/>
      <w:sz w:val="52"/>
      <w:szCs w:val="52"/>
    </w:rPr>
  </w:style>
  <w:style w:type="paragraph" w:customStyle="1" w:styleId="3214">
    <w:name w:val="正文文本 31"/>
    <w:basedOn w:val="1"/>
    <w:qFormat/>
    <w:uiPriority w:val="0"/>
    <w:pPr>
      <w:autoSpaceDE w:val="0"/>
      <w:autoSpaceDN w:val="0"/>
      <w:adjustRightInd w:val="0"/>
      <w:spacing w:line="312" w:lineRule="atLeast"/>
      <w:jc w:val="center"/>
      <w:textAlignment w:val="baseline"/>
    </w:pPr>
    <w:rPr>
      <w:rFonts w:ascii="楷体" w:eastAsia="楷体"/>
      <w:sz w:val="28"/>
    </w:rPr>
  </w:style>
  <w:style w:type="paragraph" w:customStyle="1" w:styleId="3215">
    <w:name w:val="表内57"/>
    <w:basedOn w:val="1572"/>
    <w:qFormat/>
    <w:uiPriority w:val="0"/>
    <w:pPr>
      <w:spacing w:line="300" w:lineRule="auto"/>
      <w:jc w:val="both"/>
    </w:pPr>
    <w:rPr>
      <w:szCs w:val="24"/>
    </w:rPr>
  </w:style>
  <w:style w:type="paragraph" w:customStyle="1" w:styleId="3216">
    <w:name w:val="页眉xx3"/>
    <w:basedOn w:val="58"/>
    <w:qFormat/>
    <w:uiPriority w:val="0"/>
    <w:pPr>
      <w:pBdr>
        <w:bottom w:val="single" w:color="auto" w:sz="2" w:space="1"/>
      </w:pBdr>
      <w:tabs>
        <w:tab w:val="clear" w:pos="4153"/>
      </w:tabs>
      <w:adjustRightInd w:val="0"/>
    </w:pPr>
    <w:rPr>
      <w:rFonts w:ascii="宋体" w:hAnsi="宋体"/>
      <w:sz w:val="21"/>
      <w:szCs w:val="20"/>
    </w:rPr>
  </w:style>
  <w:style w:type="paragraph" w:customStyle="1" w:styleId="3217">
    <w:name w:val="表格内容5"/>
    <w:basedOn w:val="1"/>
    <w:next w:val="1"/>
    <w:qFormat/>
    <w:uiPriority w:val="0"/>
    <w:pPr>
      <w:spacing w:before="40" w:after="60" w:line="200" w:lineRule="atLeast"/>
      <w:jc w:val="left"/>
      <w:textAlignment w:val="baseline"/>
    </w:pPr>
    <w:rPr>
      <w:rFonts w:ascii="Arial" w:hAnsi="Arial" w:eastAsia="仿宋_GB2312"/>
    </w:rPr>
  </w:style>
  <w:style w:type="paragraph" w:customStyle="1" w:styleId="3218">
    <w:name w:val="Char Char Char1 Char Char Char Char Char Char Char"/>
    <w:basedOn w:val="1"/>
    <w:qFormat/>
    <w:uiPriority w:val="0"/>
    <w:rPr>
      <w:rFonts w:ascii="宋体" w:hAnsi="宋体" w:cs="宋体"/>
      <w:color w:val="000000"/>
      <w:szCs w:val="21"/>
    </w:rPr>
  </w:style>
  <w:style w:type="paragraph" w:customStyle="1" w:styleId="3219">
    <w:name w:val="表内文字小2"/>
    <w:basedOn w:val="1"/>
    <w:qFormat/>
    <w:uiPriority w:val="0"/>
    <w:pPr>
      <w:adjustRightInd w:val="0"/>
      <w:snapToGrid w:val="0"/>
      <w:jc w:val="center"/>
    </w:pPr>
    <w:rPr>
      <w:rFonts w:ascii="宋体" w:hAnsi="Times"/>
      <w:bCs/>
      <w:color w:val="003366"/>
    </w:rPr>
  </w:style>
  <w:style w:type="paragraph" w:customStyle="1" w:styleId="3220">
    <w:name w:val="样式 燕山正文 + 首行缩进:  3.5 字符12"/>
    <w:basedOn w:val="1"/>
    <w:qFormat/>
    <w:uiPriority w:val="0"/>
    <w:pPr>
      <w:tabs>
        <w:tab w:val="left" w:pos="4680"/>
      </w:tabs>
      <w:adjustRightInd w:val="0"/>
      <w:snapToGrid w:val="0"/>
      <w:spacing w:line="360" w:lineRule="auto"/>
      <w:ind w:firstLine="200" w:firstLineChars="200"/>
    </w:pPr>
    <w:rPr>
      <w:rFonts w:ascii="宋体" w:hAnsi="宋体" w:cs="宋体"/>
      <w:color w:val="000000"/>
      <w:sz w:val="28"/>
    </w:rPr>
  </w:style>
  <w:style w:type="paragraph" w:customStyle="1" w:styleId="3221">
    <w:name w:val="表内文字小4"/>
    <w:basedOn w:val="1"/>
    <w:qFormat/>
    <w:uiPriority w:val="0"/>
    <w:pPr>
      <w:adjustRightInd w:val="0"/>
      <w:snapToGrid w:val="0"/>
      <w:jc w:val="center"/>
    </w:pPr>
    <w:rPr>
      <w:rFonts w:ascii="宋体" w:hAnsi="Times"/>
    </w:rPr>
  </w:style>
  <w:style w:type="paragraph" w:customStyle="1" w:styleId="3222">
    <w:name w:val="题图5"/>
    <w:basedOn w:val="1"/>
    <w:qFormat/>
    <w:uiPriority w:val="0"/>
    <w:pPr>
      <w:adjustRightInd w:val="0"/>
      <w:snapToGrid w:val="0"/>
      <w:jc w:val="center"/>
    </w:pPr>
    <w:rPr>
      <w:rFonts w:ascii="宋体" w:hAnsi="宋体" w:cs="宋体"/>
      <w:sz w:val="28"/>
    </w:rPr>
  </w:style>
  <w:style w:type="paragraph" w:customStyle="1" w:styleId="3223">
    <w:name w:val="表题62"/>
    <w:basedOn w:val="35"/>
    <w:qFormat/>
    <w:uiPriority w:val="0"/>
    <w:pPr>
      <w:tabs>
        <w:tab w:val="left" w:pos="4305"/>
      </w:tabs>
      <w:adjustRightInd w:val="0"/>
      <w:snapToGrid w:val="0"/>
      <w:spacing w:after="0"/>
      <w:ind w:left="0" w:leftChars="0" w:firstLine="480" w:firstLineChars="200"/>
      <w:jc w:val="center"/>
    </w:pPr>
    <w:rPr>
      <w:rFonts w:ascii="黑体" w:hAnsi="宋体" w:eastAsia="黑体"/>
      <w:sz w:val="24"/>
      <w:szCs w:val="20"/>
    </w:rPr>
  </w:style>
  <w:style w:type="paragraph" w:customStyle="1" w:styleId="3224">
    <w:name w:val="样式112"/>
    <w:basedOn w:val="1"/>
    <w:qFormat/>
    <w:uiPriority w:val="0"/>
    <w:pPr>
      <w:adjustRightInd w:val="0"/>
      <w:snapToGrid w:val="0"/>
      <w:spacing w:line="300" w:lineRule="auto"/>
      <w:jc w:val="center"/>
      <w:textAlignment w:val="baseline"/>
    </w:pPr>
    <w:rPr>
      <w:rFonts w:ascii="仿宋_GB2312" w:hAnsi="Courier New" w:eastAsia="仿宋_GB2312"/>
      <w:b/>
      <w:sz w:val="28"/>
    </w:rPr>
  </w:style>
  <w:style w:type="paragraph" w:customStyle="1" w:styleId="3225">
    <w:name w:val="02"/>
    <w:basedOn w:val="4"/>
    <w:qFormat/>
    <w:uiPriority w:val="0"/>
    <w:pPr>
      <w:tabs>
        <w:tab w:val="clear" w:pos="1427"/>
      </w:tabs>
      <w:adjustRightInd/>
      <w:spacing w:line="480" w:lineRule="auto"/>
      <w:jc w:val="both"/>
      <w:textAlignment w:val="auto"/>
    </w:pPr>
    <w:rPr>
      <w:bCs/>
      <w:color w:val="333333"/>
      <w:kern w:val="2"/>
      <w:sz w:val="24"/>
    </w:rPr>
  </w:style>
  <w:style w:type="paragraph" w:customStyle="1" w:styleId="3226">
    <w:name w:val="样式 标题 41.1.1.1标题 4.1.1.1.1标题 4 Char款1.1.1.1 Char标4段1.1.1...4"/>
    <w:basedOn w:val="6"/>
    <w:qFormat/>
    <w:uiPriority w:val="0"/>
    <w:pPr>
      <w:keepNext w:val="0"/>
      <w:keepLines w:val="0"/>
      <w:tabs>
        <w:tab w:val="left" w:pos="4582"/>
      </w:tabs>
      <w:spacing w:before="100" w:after="100" w:line="302" w:lineRule="auto"/>
      <w:ind w:left="3130" w:hanging="708"/>
    </w:pPr>
    <w:rPr>
      <w:color w:val="000000"/>
      <w:sz w:val="24"/>
      <w:szCs w:val="24"/>
    </w:rPr>
  </w:style>
  <w:style w:type="paragraph" w:customStyle="1" w:styleId="3227">
    <w:name w:val="Char Char Char Char Char Char Char Char Char Char Char Char Char Char Char Char Char Char Char Char Char Char"/>
    <w:basedOn w:val="1"/>
    <w:qFormat/>
    <w:uiPriority w:val="0"/>
  </w:style>
  <w:style w:type="paragraph" w:customStyle="1" w:styleId="3228">
    <w:name w:val="Char Char Char Char Char Char Char Char Char Char Char Char Char Char Char Char Char Char Char"/>
    <w:basedOn w:val="1"/>
    <w:qFormat/>
    <w:uiPriority w:val="0"/>
  </w:style>
  <w:style w:type="paragraph" w:customStyle="1" w:styleId="3229">
    <w:name w:val="xl126"/>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pPr>
    <w:rPr>
      <w:rFonts w:ascii="宋体" w:hAnsi="宋体" w:cs="宋体"/>
      <w:sz w:val="18"/>
      <w:szCs w:val="18"/>
    </w:rPr>
  </w:style>
  <w:style w:type="paragraph" w:customStyle="1" w:styleId="3230">
    <w:name w:val="讲稿"/>
    <w:basedOn w:val="1"/>
    <w:qFormat/>
    <w:uiPriority w:val="0"/>
    <w:pPr>
      <w:ind w:firstLine="431"/>
    </w:pPr>
    <w:rPr>
      <w:rFonts w:ascii="Arial" w:hAnsi="Arial"/>
    </w:rPr>
  </w:style>
  <w:style w:type="paragraph" w:customStyle="1" w:styleId="3231">
    <w:name w:val="样式 燕山正文 + 首行缩进:  3.5 字符3"/>
    <w:basedOn w:val="1325"/>
    <w:qFormat/>
    <w:uiPriority w:val="0"/>
    <w:pPr>
      <w:ind w:firstLine="560"/>
    </w:pPr>
    <w:rPr>
      <w:bCs w:val="0"/>
      <w:sz w:val="28"/>
      <w:szCs w:val="20"/>
    </w:rPr>
  </w:style>
  <w:style w:type="paragraph" w:customStyle="1" w:styleId="3232">
    <w:name w:val="Char Char Char Char Char Char Char1"/>
    <w:basedOn w:val="1"/>
    <w:qFormat/>
    <w:uiPriority w:val="0"/>
    <w:pPr>
      <w:spacing w:line="360" w:lineRule="auto"/>
      <w:ind w:firstLine="200" w:firstLineChars="200"/>
    </w:pPr>
    <w:rPr>
      <w:rFonts w:ascii="宋体" w:hAnsi="宋体" w:cs="宋体"/>
      <w:sz w:val="24"/>
    </w:rPr>
  </w:style>
  <w:style w:type="paragraph" w:customStyle="1" w:styleId="3233">
    <w:name w:val="xl101"/>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sz w:val="16"/>
      <w:szCs w:val="16"/>
    </w:rPr>
  </w:style>
  <w:style w:type="paragraph" w:customStyle="1" w:styleId="3234">
    <w:name w:val="样式 样式 表格 + 左侧:  0.98 厘米 + 居中"/>
    <w:basedOn w:val="1"/>
    <w:qFormat/>
    <w:uiPriority w:val="0"/>
    <w:pPr>
      <w:adjustRightInd w:val="0"/>
      <w:snapToGrid w:val="0"/>
      <w:spacing w:before="100" w:beforeAutospacing="1" w:after="100" w:afterAutospacing="1" w:line="300" w:lineRule="auto"/>
      <w:jc w:val="center"/>
    </w:pPr>
    <w:rPr>
      <w:rFonts w:ascii="Arial" w:hAnsi="Arial"/>
      <w:snapToGrid w:val="0"/>
    </w:rPr>
  </w:style>
  <w:style w:type="paragraph" w:customStyle="1" w:styleId="3235">
    <w:name w:val="13.1.3.1"/>
    <w:basedOn w:val="6"/>
    <w:qFormat/>
    <w:uiPriority w:val="0"/>
    <w:pPr>
      <w:keepNext w:val="0"/>
      <w:keepLines w:val="0"/>
      <w:tabs>
        <w:tab w:val="left" w:pos="284"/>
      </w:tabs>
      <w:spacing w:before="100" w:after="100" w:line="302" w:lineRule="auto"/>
    </w:pPr>
    <w:rPr>
      <w:sz w:val="24"/>
      <w:szCs w:val="24"/>
    </w:rPr>
  </w:style>
  <w:style w:type="paragraph" w:customStyle="1" w:styleId="3236">
    <w:name w:val="样式 正文 + 首行缩进:  2 字符"/>
    <w:basedOn w:val="1"/>
    <w:qFormat/>
    <w:uiPriority w:val="0"/>
    <w:pPr>
      <w:adjustRightInd w:val="0"/>
      <w:spacing w:line="529" w:lineRule="exact"/>
      <w:ind w:firstLine="480" w:firstLineChars="200"/>
      <w:textAlignment w:val="baseline"/>
    </w:pPr>
    <w:rPr>
      <w:sz w:val="24"/>
    </w:rPr>
  </w:style>
  <w:style w:type="paragraph" w:customStyle="1" w:styleId="3237">
    <w:name w:val="证书编号"/>
    <w:basedOn w:val="1"/>
    <w:qFormat/>
    <w:uiPriority w:val="0"/>
    <w:pPr>
      <w:spacing w:line="480" w:lineRule="exact"/>
      <w:jc w:val="center"/>
    </w:pPr>
    <w:rPr>
      <w:rFonts w:cs="宋体"/>
      <w:sz w:val="28"/>
    </w:rPr>
  </w:style>
  <w:style w:type="paragraph" w:customStyle="1" w:styleId="3238">
    <w:name w:val="sms"/>
    <w:basedOn w:val="1"/>
    <w:qFormat/>
    <w:uiPriority w:val="0"/>
    <w:pPr>
      <w:widowControl/>
      <w:overflowPunct w:val="0"/>
      <w:autoSpaceDE w:val="0"/>
      <w:autoSpaceDN w:val="0"/>
      <w:adjustRightInd w:val="0"/>
      <w:spacing w:line="360" w:lineRule="auto"/>
      <w:ind w:left="2126" w:right="992" w:firstLine="709"/>
      <w:jc w:val="left"/>
      <w:textAlignment w:val="baseline"/>
    </w:pPr>
    <w:rPr>
      <w:rFonts w:ascii="宋体"/>
      <w:spacing w:val="20"/>
      <w:sz w:val="26"/>
    </w:rPr>
  </w:style>
  <w:style w:type="paragraph" w:customStyle="1" w:styleId="3239">
    <w:name w:val="待定小14"/>
    <w:basedOn w:val="1645"/>
    <w:qFormat/>
    <w:uiPriority w:val="0"/>
    <w:pPr>
      <w:spacing w:line="240" w:lineRule="auto"/>
      <w:ind w:firstLine="0" w:firstLineChars="200"/>
    </w:pPr>
    <w:rPr>
      <w:rFonts w:cs="Times New Roman"/>
      <w:color w:val="0000FF"/>
      <w:sz w:val="21"/>
      <w:szCs w:val="20"/>
    </w:rPr>
  </w:style>
  <w:style w:type="paragraph" w:customStyle="1" w:styleId="3240">
    <w:name w:val="PAR2"/>
    <w:basedOn w:val="1"/>
    <w:qFormat/>
    <w:uiPriority w:val="0"/>
    <w:pPr>
      <w:widowControl/>
      <w:ind w:left="851"/>
      <w:jc w:val="left"/>
    </w:pPr>
    <w:rPr>
      <w:rFonts w:ascii="CG Times (W1)" w:hAnsi="CG Times (W1)"/>
      <w:b/>
      <w:sz w:val="24"/>
      <w:lang w:val="en-GB" w:eastAsia="fr-FR"/>
    </w:rPr>
  </w:style>
  <w:style w:type="paragraph" w:customStyle="1" w:styleId="3241">
    <w:name w:val="表题53"/>
    <w:basedOn w:val="35"/>
    <w:qFormat/>
    <w:uiPriority w:val="0"/>
    <w:pPr>
      <w:tabs>
        <w:tab w:val="left" w:pos="4305"/>
      </w:tabs>
      <w:adjustRightInd w:val="0"/>
      <w:snapToGrid w:val="0"/>
      <w:spacing w:after="0"/>
      <w:ind w:left="0" w:leftChars="0"/>
      <w:jc w:val="center"/>
    </w:pPr>
    <w:rPr>
      <w:rFonts w:ascii="黑体" w:hAnsi="宋体" w:eastAsia="黑体"/>
      <w:color w:val="000000"/>
      <w:sz w:val="24"/>
      <w:szCs w:val="20"/>
    </w:rPr>
  </w:style>
  <w:style w:type="paragraph" w:customStyle="1" w:styleId="3242">
    <w:name w:val="xl25"/>
    <w:basedOn w:val="1"/>
    <w:qFormat/>
    <w:uiPriority w:val="0"/>
    <w:pPr>
      <w:widowControl/>
      <w:spacing w:before="100" w:beforeAutospacing="1" w:after="100" w:afterAutospacing="1"/>
      <w:jc w:val="left"/>
    </w:pPr>
    <w:rPr>
      <w:sz w:val="24"/>
    </w:rPr>
  </w:style>
  <w:style w:type="paragraph" w:customStyle="1" w:styleId="3243">
    <w:name w:val="样式 题注 + 五号 加粗 居中"/>
    <w:basedOn w:val="1"/>
    <w:qFormat/>
    <w:uiPriority w:val="0"/>
    <w:pPr>
      <w:spacing w:beforeLines="20" w:afterLines="20" w:line="360" w:lineRule="auto"/>
      <w:jc w:val="center"/>
    </w:pPr>
    <w:rPr>
      <w:rFonts w:ascii="Arial" w:hAnsi="Arial" w:eastAsia="黑体"/>
      <w:b/>
      <w:bCs/>
      <w:sz w:val="24"/>
      <w:szCs w:val="21"/>
    </w:rPr>
  </w:style>
  <w:style w:type="paragraph" w:customStyle="1" w:styleId="3244">
    <w:name w:val="等核实33"/>
    <w:basedOn w:val="35"/>
    <w:qFormat/>
    <w:uiPriority w:val="0"/>
    <w:pPr>
      <w:tabs>
        <w:tab w:val="left" w:pos="4305"/>
      </w:tabs>
      <w:adjustRightInd w:val="0"/>
      <w:snapToGrid w:val="0"/>
      <w:spacing w:after="0" w:line="360" w:lineRule="auto"/>
      <w:ind w:left="0" w:leftChars="0" w:firstLine="480" w:firstLineChars="200"/>
    </w:pPr>
    <w:rPr>
      <w:rFonts w:ascii="宋体" w:hAnsi="宋体"/>
      <w:color w:val="0000FF"/>
      <w:sz w:val="24"/>
      <w:szCs w:val="20"/>
    </w:rPr>
  </w:style>
  <w:style w:type="paragraph" w:customStyle="1" w:styleId="3245">
    <w:name w:val="居中正文"/>
    <w:basedOn w:val="87"/>
    <w:qFormat/>
    <w:uiPriority w:val="0"/>
    <w:pPr>
      <w:adjustRightInd w:val="0"/>
      <w:spacing w:before="120" w:line="360" w:lineRule="auto"/>
      <w:ind w:firstLine="0" w:firstLineChars="0"/>
      <w:jc w:val="center"/>
      <w:textAlignment w:val="baseline"/>
    </w:pPr>
    <w:rPr>
      <w:rFonts w:ascii="宋体" w:hAnsi="Calibri"/>
      <w:kern w:val="28"/>
      <w:sz w:val="24"/>
      <w:szCs w:val="20"/>
    </w:rPr>
  </w:style>
  <w:style w:type="paragraph" w:customStyle="1" w:styleId="3246">
    <w:name w:val="表内5112"/>
    <w:basedOn w:val="1"/>
    <w:qFormat/>
    <w:uiPriority w:val="0"/>
    <w:pPr>
      <w:adjustRightInd w:val="0"/>
      <w:snapToGrid w:val="0"/>
      <w:spacing w:line="300" w:lineRule="auto"/>
      <w:jc w:val="left"/>
    </w:pPr>
    <w:rPr>
      <w:rFonts w:ascii="宋体"/>
    </w:rPr>
  </w:style>
  <w:style w:type="paragraph" w:customStyle="1" w:styleId="3247">
    <w:name w:val="页眉中93"/>
    <w:basedOn w:val="1"/>
    <w:qFormat/>
    <w:uiPriority w:val="0"/>
    <w:pPr>
      <w:adjustRightInd w:val="0"/>
      <w:snapToGrid w:val="0"/>
      <w:spacing w:line="300" w:lineRule="auto"/>
      <w:jc w:val="left"/>
    </w:pPr>
    <w:rPr>
      <w:rFonts w:ascii="黑体" w:eastAsia="黑体"/>
      <w:bCs/>
      <w:sz w:val="24"/>
    </w:rPr>
  </w:style>
  <w:style w:type="paragraph" w:customStyle="1" w:styleId="3248">
    <w:name w:val="标题31"/>
    <w:basedOn w:val="5"/>
    <w:qFormat/>
    <w:uiPriority w:val="0"/>
    <w:pPr>
      <w:keepNext w:val="0"/>
      <w:keepLines w:val="0"/>
      <w:tabs>
        <w:tab w:val="clear" w:pos="720"/>
      </w:tabs>
      <w:autoSpaceDE w:val="0"/>
      <w:autoSpaceDN w:val="0"/>
      <w:snapToGrid w:val="0"/>
      <w:spacing w:before="240" w:after="240" w:line="520" w:lineRule="atLeast"/>
      <w:ind w:left="0" w:firstLine="0"/>
      <w:textAlignment w:val="auto"/>
    </w:pPr>
    <w:rPr>
      <w:rFonts w:ascii="楷体_GB2312" w:eastAsia="楷体_GB2312"/>
      <w:color w:val="auto"/>
      <w:spacing w:val="0"/>
      <w:kern w:val="2"/>
    </w:rPr>
  </w:style>
  <w:style w:type="paragraph" w:customStyle="1" w:styleId="3249">
    <w:name w:val="表内536"/>
    <w:basedOn w:val="1"/>
    <w:qFormat/>
    <w:uiPriority w:val="0"/>
    <w:pPr>
      <w:adjustRightInd w:val="0"/>
      <w:snapToGrid w:val="0"/>
      <w:spacing w:line="300" w:lineRule="auto"/>
      <w:jc w:val="left"/>
    </w:pPr>
    <w:rPr>
      <w:rFonts w:ascii="宋体"/>
    </w:rPr>
  </w:style>
  <w:style w:type="paragraph" w:customStyle="1" w:styleId="3250">
    <w:name w:val="Char Char Char Char Char Char Char Char Char Char Char Char Char Char Char Char Char Char Char Char Char Char Char Char Char3"/>
    <w:basedOn w:val="1"/>
    <w:qFormat/>
    <w:uiPriority w:val="0"/>
    <w:pPr>
      <w:spacing w:line="360" w:lineRule="auto"/>
      <w:ind w:firstLine="200" w:firstLineChars="200"/>
    </w:pPr>
    <w:rPr>
      <w:rFonts w:ascii="宋体" w:hAnsi="宋体" w:cs="宋体"/>
      <w:sz w:val="24"/>
    </w:rPr>
  </w:style>
  <w:style w:type="paragraph" w:customStyle="1" w:styleId="3251">
    <w:name w:val="表题112"/>
    <w:basedOn w:val="1"/>
    <w:qFormat/>
    <w:uiPriority w:val="0"/>
    <w:pPr>
      <w:adjustRightInd w:val="0"/>
      <w:snapToGrid w:val="0"/>
      <w:jc w:val="center"/>
      <w:textAlignment w:val="baseline"/>
    </w:pPr>
    <w:rPr>
      <w:rFonts w:ascii="黑体" w:hAnsi="宋体" w:eastAsia="黑体"/>
      <w:sz w:val="24"/>
    </w:rPr>
  </w:style>
  <w:style w:type="paragraph" w:customStyle="1" w:styleId="3252">
    <w:name w:val="121111111111"/>
    <w:basedOn w:val="1"/>
    <w:qFormat/>
    <w:uiPriority w:val="0"/>
    <w:pPr>
      <w:spacing w:line="460" w:lineRule="exact"/>
      <w:jc w:val="center"/>
    </w:pPr>
    <w:rPr>
      <w:rFonts w:eastAsia="黑体"/>
      <w:color w:val="000000"/>
      <w:spacing w:val="16"/>
      <w:sz w:val="24"/>
    </w:rPr>
  </w:style>
  <w:style w:type="paragraph" w:customStyle="1" w:styleId="3253">
    <w:name w:val="纯文本1"/>
    <w:basedOn w:val="1"/>
    <w:qFormat/>
    <w:uiPriority w:val="0"/>
    <w:pPr>
      <w:adjustRightInd w:val="0"/>
      <w:textAlignment w:val="baseline"/>
    </w:pPr>
    <w:rPr>
      <w:rFonts w:ascii="宋体" w:hAnsi="Courier New"/>
    </w:rPr>
  </w:style>
  <w:style w:type="paragraph" w:customStyle="1" w:styleId="3254">
    <w:name w:val="Char Char Char7"/>
    <w:basedOn w:val="3"/>
    <w:qFormat/>
    <w:uiPriority w:val="0"/>
    <w:pPr>
      <w:pageBreakBefore/>
      <w:snapToGrid w:val="0"/>
      <w:spacing w:line="360" w:lineRule="auto"/>
      <w:ind w:firstLine="200" w:firstLineChars="200"/>
    </w:pPr>
    <w:rPr>
      <w:rFonts w:eastAsia="仿宋_GB2312"/>
      <w:sz w:val="24"/>
    </w:rPr>
  </w:style>
  <w:style w:type="paragraph" w:customStyle="1" w:styleId="3255">
    <w:name w:val="表格文字2"/>
    <w:basedOn w:val="1"/>
    <w:qFormat/>
    <w:uiPriority w:val="0"/>
    <w:pPr>
      <w:tabs>
        <w:tab w:val="left" w:pos="277"/>
        <w:tab w:val="left" w:pos="600"/>
        <w:tab w:val="left" w:pos="780"/>
        <w:tab w:val="left" w:pos="2517"/>
      </w:tabs>
      <w:adjustRightInd w:val="0"/>
      <w:spacing w:before="60"/>
      <w:jc w:val="center"/>
      <w:textAlignment w:val="baseline"/>
    </w:pPr>
    <w:rPr>
      <w:szCs w:val="21"/>
    </w:rPr>
  </w:style>
  <w:style w:type="paragraph" w:customStyle="1" w:styleId="3256">
    <w:name w:val="一级编号"/>
    <w:qFormat/>
    <w:uiPriority w:val="0"/>
    <w:pPr>
      <w:tabs>
        <w:tab w:val="left" w:pos="360"/>
        <w:tab w:val="left" w:pos="425"/>
        <w:tab w:val="left" w:pos="900"/>
      </w:tabs>
      <w:adjustRightInd w:val="0"/>
      <w:spacing w:before="360" w:after="360"/>
      <w:ind w:left="431" w:hanging="142"/>
    </w:pPr>
    <w:rPr>
      <w:rFonts w:ascii="Times New Roman" w:hAnsi="Times New Roman" w:eastAsia="宋体" w:cs="Times New Roman"/>
      <w:sz w:val="44"/>
      <w:lang w:val="en-US" w:eastAsia="zh-CN" w:bidi="ar-SA"/>
    </w:rPr>
  </w:style>
  <w:style w:type="paragraph" w:customStyle="1" w:styleId="3257">
    <w:name w:val="表头（铸造）3"/>
    <w:basedOn w:val="1"/>
    <w:qFormat/>
    <w:uiPriority w:val="0"/>
    <w:pPr>
      <w:spacing w:line="360" w:lineRule="auto"/>
      <w:jc w:val="center"/>
    </w:pPr>
    <w:rPr>
      <w:rFonts w:eastAsia="方正宋黑简体"/>
      <w:b/>
      <w:sz w:val="24"/>
    </w:rPr>
  </w:style>
  <w:style w:type="paragraph" w:customStyle="1" w:styleId="3258">
    <w:name w:val="Char93"/>
    <w:basedOn w:val="1"/>
    <w:qFormat/>
    <w:uiPriority w:val="0"/>
    <w:pPr>
      <w:spacing w:line="480" w:lineRule="exact"/>
      <w:ind w:left="-48"/>
    </w:pPr>
  </w:style>
  <w:style w:type="paragraph" w:customStyle="1" w:styleId="3259">
    <w:name w:val="表内文字小32"/>
    <w:basedOn w:val="1"/>
    <w:qFormat/>
    <w:uiPriority w:val="0"/>
    <w:pPr>
      <w:adjustRightInd w:val="0"/>
      <w:snapToGrid w:val="0"/>
      <w:jc w:val="center"/>
    </w:pPr>
    <w:rPr>
      <w:rFonts w:ascii="宋体" w:hAnsi="Times" w:cs="宋体"/>
      <w:bCs/>
      <w:color w:val="003366"/>
    </w:rPr>
  </w:style>
  <w:style w:type="paragraph" w:customStyle="1" w:styleId="3260">
    <w:name w:val="表内文字边3"/>
    <w:basedOn w:val="1596"/>
    <w:qFormat/>
    <w:uiPriority w:val="0"/>
    <w:pPr>
      <w:adjustRightInd w:val="0"/>
      <w:snapToGrid w:val="0"/>
      <w:jc w:val="both"/>
    </w:pPr>
  </w:style>
  <w:style w:type="paragraph" w:customStyle="1" w:styleId="3261">
    <w:name w:val="四级"/>
    <w:basedOn w:val="6"/>
    <w:qFormat/>
    <w:uiPriority w:val="0"/>
    <w:pPr>
      <w:spacing w:before="0" w:after="0" w:line="360" w:lineRule="auto"/>
    </w:pPr>
    <w:rPr>
      <w:rFonts w:ascii="宋体" w:hAnsi="宋体" w:eastAsia="宋体"/>
      <w:b w:val="0"/>
      <w:bCs w:val="0"/>
    </w:rPr>
  </w:style>
  <w:style w:type="paragraph" w:customStyle="1" w:styleId="3262">
    <w:name w:val="徐正生  标题3"/>
    <w:basedOn w:val="1"/>
    <w:qFormat/>
    <w:uiPriority w:val="0"/>
    <w:pPr>
      <w:spacing w:line="360" w:lineRule="auto"/>
    </w:pPr>
    <w:rPr>
      <w:rFonts w:cs="宋体"/>
      <w:sz w:val="24"/>
    </w:rPr>
  </w:style>
  <w:style w:type="paragraph" w:customStyle="1" w:styleId="3263">
    <w:name w:val="标题417"/>
    <w:basedOn w:val="1"/>
    <w:qFormat/>
    <w:uiPriority w:val="0"/>
    <w:pPr>
      <w:adjustRightInd w:val="0"/>
      <w:snapToGrid w:val="0"/>
      <w:spacing w:line="300" w:lineRule="auto"/>
      <w:jc w:val="left"/>
    </w:pPr>
    <w:rPr>
      <w:rFonts w:ascii="黑体" w:eastAsia="黑体"/>
      <w:bCs/>
      <w:sz w:val="24"/>
    </w:rPr>
  </w:style>
  <w:style w:type="paragraph" w:customStyle="1" w:styleId="3264">
    <w:name w:val="正文缩"/>
    <w:basedOn w:val="1"/>
    <w:qFormat/>
    <w:uiPriority w:val="0"/>
    <w:pPr>
      <w:adjustRightInd w:val="0"/>
      <w:snapToGrid w:val="0"/>
      <w:spacing w:line="480" w:lineRule="atLeast"/>
      <w:ind w:firstLine="567"/>
      <w:textAlignment w:val="baseline"/>
    </w:pPr>
    <w:rPr>
      <w:rFonts w:ascii="宋体"/>
      <w:color w:val="000080"/>
      <w:spacing w:val="6"/>
      <w:sz w:val="28"/>
    </w:rPr>
  </w:style>
  <w:style w:type="paragraph" w:customStyle="1" w:styleId="3265">
    <w:name w:val="表内宋58"/>
    <w:basedOn w:val="1553"/>
    <w:qFormat/>
    <w:uiPriority w:val="0"/>
    <w:pPr>
      <w:jc w:val="both"/>
    </w:pPr>
  </w:style>
  <w:style w:type="paragraph" w:customStyle="1" w:styleId="3266">
    <w:name w:val="页眉中110"/>
    <w:basedOn w:val="47"/>
    <w:qFormat/>
    <w:uiPriority w:val="0"/>
    <w:pPr>
      <w:adjustRightInd w:val="0"/>
      <w:spacing w:line="300" w:lineRule="auto"/>
      <w:jc w:val="left"/>
    </w:pPr>
    <w:rPr>
      <w:rFonts w:ascii="黑体" w:hAnsi="宋体" w:eastAsia="黑体" w:cs="宋体"/>
      <w:bCs/>
      <w:sz w:val="24"/>
    </w:rPr>
  </w:style>
  <w:style w:type="paragraph" w:customStyle="1" w:styleId="3267">
    <w:name w:val="表内式样"/>
    <w:qFormat/>
    <w:uiPriority w:val="0"/>
    <w:pPr>
      <w:widowControl w:val="0"/>
      <w:jc w:val="center"/>
    </w:pPr>
    <w:rPr>
      <w:rFonts w:ascii="Times New Roman" w:hAnsi="Times New Roman" w:eastAsia="宋体" w:cs="Times New Roman"/>
      <w:kern w:val="2"/>
      <w:sz w:val="21"/>
      <w:lang w:val="en-US" w:eastAsia="zh-CN" w:bidi="ar-SA"/>
    </w:rPr>
  </w:style>
  <w:style w:type="paragraph" w:customStyle="1" w:styleId="3268">
    <w:name w:val="正文文本缩进13"/>
    <w:basedOn w:val="1"/>
    <w:qFormat/>
    <w:uiPriority w:val="0"/>
    <w:pPr>
      <w:overflowPunct w:val="0"/>
      <w:snapToGrid w:val="0"/>
      <w:spacing w:line="480" w:lineRule="exact"/>
      <w:ind w:firstLine="560"/>
    </w:pPr>
  </w:style>
  <w:style w:type="paragraph" w:customStyle="1" w:styleId="3269">
    <w:name w:val="Char Char Char Char Char Char Char Char Char Char Char Char Char Char Char Char Char Char Char Char Char Char Char Char Char Char Char Char Char Char Char1"/>
    <w:basedOn w:val="1"/>
    <w:qFormat/>
    <w:uiPriority w:val="0"/>
    <w:pPr>
      <w:spacing w:line="360" w:lineRule="auto"/>
      <w:ind w:firstLine="200" w:firstLineChars="200"/>
    </w:pPr>
    <w:rPr>
      <w:rFonts w:ascii="宋体" w:hAnsi="宋体" w:cs="宋体"/>
      <w:sz w:val="24"/>
    </w:rPr>
  </w:style>
  <w:style w:type="paragraph" w:customStyle="1" w:styleId="3270">
    <w:name w:val="表内文字14"/>
    <w:basedOn w:val="1"/>
    <w:qFormat/>
    <w:uiPriority w:val="0"/>
    <w:pPr>
      <w:widowControl/>
      <w:adjustRightInd w:val="0"/>
      <w:snapToGrid w:val="0"/>
      <w:spacing w:line="420" w:lineRule="exact"/>
      <w:jc w:val="center"/>
    </w:pPr>
    <w:rPr>
      <w:rFonts w:ascii="宋体"/>
      <w:spacing w:val="10"/>
      <w:sz w:val="18"/>
    </w:rPr>
  </w:style>
  <w:style w:type="paragraph" w:customStyle="1" w:styleId="3271">
    <w:name w:val="页眉中73"/>
    <w:basedOn w:val="1"/>
    <w:qFormat/>
    <w:uiPriority w:val="0"/>
    <w:pPr>
      <w:adjustRightInd w:val="0"/>
      <w:snapToGrid w:val="0"/>
      <w:spacing w:line="300" w:lineRule="auto"/>
      <w:jc w:val="left"/>
    </w:pPr>
    <w:rPr>
      <w:rFonts w:ascii="黑体" w:eastAsia="黑体"/>
      <w:bCs/>
      <w:sz w:val="24"/>
    </w:rPr>
  </w:style>
  <w:style w:type="paragraph" w:customStyle="1" w:styleId="3272">
    <w:name w:val="表题115"/>
    <w:basedOn w:val="1"/>
    <w:qFormat/>
    <w:uiPriority w:val="0"/>
    <w:pPr>
      <w:adjustRightInd w:val="0"/>
      <w:snapToGrid w:val="0"/>
      <w:jc w:val="center"/>
      <w:textAlignment w:val="baseline"/>
    </w:pPr>
    <w:rPr>
      <w:rFonts w:ascii="黑体" w:hAnsi="宋体" w:eastAsia="黑体"/>
      <w:sz w:val="24"/>
    </w:rPr>
  </w:style>
  <w:style w:type="paragraph" w:customStyle="1" w:styleId="3273">
    <w:name w:val="12 Char"/>
    <w:basedOn w:val="1"/>
    <w:qFormat/>
    <w:uiPriority w:val="0"/>
    <w:pPr>
      <w:spacing w:line="360" w:lineRule="auto"/>
      <w:ind w:firstLine="200" w:firstLineChars="200"/>
    </w:pPr>
    <w:rPr>
      <w:rFonts w:ascii="宋体" w:hAnsi="宋体" w:cs="宋体"/>
      <w:sz w:val="24"/>
    </w:rPr>
  </w:style>
  <w:style w:type="paragraph" w:customStyle="1" w:styleId="3274">
    <w:name w:val="正文文本1 Char1 Char Char Char Char Char Char Char"/>
    <w:basedOn w:val="1"/>
    <w:next w:val="34"/>
    <w:qFormat/>
    <w:uiPriority w:val="0"/>
    <w:pPr>
      <w:spacing w:line="240" w:lineRule="atLeast"/>
      <w:jc w:val="center"/>
    </w:pPr>
  </w:style>
  <w:style w:type="paragraph" w:customStyle="1" w:styleId="3275">
    <w:name w:val="图表头"/>
    <w:basedOn w:val="1"/>
    <w:qFormat/>
    <w:uiPriority w:val="0"/>
    <w:pPr>
      <w:adjustRightInd w:val="0"/>
      <w:spacing w:line="360" w:lineRule="auto"/>
      <w:jc w:val="center"/>
      <w:textAlignment w:val="baseline"/>
    </w:pPr>
    <w:rPr>
      <w:rFonts w:ascii="黑体" w:eastAsia="黑体"/>
      <w:spacing w:val="5"/>
    </w:rPr>
  </w:style>
  <w:style w:type="paragraph" w:customStyle="1" w:styleId="3276">
    <w:name w:val="新样式"/>
    <w:basedOn w:val="21"/>
    <w:qFormat/>
    <w:uiPriority w:val="0"/>
    <w:pPr>
      <w:spacing w:line="300" w:lineRule="exact"/>
      <w:ind w:firstLine="0" w:firstLineChars="0"/>
    </w:pPr>
    <w:rPr>
      <w:rFonts w:ascii="Calibri" w:hAnsi="Calibri"/>
      <w:kern w:val="44"/>
      <w:szCs w:val="22"/>
    </w:rPr>
  </w:style>
  <w:style w:type="paragraph" w:customStyle="1" w:styleId="3277">
    <w:name w:val="正文首行缩进 211"/>
    <w:basedOn w:val="1"/>
    <w:qFormat/>
    <w:uiPriority w:val="0"/>
    <w:pPr>
      <w:overflowPunct w:val="0"/>
      <w:snapToGrid w:val="0"/>
      <w:spacing w:after="120" w:line="480" w:lineRule="exact"/>
      <w:ind w:left="420" w:leftChars="200" w:firstLine="420" w:firstLineChars="200"/>
    </w:pPr>
    <w:rPr>
      <w:rFonts w:ascii="Arial" w:hAnsi="Arial" w:eastAsia="仿宋_GB2312"/>
      <w:color w:val="0000FF"/>
      <w:sz w:val="28"/>
    </w:rPr>
  </w:style>
  <w:style w:type="paragraph" w:customStyle="1" w:styleId="3278">
    <w:name w:val="Char Char Char Char Char Char Char Char Char Char Char Char Char Char Char Char11"/>
    <w:basedOn w:val="1"/>
    <w:next w:val="1"/>
    <w:qFormat/>
    <w:uiPriority w:val="0"/>
    <w:pPr>
      <w:keepNext/>
      <w:keepLines/>
      <w:widowControl/>
      <w:adjustRightInd w:val="0"/>
      <w:spacing w:before="40" w:after="40" w:line="360" w:lineRule="auto"/>
      <w:ind w:firstLine="482" w:firstLineChars="200"/>
      <w:textAlignment w:val="baseline"/>
    </w:pPr>
    <w:rPr>
      <w:rFonts w:cs="宋体"/>
      <w:b/>
      <w:sz w:val="24"/>
      <w:szCs w:val="28"/>
    </w:rPr>
  </w:style>
  <w:style w:type="paragraph" w:customStyle="1" w:styleId="3279">
    <w:name w:val="标题 41"/>
    <w:basedOn w:val="1"/>
    <w:next w:val="1"/>
    <w:qFormat/>
    <w:uiPriority w:val="0"/>
    <w:pPr>
      <w:adjustRightInd w:val="0"/>
      <w:spacing w:line="440" w:lineRule="atLeast"/>
      <w:ind w:left="198" w:firstLine="567"/>
      <w:textAlignment w:val="baseline"/>
    </w:pPr>
    <w:rPr>
      <w:rFonts w:hint="eastAsia" w:hAnsi="宋体"/>
      <w:kern w:val="28"/>
      <w:sz w:val="24"/>
    </w:rPr>
  </w:style>
  <w:style w:type="paragraph" w:customStyle="1" w:styleId="3280">
    <w:name w:val="表题84"/>
    <w:basedOn w:val="35"/>
    <w:qFormat/>
    <w:uiPriority w:val="0"/>
    <w:pPr>
      <w:tabs>
        <w:tab w:val="left" w:pos="4305"/>
      </w:tabs>
      <w:adjustRightInd w:val="0"/>
      <w:snapToGrid w:val="0"/>
      <w:spacing w:after="0"/>
      <w:ind w:left="0" w:leftChars="0"/>
      <w:jc w:val="center"/>
    </w:pPr>
    <w:rPr>
      <w:rFonts w:ascii="黑体" w:hAnsi="宋体" w:eastAsia="黑体"/>
      <w:sz w:val="24"/>
      <w:szCs w:val="20"/>
    </w:rPr>
  </w:style>
  <w:style w:type="paragraph" w:customStyle="1" w:styleId="3281">
    <w:name w:val="样式 仿宋_GB2312 首行缩进:  0.99 厘米"/>
    <w:basedOn w:val="1"/>
    <w:qFormat/>
    <w:uiPriority w:val="0"/>
    <w:pPr>
      <w:autoSpaceDE w:val="0"/>
      <w:autoSpaceDN w:val="0"/>
      <w:adjustRightInd w:val="0"/>
      <w:spacing w:line="500" w:lineRule="exact"/>
      <w:ind w:firstLine="560" w:firstLineChars="200"/>
    </w:pPr>
    <w:rPr>
      <w:rFonts w:eastAsia="仿宋_GB2312"/>
      <w:sz w:val="28"/>
      <w:szCs w:val="28"/>
      <w:lang w:val="zh-CN"/>
    </w:rPr>
  </w:style>
  <w:style w:type="paragraph" w:customStyle="1" w:styleId="3282">
    <w:name w:val="样式 标题 1 + (西文) Arial (中文) 黑体 三号 段后: 2 磅"/>
    <w:basedOn w:val="3"/>
    <w:qFormat/>
    <w:uiPriority w:val="0"/>
    <w:pPr>
      <w:pageBreakBefore/>
      <w:tabs>
        <w:tab w:val="left" w:pos="360"/>
        <w:tab w:val="left" w:pos="1474"/>
      </w:tabs>
      <w:adjustRightInd w:val="0"/>
      <w:snapToGrid w:val="0"/>
      <w:spacing w:before="240" w:after="40" w:line="480" w:lineRule="exact"/>
      <w:ind w:left="360" w:hanging="360" w:hangingChars="200"/>
      <w:jc w:val="center"/>
      <w:textAlignment w:val="baseline"/>
    </w:pPr>
    <w:rPr>
      <w:rFonts w:hAnsi="Arial" w:eastAsia="黑体"/>
      <w:b w:val="0"/>
      <w:bCs w:val="0"/>
      <w:i/>
      <w:color w:val="FF0000"/>
      <w:kern w:val="2"/>
      <w:sz w:val="32"/>
      <w:szCs w:val="20"/>
    </w:rPr>
  </w:style>
  <w:style w:type="paragraph" w:customStyle="1" w:styleId="3283">
    <w:name w:val="福建正文缩进31"/>
    <w:basedOn w:val="21"/>
    <w:qFormat/>
    <w:uiPriority w:val="0"/>
    <w:pPr>
      <w:autoSpaceDE w:val="0"/>
      <w:autoSpaceDN w:val="0"/>
      <w:adjustRightInd w:val="0"/>
      <w:snapToGrid w:val="0"/>
      <w:spacing w:line="360" w:lineRule="auto"/>
      <w:ind w:firstLine="539" w:firstLineChars="0"/>
    </w:pPr>
    <w:rPr>
      <w:rFonts w:ascii="宋体" w:hAnsi="宋体"/>
      <w:b/>
      <w:szCs w:val="24"/>
    </w:rPr>
  </w:style>
  <w:style w:type="paragraph" w:customStyle="1" w:styleId="3284">
    <w:name w:val="Char Char Char Char Char Char Char Char Char Char Char Char2"/>
    <w:basedOn w:val="1"/>
    <w:qFormat/>
    <w:uiPriority w:val="0"/>
  </w:style>
  <w:style w:type="paragraph" w:customStyle="1" w:styleId="3285">
    <w:name w:val="正文8"/>
    <w:basedOn w:val="1"/>
    <w:qFormat/>
    <w:uiPriority w:val="0"/>
    <w:pPr>
      <w:adjustRightInd w:val="0"/>
      <w:spacing w:line="480" w:lineRule="exact"/>
      <w:textAlignment w:val="baseline"/>
    </w:pPr>
  </w:style>
  <w:style w:type="paragraph" w:customStyle="1" w:styleId="3286">
    <w:name w:val="vis_p1"/>
    <w:basedOn w:val="1"/>
    <w:qFormat/>
    <w:uiPriority w:val="0"/>
    <w:pPr>
      <w:widowControl/>
      <w:spacing w:before="375" w:line="300" w:lineRule="atLeast"/>
      <w:ind w:firstLine="480"/>
      <w:jc w:val="left"/>
    </w:pPr>
    <w:rPr>
      <w:rFonts w:ascii="宋体" w:hAnsi="宋体" w:cs="宋体"/>
      <w:color w:val="878787"/>
      <w:sz w:val="24"/>
    </w:rPr>
  </w:style>
  <w:style w:type="paragraph" w:customStyle="1" w:styleId="3287">
    <w:name w:val="正文文字 Char Char Char2"/>
    <w:basedOn w:val="26"/>
    <w:qFormat/>
    <w:uiPriority w:val="0"/>
    <w:pPr>
      <w:shd w:val="clear" w:color="auto" w:fill="auto"/>
      <w:spacing w:after="120" w:line="360" w:lineRule="auto"/>
      <w:ind w:firstLine="560" w:firstLineChars="200"/>
    </w:pPr>
    <w:rPr>
      <w:rFonts w:ascii="Tahoma" w:hAnsi="Tahoma"/>
      <w:color w:val="000000"/>
      <w:sz w:val="28"/>
      <w:szCs w:val="28"/>
    </w:rPr>
  </w:style>
  <w:style w:type="paragraph" w:customStyle="1" w:styleId="3288">
    <w:name w:val="xl127"/>
    <w:basedOn w:val="1"/>
    <w:qFormat/>
    <w:uiPriority w:val="0"/>
    <w:pPr>
      <w:widowControl/>
      <w:pBdr>
        <w:top w:val="single" w:color="auto" w:sz="4" w:space="0"/>
        <w:left w:val="single" w:color="auto" w:sz="4" w:space="0"/>
        <w:right w:val="single" w:color="auto" w:sz="4" w:space="0"/>
      </w:pBdr>
      <w:shd w:val="clear" w:color="000000" w:fill="FFFF00"/>
      <w:spacing w:before="100" w:beforeAutospacing="1" w:after="100" w:afterAutospacing="1"/>
      <w:jc w:val="center"/>
      <w:textAlignment w:val="center"/>
    </w:pPr>
    <w:rPr>
      <w:sz w:val="18"/>
      <w:szCs w:val="18"/>
    </w:rPr>
  </w:style>
  <w:style w:type="paragraph" w:customStyle="1" w:styleId="3289">
    <w:name w:val="dandan6-13正文 Char Char Char Char Char1 Char Char Char Char"/>
    <w:basedOn w:val="1"/>
    <w:next w:val="1"/>
    <w:qFormat/>
    <w:uiPriority w:val="0"/>
    <w:pPr>
      <w:keepNext/>
      <w:keepLines/>
      <w:widowControl/>
      <w:adjustRightInd w:val="0"/>
      <w:spacing w:before="40" w:after="40" w:line="360" w:lineRule="auto"/>
      <w:ind w:firstLine="200" w:firstLineChars="200"/>
      <w:textAlignment w:val="baseline"/>
    </w:pPr>
    <w:rPr>
      <w:rFonts w:cs="宋体"/>
      <w:sz w:val="24"/>
      <w:szCs w:val="28"/>
    </w:rPr>
  </w:style>
  <w:style w:type="paragraph" w:customStyle="1" w:styleId="3290">
    <w:name w:val="奇页页眉样式"/>
    <w:basedOn w:val="1"/>
    <w:qFormat/>
    <w:uiPriority w:val="0"/>
    <w:pPr>
      <w:keepLines/>
      <w:widowControl/>
      <w:tabs>
        <w:tab w:val="center" w:pos="-18551"/>
        <w:tab w:val="right" w:pos="4320"/>
      </w:tabs>
      <w:spacing w:after="480" w:line="240" w:lineRule="atLeast"/>
      <w:jc w:val="center"/>
    </w:pPr>
    <w:rPr>
      <w:rFonts w:ascii="Garamond" w:hAnsi="Garamond"/>
      <w:smallCaps/>
      <w:spacing w:val="15"/>
      <w:sz w:val="24"/>
    </w:rPr>
  </w:style>
  <w:style w:type="paragraph" w:customStyle="1" w:styleId="3291">
    <w:name w:val="2"/>
    <w:basedOn w:val="1"/>
    <w:next w:val="47"/>
    <w:qFormat/>
    <w:uiPriority w:val="0"/>
    <w:rPr>
      <w:rFonts w:ascii="宋体" w:hAnsi="Courier New" w:cs="Courier New"/>
      <w:spacing w:val="0"/>
      <w:kern w:val="2"/>
      <w:sz w:val="21"/>
      <w:szCs w:val="21"/>
    </w:rPr>
  </w:style>
  <w:style w:type="paragraph" w:customStyle="1" w:styleId="3292">
    <w:name w:val="表内文字21"/>
    <w:basedOn w:val="1"/>
    <w:qFormat/>
    <w:uiPriority w:val="0"/>
    <w:pPr>
      <w:widowControl/>
      <w:adjustRightInd w:val="0"/>
      <w:snapToGrid w:val="0"/>
      <w:jc w:val="center"/>
    </w:pPr>
    <w:rPr>
      <w:szCs w:val="21"/>
    </w:rPr>
  </w:style>
  <w:style w:type="paragraph" w:customStyle="1" w:styleId="3293">
    <w:name w:val="样式 宋体 四号 黑色 行距: 1.5 倍行距"/>
    <w:basedOn w:val="1"/>
    <w:qFormat/>
    <w:uiPriority w:val="0"/>
    <w:pPr>
      <w:autoSpaceDE w:val="0"/>
      <w:autoSpaceDN w:val="0"/>
      <w:spacing w:line="360" w:lineRule="auto"/>
      <w:ind w:firstLine="200" w:firstLineChars="200"/>
    </w:pPr>
    <w:rPr>
      <w:rFonts w:ascii="宋体" w:hAnsi="宋体" w:cs="宋体"/>
      <w:color w:val="000000"/>
      <w:sz w:val="28"/>
    </w:rPr>
  </w:style>
  <w:style w:type="paragraph" w:customStyle="1" w:styleId="3294">
    <w:name w:val="样式 样式 JZS + 黑体 自动设置 行距: 1.5 倍行距 + 首行缩进:  0 厘米"/>
    <w:basedOn w:val="1"/>
    <w:qFormat/>
    <w:uiPriority w:val="0"/>
    <w:pPr>
      <w:adjustRightInd w:val="0"/>
      <w:spacing w:line="360" w:lineRule="auto"/>
      <w:textAlignment w:val="baseline"/>
    </w:pPr>
    <w:rPr>
      <w:rFonts w:eastAsia="黑体" w:cs="宋体"/>
      <w:b/>
      <w:bCs/>
      <w:kern w:val="20"/>
      <w:sz w:val="30"/>
    </w:rPr>
  </w:style>
  <w:style w:type="paragraph" w:customStyle="1" w:styleId="3295">
    <w:name w:val="Char27"/>
    <w:basedOn w:val="1"/>
    <w:qFormat/>
    <w:uiPriority w:val="0"/>
    <w:pPr>
      <w:spacing w:line="360" w:lineRule="auto"/>
      <w:ind w:firstLine="200" w:firstLineChars="200"/>
    </w:pPr>
    <w:rPr>
      <w:rFonts w:ascii="宋体" w:hAnsi="宋体" w:cs="宋体"/>
      <w:sz w:val="24"/>
    </w:rPr>
  </w:style>
  <w:style w:type="paragraph" w:customStyle="1" w:styleId="3296">
    <w:name w:val="图"/>
    <w:basedOn w:val="1"/>
    <w:qFormat/>
    <w:uiPriority w:val="0"/>
    <w:pPr>
      <w:spacing w:line="380" w:lineRule="exact"/>
      <w:ind w:firstLine="230" w:firstLineChars="100"/>
      <w:jc w:val="center"/>
    </w:pPr>
    <w:rPr>
      <w:rFonts w:ascii="宋体" w:cs="宋体"/>
      <w:spacing w:val="10"/>
      <w:sz w:val="21"/>
      <w:szCs w:val="21"/>
    </w:rPr>
  </w:style>
  <w:style w:type="paragraph" w:customStyle="1" w:styleId="3297">
    <w:name w:val="表内文字小24"/>
    <w:basedOn w:val="1"/>
    <w:qFormat/>
    <w:uiPriority w:val="0"/>
    <w:pPr>
      <w:adjustRightInd w:val="0"/>
      <w:snapToGrid w:val="0"/>
      <w:jc w:val="center"/>
    </w:pPr>
    <w:rPr>
      <w:rFonts w:ascii="宋体" w:hAnsi="Times"/>
      <w:bCs/>
      <w:color w:val="003366"/>
    </w:rPr>
  </w:style>
  <w:style w:type="paragraph" w:customStyle="1" w:styleId="3298">
    <w:name w:val="表内文字小110"/>
    <w:basedOn w:val="1"/>
    <w:qFormat/>
    <w:uiPriority w:val="0"/>
    <w:pPr>
      <w:adjustRightInd w:val="0"/>
      <w:snapToGrid w:val="0"/>
      <w:jc w:val="center"/>
    </w:pPr>
    <w:rPr>
      <w:rFonts w:ascii="宋体" w:hAnsi="Times" w:cs="宋体"/>
    </w:rPr>
  </w:style>
  <w:style w:type="paragraph" w:customStyle="1" w:styleId="3299">
    <w:name w:val="表内小45"/>
    <w:basedOn w:val="1427"/>
    <w:qFormat/>
    <w:uiPriority w:val="0"/>
    <w:pPr>
      <w:ind w:left="240" w:hanging="240"/>
      <w:jc w:val="both"/>
    </w:pPr>
    <w:rPr>
      <w:rFonts w:cs="Times New Roman"/>
    </w:rPr>
  </w:style>
  <w:style w:type="paragraph" w:customStyle="1" w:styleId="3300">
    <w:name w:val="xl52"/>
    <w:basedOn w:val="1"/>
    <w:qFormat/>
    <w:uiPriority w:val="0"/>
    <w:pPr>
      <w:widowControl/>
      <w:spacing w:before="100" w:beforeAutospacing="1" w:after="100" w:afterAutospacing="1"/>
      <w:jc w:val="center"/>
    </w:pPr>
    <w:rPr>
      <w:rFonts w:ascii="宋体" w:hAnsi="宋体"/>
      <w:b/>
      <w:bCs/>
      <w:sz w:val="52"/>
      <w:szCs w:val="52"/>
    </w:rPr>
  </w:style>
  <w:style w:type="paragraph" w:customStyle="1" w:styleId="3301">
    <w:name w:val="列表项目符号1."/>
    <w:basedOn w:val="1"/>
    <w:qFormat/>
    <w:uiPriority w:val="0"/>
    <w:pPr>
      <w:keepNext/>
      <w:adjustRightInd w:val="0"/>
      <w:spacing w:line="312" w:lineRule="atLeast"/>
      <w:ind w:left="425" w:hanging="425"/>
      <w:textAlignment w:val="baseline"/>
    </w:pPr>
    <w:rPr>
      <w:szCs w:val="21"/>
    </w:rPr>
  </w:style>
  <w:style w:type="paragraph" w:customStyle="1" w:styleId="3302">
    <w:name w:val="标题 612"/>
    <w:basedOn w:val="1"/>
    <w:next w:val="1"/>
    <w:qFormat/>
    <w:uiPriority w:val="0"/>
    <w:pPr>
      <w:adjustRightInd w:val="0"/>
      <w:snapToGrid w:val="0"/>
      <w:spacing w:line="480" w:lineRule="atLeast"/>
      <w:ind w:left="3" w:firstLine="567"/>
      <w:textAlignment w:val="baseline"/>
    </w:pPr>
    <w:rPr>
      <w:rFonts w:hint="eastAsia" w:ascii="Arial" w:hAnsi="Arial"/>
      <w:sz w:val="24"/>
    </w:rPr>
  </w:style>
  <w:style w:type="paragraph" w:customStyle="1" w:styleId="3303">
    <w:name w:val="正文样式1"/>
    <w:basedOn w:val="47"/>
    <w:qFormat/>
    <w:uiPriority w:val="0"/>
    <w:pPr>
      <w:widowControl/>
      <w:snapToGrid/>
      <w:spacing w:line="360" w:lineRule="auto"/>
      <w:ind w:firstLine="560" w:firstLineChars="200"/>
      <w:jc w:val="left"/>
    </w:pPr>
    <w:rPr>
      <w:rFonts w:cs="Courier New"/>
      <w:sz w:val="24"/>
      <w:szCs w:val="21"/>
    </w:rPr>
  </w:style>
  <w:style w:type="paragraph" w:customStyle="1" w:styleId="3304">
    <w:name w:val="样式 表内5 + (符号) 宋体 两端对齐 行距: 单倍行距15"/>
    <w:basedOn w:val="1"/>
    <w:qFormat/>
    <w:uiPriority w:val="0"/>
    <w:pPr>
      <w:adjustRightInd w:val="0"/>
      <w:snapToGrid w:val="0"/>
      <w:jc w:val="center"/>
    </w:pPr>
    <w:rPr>
      <w:rFonts w:ascii="宋体" w:hAnsi="宋体" w:cs="宋体"/>
    </w:rPr>
  </w:style>
  <w:style w:type="paragraph" w:customStyle="1" w:styleId="3305">
    <w:name w:val="1 Char Char Char Char Char Char Char Char Char Char Char Char Char Char Char1 Char Char Char Char Char Char Char"/>
    <w:basedOn w:val="1"/>
    <w:qFormat/>
    <w:uiPriority w:val="0"/>
  </w:style>
  <w:style w:type="paragraph" w:customStyle="1" w:styleId="3306">
    <w:name w:val="表内宋5中32"/>
    <w:basedOn w:val="1"/>
    <w:qFormat/>
    <w:uiPriority w:val="0"/>
    <w:pPr>
      <w:adjustRightInd w:val="0"/>
      <w:snapToGrid w:val="0"/>
      <w:spacing w:line="360" w:lineRule="auto"/>
      <w:jc w:val="center"/>
      <w:textAlignment w:val="baseline"/>
    </w:pPr>
    <w:rPr>
      <w:rFonts w:ascii="宋体" w:hAnsi="宋体"/>
      <w:szCs w:val="21"/>
    </w:rPr>
  </w:style>
  <w:style w:type="paragraph" w:customStyle="1" w:styleId="3307">
    <w:name w:val="Char711"/>
    <w:basedOn w:val="1"/>
    <w:qFormat/>
    <w:uiPriority w:val="0"/>
    <w:pPr>
      <w:ind w:left="-48"/>
    </w:pPr>
  </w:style>
  <w:style w:type="paragraph" w:customStyle="1" w:styleId="3308">
    <w:name w:val="Char1 Char Char Char Char Char Char Char Char Char Char Char Char"/>
    <w:basedOn w:val="3"/>
    <w:qFormat/>
    <w:uiPriority w:val="0"/>
    <w:pPr>
      <w:pageBreakBefore/>
      <w:snapToGrid w:val="0"/>
      <w:spacing w:line="360" w:lineRule="auto"/>
      <w:ind w:firstLine="200" w:firstLineChars="200"/>
      <w:jc w:val="center"/>
    </w:pPr>
    <w:rPr>
      <w:rFonts w:eastAsia="仿宋_GB2312"/>
      <w:spacing w:val="10"/>
      <w:sz w:val="24"/>
      <w:szCs w:val="32"/>
    </w:rPr>
  </w:style>
  <w:style w:type="paragraph" w:customStyle="1" w:styleId="3309">
    <w:name w:val="样式 标准文本 居中 行距1.5倍 +"/>
    <w:basedOn w:val="774"/>
    <w:qFormat/>
    <w:uiPriority w:val="0"/>
    <w:pPr>
      <w:adjustRightInd w:val="0"/>
      <w:snapToGrid w:val="0"/>
    </w:pPr>
  </w:style>
  <w:style w:type="paragraph" w:customStyle="1" w:styleId="3310">
    <w:name w:val="样式a1"/>
    <w:basedOn w:val="7"/>
    <w:qFormat/>
    <w:uiPriority w:val="0"/>
    <w:pPr>
      <w:adjustRightInd/>
      <w:snapToGrid/>
      <w:spacing w:before="120" w:after="240" w:line="360" w:lineRule="auto"/>
      <w:ind w:firstLine="0" w:firstLineChars="0"/>
    </w:pPr>
    <w:rPr>
      <w:spacing w:val="0"/>
      <w:szCs w:val="20"/>
    </w:rPr>
  </w:style>
  <w:style w:type="paragraph" w:customStyle="1" w:styleId="3311">
    <w:name w:val="表内文字小1"/>
    <w:basedOn w:val="1"/>
    <w:qFormat/>
    <w:uiPriority w:val="0"/>
    <w:pPr>
      <w:adjustRightInd w:val="0"/>
      <w:snapToGrid w:val="0"/>
      <w:jc w:val="center"/>
    </w:pPr>
    <w:rPr>
      <w:rFonts w:ascii="宋体" w:hAnsi="Times" w:cs="宋体"/>
    </w:rPr>
  </w:style>
  <w:style w:type="paragraph" w:customStyle="1" w:styleId="3312">
    <w:name w:val="Char Char Char Char Char Char Char Char Char Char Char Char Char Char Char Char Char Char Char Char Char Char Char Char"/>
    <w:basedOn w:val="1"/>
    <w:qFormat/>
    <w:uiPriority w:val="0"/>
    <w:rPr>
      <w:rFonts w:ascii="仿宋_GB2312" w:eastAsia="仿宋_GB2312"/>
      <w:b/>
      <w:sz w:val="32"/>
      <w:szCs w:val="32"/>
    </w:rPr>
  </w:style>
  <w:style w:type="paragraph" w:customStyle="1" w:styleId="3313">
    <w:name w:val="样式 目录 1 + 首行缩进:  2 字符"/>
    <w:basedOn w:val="60"/>
    <w:qFormat/>
    <w:uiPriority w:val="0"/>
    <w:pPr>
      <w:tabs>
        <w:tab w:val="right" w:leader="dot" w:pos="8494"/>
        <w:tab w:val="right" w:leader="dot" w:pos="9174"/>
      </w:tabs>
      <w:spacing w:line="400" w:lineRule="exact"/>
      <w:ind w:firstLine="425"/>
      <w:jc w:val="center"/>
    </w:pPr>
    <w:rPr>
      <w:rFonts w:cs="宋体"/>
      <w:sz w:val="44"/>
      <w:szCs w:val="44"/>
    </w:rPr>
  </w:style>
  <w:style w:type="paragraph" w:customStyle="1" w:styleId="3314">
    <w:name w:val="正文文本 3111"/>
    <w:basedOn w:val="1"/>
    <w:qFormat/>
    <w:uiPriority w:val="0"/>
    <w:pPr>
      <w:tabs>
        <w:tab w:val="left" w:pos="510"/>
      </w:tabs>
      <w:adjustRightInd w:val="0"/>
      <w:spacing w:line="430" w:lineRule="atLeast"/>
      <w:jc w:val="center"/>
      <w:textAlignment w:val="baseline"/>
    </w:pPr>
    <w:rPr>
      <w:spacing w:val="16"/>
    </w:rPr>
  </w:style>
  <w:style w:type="paragraph" w:customStyle="1" w:styleId="3315">
    <w:name w:val="列表 412"/>
    <w:basedOn w:val="1"/>
    <w:qFormat/>
    <w:uiPriority w:val="0"/>
    <w:pPr>
      <w:overflowPunct w:val="0"/>
      <w:snapToGrid w:val="0"/>
      <w:spacing w:line="480" w:lineRule="exact"/>
      <w:ind w:firstLine="560" w:firstLineChars="200"/>
    </w:pPr>
    <w:rPr>
      <w:rFonts w:ascii="Arial" w:hAnsi="Arial" w:eastAsia="仿宋_GB2312"/>
      <w:sz w:val="28"/>
    </w:rPr>
  </w:style>
  <w:style w:type="paragraph" w:customStyle="1" w:styleId="3316">
    <w:name w:val="表内5中42"/>
    <w:basedOn w:val="1106"/>
    <w:qFormat/>
    <w:uiPriority w:val="0"/>
    <w:pPr>
      <w:spacing w:line="240" w:lineRule="auto"/>
    </w:pPr>
    <w:rPr>
      <w:rFonts w:hAnsi="Times New Roman"/>
      <w:bCs/>
    </w:rPr>
  </w:style>
  <w:style w:type="paragraph" w:customStyle="1" w:styleId="3317">
    <w:name w:val="样式 样式 表格标题 + 段前: 0.5 行 + 段前: 0.5 行1"/>
    <w:basedOn w:val="1"/>
    <w:qFormat/>
    <w:uiPriority w:val="0"/>
    <w:pPr>
      <w:autoSpaceDE w:val="0"/>
      <w:autoSpaceDN w:val="0"/>
      <w:adjustRightInd w:val="0"/>
      <w:spacing w:beforeLines="50" w:line="400" w:lineRule="exact"/>
      <w:jc w:val="center"/>
    </w:pPr>
    <w:rPr>
      <w:rFonts w:ascii="黑体" w:eastAsia="黑体" w:cs="宋体"/>
      <w:sz w:val="24"/>
      <w:lang w:val="zh-CN"/>
    </w:rPr>
  </w:style>
  <w:style w:type="paragraph" w:customStyle="1" w:styleId="3318">
    <w:name w:val="Char3 Char Char Char1"/>
    <w:basedOn w:val="1"/>
    <w:qFormat/>
    <w:uiPriority w:val="0"/>
    <w:pPr>
      <w:tabs>
        <w:tab w:val="left" w:pos="4665"/>
        <w:tab w:val="left" w:pos="8970"/>
      </w:tabs>
      <w:spacing w:line="500" w:lineRule="exact"/>
      <w:ind w:firstLine="420" w:firstLineChars="200"/>
      <w:jc w:val="center"/>
    </w:pPr>
    <w:rPr>
      <w:rFonts w:ascii="Tahoma" w:hAnsi="Tahoma"/>
      <w:szCs w:val="21"/>
    </w:rPr>
  </w:style>
  <w:style w:type="paragraph" w:customStyle="1" w:styleId="3319">
    <w:name w:val="样式 燕山正文 + 首行缩进:  3.5 字符"/>
    <w:basedOn w:val="1325"/>
    <w:qFormat/>
    <w:uiPriority w:val="0"/>
    <w:pPr>
      <w:ind w:firstLine="560"/>
    </w:pPr>
    <w:rPr>
      <w:bCs w:val="0"/>
      <w:sz w:val="28"/>
      <w:szCs w:val="20"/>
    </w:rPr>
  </w:style>
  <w:style w:type="paragraph" w:customStyle="1" w:styleId="3320">
    <w:name w:val="表题44"/>
    <w:basedOn w:val="35"/>
    <w:qFormat/>
    <w:uiPriority w:val="0"/>
    <w:pPr>
      <w:tabs>
        <w:tab w:val="left" w:pos="4305"/>
      </w:tabs>
      <w:adjustRightInd w:val="0"/>
      <w:snapToGrid w:val="0"/>
      <w:spacing w:after="0"/>
      <w:ind w:left="0" w:leftChars="0"/>
      <w:jc w:val="center"/>
    </w:pPr>
    <w:rPr>
      <w:rFonts w:ascii="黑体" w:hAnsi="宋体" w:eastAsia="黑体" w:cs="宋体"/>
      <w:color w:val="000000"/>
      <w:sz w:val="24"/>
    </w:rPr>
  </w:style>
  <w:style w:type="paragraph" w:customStyle="1" w:styleId="3321">
    <w:name w:val="标题426"/>
    <w:basedOn w:val="1"/>
    <w:qFormat/>
    <w:uiPriority w:val="0"/>
    <w:pPr>
      <w:adjustRightInd w:val="0"/>
      <w:snapToGrid w:val="0"/>
      <w:spacing w:line="300" w:lineRule="auto"/>
    </w:pPr>
    <w:rPr>
      <w:rFonts w:ascii="黑体" w:eastAsia="黑体"/>
      <w:sz w:val="24"/>
    </w:rPr>
  </w:style>
  <w:style w:type="paragraph" w:customStyle="1" w:styleId="3322">
    <w:name w:val="批注主题1"/>
    <w:basedOn w:val="28"/>
    <w:next w:val="28"/>
    <w:qFormat/>
    <w:uiPriority w:val="0"/>
    <w:rPr>
      <w:rFonts w:cs="黑体"/>
      <w:b/>
      <w:bCs/>
      <w:spacing w:val="0"/>
      <w:kern w:val="2"/>
      <w:sz w:val="24"/>
      <w:szCs w:val="22"/>
    </w:rPr>
  </w:style>
  <w:style w:type="paragraph" w:customStyle="1" w:styleId="3323">
    <w:name w:val="Char Char Char Char Char Char1 Char2"/>
    <w:basedOn w:val="1"/>
    <w:qFormat/>
    <w:uiPriority w:val="0"/>
  </w:style>
  <w:style w:type="paragraph" w:customStyle="1" w:styleId="3324">
    <w:name w:val="待核实小5"/>
    <w:basedOn w:val="1427"/>
    <w:qFormat/>
    <w:uiPriority w:val="0"/>
    <w:rPr>
      <w:rFonts w:cs="Times New Roman"/>
      <w:color w:val="000080"/>
      <w:sz w:val="21"/>
    </w:rPr>
  </w:style>
  <w:style w:type="paragraph" w:customStyle="1" w:styleId="3325">
    <w:name w:val="...."/>
    <w:basedOn w:val="1"/>
    <w:next w:val="1"/>
    <w:qFormat/>
    <w:uiPriority w:val="0"/>
    <w:pPr>
      <w:autoSpaceDE w:val="0"/>
      <w:autoSpaceDN w:val="0"/>
      <w:adjustRightInd w:val="0"/>
      <w:jc w:val="left"/>
    </w:pPr>
    <w:rPr>
      <w:sz w:val="24"/>
    </w:rPr>
  </w:style>
  <w:style w:type="paragraph" w:customStyle="1" w:styleId="3326">
    <w:name w:val="样式 目录 2 + 左侧:  2 字符 首行缩进:  2 字符"/>
    <w:basedOn w:val="75"/>
    <w:qFormat/>
    <w:uiPriority w:val="0"/>
    <w:pPr>
      <w:spacing w:line="480" w:lineRule="exact"/>
      <w:ind w:left="480" w:leftChars="200" w:firstLine="480"/>
    </w:pPr>
    <w:rPr>
      <w:rFonts w:cs="宋体"/>
      <w:sz w:val="18"/>
      <w:szCs w:val="18"/>
    </w:rPr>
  </w:style>
  <w:style w:type="paragraph" w:customStyle="1" w:styleId="3327">
    <w:name w:val="样式 表格文字 1"/>
    <w:basedOn w:val="951"/>
    <w:qFormat/>
    <w:uiPriority w:val="0"/>
    <w:pPr>
      <w:adjustRightInd/>
      <w:snapToGrid/>
      <w:spacing w:line="440" w:lineRule="exact"/>
    </w:pPr>
    <w:rPr>
      <w:rFonts w:cs="宋体"/>
      <w:bCs w:val="0"/>
      <w:spacing w:val="0"/>
      <w:kern w:val="0"/>
      <w:szCs w:val="20"/>
    </w:rPr>
  </w:style>
  <w:style w:type="paragraph" w:customStyle="1" w:styleId="3328">
    <w:name w:val="表内51"/>
    <w:basedOn w:val="1"/>
    <w:qFormat/>
    <w:uiPriority w:val="0"/>
    <w:pPr>
      <w:adjustRightInd w:val="0"/>
      <w:snapToGrid w:val="0"/>
      <w:spacing w:line="300" w:lineRule="auto"/>
      <w:jc w:val="left"/>
    </w:pPr>
    <w:rPr>
      <w:rFonts w:ascii="宋体" w:hAnsi="宋体" w:cs="宋体"/>
    </w:rPr>
  </w:style>
  <w:style w:type="paragraph" w:customStyle="1" w:styleId="3329">
    <w:name w:val="福建正文缩进10"/>
    <w:basedOn w:val="1"/>
    <w:qFormat/>
    <w:uiPriority w:val="0"/>
    <w:pPr>
      <w:tabs>
        <w:tab w:val="left" w:pos="4305"/>
      </w:tabs>
      <w:adjustRightInd w:val="0"/>
      <w:snapToGrid w:val="0"/>
      <w:spacing w:line="360" w:lineRule="auto"/>
      <w:ind w:firstLine="567"/>
    </w:pPr>
    <w:rPr>
      <w:rFonts w:ascii="宋体" w:hAnsi="宋体"/>
      <w:color w:val="000000"/>
      <w:sz w:val="24"/>
    </w:rPr>
  </w:style>
  <w:style w:type="paragraph" w:customStyle="1" w:styleId="3330">
    <w:name w:val="需要资料3"/>
    <w:basedOn w:val="1"/>
    <w:qFormat/>
    <w:uiPriority w:val="0"/>
    <w:pPr>
      <w:adjustRightInd w:val="0"/>
      <w:snapToGrid w:val="0"/>
      <w:spacing w:line="360" w:lineRule="auto"/>
      <w:ind w:firstLine="480" w:firstLineChars="200"/>
    </w:pPr>
    <w:rPr>
      <w:rFonts w:ascii="黑体" w:eastAsia="黑体"/>
      <w:color w:val="0000FF"/>
      <w:sz w:val="24"/>
    </w:rPr>
  </w:style>
  <w:style w:type="paragraph" w:customStyle="1" w:styleId="3331">
    <w:name w:val="样式 正文首行缩进 + 四号 段后: 0 磅 行距: 1.5 倍行距"/>
    <w:basedOn w:val="87"/>
    <w:qFormat/>
    <w:uiPriority w:val="0"/>
    <w:pPr>
      <w:spacing w:line="360" w:lineRule="auto"/>
      <w:ind w:firstLine="560" w:firstLineChars="200"/>
    </w:pPr>
    <w:rPr>
      <w:rFonts w:ascii="宋体" w:cs="宋体"/>
      <w:sz w:val="28"/>
      <w:szCs w:val="20"/>
    </w:rPr>
  </w:style>
  <w:style w:type="paragraph" w:customStyle="1" w:styleId="3332">
    <w:name w:val="Char1 Char Char Char Char Char Char Char Char Char Char Char Char Char Char Char Char Char Char Char Char Char"/>
    <w:basedOn w:val="3"/>
    <w:qFormat/>
    <w:uiPriority w:val="0"/>
    <w:pPr>
      <w:pageBreakBefore/>
      <w:snapToGrid w:val="0"/>
      <w:spacing w:line="360" w:lineRule="auto"/>
      <w:ind w:firstLine="200" w:firstLineChars="200"/>
      <w:jc w:val="center"/>
    </w:pPr>
    <w:rPr>
      <w:rFonts w:eastAsia="仿宋_GB2312"/>
      <w:spacing w:val="10"/>
      <w:sz w:val="24"/>
      <w:szCs w:val="32"/>
    </w:rPr>
  </w:style>
  <w:style w:type="paragraph" w:customStyle="1" w:styleId="3333">
    <w:name w:val="表内5中41"/>
    <w:basedOn w:val="1106"/>
    <w:qFormat/>
    <w:uiPriority w:val="0"/>
    <w:pPr>
      <w:spacing w:line="240" w:lineRule="auto"/>
    </w:pPr>
    <w:rPr>
      <w:rFonts w:hAnsi="Times New Roman"/>
      <w:bCs/>
    </w:rPr>
  </w:style>
  <w:style w:type="paragraph" w:customStyle="1" w:styleId="3334">
    <w:name w:val="样式 样式 正文首行缩进 + 首行缩进:  2 字符 + 首行缩进:  2 字符"/>
    <w:basedOn w:val="1"/>
    <w:qFormat/>
    <w:uiPriority w:val="0"/>
    <w:pPr>
      <w:topLinePunct/>
      <w:adjustRightInd w:val="0"/>
      <w:snapToGrid w:val="0"/>
      <w:spacing w:line="360" w:lineRule="auto"/>
      <w:ind w:firstLine="480"/>
      <w:textAlignment w:val="baseline"/>
    </w:pPr>
    <w:rPr>
      <w:rFonts w:hAnsi="宋体" w:eastAsia="Times New Roman"/>
      <w:sz w:val="24"/>
    </w:rPr>
  </w:style>
  <w:style w:type="paragraph" w:customStyle="1" w:styleId="3335">
    <w:name w:val="图题62"/>
    <w:basedOn w:val="1"/>
    <w:qFormat/>
    <w:uiPriority w:val="0"/>
    <w:pPr>
      <w:jc w:val="center"/>
    </w:pPr>
    <w:rPr>
      <w:rFonts w:ascii="黑体" w:eastAsia="黑体"/>
      <w:sz w:val="24"/>
    </w:rPr>
  </w:style>
  <w:style w:type="paragraph" w:customStyle="1" w:styleId="3336">
    <w:name w:val="样式 标题 2 + 宋体 四号"/>
    <w:basedOn w:val="4"/>
    <w:qFormat/>
    <w:uiPriority w:val="0"/>
    <w:pPr>
      <w:tabs>
        <w:tab w:val="clear" w:pos="1427"/>
      </w:tabs>
      <w:adjustRightInd/>
      <w:spacing w:beforeLines="0" w:afterLines="0" w:line="240" w:lineRule="auto"/>
      <w:jc w:val="both"/>
      <w:textAlignment w:val="auto"/>
    </w:pPr>
    <w:rPr>
      <w:rFonts w:ascii="宋体" w:hAnsi="宋体"/>
      <w:b w:val="0"/>
      <w:bCs/>
      <w:kern w:val="2"/>
      <w:szCs w:val="32"/>
    </w:rPr>
  </w:style>
  <w:style w:type="paragraph" w:customStyle="1" w:styleId="3337">
    <w:name w:val="样式 标题 1 + 宋体 三号 加粗 行距: 固定值 25 磅"/>
    <w:basedOn w:val="3"/>
    <w:qFormat/>
    <w:uiPriority w:val="0"/>
    <w:pPr>
      <w:keepLines w:val="0"/>
      <w:spacing w:before="0" w:after="0" w:line="500" w:lineRule="exact"/>
      <w:jc w:val="center"/>
    </w:pPr>
    <w:rPr>
      <w:rFonts w:ascii="宋体" w:hAnsi="宋体" w:cs="宋体"/>
      <w:kern w:val="2"/>
      <w:sz w:val="32"/>
      <w:szCs w:val="36"/>
    </w:rPr>
  </w:style>
  <w:style w:type="paragraph" w:customStyle="1" w:styleId="3338">
    <w:name w:val="表内文字大23"/>
    <w:basedOn w:val="1"/>
    <w:qFormat/>
    <w:uiPriority w:val="0"/>
    <w:pPr>
      <w:adjustRightInd w:val="0"/>
      <w:snapToGrid w:val="0"/>
      <w:jc w:val="center"/>
    </w:pPr>
    <w:rPr>
      <w:rFonts w:ascii="宋体" w:hAnsi="Times" w:cs="宋体"/>
      <w:sz w:val="24"/>
    </w:rPr>
  </w:style>
  <w:style w:type="paragraph" w:customStyle="1" w:styleId="3339">
    <w:name w:val="表内文字5"/>
    <w:basedOn w:val="1"/>
    <w:qFormat/>
    <w:uiPriority w:val="0"/>
    <w:pPr>
      <w:widowControl/>
      <w:adjustRightInd w:val="0"/>
      <w:snapToGrid w:val="0"/>
      <w:jc w:val="center"/>
    </w:pPr>
    <w:rPr>
      <w:rFonts w:ascii="宋体" w:hAnsi="宋体" w:cs="宋体"/>
      <w:color w:val="000000"/>
      <w:sz w:val="24"/>
    </w:rPr>
  </w:style>
  <w:style w:type="paragraph" w:customStyle="1" w:styleId="3340">
    <w:name w:val="Char23"/>
    <w:basedOn w:val="1"/>
    <w:qFormat/>
    <w:uiPriority w:val="0"/>
    <w:pPr>
      <w:spacing w:line="360" w:lineRule="auto"/>
      <w:ind w:firstLine="200" w:firstLineChars="200"/>
    </w:pPr>
    <w:rPr>
      <w:rFonts w:ascii="宋体" w:hAnsi="宋体" w:cs="宋体"/>
      <w:sz w:val="24"/>
    </w:rPr>
  </w:style>
  <w:style w:type="paragraph" w:customStyle="1" w:styleId="3341">
    <w:name w:val="四级标题王"/>
    <w:basedOn w:val="1"/>
    <w:qFormat/>
    <w:uiPriority w:val="0"/>
    <w:pPr>
      <w:adjustRightInd w:val="0"/>
      <w:snapToGrid w:val="0"/>
      <w:spacing w:line="360" w:lineRule="auto"/>
      <w:jc w:val="left"/>
      <w:outlineLvl w:val="3"/>
    </w:pPr>
    <w:rPr>
      <w:b/>
      <w:color w:val="000000"/>
      <w:sz w:val="24"/>
    </w:rPr>
  </w:style>
  <w:style w:type="paragraph" w:customStyle="1" w:styleId="3342">
    <w:name w:val="页眉中33"/>
    <w:basedOn w:val="47"/>
    <w:qFormat/>
    <w:uiPriority w:val="0"/>
    <w:pPr>
      <w:adjustRightInd w:val="0"/>
      <w:spacing w:line="300" w:lineRule="auto"/>
      <w:jc w:val="left"/>
    </w:pPr>
    <w:rPr>
      <w:rFonts w:ascii="黑体" w:hAnsi="宋体" w:eastAsia="黑体"/>
      <w:sz w:val="24"/>
    </w:rPr>
  </w:style>
  <w:style w:type="paragraph" w:customStyle="1" w:styleId="3343">
    <w:name w:val="表格居中 Char Char"/>
    <w:basedOn w:val="1"/>
    <w:qFormat/>
    <w:uiPriority w:val="0"/>
    <w:pPr>
      <w:adjustRightInd w:val="0"/>
      <w:snapToGrid w:val="0"/>
      <w:jc w:val="center"/>
    </w:pPr>
    <w:rPr>
      <w:rFonts w:ascii="宋体" w:hAnsi="宋体" w:cs="宋体"/>
      <w:szCs w:val="21"/>
    </w:rPr>
  </w:style>
  <w:style w:type="paragraph" w:customStyle="1" w:styleId="3344">
    <w:name w:val="表标题17.21"/>
    <w:basedOn w:val="1"/>
    <w:qFormat/>
    <w:uiPriority w:val="0"/>
    <w:pPr>
      <w:tabs>
        <w:tab w:val="left" w:pos="284"/>
        <w:tab w:val="center" w:pos="4060"/>
        <w:tab w:val="right" w:pos="8261"/>
      </w:tabs>
      <w:suppressAutoHyphens/>
      <w:adjustRightInd w:val="0"/>
      <w:spacing w:before="240" w:line="0" w:lineRule="atLeast"/>
      <w:jc w:val="center"/>
    </w:pPr>
    <w:rPr>
      <w:rFonts w:ascii="黑体" w:eastAsia="黑体"/>
      <w:b/>
      <w:spacing w:val="6"/>
      <w:sz w:val="24"/>
    </w:rPr>
  </w:style>
  <w:style w:type="paragraph" w:customStyle="1" w:styleId="3345">
    <w:name w:val="1 Char Char Char Char Char Char Char Char Char Char"/>
    <w:basedOn w:val="1"/>
    <w:qFormat/>
    <w:uiPriority w:val="0"/>
  </w:style>
  <w:style w:type="paragraph" w:customStyle="1" w:styleId="3346">
    <w:name w:val="16.8.1.1"/>
    <w:basedOn w:val="6"/>
    <w:qFormat/>
    <w:uiPriority w:val="0"/>
    <w:pPr>
      <w:keepNext w:val="0"/>
      <w:keepLines w:val="0"/>
      <w:tabs>
        <w:tab w:val="left" w:pos="1800"/>
      </w:tabs>
      <w:spacing w:before="120" w:after="120" w:line="312" w:lineRule="auto"/>
      <w:ind w:left="851" w:hanging="851"/>
    </w:pPr>
    <w:rPr>
      <w:sz w:val="24"/>
      <w:szCs w:val="24"/>
    </w:rPr>
  </w:style>
  <w:style w:type="paragraph" w:customStyle="1" w:styleId="3347">
    <w:name w:val="图号"/>
    <w:basedOn w:val="1"/>
    <w:qFormat/>
    <w:uiPriority w:val="0"/>
    <w:pPr>
      <w:jc w:val="center"/>
    </w:pPr>
    <w:rPr>
      <w:rFonts w:ascii="黑体" w:eastAsia="黑体"/>
      <w:sz w:val="24"/>
    </w:rPr>
  </w:style>
  <w:style w:type="paragraph" w:customStyle="1" w:styleId="3348">
    <w:name w:val="表内5110"/>
    <w:basedOn w:val="1"/>
    <w:qFormat/>
    <w:uiPriority w:val="0"/>
    <w:pPr>
      <w:adjustRightInd w:val="0"/>
      <w:snapToGrid w:val="0"/>
      <w:spacing w:line="300" w:lineRule="auto"/>
      <w:jc w:val="left"/>
    </w:pPr>
    <w:rPr>
      <w:rFonts w:ascii="宋体" w:hAnsi="宋体" w:cs="宋体"/>
    </w:rPr>
  </w:style>
  <w:style w:type="paragraph" w:customStyle="1" w:styleId="3349">
    <w:name w:val="表题20"/>
    <w:basedOn w:val="35"/>
    <w:qFormat/>
    <w:uiPriority w:val="0"/>
    <w:pPr>
      <w:tabs>
        <w:tab w:val="left" w:pos="4305"/>
      </w:tabs>
      <w:adjustRightInd w:val="0"/>
      <w:snapToGrid w:val="0"/>
      <w:spacing w:after="0"/>
      <w:ind w:left="0" w:leftChars="0" w:firstLine="480" w:firstLineChars="200"/>
      <w:jc w:val="center"/>
    </w:pPr>
    <w:rPr>
      <w:rFonts w:ascii="黑体" w:hAnsi="宋体" w:eastAsia="黑体"/>
      <w:sz w:val="24"/>
      <w:szCs w:val="20"/>
    </w:rPr>
  </w:style>
  <w:style w:type="paragraph" w:customStyle="1" w:styleId="3350">
    <w:name w:val="编写日期"/>
    <w:basedOn w:val="1"/>
    <w:qFormat/>
    <w:uiPriority w:val="0"/>
    <w:pPr>
      <w:spacing w:line="360" w:lineRule="exact"/>
      <w:jc w:val="center"/>
    </w:pPr>
    <w:rPr>
      <w:rFonts w:cs="宋体"/>
      <w:sz w:val="32"/>
    </w:rPr>
  </w:style>
  <w:style w:type="paragraph" w:customStyle="1" w:styleId="3351">
    <w:name w:val="表内5中11"/>
    <w:basedOn w:val="1510"/>
    <w:qFormat/>
    <w:uiPriority w:val="0"/>
    <w:pPr>
      <w:widowControl/>
      <w:tabs>
        <w:tab w:val="clear" w:pos="4305"/>
      </w:tabs>
    </w:pPr>
    <w:rPr>
      <w:sz w:val="21"/>
      <w:szCs w:val="21"/>
    </w:rPr>
  </w:style>
  <w:style w:type="paragraph" w:customStyle="1" w:styleId="3352">
    <w:name w:val="样式 标题 4 + 黑体 小四1"/>
    <w:basedOn w:val="6"/>
    <w:qFormat/>
    <w:uiPriority w:val="0"/>
    <w:pPr>
      <w:keepNext w:val="0"/>
      <w:keepLines w:val="0"/>
      <w:adjustRightInd w:val="0"/>
      <w:snapToGrid w:val="0"/>
      <w:spacing w:before="0" w:after="0" w:line="480" w:lineRule="exact"/>
    </w:pPr>
    <w:rPr>
      <w:rFonts w:ascii="Times New Roman" w:hAnsi="黑体"/>
      <w:sz w:val="24"/>
    </w:rPr>
  </w:style>
  <w:style w:type="paragraph" w:customStyle="1" w:styleId="3353">
    <w:name w:val="样式 表5.13-1 + 段前: 1 行"/>
    <w:basedOn w:val="3354"/>
    <w:qFormat/>
    <w:uiPriority w:val="0"/>
    <w:pPr>
      <w:tabs>
        <w:tab w:val="left" w:pos="420"/>
      </w:tabs>
    </w:pPr>
    <w:rPr>
      <w:rFonts w:eastAsia="黑体" w:cs="宋体"/>
    </w:rPr>
  </w:style>
  <w:style w:type="paragraph" w:customStyle="1" w:styleId="3354">
    <w:name w:val="表5.13-1"/>
    <w:basedOn w:val="1"/>
    <w:qFormat/>
    <w:uiPriority w:val="0"/>
    <w:pPr>
      <w:spacing w:beforeLines="100" w:line="0" w:lineRule="atLeast"/>
    </w:pPr>
    <w:rPr>
      <w:sz w:val="24"/>
    </w:rPr>
  </w:style>
  <w:style w:type="paragraph" w:customStyle="1" w:styleId="3355">
    <w:name w:val="样式 样式 行距: 1.5 倍行距 + 首行缩进:  2 字符"/>
    <w:basedOn w:val="2826"/>
    <w:qFormat/>
    <w:uiPriority w:val="0"/>
    <w:pPr>
      <w:textAlignment w:val="center"/>
    </w:pPr>
  </w:style>
  <w:style w:type="paragraph" w:customStyle="1" w:styleId="3356">
    <w:name w:val="表内小5中1"/>
    <w:basedOn w:val="1"/>
    <w:qFormat/>
    <w:uiPriority w:val="0"/>
    <w:pPr>
      <w:adjustRightInd w:val="0"/>
      <w:snapToGrid w:val="0"/>
      <w:jc w:val="center"/>
    </w:pPr>
    <w:rPr>
      <w:rFonts w:ascii="宋体" w:hAnsi="宋体"/>
      <w:sz w:val="18"/>
    </w:rPr>
  </w:style>
  <w:style w:type="paragraph" w:customStyle="1" w:styleId="3357">
    <w:name w:val="reader-word-layer reader-word-s2-3"/>
    <w:basedOn w:val="1"/>
    <w:qFormat/>
    <w:uiPriority w:val="0"/>
    <w:pPr>
      <w:widowControl/>
      <w:spacing w:before="100" w:beforeAutospacing="1" w:after="100" w:afterAutospacing="1"/>
      <w:jc w:val="left"/>
    </w:pPr>
    <w:rPr>
      <w:rFonts w:ascii="宋体" w:hAnsi="宋体" w:cs="宋体"/>
      <w:sz w:val="24"/>
    </w:rPr>
  </w:style>
  <w:style w:type="paragraph" w:customStyle="1" w:styleId="3358">
    <w:name w:val="样式 样式 样式 标题 3 + 段前: 0.5 行 段后: 0.5 行1 + 段前: 0.5 行 段后: 0.5 行 + 段前:..."/>
    <w:basedOn w:val="1"/>
    <w:qFormat/>
    <w:uiPriority w:val="0"/>
    <w:pPr>
      <w:keepNext/>
      <w:keepLines/>
      <w:tabs>
        <w:tab w:val="left" w:pos="170"/>
        <w:tab w:val="left" w:pos="1740"/>
      </w:tabs>
      <w:adjustRightInd w:val="0"/>
      <w:snapToGrid w:val="0"/>
      <w:spacing w:beforeLines="50" w:afterLines="50" w:line="300" w:lineRule="auto"/>
      <w:ind w:left="1740"/>
      <w:jc w:val="left"/>
      <w:outlineLvl w:val="2"/>
    </w:pPr>
    <w:rPr>
      <w:rFonts w:ascii="仿宋_GB2312" w:cs="宋体"/>
      <w:color w:val="800080"/>
      <w:sz w:val="28"/>
    </w:rPr>
  </w:style>
  <w:style w:type="paragraph" w:customStyle="1" w:styleId="3359">
    <w:name w:val="纯文本 Char Char Char Char Char Char Char Char Char Char Char Char Char Char Char Char Char Char Char Char Char Char Char Char Char Char Char Char"/>
    <w:basedOn w:val="1"/>
    <w:next w:val="47"/>
    <w:qFormat/>
    <w:uiPriority w:val="0"/>
    <w:rPr>
      <w:rFonts w:ascii="宋体" w:hAnsi="Courier New" w:cs="Courier New"/>
      <w:szCs w:val="21"/>
    </w:rPr>
  </w:style>
  <w:style w:type="paragraph" w:customStyle="1" w:styleId="3360">
    <w:name w:val="图题76"/>
    <w:basedOn w:val="1"/>
    <w:qFormat/>
    <w:uiPriority w:val="0"/>
    <w:pPr>
      <w:adjustRightInd w:val="0"/>
      <w:snapToGrid w:val="0"/>
      <w:ind w:firstLine="533" w:firstLineChars="222"/>
      <w:jc w:val="center"/>
    </w:pPr>
    <w:rPr>
      <w:rFonts w:ascii="黑体" w:hAnsi="宋体" w:eastAsia="黑体"/>
      <w:snapToGrid w:val="0"/>
      <w:sz w:val="24"/>
    </w:rPr>
  </w:style>
  <w:style w:type="paragraph" w:customStyle="1" w:styleId="3361">
    <w:name w:val="样式 标题 2 + 段后: 0.5 行5"/>
    <w:basedOn w:val="4"/>
    <w:qFormat/>
    <w:uiPriority w:val="0"/>
    <w:pPr>
      <w:widowControl/>
      <w:autoSpaceDN w:val="0"/>
      <w:spacing w:beforeLines="0"/>
    </w:pPr>
    <w:rPr>
      <w:rFonts w:ascii="黑体" w:hAnsi="Arial" w:cs="宋体"/>
      <w:b w:val="0"/>
      <w:sz w:val="30"/>
      <w:szCs w:val="30"/>
    </w:rPr>
  </w:style>
  <w:style w:type="paragraph" w:customStyle="1" w:styleId="3362">
    <w:name w:val="样式 样式 表格 + (符号) 宋体 五号 居中 + 小五"/>
    <w:basedOn w:val="1"/>
    <w:qFormat/>
    <w:uiPriority w:val="0"/>
    <w:pPr>
      <w:kinsoku w:val="0"/>
      <w:overflowPunct w:val="0"/>
      <w:adjustRightInd w:val="0"/>
      <w:snapToGrid w:val="0"/>
      <w:jc w:val="center"/>
    </w:pPr>
    <w:rPr>
      <w:snapToGrid w:val="0"/>
      <w:sz w:val="18"/>
      <w:szCs w:val="21"/>
    </w:rPr>
  </w:style>
  <w:style w:type="paragraph" w:customStyle="1" w:styleId="3363">
    <w:name w:val="基准标题"/>
    <w:basedOn w:val="34"/>
    <w:next w:val="34"/>
    <w:qFormat/>
    <w:uiPriority w:val="0"/>
    <w:pPr>
      <w:spacing w:before="80" w:after="80"/>
    </w:pPr>
    <w:rPr>
      <w:spacing w:val="0"/>
      <w:kern w:val="2"/>
      <w:sz w:val="21"/>
    </w:rPr>
  </w:style>
  <w:style w:type="paragraph" w:customStyle="1" w:styleId="3364">
    <w:name w:val="表题61"/>
    <w:basedOn w:val="35"/>
    <w:qFormat/>
    <w:uiPriority w:val="0"/>
    <w:pPr>
      <w:tabs>
        <w:tab w:val="left" w:pos="4305"/>
      </w:tabs>
      <w:adjustRightInd w:val="0"/>
      <w:snapToGrid w:val="0"/>
      <w:spacing w:after="0"/>
      <w:ind w:left="0" w:leftChars="0" w:firstLine="480" w:firstLineChars="200"/>
      <w:jc w:val="center"/>
    </w:pPr>
    <w:rPr>
      <w:rFonts w:ascii="黑体" w:hAnsi="宋体" w:eastAsia="黑体"/>
      <w:sz w:val="24"/>
      <w:szCs w:val="20"/>
    </w:rPr>
  </w:style>
  <w:style w:type="paragraph" w:customStyle="1" w:styleId="3365">
    <w:name w:val="Char82"/>
    <w:basedOn w:val="1"/>
    <w:qFormat/>
    <w:uiPriority w:val="0"/>
    <w:pPr>
      <w:spacing w:line="480" w:lineRule="exact"/>
      <w:ind w:left="-48"/>
    </w:pPr>
  </w:style>
  <w:style w:type="paragraph" w:customStyle="1" w:styleId="3366">
    <w:name w:val="表头3"/>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3367">
    <w:name w:val="图题63"/>
    <w:basedOn w:val="1"/>
    <w:qFormat/>
    <w:uiPriority w:val="0"/>
    <w:pPr>
      <w:jc w:val="center"/>
    </w:pPr>
    <w:rPr>
      <w:rFonts w:ascii="黑体" w:eastAsia="黑体"/>
      <w:sz w:val="24"/>
    </w:rPr>
  </w:style>
  <w:style w:type="paragraph" w:customStyle="1" w:styleId="3368">
    <w:name w:val="表内文字4"/>
    <w:basedOn w:val="1"/>
    <w:qFormat/>
    <w:uiPriority w:val="0"/>
    <w:pPr>
      <w:widowControl/>
      <w:adjustRightInd w:val="0"/>
      <w:snapToGrid w:val="0"/>
      <w:jc w:val="center"/>
    </w:pPr>
    <w:rPr>
      <w:rFonts w:ascii="宋体" w:hAnsi="宋体" w:cs="宋体"/>
      <w:color w:val="000000"/>
      <w:sz w:val="24"/>
    </w:rPr>
  </w:style>
  <w:style w:type="paragraph" w:customStyle="1" w:styleId="3369">
    <w:name w:val="Char1 Char Char Char Char Char Char"/>
    <w:basedOn w:val="1"/>
    <w:qFormat/>
    <w:uiPriority w:val="0"/>
    <w:pPr>
      <w:jc w:val="center"/>
    </w:pPr>
    <w:rPr>
      <w:sz w:val="28"/>
    </w:rPr>
  </w:style>
  <w:style w:type="paragraph" w:customStyle="1" w:styleId="3370">
    <w:name w:val="Char Char Char Char Char Char Char Char1 Char Char Char Char"/>
    <w:basedOn w:val="1"/>
    <w:qFormat/>
    <w:uiPriority w:val="0"/>
  </w:style>
  <w:style w:type="paragraph" w:customStyle="1" w:styleId="3371">
    <w:name w:val="图题54"/>
    <w:basedOn w:val="21"/>
    <w:qFormat/>
    <w:uiPriority w:val="0"/>
    <w:pPr>
      <w:adjustRightInd w:val="0"/>
      <w:snapToGrid w:val="0"/>
      <w:ind w:firstLine="0" w:firstLineChars="0"/>
      <w:jc w:val="center"/>
    </w:pPr>
    <w:rPr>
      <w:rFonts w:ascii="方正大标宋简体" w:hAnsi="宋体" w:eastAsia="方正大标宋简体"/>
      <w:szCs w:val="24"/>
    </w:rPr>
  </w:style>
  <w:style w:type="paragraph" w:customStyle="1" w:styleId="3372">
    <w:name w:val="表内文字3"/>
    <w:basedOn w:val="1"/>
    <w:qFormat/>
    <w:uiPriority w:val="0"/>
    <w:pPr>
      <w:widowControl/>
      <w:adjustRightInd w:val="0"/>
      <w:snapToGrid w:val="0"/>
      <w:jc w:val="center"/>
    </w:pPr>
    <w:rPr>
      <w:rFonts w:ascii="宋体" w:hAnsi="宋体" w:cs="宋体"/>
      <w:color w:val="000000"/>
      <w:sz w:val="24"/>
    </w:rPr>
  </w:style>
  <w:style w:type="paragraph" w:customStyle="1" w:styleId="3373">
    <w:name w:val="目录44444444"/>
    <w:basedOn w:val="1"/>
    <w:qFormat/>
    <w:uiPriority w:val="0"/>
    <w:pPr>
      <w:keepNext/>
      <w:keepLines/>
      <w:widowControl/>
      <w:adjustRightInd w:val="0"/>
      <w:snapToGrid w:val="0"/>
      <w:spacing w:before="120" w:after="120" w:line="480" w:lineRule="exact"/>
      <w:jc w:val="left"/>
      <w:outlineLvl w:val="1"/>
    </w:pPr>
    <w:rPr>
      <w:rFonts w:ascii="宋体" w:hAnsi="宋体" w:cs="宋体"/>
      <w:b/>
      <w:bCs/>
      <w:sz w:val="28"/>
      <w:szCs w:val="32"/>
    </w:rPr>
  </w:style>
  <w:style w:type="paragraph" w:customStyle="1" w:styleId="3374">
    <w:name w:val="xl137"/>
    <w:basedOn w:val="1"/>
    <w:qFormat/>
    <w:uiPriority w:val="0"/>
    <w:pPr>
      <w:widowControl/>
      <w:pBdr>
        <w:left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color w:val="000000"/>
      <w:sz w:val="18"/>
      <w:szCs w:val="18"/>
    </w:rPr>
  </w:style>
  <w:style w:type="paragraph" w:customStyle="1" w:styleId="3375">
    <w:name w:val="样式 两端对齐 首行缩进:  0.85 厘米"/>
    <w:basedOn w:val="1"/>
    <w:qFormat/>
    <w:uiPriority w:val="0"/>
    <w:pPr>
      <w:tabs>
        <w:tab w:val="left" w:pos="0"/>
      </w:tabs>
      <w:adjustRightInd w:val="0"/>
      <w:snapToGrid w:val="0"/>
      <w:spacing w:line="360" w:lineRule="auto"/>
      <w:ind w:left="340" w:hanging="340"/>
    </w:pPr>
    <w:rPr>
      <w:rFonts w:eastAsia="楷体_GB2312" w:cs="宋体"/>
      <w:sz w:val="24"/>
    </w:rPr>
  </w:style>
  <w:style w:type="paragraph" w:customStyle="1" w:styleId="3376">
    <w:name w:val="标题 33"/>
    <w:basedOn w:val="1"/>
    <w:next w:val="1"/>
    <w:qFormat/>
    <w:uiPriority w:val="0"/>
    <w:pPr>
      <w:adjustRightInd w:val="0"/>
      <w:spacing w:line="480" w:lineRule="exact"/>
      <w:textAlignment w:val="baseline"/>
    </w:pPr>
    <w:rPr>
      <w:rFonts w:hint="eastAsia" w:hAnsi="Arial"/>
      <w:color w:val="000000"/>
      <w:sz w:val="24"/>
    </w:rPr>
  </w:style>
  <w:style w:type="paragraph" w:customStyle="1" w:styleId="3377">
    <w:name w:val="表内5111"/>
    <w:basedOn w:val="1"/>
    <w:qFormat/>
    <w:uiPriority w:val="0"/>
    <w:pPr>
      <w:adjustRightInd w:val="0"/>
      <w:snapToGrid w:val="0"/>
      <w:spacing w:line="300" w:lineRule="auto"/>
      <w:jc w:val="left"/>
    </w:pPr>
    <w:rPr>
      <w:rFonts w:ascii="宋体"/>
    </w:rPr>
  </w:style>
  <w:style w:type="paragraph" w:customStyle="1" w:styleId="3378">
    <w:name w:val="等核实21"/>
    <w:basedOn w:val="35"/>
    <w:qFormat/>
    <w:uiPriority w:val="0"/>
    <w:pPr>
      <w:tabs>
        <w:tab w:val="left" w:pos="4305"/>
      </w:tabs>
      <w:adjustRightInd w:val="0"/>
      <w:snapToGrid w:val="0"/>
      <w:spacing w:after="0" w:line="360" w:lineRule="auto"/>
      <w:ind w:left="0" w:leftChars="0" w:firstLine="561"/>
    </w:pPr>
    <w:rPr>
      <w:rFonts w:ascii="宋体" w:hAnsi="宋体" w:cs="宋体"/>
      <w:color w:val="000000"/>
      <w:sz w:val="24"/>
    </w:rPr>
  </w:style>
  <w:style w:type="paragraph" w:customStyle="1" w:styleId="3379">
    <w:name w:val="表内文字大10"/>
    <w:basedOn w:val="1"/>
    <w:qFormat/>
    <w:uiPriority w:val="0"/>
    <w:pPr>
      <w:adjustRightInd w:val="0"/>
      <w:snapToGrid w:val="0"/>
      <w:jc w:val="center"/>
    </w:pPr>
    <w:rPr>
      <w:rFonts w:ascii="宋体" w:hAnsi="Times"/>
      <w:sz w:val="24"/>
    </w:rPr>
  </w:style>
  <w:style w:type="paragraph" w:customStyle="1" w:styleId="3380">
    <w:name w:val="Char1 Char Char Char"/>
    <w:basedOn w:val="1"/>
    <w:qFormat/>
    <w:uiPriority w:val="0"/>
  </w:style>
  <w:style w:type="paragraph" w:customStyle="1" w:styleId="3381">
    <w:name w:val="Char Char Char Char11"/>
    <w:basedOn w:val="1"/>
    <w:qFormat/>
    <w:uiPriority w:val="0"/>
    <w:pPr>
      <w:spacing w:line="360" w:lineRule="auto"/>
      <w:ind w:firstLine="200" w:firstLineChars="200"/>
    </w:pPr>
    <w:rPr>
      <w:rFonts w:ascii="宋体" w:hAnsi="宋体" w:cs="宋体"/>
      <w:sz w:val="24"/>
    </w:rPr>
  </w:style>
  <w:style w:type="paragraph" w:customStyle="1" w:styleId="3382">
    <w:name w:val="正文修改4"/>
    <w:basedOn w:val="1325"/>
    <w:qFormat/>
    <w:uiPriority w:val="0"/>
    <w:pPr>
      <w:ind w:right="210" w:rightChars="100" w:firstLine="209" w:firstLineChars="87"/>
    </w:pPr>
    <w:rPr>
      <w:bCs w:val="0"/>
    </w:rPr>
  </w:style>
  <w:style w:type="paragraph" w:customStyle="1" w:styleId="3383">
    <w:name w:val="表内小414"/>
    <w:basedOn w:val="1427"/>
    <w:qFormat/>
    <w:uiPriority w:val="0"/>
    <w:pPr>
      <w:ind w:left="240" w:hanging="240"/>
      <w:jc w:val="both"/>
    </w:pPr>
    <w:rPr>
      <w:rFonts w:cs="Times New Roman"/>
    </w:rPr>
  </w:style>
  <w:style w:type="paragraph" w:customStyle="1" w:styleId="3384">
    <w:name w:val="表标题7.5"/>
    <w:basedOn w:val="1"/>
    <w:qFormat/>
    <w:uiPriority w:val="0"/>
    <w:pPr>
      <w:tabs>
        <w:tab w:val="left" w:pos="482"/>
        <w:tab w:val="center" w:pos="4060"/>
        <w:tab w:val="left" w:pos="4395"/>
        <w:tab w:val="right" w:pos="8261"/>
      </w:tabs>
      <w:suppressAutoHyphens/>
      <w:adjustRightInd w:val="0"/>
      <w:spacing w:before="240" w:line="0" w:lineRule="atLeast"/>
      <w:ind w:firstLine="482"/>
      <w:jc w:val="center"/>
    </w:pPr>
    <w:rPr>
      <w:rFonts w:ascii="黑体" w:eastAsia="黑体"/>
      <w:b/>
      <w:spacing w:val="6"/>
      <w:sz w:val="26"/>
      <w:szCs w:val="26"/>
    </w:rPr>
  </w:style>
  <w:style w:type="paragraph" w:customStyle="1" w:styleId="3385">
    <w:name w:val="Char42"/>
    <w:basedOn w:val="1"/>
    <w:qFormat/>
    <w:uiPriority w:val="0"/>
    <w:pPr>
      <w:ind w:left="-48"/>
    </w:pPr>
  </w:style>
  <w:style w:type="paragraph" w:customStyle="1" w:styleId="3386">
    <w:name w:val="Char Char Char Char"/>
    <w:basedOn w:val="1"/>
    <w:qFormat/>
    <w:uiPriority w:val="0"/>
    <w:rPr>
      <w:sz w:val="24"/>
    </w:rPr>
  </w:style>
  <w:style w:type="paragraph" w:customStyle="1" w:styleId="3387">
    <w:name w:val="表中文字3"/>
    <w:basedOn w:val="1"/>
    <w:qFormat/>
    <w:uiPriority w:val="0"/>
    <w:pPr>
      <w:widowControl/>
      <w:spacing w:line="240" w:lineRule="atLeast"/>
      <w:ind w:left="-24" w:leftChars="-10" w:right="-48" w:rightChars="-20"/>
      <w:jc w:val="center"/>
    </w:pPr>
    <w:rPr>
      <w:rFonts w:ascii="宋体"/>
      <w:szCs w:val="21"/>
    </w:rPr>
  </w:style>
  <w:style w:type="paragraph" w:customStyle="1" w:styleId="3388">
    <w:name w:val="CM14"/>
    <w:basedOn w:val="1"/>
    <w:next w:val="1"/>
    <w:qFormat/>
    <w:uiPriority w:val="0"/>
    <w:pPr>
      <w:autoSpaceDE w:val="0"/>
      <w:autoSpaceDN w:val="0"/>
      <w:adjustRightInd w:val="0"/>
      <w:spacing w:line="548" w:lineRule="atLeast"/>
      <w:jc w:val="left"/>
    </w:pPr>
    <w:rPr>
      <w:rFonts w:ascii="宋体"/>
      <w:sz w:val="24"/>
    </w:rPr>
  </w:style>
  <w:style w:type="paragraph" w:customStyle="1" w:styleId="3389">
    <w:name w:val="标题461"/>
    <w:basedOn w:val="1"/>
    <w:qFormat/>
    <w:uiPriority w:val="0"/>
    <w:pPr>
      <w:adjustRightInd w:val="0"/>
      <w:snapToGrid w:val="0"/>
      <w:spacing w:line="360" w:lineRule="auto"/>
      <w:jc w:val="left"/>
    </w:pPr>
    <w:rPr>
      <w:rFonts w:ascii="黑体" w:eastAsia="黑体"/>
      <w:bCs/>
      <w:sz w:val="24"/>
    </w:rPr>
  </w:style>
  <w:style w:type="paragraph" w:customStyle="1" w:styleId="3390">
    <w:name w:val="三级(1)"/>
    <w:basedOn w:val="1"/>
    <w:qFormat/>
    <w:uiPriority w:val="0"/>
    <w:pPr>
      <w:tabs>
        <w:tab w:val="left" w:pos="720"/>
      </w:tabs>
      <w:adjustRightInd w:val="0"/>
      <w:snapToGrid w:val="0"/>
      <w:ind w:left="1112" w:hanging="720"/>
      <w:textAlignment w:val="baseline"/>
    </w:pPr>
    <w:rPr>
      <w:b/>
    </w:rPr>
  </w:style>
  <w:style w:type="paragraph" w:customStyle="1" w:styleId="3391">
    <w:name w:val="索引标题1"/>
    <w:basedOn w:val="1"/>
    <w:next w:val="3096"/>
    <w:qFormat/>
    <w:uiPriority w:val="0"/>
    <w:rPr>
      <w:rFonts w:ascii="Arial" w:hAnsi="Arial" w:cs="Arial"/>
      <w:b/>
      <w:bCs/>
      <w:sz w:val="24"/>
    </w:rPr>
  </w:style>
  <w:style w:type="paragraph" w:customStyle="1" w:styleId="3392">
    <w:name w:val="样式 图表 + 首行缩进:  2 字符1"/>
    <w:basedOn w:val="1"/>
    <w:qFormat/>
    <w:uiPriority w:val="0"/>
    <w:pPr>
      <w:adjustRightInd w:val="0"/>
      <w:snapToGrid w:val="0"/>
      <w:spacing w:beforeLines="20" w:afterLines="20"/>
      <w:ind w:left="-102" w:leftChars="-50" w:right="-105" w:rightChars="-50" w:hanging="3"/>
      <w:jc w:val="center"/>
    </w:pPr>
    <w:rPr>
      <w:rFonts w:eastAsia="仿宋_GB2312"/>
      <w:color w:val="000000"/>
    </w:rPr>
  </w:style>
  <w:style w:type="paragraph" w:customStyle="1" w:styleId="3393">
    <w:name w:val="样式 样式 样式 样式 四号 加粗 行距: 1.5 倍行距 + 段前: 0.5 行 段后: 0.5 行 + 段后: 0.5 行 ..."/>
    <w:basedOn w:val="1"/>
    <w:qFormat/>
    <w:uiPriority w:val="0"/>
    <w:pPr>
      <w:spacing w:afterLines="50" w:line="480" w:lineRule="exact"/>
    </w:pPr>
    <w:rPr>
      <w:rFonts w:cs="宋体"/>
      <w:b/>
      <w:sz w:val="28"/>
    </w:rPr>
  </w:style>
  <w:style w:type="paragraph" w:customStyle="1" w:styleId="3394">
    <w:name w:val="文本框内文字"/>
    <w:basedOn w:val="1"/>
    <w:qFormat/>
    <w:uiPriority w:val="0"/>
    <w:pPr>
      <w:spacing w:line="240" w:lineRule="exact"/>
      <w:ind w:left="-120" w:leftChars="-50" w:right="-120"/>
      <w:jc w:val="center"/>
    </w:pPr>
    <w:rPr>
      <w:rFonts w:ascii="仿宋_GB2312" w:eastAsia="仿宋_GB2312"/>
      <w:sz w:val="24"/>
    </w:rPr>
  </w:style>
  <w:style w:type="paragraph" w:customStyle="1" w:styleId="3395">
    <w:name w:val="表头2"/>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3396">
    <w:name w:val="xl146"/>
    <w:basedOn w:val="1"/>
    <w:qFormat/>
    <w:uiPriority w:val="0"/>
    <w:pPr>
      <w:widowControl/>
      <w:pBdr>
        <w:top w:val="single" w:color="auto" w:sz="4" w:space="0"/>
        <w:left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3397">
    <w:name w:val="文本匡小五号 Char"/>
    <w:qFormat/>
    <w:uiPriority w:val="0"/>
    <w:pPr>
      <w:snapToGrid w:val="0"/>
      <w:spacing w:line="100" w:lineRule="atLeast"/>
      <w:jc w:val="center"/>
    </w:pPr>
    <w:rPr>
      <w:rFonts w:ascii="Times New Roman" w:hAnsi="Times New Roman" w:eastAsia="仿宋_GB2312" w:cs="Times New Roman"/>
      <w:snapToGrid w:val="0"/>
      <w:sz w:val="21"/>
      <w:szCs w:val="21"/>
      <w:lang w:val="en-US" w:eastAsia="zh-CN" w:bidi="ar-SA"/>
    </w:rPr>
  </w:style>
  <w:style w:type="paragraph" w:customStyle="1" w:styleId="3398">
    <w:name w:val="Pa10"/>
    <w:basedOn w:val="1"/>
    <w:next w:val="1"/>
    <w:qFormat/>
    <w:uiPriority w:val="0"/>
    <w:pPr>
      <w:autoSpaceDE w:val="0"/>
      <w:autoSpaceDN w:val="0"/>
      <w:adjustRightInd w:val="0"/>
      <w:spacing w:before="60" w:after="60" w:line="211" w:lineRule="atLeast"/>
      <w:jc w:val="left"/>
    </w:pPr>
    <w:rPr>
      <w:rFonts w:ascii="Wingdings" w:hAnsi="Wingdings"/>
      <w:sz w:val="24"/>
    </w:rPr>
  </w:style>
  <w:style w:type="paragraph" w:customStyle="1" w:styleId="3399">
    <w:name w:val="题图3"/>
    <w:basedOn w:val="1"/>
    <w:qFormat/>
    <w:uiPriority w:val="0"/>
    <w:pPr>
      <w:adjustRightInd w:val="0"/>
      <w:snapToGrid w:val="0"/>
      <w:jc w:val="center"/>
    </w:pPr>
    <w:rPr>
      <w:rFonts w:ascii="宋体" w:hAnsi="宋体" w:cs="宋体"/>
      <w:sz w:val="28"/>
    </w:rPr>
  </w:style>
  <w:style w:type="paragraph" w:customStyle="1" w:styleId="3400">
    <w:name w:val="maintext"/>
    <w:basedOn w:val="1"/>
    <w:qFormat/>
    <w:uiPriority w:val="0"/>
    <w:pPr>
      <w:widowControl/>
      <w:spacing w:before="100" w:beforeAutospacing="1" w:after="100" w:afterAutospacing="1" w:line="360" w:lineRule="atLeast"/>
      <w:ind w:firstLine="480"/>
      <w:jc w:val="left"/>
    </w:pPr>
    <w:rPr>
      <w:rFonts w:ascii="宋体" w:hAnsi="宋体"/>
      <w:color w:val="000000"/>
      <w:sz w:val="24"/>
    </w:rPr>
  </w:style>
  <w:style w:type="paragraph" w:customStyle="1" w:styleId="3401">
    <w:name w:val="图号1"/>
    <w:basedOn w:val="1"/>
    <w:qFormat/>
    <w:uiPriority w:val="0"/>
    <w:pPr>
      <w:jc w:val="center"/>
    </w:pPr>
    <w:rPr>
      <w:rFonts w:ascii="黑体" w:eastAsia="黑体"/>
      <w:sz w:val="24"/>
    </w:rPr>
  </w:style>
  <w:style w:type="paragraph" w:customStyle="1" w:styleId="3402">
    <w:name w:val="列表接续 212"/>
    <w:basedOn w:val="1"/>
    <w:qFormat/>
    <w:uiPriority w:val="0"/>
    <w:pPr>
      <w:spacing w:after="120"/>
      <w:ind w:left="840" w:leftChars="400"/>
    </w:pPr>
  </w:style>
  <w:style w:type="paragraph" w:customStyle="1" w:styleId="3403">
    <w:name w:val="页眉中81"/>
    <w:basedOn w:val="47"/>
    <w:qFormat/>
    <w:uiPriority w:val="0"/>
    <w:pPr>
      <w:adjustRightInd w:val="0"/>
      <w:spacing w:line="360" w:lineRule="auto"/>
      <w:jc w:val="left"/>
    </w:pPr>
    <w:rPr>
      <w:rFonts w:ascii="黑体" w:hAnsi="Times New Roman" w:eastAsia="黑体"/>
      <w:bCs/>
      <w:sz w:val="24"/>
      <w:szCs w:val="24"/>
    </w:rPr>
  </w:style>
  <w:style w:type="paragraph" w:customStyle="1" w:styleId="3404">
    <w:name w:val="日期12"/>
    <w:basedOn w:val="1"/>
    <w:next w:val="1"/>
    <w:qFormat/>
    <w:uiPriority w:val="0"/>
    <w:pPr>
      <w:adjustRightInd w:val="0"/>
      <w:textAlignment w:val="baseline"/>
    </w:pPr>
    <w:rPr>
      <w:rFonts w:ascii="宋体" w:hAnsi="Dutch801 Rm BT"/>
      <w:sz w:val="24"/>
    </w:rPr>
  </w:style>
  <w:style w:type="paragraph" w:customStyle="1" w:styleId="3405">
    <w:name w:val="环评正文1"/>
    <w:qFormat/>
    <w:uiPriority w:val="0"/>
    <w:pPr>
      <w:spacing w:line="360" w:lineRule="exact"/>
      <w:ind w:firstLine="200" w:firstLineChars="200"/>
    </w:pPr>
    <w:rPr>
      <w:rFonts w:ascii="Times New Roman" w:hAnsi="Times New Roman" w:eastAsia="宋体" w:cs="Times New Roman"/>
      <w:color w:val="000000"/>
      <w:kern w:val="21"/>
      <w:sz w:val="24"/>
      <w:szCs w:val="24"/>
      <w:lang w:val="en-US" w:eastAsia="zh-CN" w:bidi="ar-SA"/>
    </w:rPr>
  </w:style>
  <w:style w:type="paragraph" w:customStyle="1" w:styleId="3406">
    <w:name w:val="Char Char4 Char Char"/>
    <w:basedOn w:val="1"/>
    <w:qFormat/>
    <w:uiPriority w:val="0"/>
    <w:pPr>
      <w:spacing w:beforeLines="100" w:line="600" w:lineRule="exact"/>
      <w:ind w:firstLine="200" w:firstLineChars="200"/>
    </w:pPr>
    <w:rPr>
      <w:rFonts w:eastAsia="黑体"/>
      <w:spacing w:val="0"/>
      <w:kern w:val="2"/>
      <w:sz w:val="28"/>
      <w:szCs w:val="24"/>
    </w:rPr>
  </w:style>
  <w:style w:type="paragraph" w:customStyle="1" w:styleId="3407">
    <w:name w:val="xl32"/>
    <w:basedOn w:val="1"/>
    <w:qFormat/>
    <w:uiPriority w:val="0"/>
    <w:pPr>
      <w:widowControl/>
      <w:pBdr>
        <w:left w:val="single" w:color="auto" w:sz="4" w:space="0"/>
        <w:right w:val="single" w:color="auto" w:sz="4" w:space="0"/>
      </w:pBdr>
      <w:spacing w:before="100" w:beforeAutospacing="1" w:after="100" w:afterAutospacing="1"/>
      <w:jc w:val="center"/>
    </w:pPr>
    <w:rPr>
      <w:rFonts w:ascii="宋体" w:hAnsi="宋体"/>
      <w:sz w:val="16"/>
      <w:szCs w:val="16"/>
    </w:rPr>
  </w:style>
  <w:style w:type="paragraph" w:customStyle="1" w:styleId="3408">
    <w:name w:val="正文格式6"/>
    <w:basedOn w:val="1"/>
    <w:qFormat/>
    <w:uiPriority w:val="0"/>
    <w:pPr>
      <w:adjustRightInd w:val="0"/>
      <w:snapToGrid w:val="0"/>
      <w:spacing w:line="360" w:lineRule="auto"/>
      <w:ind w:firstLine="480" w:firstLineChars="200"/>
    </w:pPr>
    <w:rPr>
      <w:rFonts w:ascii="宋体" w:cs="宋体"/>
      <w:sz w:val="24"/>
    </w:rPr>
  </w:style>
  <w:style w:type="paragraph" w:customStyle="1" w:styleId="3409">
    <w:name w:val="样式 表内小5 + 黑体 加粗 倾斜 下划线4"/>
    <w:basedOn w:val="1"/>
    <w:qFormat/>
    <w:uiPriority w:val="0"/>
    <w:pPr>
      <w:adjustRightInd w:val="0"/>
      <w:snapToGrid w:val="0"/>
      <w:spacing w:line="300" w:lineRule="auto"/>
    </w:pPr>
    <w:rPr>
      <w:rFonts w:ascii="黑体" w:hAnsi="黑体" w:eastAsia="黑体"/>
      <w:b/>
      <w:bCs/>
      <w:i/>
      <w:iCs/>
      <w:sz w:val="18"/>
      <w:u w:val="single"/>
    </w:rPr>
  </w:style>
  <w:style w:type="paragraph" w:customStyle="1" w:styleId="3410">
    <w:name w:val="样式 首行缩进:  8.5 毫米"/>
    <w:basedOn w:val="1"/>
    <w:qFormat/>
    <w:uiPriority w:val="0"/>
    <w:pPr>
      <w:spacing w:line="360" w:lineRule="auto"/>
      <w:ind w:firstLine="359"/>
      <w:jc w:val="center"/>
    </w:pPr>
    <w:rPr>
      <w:rFonts w:ascii="宋体" w:hAnsi="宋体" w:cs="宋体"/>
      <w:sz w:val="24"/>
      <w:szCs w:val="21"/>
    </w:rPr>
  </w:style>
  <w:style w:type="paragraph" w:customStyle="1" w:styleId="3411">
    <w:name w:val="Char13"/>
    <w:basedOn w:val="1"/>
    <w:qFormat/>
    <w:uiPriority w:val="0"/>
    <w:pPr>
      <w:ind w:left="-48"/>
    </w:pPr>
  </w:style>
  <w:style w:type="paragraph" w:customStyle="1" w:styleId="3412">
    <w:name w:val="表内545"/>
    <w:basedOn w:val="1"/>
    <w:qFormat/>
    <w:uiPriority w:val="0"/>
    <w:pPr>
      <w:adjustRightInd w:val="0"/>
      <w:snapToGrid w:val="0"/>
      <w:spacing w:line="300" w:lineRule="auto"/>
      <w:jc w:val="center"/>
    </w:pPr>
    <w:rPr>
      <w:rFonts w:ascii="宋体" w:hAnsi="宋体" w:cs="宋体"/>
    </w:rPr>
  </w:style>
  <w:style w:type="paragraph" w:customStyle="1" w:styleId="3413">
    <w:name w:val="样式 正文文本缩进 + 首行缩进:  2 字符"/>
    <w:basedOn w:val="35"/>
    <w:next w:val="10"/>
    <w:qFormat/>
    <w:uiPriority w:val="0"/>
    <w:pPr>
      <w:spacing w:after="0" w:line="360" w:lineRule="auto"/>
      <w:ind w:left="0" w:leftChars="0" w:firstLine="544" w:firstLineChars="200"/>
    </w:pPr>
    <w:rPr>
      <w:rFonts w:ascii="宋体" w:hAnsi="宋体"/>
      <w:sz w:val="24"/>
      <w:szCs w:val="20"/>
    </w:rPr>
  </w:style>
  <w:style w:type="paragraph" w:customStyle="1" w:styleId="3414">
    <w:name w:val="正文文本最新 Char Char Char1 Char Char Char Char Char Char"/>
    <w:qFormat/>
    <w:uiPriority w:val="0"/>
    <w:pPr>
      <w:spacing w:line="360" w:lineRule="auto"/>
      <w:ind w:firstLine="200" w:firstLineChars="200"/>
      <w:jc w:val="both"/>
    </w:pPr>
    <w:rPr>
      <w:rFonts w:ascii="Times New Roman" w:hAnsi="Times New Roman" w:eastAsia="宋体" w:cs="Times New Roman"/>
      <w:b/>
      <w:bCs/>
      <w:kern w:val="2"/>
      <w:sz w:val="28"/>
      <w:szCs w:val="24"/>
      <w:lang w:val="en-US" w:eastAsia="zh-CN" w:bidi="ar-SA"/>
    </w:rPr>
  </w:style>
  <w:style w:type="paragraph" w:customStyle="1" w:styleId="3415">
    <w:name w:val="样式 标题 3 + 五号 非加粗 段前: 0 磅 段后: 0 磅 行距: 最小值 0 磅"/>
    <w:basedOn w:val="5"/>
    <w:qFormat/>
    <w:uiPriority w:val="0"/>
    <w:pPr>
      <w:keepNext w:val="0"/>
      <w:keepLines w:val="0"/>
      <w:tabs>
        <w:tab w:val="left" w:pos="1260"/>
        <w:tab w:val="clear" w:pos="720"/>
      </w:tabs>
      <w:adjustRightInd/>
      <w:spacing w:before="120" w:line="0" w:lineRule="atLeast"/>
      <w:ind w:left="0" w:firstLine="0"/>
      <w:jc w:val="center"/>
      <w:textAlignment w:val="auto"/>
    </w:pPr>
    <w:rPr>
      <w:b w:val="0"/>
      <w:snapToGrid w:val="0"/>
      <w:color w:val="auto"/>
      <w:spacing w:val="0"/>
      <w:kern w:val="2"/>
      <w:sz w:val="21"/>
    </w:rPr>
  </w:style>
  <w:style w:type="paragraph" w:customStyle="1" w:styleId="3416">
    <w:name w:val="图题8"/>
    <w:basedOn w:val="5"/>
    <w:qFormat/>
    <w:uiPriority w:val="0"/>
    <w:pPr>
      <w:keepNext w:val="0"/>
      <w:keepLines w:val="0"/>
      <w:tabs>
        <w:tab w:val="clear" w:pos="720"/>
      </w:tabs>
      <w:snapToGrid w:val="0"/>
      <w:spacing w:before="120"/>
      <w:ind w:left="0" w:firstLine="0"/>
      <w:jc w:val="center"/>
      <w:textAlignment w:val="auto"/>
    </w:pPr>
    <w:rPr>
      <w:rFonts w:ascii="黑体" w:hAnsi="宋体" w:cs="宋体"/>
      <w:b w:val="0"/>
      <w:bCs/>
      <w:color w:val="auto"/>
      <w:spacing w:val="0"/>
      <w:kern w:val="2"/>
      <w:szCs w:val="28"/>
    </w:rPr>
  </w:style>
  <w:style w:type="paragraph" w:customStyle="1" w:styleId="3417">
    <w:name w:val="样式 目录 2 + 首行缩进:  2 字符1"/>
    <w:basedOn w:val="75"/>
    <w:qFormat/>
    <w:uiPriority w:val="0"/>
    <w:pPr>
      <w:tabs>
        <w:tab w:val="left" w:pos="1200"/>
        <w:tab w:val="clear" w:pos="8303"/>
      </w:tabs>
      <w:spacing w:line="480" w:lineRule="exact"/>
      <w:ind w:firstLine="480"/>
    </w:pPr>
    <w:rPr>
      <w:rFonts w:cs="宋体"/>
    </w:rPr>
  </w:style>
  <w:style w:type="paragraph" w:customStyle="1" w:styleId="3418">
    <w:name w:val="列出段落12"/>
    <w:basedOn w:val="1"/>
    <w:qFormat/>
    <w:uiPriority w:val="0"/>
    <w:pPr>
      <w:ind w:firstLine="420" w:firstLineChars="200"/>
    </w:pPr>
    <w:rPr>
      <w:rFonts w:ascii="Calibri" w:hAnsi="Calibri"/>
      <w:szCs w:val="22"/>
    </w:rPr>
  </w:style>
  <w:style w:type="paragraph" w:customStyle="1" w:styleId="3419">
    <w:name w:val="表题2"/>
    <w:basedOn w:val="1"/>
    <w:qFormat/>
    <w:uiPriority w:val="0"/>
    <w:pPr>
      <w:widowControl/>
      <w:adjustRightInd w:val="0"/>
      <w:snapToGrid w:val="0"/>
      <w:jc w:val="center"/>
    </w:pPr>
    <w:rPr>
      <w:rFonts w:ascii="黑体" w:hAnsi="宋体" w:eastAsia="黑体" w:cs="宋体"/>
      <w:sz w:val="24"/>
    </w:rPr>
  </w:style>
  <w:style w:type="paragraph" w:customStyle="1" w:styleId="3420">
    <w:name w:val="样式 正文文字缩进 + 小四 首行缩进:  2 字符1"/>
    <w:basedOn w:val="35"/>
    <w:qFormat/>
    <w:uiPriority w:val="0"/>
    <w:pPr>
      <w:spacing w:afterLines="50" w:line="400" w:lineRule="exact"/>
      <w:ind w:left="0" w:leftChars="0" w:firstLine="200" w:firstLineChars="200"/>
    </w:pPr>
    <w:rPr>
      <w:rFonts w:eastAsia="华文楷体" w:cs="宋体"/>
      <w:sz w:val="28"/>
      <w:szCs w:val="20"/>
    </w:rPr>
  </w:style>
  <w:style w:type="paragraph" w:customStyle="1" w:styleId="3421">
    <w:name w:val="z-窗体顶端1"/>
    <w:basedOn w:val="1"/>
    <w:next w:val="1"/>
    <w:qFormat/>
    <w:uiPriority w:val="0"/>
    <w:pPr>
      <w:widowControl/>
      <w:pBdr>
        <w:bottom w:val="single" w:color="auto" w:sz="6" w:space="1"/>
      </w:pBdr>
      <w:jc w:val="center"/>
    </w:pPr>
    <w:rPr>
      <w:color w:val="000000"/>
      <w:position w:val="4"/>
      <w:sz w:val="24"/>
    </w:rPr>
  </w:style>
  <w:style w:type="paragraph" w:customStyle="1" w:styleId="3422">
    <w:name w:val="表中字"/>
    <w:basedOn w:val="544"/>
    <w:qFormat/>
    <w:uiPriority w:val="0"/>
    <w:pPr>
      <w:spacing w:before="100"/>
    </w:pPr>
    <w:rPr>
      <w:sz w:val="18"/>
      <w:szCs w:val="18"/>
    </w:rPr>
  </w:style>
  <w:style w:type="paragraph" w:customStyle="1" w:styleId="3423">
    <w:name w:val="正文311"/>
    <w:qFormat/>
    <w:uiPriority w:val="0"/>
    <w:pPr>
      <w:widowControl w:val="0"/>
      <w:adjustRightInd w:val="0"/>
      <w:spacing w:line="360" w:lineRule="atLeast"/>
    </w:pPr>
    <w:rPr>
      <w:rFonts w:hint="eastAsia" w:ascii="宋体" w:hAnsi="Times New Roman" w:eastAsia="宋体" w:cs="Times New Roman"/>
      <w:sz w:val="24"/>
      <w:lang w:val="en-US" w:eastAsia="zh-CN" w:bidi="ar-SA"/>
    </w:rPr>
  </w:style>
  <w:style w:type="paragraph" w:customStyle="1" w:styleId="3424">
    <w:name w:val="样式 标题 3 + (符号) Times New Roman 四号 两端对齐 段前: 12 磅 行距: 1.5 倍行距"/>
    <w:basedOn w:val="5"/>
    <w:qFormat/>
    <w:uiPriority w:val="0"/>
    <w:pPr>
      <w:keepNext w:val="0"/>
      <w:keepLines w:val="0"/>
      <w:tabs>
        <w:tab w:val="clear" w:pos="720"/>
      </w:tabs>
      <w:snapToGrid w:val="0"/>
      <w:spacing w:before="120" w:afterLines="50"/>
      <w:ind w:left="0" w:firstLine="0"/>
      <w:jc w:val="both"/>
      <w:textAlignment w:val="auto"/>
    </w:pPr>
    <w:rPr>
      <w:rFonts w:ascii="黑体" w:cs="宋体"/>
      <w:color w:val="auto"/>
      <w:spacing w:val="0"/>
      <w:kern w:val="2"/>
      <w:szCs w:val="28"/>
    </w:rPr>
  </w:style>
  <w:style w:type="paragraph" w:customStyle="1" w:styleId="3425">
    <w:name w:val="药标2"/>
    <w:basedOn w:val="4"/>
    <w:qFormat/>
    <w:uiPriority w:val="0"/>
    <w:pPr>
      <w:tabs>
        <w:tab w:val="clear" w:pos="1427"/>
      </w:tabs>
      <w:spacing w:before="156" w:after="156" w:line="312" w:lineRule="atLeast"/>
    </w:pPr>
    <w:rPr>
      <w:rFonts w:ascii="黑体" w:hAnsi="Arial"/>
      <w:b w:val="0"/>
      <w:snapToGrid w:val="0"/>
      <w:color w:val="000000"/>
      <w:sz w:val="32"/>
    </w:rPr>
  </w:style>
  <w:style w:type="paragraph" w:customStyle="1" w:styleId="3426">
    <w:name w:val="表内小433"/>
    <w:basedOn w:val="1427"/>
    <w:qFormat/>
    <w:uiPriority w:val="0"/>
    <w:pPr>
      <w:ind w:left="240" w:hanging="240"/>
      <w:jc w:val="both"/>
    </w:pPr>
    <w:rPr>
      <w:rFonts w:cs="Times New Roman"/>
    </w:rPr>
  </w:style>
  <w:style w:type="paragraph" w:customStyle="1" w:styleId="3427">
    <w:name w:val="样式 四号 首行缩进:  2 字符"/>
    <w:basedOn w:val="1"/>
    <w:qFormat/>
    <w:uiPriority w:val="0"/>
    <w:pPr>
      <w:spacing w:line="480" w:lineRule="atLeast"/>
      <w:ind w:firstLine="200" w:firstLineChars="200"/>
    </w:pPr>
    <w:rPr>
      <w:sz w:val="24"/>
    </w:rPr>
  </w:style>
  <w:style w:type="paragraph" w:customStyle="1" w:styleId="3428">
    <w:name w:val="1文章"/>
    <w:basedOn w:val="1"/>
    <w:qFormat/>
    <w:uiPriority w:val="0"/>
    <w:pPr>
      <w:snapToGrid w:val="0"/>
      <w:spacing w:line="360" w:lineRule="auto"/>
      <w:ind w:firstLine="573"/>
    </w:pPr>
    <w:rPr>
      <w:rFonts w:eastAsia="仿宋_GB2312"/>
      <w:sz w:val="28"/>
    </w:rPr>
  </w:style>
  <w:style w:type="paragraph" w:customStyle="1" w:styleId="3429">
    <w:name w:val="正文样式2"/>
    <w:basedOn w:val="1"/>
    <w:qFormat/>
    <w:uiPriority w:val="0"/>
    <w:pPr>
      <w:adjustRightInd w:val="0"/>
      <w:snapToGrid w:val="0"/>
      <w:spacing w:line="360" w:lineRule="auto"/>
      <w:ind w:firstLine="510"/>
      <w:textAlignment w:val="baseline"/>
    </w:pPr>
    <w:rPr>
      <w:rFonts w:ascii="宋体"/>
      <w:kern w:val="24"/>
      <w:sz w:val="24"/>
    </w:rPr>
  </w:style>
  <w:style w:type="paragraph" w:customStyle="1" w:styleId="3430">
    <w:name w:val="正文文本2"/>
    <w:basedOn w:val="1"/>
    <w:qFormat/>
    <w:uiPriority w:val="0"/>
    <w:pPr>
      <w:spacing w:line="360" w:lineRule="auto"/>
      <w:ind w:firstLine="480" w:firstLineChars="200"/>
    </w:pPr>
    <w:rPr>
      <w:rFonts w:ascii="宋体" w:cs="宋体"/>
      <w:sz w:val="24"/>
    </w:rPr>
  </w:style>
  <w:style w:type="paragraph" w:customStyle="1" w:styleId="3431">
    <w:name w:val="表内宋5中44"/>
    <w:basedOn w:val="1"/>
    <w:qFormat/>
    <w:uiPriority w:val="0"/>
    <w:pPr>
      <w:adjustRightInd w:val="0"/>
      <w:snapToGrid w:val="0"/>
      <w:jc w:val="center"/>
      <w:textAlignment w:val="baseline"/>
    </w:pPr>
    <w:rPr>
      <w:rFonts w:ascii="宋体" w:hAnsi="宋体"/>
    </w:rPr>
  </w:style>
  <w:style w:type="paragraph" w:customStyle="1" w:styleId="3432">
    <w:name w:val="样式 报告 + 首行缩进:  2 字符"/>
    <w:basedOn w:val="1"/>
    <w:qFormat/>
    <w:uiPriority w:val="0"/>
    <w:pPr>
      <w:widowControl/>
      <w:overflowPunct w:val="0"/>
      <w:autoSpaceDE w:val="0"/>
      <w:autoSpaceDN w:val="0"/>
      <w:adjustRightInd w:val="0"/>
      <w:spacing w:before="120" w:after="120" w:line="400" w:lineRule="atLeast"/>
      <w:ind w:firstLine="480" w:firstLineChars="200"/>
      <w:textAlignment w:val="baseline"/>
    </w:pPr>
    <w:rPr>
      <w:sz w:val="24"/>
    </w:rPr>
  </w:style>
  <w:style w:type="paragraph" w:customStyle="1" w:styleId="3433">
    <w:name w:val="正文小五居中"/>
    <w:basedOn w:val="1"/>
    <w:qFormat/>
    <w:uiPriority w:val="0"/>
    <w:pPr>
      <w:spacing w:line="480" w:lineRule="exact"/>
      <w:jc w:val="center"/>
    </w:pPr>
    <w:rPr>
      <w:rFonts w:cs="宋体"/>
      <w:sz w:val="18"/>
    </w:rPr>
  </w:style>
  <w:style w:type="paragraph" w:customStyle="1" w:styleId="3434">
    <w:name w:val="表头图名"/>
    <w:basedOn w:val="39"/>
    <w:qFormat/>
    <w:uiPriority w:val="0"/>
    <w:pPr>
      <w:ind w:left="900" w:hanging="480"/>
    </w:pPr>
    <w:rPr>
      <w:rFonts w:ascii="黑体" w:eastAsia="黑体"/>
      <w:sz w:val="24"/>
    </w:rPr>
  </w:style>
  <w:style w:type="paragraph" w:customStyle="1" w:styleId="3435">
    <w:name w:val="报告表中"/>
    <w:basedOn w:val="1"/>
    <w:qFormat/>
    <w:uiPriority w:val="0"/>
    <w:pPr>
      <w:jc w:val="center"/>
    </w:pPr>
    <w:rPr>
      <w:sz w:val="18"/>
    </w:rPr>
  </w:style>
  <w:style w:type="paragraph" w:customStyle="1" w:styleId="3436">
    <w:name w:val="燕山正文1"/>
    <w:basedOn w:val="1"/>
    <w:qFormat/>
    <w:uiPriority w:val="0"/>
    <w:pPr>
      <w:tabs>
        <w:tab w:val="left" w:pos="4680"/>
      </w:tabs>
      <w:adjustRightInd w:val="0"/>
      <w:snapToGrid w:val="0"/>
      <w:spacing w:line="360" w:lineRule="auto"/>
      <w:ind w:firstLine="480" w:firstLineChars="200"/>
    </w:pPr>
    <w:rPr>
      <w:rFonts w:ascii="宋体" w:hAnsi="宋体" w:cs="宋体"/>
      <w:bCs/>
      <w:color w:val="000000"/>
      <w:sz w:val="24"/>
    </w:rPr>
  </w:style>
  <w:style w:type="paragraph" w:customStyle="1" w:styleId="3437">
    <w:name w:val="表格_正文"/>
    <w:qFormat/>
    <w:uiPriority w:val="0"/>
    <w:pPr>
      <w:snapToGrid w:val="0"/>
      <w:spacing w:before="60" w:after="60"/>
      <w:jc w:val="center"/>
    </w:pPr>
    <w:rPr>
      <w:rFonts w:ascii="Times New Roman" w:hAnsi="Times New Roman" w:eastAsia="宋体" w:cs="Times New Roman"/>
      <w:sz w:val="21"/>
      <w:lang w:val="en-US" w:eastAsia="zh-CN" w:bidi="ar-SA"/>
    </w:rPr>
  </w:style>
  <w:style w:type="paragraph" w:customStyle="1" w:styleId="3438">
    <w:name w:val="xl123"/>
    <w:basedOn w:val="1"/>
    <w:qFormat/>
    <w:uiPriority w:val="0"/>
    <w:pPr>
      <w:widowControl/>
      <w:pBdr>
        <w:top w:val="single" w:color="auto" w:sz="4" w:space="0"/>
        <w:left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color w:val="000000"/>
      <w:sz w:val="18"/>
      <w:szCs w:val="18"/>
    </w:rPr>
  </w:style>
  <w:style w:type="paragraph" w:customStyle="1" w:styleId="3439">
    <w:name w:val="表内537"/>
    <w:basedOn w:val="1"/>
    <w:qFormat/>
    <w:uiPriority w:val="0"/>
    <w:pPr>
      <w:adjustRightInd w:val="0"/>
      <w:snapToGrid w:val="0"/>
      <w:spacing w:line="300" w:lineRule="auto"/>
      <w:jc w:val="left"/>
    </w:pPr>
    <w:rPr>
      <w:rFonts w:ascii="宋体"/>
    </w:rPr>
  </w:style>
  <w:style w:type="paragraph" w:customStyle="1" w:styleId="3440">
    <w:name w:val="页眉中21"/>
    <w:basedOn w:val="1"/>
    <w:qFormat/>
    <w:uiPriority w:val="0"/>
    <w:pPr>
      <w:adjustRightInd w:val="0"/>
      <w:snapToGrid w:val="0"/>
      <w:jc w:val="center"/>
    </w:pPr>
    <w:rPr>
      <w:rFonts w:ascii="黑体" w:eastAsia="黑体"/>
      <w:bCs/>
    </w:rPr>
  </w:style>
  <w:style w:type="paragraph" w:customStyle="1" w:styleId="3441">
    <w:name w:val="TOC 标题11"/>
    <w:basedOn w:val="3"/>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3442">
    <w:name w:val="gb1"/>
    <w:basedOn w:val="1"/>
    <w:qFormat/>
    <w:uiPriority w:val="0"/>
    <w:pPr>
      <w:widowControl/>
      <w:tabs>
        <w:tab w:val="left" w:pos="227"/>
      </w:tabs>
      <w:overflowPunct w:val="0"/>
      <w:autoSpaceDE w:val="0"/>
      <w:autoSpaceDN w:val="0"/>
      <w:adjustRightInd w:val="0"/>
      <w:spacing w:before="120" w:after="120"/>
      <w:textAlignment w:val="baseline"/>
    </w:pPr>
    <w:rPr>
      <w:rFonts w:ascii="Arial" w:hAnsi="Arial" w:eastAsia="仿宋体"/>
    </w:rPr>
  </w:style>
  <w:style w:type="paragraph" w:customStyle="1" w:styleId="3443">
    <w:name w:val="CM5"/>
    <w:basedOn w:val="641"/>
    <w:next w:val="641"/>
    <w:qFormat/>
    <w:uiPriority w:val="0"/>
    <w:pPr>
      <w:spacing w:line="460" w:lineRule="atLeast"/>
    </w:pPr>
    <w:rPr>
      <w:rFonts w:ascii="黑体" w:eastAsia="黑体" w:cs="Times New Roman"/>
      <w:color w:val="auto"/>
      <w:sz w:val="20"/>
    </w:rPr>
  </w:style>
  <w:style w:type="paragraph" w:customStyle="1" w:styleId="3444">
    <w:name w:val="福建正文缩进3"/>
    <w:basedOn w:val="21"/>
    <w:qFormat/>
    <w:uiPriority w:val="0"/>
    <w:pPr>
      <w:autoSpaceDE w:val="0"/>
      <w:autoSpaceDN w:val="0"/>
      <w:adjustRightInd w:val="0"/>
      <w:snapToGrid w:val="0"/>
      <w:spacing w:line="360" w:lineRule="auto"/>
      <w:ind w:firstLine="539" w:firstLineChars="0"/>
    </w:pPr>
    <w:rPr>
      <w:rFonts w:ascii="宋体" w:hAnsi="宋体"/>
      <w:b/>
      <w:szCs w:val="24"/>
    </w:rPr>
  </w:style>
  <w:style w:type="paragraph" w:customStyle="1" w:styleId="3445">
    <w:name w:val="Char Char Char Char Char Char Char Char Char Char Char Char Char Char Char Char Char Char1 Char Char Char Char Char Char Char1"/>
    <w:basedOn w:val="1"/>
    <w:next w:val="1"/>
    <w:qFormat/>
    <w:uiPriority w:val="0"/>
    <w:pPr>
      <w:keepNext/>
      <w:keepLines/>
      <w:widowControl/>
      <w:adjustRightInd w:val="0"/>
      <w:spacing w:before="40" w:after="40" w:line="360" w:lineRule="auto"/>
      <w:ind w:firstLine="482" w:firstLineChars="200"/>
      <w:textAlignment w:val="baseline"/>
    </w:pPr>
    <w:rPr>
      <w:rFonts w:cs="宋体"/>
      <w:b/>
      <w:sz w:val="24"/>
      <w:szCs w:val="28"/>
    </w:rPr>
  </w:style>
  <w:style w:type="paragraph" w:customStyle="1" w:styleId="3446">
    <w:name w:val="字元 字元11"/>
    <w:basedOn w:val="1"/>
    <w:qFormat/>
    <w:uiPriority w:val="0"/>
  </w:style>
  <w:style w:type="paragraph" w:customStyle="1" w:styleId="3447">
    <w:name w:val="xl130"/>
    <w:basedOn w:val="1"/>
    <w:qFormat/>
    <w:uiPriority w:val="0"/>
    <w:pPr>
      <w:widowControl/>
      <w:pBdr>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color w:val="000000"/>
      <w:sz w:val="18"/>
      <w:szCs w:val="18"/>
    </w:rPr>
  </w:style>
  <w:style w:type="paragraph" w:customStyle="1" w:styleId="3448">
    <w:name w:val="Char Char Char Char5"/>
    <w:basedOn w:val="1"/>
    <w:qFormat/>
    <w:uiPriority w:val="0"/>
  </w:style>
  <w:style w:type="paragraph" w:customStyle="1" w:styleId="3449">
    <w:name w:val="样式 观音岩正文段落 + 段前: 0.5 行 段后: 0.5 行"/>
    <w:basedOn w:val="1"/>
    <w:qFormat/>
    <w:uiPriority w:val="0"/>
    <w:pPr>
      <w:adjustRightInd w:val="0"/>
      <w:snapToGrid w:val="0"/>
      <w:spacing w:line="360" w:lineRule="auto"/>
      <w:ind w:firstLine="482"/>
    </w:pPr>
    <w:rPr>
      <w:rFonts w:ascii="Arial" w:hAnsi="Arial" w:cs="宋体"/>
      <w:sz w:val="24"/>
    </w:rPr>
  </w:style>
  <w:style w:type="paragraph" w:customStyle="1" w:styleId="3450">
    <w:name w:val="Char Char Char Char Char Char Char Char Char Char Char Char Char Char Char Char Char Char Char5"/>
    <w:basedOn w:val="1"/>
    <w:qFormat/>
    <w:uiPriority w:val="0"/>
  </w:style>
  <w:style w:type="paragraph" w:customStyle="1" w:styleId="3451">
    <w:name w:val="页脚11"/>
    <w:basedOn w:val="1"/>
    <w:qFormat/>
    <w:uiPriority w:val="0"/>
    <w:pPr>
      <w:overflowPunct w:val="0"/>
      <w:adjustRightInd w:val="0"/>
      <w:snapToGrid w:val="0"/>
      <w:spacing w:line="240" w:lineRule="atLeast"/>
      <w:jc w:val="center"/>
      <w:textAlignment w:val="baseline"/>
    </w:pPr>
    <w:rPr>
      <w:sz w:val="18"/>
      <w:szCs w:val="18"/>
    </w:rPr>
  </w:style>
  <w:style w:type="paragraph" w:customStyle="1" w:styleId="3452">
    <w:name w:val="表内文字小11"/>
    <w:basedOn w:val="1"/>
    <w:qFormat/>
    <w:uiPriority w:val="0"/>
    <w:pPr>
      <w:adjustRightInd w:val="0"/>
      <w:snapToGrid w:val="0"/>
      <w:jc w:val="center"/>
    </w:pPr>
    <w:rPr>
      <w:rFonts w:ascii="宋体" w:hAnsi="Times" w:cs="宋体"/>
    </w:rPr>
  </w:style>
  <w:style w:type="paragraph" w:customStyle="1" w:styleId="3453">
    <w:name w:val="正文格式1"/>
    <w:basedOn w:val="1"/>
    <w:qFormat/>
    <w:uiPriority w:val="0"/>
    <w:pPr>
      <w:adjustRightInd w:val="0"/>
      <w:snapToGrid w:val="0"/>
      <w:spacing w:line="360" w:lineRule="auto"/>
      <w:ind w:firstLine="480" w:firstLineChars="200"/>
    </w:pPr>
    <w:rPr>
      <w:rFonts w:ascii="宋体" w:cs="宋体"/>
      <w:sz w:val="24"/>
    </w:rPr>
  </w:style>
  <w:style w:type="paragraph" w:customStyle="1" w:styleId="3454">
    <w:name w:val="收信人地址11"/>
    <w:basedOn w:val="1"/>
    <w:qFormat/>
    <w:uiPriority w:val="0"/>
    <w:pPr>
      <w:snapToGrid w:val="0"/>
      <w:ind w:left="100" w:leftChars="1400"/>
    </w:pPr>
    <w:rPr>
      <w:rFonts w:ascii="Arial" w:hAnsi="Arial" w:cs="Arial"/>
      <w:sz w:val="24"/>
    </w:rPr>
  </w:style>
  <w:style w:type="paragraph" w:customStyle="1" w:styleId="3455">
    <w:name w:val="正文文本缩进1"/>
    <w:basedOn w:val="1"/>
    <w:next w:val="1114"/>
    <w:qFormat/>
    <w:uiPriority w:val="0"/>
    <w:pPr>
      <w:jc w:val="center"/>
    </w:pPr>
  </w:style>
  <w:style w:type="paragraph" w:customStyle="1" w:styleId="3456">
    <w:name w:val="图题64"/>
    <w:basedOn w:val="1"/>
    <w:qFormat/>
    <w:uiPriority w:val="0"/>
    <w:pPr>
      <w:jc w:val="center"/>
    </w:pPr>
    <w:rPr>
      <w:rFonts w:ascii="黑体" w:eastAsia="黑体"/>
      <w:sz w:val="24"/>
    </w:rPr>
  </w:style>
  <w:style w:type="paragraph" w:customStyle="1" w:styleId="3457">
    <w:name w:val="样式 12.2.6.1 + 段后: 0.5 行"/>
    <w:basedOn w:val="3113"/>
    <w:qFormat/>
    <w:uiPriority w:val="0"/>
    <w:pPr>
      <w:tabs>
        <w:tab w:val="left" w:pos="1620"/>
      </w:tabs>
      <w:spacing w:afterLines="0"/>
      <w:ind w:left="1620" w:leftChars="600" w:hanging="360" w:hangingChars="200"/>
    </w:pPr>
    <w:rPr>
      <w:bCs/>
      <w:szCs w:val="20"/>
    </w:rPr>
  </w:style>
  <w:style w:type="paragraph" w:customStyle="1" w:styleId="3458">
    <w:name w:val="Char1 Char Char Char Char Char Char Char Char Char Char Char Char1"/>
    <w:basedOn w:val="1"/>
    <w:next w:val="1"/>
    <w:qFormat/>
    <w:uiPriority w:val="0"/>
    <w:pPr>
      <w:keepNext/>
      <w:keepLines/>
      <w:widowControl/>
      <w:adjustRightInd w:val="0"/>
      <w:spacing w:before="40" w:after="40" w:line="360" w:lineRule="auto"/>
      <w:ind w:firstLine="200" w:firstLineChars="200"/>
      <w:textAlignment w:val="baseline"/>
    </w:pPr>
    <w:rPr>
      <w:rFonts w:cs="宋体"/>
      <w:sz w:val="24"/>
      <w:szCs w:val="28"/>
    </w:rPr>
  </w:style>
  <w:style w:type="paragraph" w:customStyle="1" w:styleId="3459">
    <w:name w:val="表内文字大15"/>
    <w:basedOn w:val="1"/>
    <w:qFormat/>
    <w:uiPriority w:val="0"/>
    <w:pPr>
      <w:adjustRightInd w:val="0"/>
      <w:snapToGrid w:val="0"/>
      <w:jc w:val="center"/>
    </w:pPr>
    <w:rPr>
      <w:rFonts w:ascii="宋体" w:hAnsi="Times"/>
      <w:sz w:val="24"/>
    </w:rPr>
  </w:style>
  <w:style w:type="paragraph" w:customStyle="1" w:styleId="3460">
    <w:name w:val="Char2 Char Char Char Char Char Char"/>
    <w:basedOn w:val="1"/>
    <w:qFormat/>
    <w:uiPriority w:val="0"/>
  </w:style>
  <w:style w:type="paragraph" w:customStyle="1" w:styleId="3461">
    <w:name w:val="T正文"/>
    <w:qFormat/>
    <w:uiPriority w:val="0"/>
    <w:pPr>
      <w:widowControl w:val="0"/>
      <w:adjustRightInd w:val="0"/>
      <w:snapToGrid w:val="0"/>
      <w:spacing w:line="360" w:lineRule="auto"/>
      <w:ind w:firstLine="200" w:firstLineChars="200"/>
      <w:jc w:val="both"/>
    </w:pPr>
    <w:rPr>
      <w:rFonts w:ascii="Times New Roman" w:hAnsi="Times New Roman" w:eastAsia="仿宋_GB2312" w:cs="Times New Roman"/>
      <w:sz w:val="28"/>
      <w:lang w:val="en-US" w:eastAsia="zh-CN" w:bidi="ar-SA"/>
    </w:rPr>
  </w:style>
  <w:style w:type="paragraph" w:customStyle="1" w:styleId="3462">
    <w:name w:val="表题117"/>
    <w:basedOn w:val="1"/>
    <w:qFormat/>
    <w:uiPriority w:val="0"/>
    <w:pPr>
      <w:adjustRightInd w:val="0"/>
      <w:snapToGrid w:val="0"/>
      <w:jc w:val="center"/>
      <w:textAlignment w:val="baseline"/>
    </w:pPr>
    <w:rPr>
      <w:rFonts w:ascii="黑体" w:hAnsi="宋体" w:eastAsia="黑体"/>
      <w:sz w:val="24"/>
    </w:rPr>
  </w:style>
  <w:style w:type="paragraph" w:customStyle="1" w:styleId="3463">
    <w:name w:val="16.6.3.1"/>
    <w:basedOn w:val="801"/>
    <w:qFormat/>
    <w:uiPriority w:val="0"/>
    <w:pPr>
      <w:tabs>
        <w:tab w:val="left" w:pos="1680"/>
      </w:tabs>
      <w:spacing w:after="0"/>
      <w:ind w:left="1680" w:hanging="420"/>
    </w:pPr>
  </w:style>
  <w:style w:type="paragraph" w:customStyle="1" w:styleId="3464">
    <w:name w:val="文本正文"/>
    <w:basedOn w:val="1"/>
    <w:qFormat/>
    <w:uiPriority w:val="0"/>
    <w:pPr>
      <w:snapToGrid w:val="0"/>
      <w:spacing w:line="360" w:lineRule="auto"/>
      <w:ind w:firstLine="510"/>
      <w:jc w:val="left"/>
    </w:pPr>
    <w:rPr>
      <w:rFonts w:ascii="宋体"/>
      <w:spacing w:val="4"/>
      <w:kern w:val="24"/>
      <w:sz w:val="24"/>
      <w:lang w:val="zh-CN"/>
    </w:rPr>
  </w:style>
  <w:style w:type="paragraph" w:customStyle="1" w:styleId="3465">
    <w:name w:val="Char511"/>
    <w:basedOn w:val="1"/>
    <w:qFormat/>
    <w:uiPriority w:val="0"/>
    <w:pPr>
      <w:ind w:left="-48"/>
    </w:pPr>
  </w:style>
  <w:style w:type="paragraph" w:customStyle="1" w:styleId="3466">
    <w:name w:val="样式 表内小5 + 左侧:  0 厘米 悬挂缩进: 0.98 字符"/>
    <w:basedOn w:val="1"/>
    <w:qFormat/>
    <w:uiPriority w:val="0"/>
    <w:pPr>
      <w:adjustRightInd w:val="0"/>
      <w:snapToGrid w:val="0"/>
      <w:spacing w:line="300" w:lineRule="auto"/>
      <w:ind w:left="289" w:leftChars="-200" w:hanging="769"/>
    </w:pPr>
    <w:rPr>
      <w:rFonts w:ascii="宋体" w:hAnsi="宋体" w:cs="宋体"/>
      <w:sz w:val="18"/>
    </w:rPr>
  </w:style>
  <w:style w:type="paragraph" w:customStyle="1" w:styleId="3467">
    <w:name w:val="表题103"/>
    <w:basedOn w:val="21"/>
    <w:qFormat/>
    <w:uiPriority w:val="0"/>
    <w:pPr>
      <w:ind w:firstLine="0" w:firstLineChars="0"/>
      <w:jc w:val="center"/>
    </w:pPr>
    <w:rPr>
      <w:rFonts w:ascii="黑体" w:eastAsia="黑体"/>
      <w:szCs w:val="24"/>
    </w:rPr>
  </w:style>
  <w:style w:type="paragraph" w:customStyle="1" w:styleId="3468">
    <w:name w:val="表内宋5中22"/>
    <w:basedOn w:val="1"/>
    <w:qFormat/>
    <w:uiPriority w:val="0"/>
    <w:pPr>
      <w:adjustRightInd w:val="0"/>
      <w:snapToGrid w:val="0"/>
      <w:jc w:val="center"/>
      <w:textAlignment w:val="baseline"/>
    </w:pPr>
    <w:rPr>
      <w:rFonts w:ascii="宋体" w:hAnsi="宋体"/>
    </w:rPr>
  </w:style>
  <w:style w:type="paragraph" w:customStyle="1" w:styleId="3469">
    <w:name w:val="Char Char1 Char Char Char3"/>
    <w:basedOn w:val="1"/>
    <w:qFormat/>
    <w:uiPriority w:val="0"/>
    <w:pPr>
      <w:spacing w:line="480" w:lineRule="exact"/>
    </w:pPr>
  </w:style>
  <w:style w:type="paragraph" w:customStyle="1" w:styleId="3470">
    <w:name w:val="等核实15"/>
    <w:basedOn w:val="35"/>
    <w:qFormat/>
    <w:uiPriority w:val="0"/>
    <w:pPr>
      <w:adjustRightInd w:val="0"/>
      <w:snapToGrid w:val="0"/>
      <w:spacing w:after="0"/>
      <w:ind w:left="0" w:leftChars="0"/>
      <w:jc w:val="center"/>
    </w:pPr>
    <w:rPr>
      <w:rFonts w:ascii="宋体" w:hAnsi="Times"/>
      <w:color w:val="0000FF"/>
      <w:szCs w:val="21"/>
    </w:rPr>
  </w:style>
  <w:style w:type="paragraph" w:customStyle="1" w:styleId="3471">
    <w:name w:val="标题 411"/>
    <w:basedOn w:val="1"/>
    <w:next w:val="1"/>
    <w:qFormat/>
    <w:uiPriority w:val="0"/>
    <w:pPr>
      <w:adjustRightInd w:val="0"/>
      <w:spacing w:line="440" w:lineRule="atLeast"/>
      <w:ind w:left="198" w:firstLine="567"/>
      <w:textAlignment w:val="baseline"/>
    </w:pPr>
    <w:rPr>
      <w:rFonts w:hint="eastAsia" w:hAnsi="宋体"/>
      <w:kern w:val="28"/>
      <w:sz w:val="24"/>
    </w:rPr>
  </w:style>
  <w:style w:type="paragraph" w:customStyle="1" w:styleId="3472">
    <w:name w:val="标题413"/>
    <w:basedOn w:val="1"/>
    <w:qFormat/>
    <w:uiPriority w:val="0"/>
    <w:pPr>
      <w:adjustRightInd w:val="0"/>
      <w:snapToGrid w:val="0"/>
      <w:spacing w:line="300" w:lineRule="auto"/>
      <w:jc w:val="left"/>
    </w:pPr>
    <w:rPr>
      <w:rFonts w:ascii="黑体" w:eastAsia="黑体"/>
      <w:bCs/>
      <w:color w:val="000000"/>
      <w:sz w:val="24"/>
    </w:rPr>
  </w:style>
  <w:style w:type="paragraph" w:customStyle="1" w:styleId="3473">
    <w:name w:val="正文2002"/>
    <w:basedOn w:val="1"/>
    <w:qFormat/>
    <w:uiPriority w:val="0"/>
    <w:pPr>
      <w:spacing w:line="280" w:lineRule="exact"/>
      <w:jc w:val="center"/>
    </w:pPr>
    <w:rPr>
      <w:rFonts w:hAnsi="宋体"/>
      <w:color w:val="000000"/>
      <w:spacing w:val="-12"/>
      <w:szCs w:val="21"/>
    </w:rPr>
  </w:style>
  <w:style w:type="paragraph" w:customStyle="1" w:styleId="3474">
    <w:name w:val="正文修改1"/>
    <w:basedOn w:val="1325"/>
    <w:qFormat/>
    <w:uiPriority w:val="0"/>
    <w:pPr>
      <w:ind w:right="210" w:rightChars="100" w:firstLine="209" w:firstLineChars="87"/>
    </w:pPr>
    <w:rPr>
      <w:bCs w:val="0"/>
    </w:rPr>
  </w:style>
  <w:style w:type="paragraph" w:customStyle="1" w:styleId="3475">
    <w:name w:val="样式 样式 样式 正文首行缩进 + 黑体 四号 黑色 + 右侧:  -0.47 字符 + 左侧:  1.52 厘米 首行缩进:..."/>
    <w:basedOn w:val="6"/>
    <w:next w:val="6"/>
    <w:qFormat/>
    <w:uiPriority w:val="0"/>
    <w:pPr>
      <w:keepNext w:val="0"/>
      <w:keepLines w:val="0"/>
      <w:tabs>
        <w:tab w:val="left" w:pos="0"/>
      </w:tabs>
      <w:spacing w:before="0" w:after="0" w:line="480" w:lineRule="exact"/>
    </w:pPr>
    <w:rPr>
      <w:rFonts w:ascii="宋体" w:hAnsi="Times New Roman" w:eastAsia="宋体"/>
      <w:b w:val="0"/>
      <w:szCs w:val="20"/>
    </w:rPr>
  </w:style>
  <w:style w:type="paragraph" w:customStyle="1" w:styleId="3476">
    <w:name w:val="样式 标题 1 +"/>
    <w:basedOn w:val="3"/>
    <w:qFormat/>
    <w:uiPriority w:val="0"/>
    <w:pPr>
      <w:spacing w:before="0" w:afterLines="300" w:line="240" w:lineRule="auto"/>
    </w:pPr>
    <w:rPr>
      <w:rFonts w:eastAsia="黑体"/>
      <w:kern w:val="2"/>
      <w:sz w:val="36"/>
    </w:rPr>
  </w:style>
  <w:style w:type="paragraph" w:customStyle="1" w:styleId="3477">
    <w:name w:val="二级无标题条"/>
    <w:basedOn w:val="1"/>
    <w:qFormat/>
    <w:uiPriority w:val="0"/>
  </w:style>
  <w:style w:type="paragraph" w:customStyle="1" w:styleId="3478">
    <w:name w:val="页眉中54"/>
    <w:basedOn w:val="1"/>
    <w:qFormat/>
    <w:uiPriority w:val="0"/>
    <w:pPr>
      <w:adjustRightInd w:val="0"/>
      <w:snapToGrid w:val="0"/>
      <w:spacing w:line="300" w:lineRule="auto"/>
      <w:jc w:val="center"/>
    </w:pPr>
    <w:rPr>
      <w:rFonts w:ascii="黑体" w:eastAsia="黑体"/>
      <w:bCs/>
      <w:sz w:val="24"/>
    </w:rPr>
  </w:style>
  <w:style w:type="paragraph" w:customStyle="1" w:styleId="3479">
    <w:name w:val="表内文字大4"/>
    <w:basedOn w:val="1"/>
    <w:qFormat/>
    <w:uiPriority w:val="0"/>
    <w:pPr>
      <w:adjustRightInd w:val="0"/>
      <w:snapToGrid w:val="0"/>
      <w:jc w:val="center"/>
    </w:pPr>
    <w:rPr>
      <w:rFonts w:ascii="宋体" w:hAnsi="Times"/>
      <w:sz w:val="24"/>
    </w:rPr>
  </w:style>
  <w:style w:type="paragraph" w:customStyle="1" w:styleId="3480">
    <w:name w:val="文本框"/>
    <w:basedOn w:val="1"/>
    <w:qFormat/>
    <w:uiPriority w:val="0"/>
    <w:pPr>
      <w:adjustRightInd w:val="0"/>
      <w:snapToGrid w:val="0"/>
      <w:spacing w:after="6"/>
      <w:jc w:val="center"/>
    </w:pPr>
    <w:rPr>
      <w:rFonts w:eastAsia="仿宋_GB2312"/>
    </w:rPr>
  </w:style>
  <w:style w:type="paragraph" w:customStyle="1" w:styleId="3481">
    <w:name w:val="默认段落字体 Char Char Char"/>
    <w:basedOn w:val="1"/>
    <w:qFormat/>
    <w:uiPriority w:val="0"/>
    <w:rPr>
      <w:sz w:val="24"/>
    </w:rPr>
  </w:style>
  <w:style w:type="paragraph" w:customStyle="1" w:styleId="3482">
    <w:name w:val="样式 化工城正文 + 首行缩进:  2 字符 行距: 多倍行距 1.35 字行"/>
    <w:basedOn w:val="1"/>
    <w:qFormat/>
    <w:uiPriority w:val="0"/>
    <w:pPr>
      <w:spacing w:line="324" w:lineRule="auto"/>
      <w:ind w:firstLine="480" w:firstLineChars="200"/>
    </w:pPr>
    <w:rPr>
      <w:rFonts w:ascii="宋体" w:hAnsi="宋体" w:cs="宋体"/>
      <w:sz w:val="24"/>
    </w:rPr>
  </w:style>
  <w:style w:type="paragraph" w:customStyle="1" w:styleId="3483">
    <w:name w:val="都宝文字"/>
    <w:basedOn w:val="1"/>
    <w:qFormat/>
    <w:uiPriority w:val="0"/>
    <w:pPr>
      <w:spacing w:line="360" w:lineRule="auto"/>
      <w:ind w:firstLine="560" w:firstLineChars="200"/>
    </w:pPr>
    <w:rPr>
      <w:rFonts w:ascii="宋体" w:hAnsi="宋体"/>
      <w:sz w:val="28"/>
      <w:szCs w:val="28"/>
    </w:rPr>
  </w:style>
  <w:style w:type="paragraph" w:customStyle="1" w:styleId="3484">
    <w:name w:val="表5.10－1"/>
    <w:basedOn w:val="1"/>
    <w:qFormat/>
    <w:uiPriority w:val="0"/>
    <w:pPr>
      <w:tabs>
        <w:tab w:val="left" w:pos="720"/>
        <w:tab w:val="center" w:pos="4060"/>
        <w:tab w:val="right" w:pos="8261"/>
      </w:tabs>
      <w:suppressAutoHyphens/>
      <w:adjustRightInd w:val="0"/>
      <w:spacing w:before="240" w:line="0" w:lineRule="atLeast"/>
      <w:ind w:left="-4" w:firstLine="4"/>
    </w:pPr>
    <w:rPr>
      <w:rFonts w:ascii="黑体" w:eastAsia="黑体"/>
      <w:b/>
      <w:spacing w:val="6"/>
      <w:sz w:val="26"/>
      <w:szCs w:val="26"/>
    </w:rPr>
  </w:style>
  <w:style w:type="paragraph" w:customStyle="1" w:styleId="3485">
    <w:name w:val="标题45"/>
    <w:basedOn w:val="1"/>
    <w:qFormat/>
    <w:uiPriority w:val="0"/>
    <w:pPr>
      <w:adjustRightInd w:val="0"/>
      <w:snapToGrid w:val="0"/>
      <w:spacing w:line="360" w:lineRule="auto"/>
      <w:jc w:val="left"/>
    </w:pPr>
    <w:rPr>
      <w:rFonts w:ascii="黑体" w:eastAsia="黑体"/>
      <w:bCs/>
      <w:sz w:val="24"/>
    </w:rPr>
  </w:style>
  <w:style w:type="paragraph" w:customStyle="1" w:styleId="3486">
    <w:name w:val="基准页脚样式"/>
    <w:basedOn w:val="1"/>
    <w:qFormat/>
    <w:uiPriority w:val="0"/>
    <w:pPr>
      <w:spacing w:line="240" w:lineRule="exact"/>
      <w:jc w:val="center"/>
    </w:pPr>
    <w:rPr>
      <w:bCs/>
    </w:rPr>
  </w:style>
  <w:style w:type="paragraph" w:customStyle="1" w:styleId="3487">
    <w:name w:val="表格表题"/>
    <w:basedOn w:val="1"/>
    <w:qFormat/>
    <w:uiPriority w:val="0"/>
    <w:pPr>
      <w:spacing w:line="360" w:lineRule="auto"/>
      <w:jc w:val="center"/>
    </w:pPr>
    <w:rPr>
      <w:rFonts w:ascii="黑体" w:eastAsia="黑体"/>
    </w:rPr>
  </w:style>
  <w:style w:type="paragraph" w:customStyle="1" w:styleId="3488">
    <w:name w:val="表内小49"/>
    <w:basedOn w:val="1427"/>
    <w:qFormat/>
    <w:uiPriority w:val="0"/>
    <w:pPr>
      <w:ind w:left="240" w:hanging="240"/>
      <w:jc w:val="both"/>
    </w:pPr>
    <w:rPr>
      <w:rFonts w:cs="Times New Roman"/>
    </w:rPr>
  </w:style>
  <w:style w:type="paragraph" w:customStyle="1" w:styleId="3489">
    <w:name w:val="04"/>
    <w:basedOn w:val="1"/>
    <w:qFormat/>
    <w:uiPriority w:val="0"/>
    <w:pPr>
      <w:spacing w:line="312" w:lineRule="auto"/>
    </w:pPr>
    <w:rPr>
      <w:rFonts w:eastAsia="华文仿宋"/>
      <w:sz w:val="24"/>
      <w:szCs w:val="30"/>
    </w:rPr>
  </w:style>
  <w:style w:type="paragraph" w:customStyle="1" w:styleId="3490">
    <w:name w:val="表内宋5中12"/>
    <w:basedOn w:val="1"/>
    <w:qFormat/>
    <w:uiPriority w:val="0"/>
    <w:pPr>
      <w:adjustRightInd w:val="0"/>
      <w:snapToGrid w:val="0"/>
      <w:jc w:val="center"/>
      <w:textAlignment w:val="baseline"/>
    </w:pPr>
    <w:rPr>
      <w:rFonts w:ascii="宋体" w:hAnsi="宋体" w:cs="宋体"/>
    </w:rPr>
  </w:style>
  <w:style w:type="paragraph" w:customStyle="1" w:styleId="3491">
    <w:name w:val="标准"/>
    <w:basedOn w:val="1"/>
    <w:qFormat/>
    <w:uiPriority w:val="0"/>
    <w:pPr>
      <w:adjustRightInd w:val="0"/>
      <w:spacing w:line="480" w:lineRule="exact"/>
      <w:textAlignment w:val="baseline"/>
    </w:pPr>
    <w:rPr>
      <w:sz w:val="28"/>
    </w:rPr>
  </w:style>
  <w:style w:type="paragraph" w:customStyle="1" w:styleId="3492">
    <w:name w:val="页眉中11"/>
    <w:basedOn w:val="1"/>
    <w:qFormat/>
    <w:uiPriority w:val="0"/>
    <w:pPr>
      <w:adjustRightInd w:val="0"/>
      <w:snapToGrid w:val="0"/>
      <w:spacing w:line="300" w:lineRule="auto"/>
      <w:jc w:val="left"/>
    </w:pPr>
    <w:rPr>
      <w:rFonts w:ascii="黑体" w:hAnsi="宋体" w:eastAsia="黑体"/>
      <w:sz w:val="24"/>
    </w:rPr>
  </w:style>
  <w:style w:type="paragraph" w:customStyle="1" w:styleId="3493">
    <w:name w:val="表序号"/>
    <w:basedOn w:val="7"/>
    <w:qFormat/>
    <w:uiPriority w:val="0"/>
    <w:pPr>
      <w:tabs>
        <w:tab w:val="left" w:pos="3660"/>
      </w:tabs>
      <w:adjustRightInd/>
      <w:snapToGrid/>
      <w:spacing w:before="0" w:after="0" w:line="360" w:lineRule="auto"/>
      <w:ind w:firstLine="0" w:firstLineChars="0"/>
      <w:jc w:val="center"/>
    </w:pPr>
    <w:rPr>
      <w:rFonts w:ascii="仿宋_GB2312" w:hAnsi="Arial" w:eastAsia="仿宋_GB2312"/>
      <w:spacing w:val="0"/>
      <w:kern w:val="44"/>
      <w:szCs w:val="20"/>
    </w:rPr>
  </w:style>
  <w:style w:type="paragraph" w:customStyle="1" w:styleId="3494">
    <w:name w:val="标题442"/>
    <w:basedOn w:val="1"/>
    <w:qFormat/>
    <w:uiPriority w:val="0"/>
    <w:pPr>
      <w:adjustRightInd w:val="0"/>
      <w:snapToGrid w:val="0"/>
      <w:spacing w:line="300" w:lineRule="auto"/>
      <w:jc w:val="left"/>
    </w:pPr>
    <w:rPr>
      <w:rFonts w:ascii="黑体" w:eastAsia="黑体"/>
      <w:bCs/>
      <w:color w:val="000000"/>
      <w:sz w:val="24"/>
    </w:rPr>
  </w:style>
  <w:style w:type="paragraph" w:customStyle="1" w:styleId="3495">
    <w:name w:val="样式 标题 2节标题 1.11.1标题2b2标题20000000000000000000000000000000000...9"/>
    <w:basedOn w:val="4"/>
    <w:qFormat/>
    <w:uiPriority w:val="0"/>
    <w:pPr>
      <w:keepNext w:val="0"/>
      <w:keepLines w:val="0"/>
      <w:tabs>
        <w:tab w:val="left" w:pos="275"/>
        <w:tab w:val="left" w:pos="576"/>
        <w:tab w:val="clear" w:pos="1427"/>
      </w:tabs>
      <w:spacing w:before="156" w:after="156" w:line="520" w:lineRule="atLeast"/>
      <w:ind w:left="576"/>
      <w:textAlignment w:val="auto"/>
    </w:pPr>
    <w:rPr>
      <w:rFonts w:cs="宋体"/>
      <w:b w:val="0"/>
      <w:bCs/>
      <w:kern w:val="2"/>
    </w:rPr>
  </w:style>
  <w:style w:type="paragraph" w:customStyle="1" w:styleId="3496">
    <w:name w:val="Char Char13 Char Char1"/>
    <w:basedOn w:val="1"/>
    <w:qFormat/>
    <w:uiPriority w:val="0"/>
  </w:style>
  <w:style w:type="paragraph" w:customStyle="1" w:styleId="3497">
    <w:name w:val="表内宋5中43"/>
    <w:basedOn w:val="1"/>
    <w:qFormat/>
    <w:uiPriority w:val="0"/>
    <w:pPr>
      <w:adjustRightInd w:val="0"/>
      <w:snapToGrid w:val="0"/>
      <w:jc w:val="center"/>
      <w:textAlignment w:val="baseline"/>
    </w:pPr>
    <w:rPr>
      <w:rFonts w:ascii="宋体" w:hAnsi="宋体"/>
    </w:rPr>
  </w:style>
  <w:style w:type="paragraph" w:customStyle="1" w:styleId="3498">
    <w:name w:val="Char1 Char Char Char6"/>
    <w:basedOn w:val="1"/>
    <w:qFormat/>
    <w:uiPriority w:val="0"/>
    <w:pPr>
      <w:spacing w:line="360" w:lineRule="auto"/>
      <w:ind w:firstLine="200" w:firstLineChars="200"/>
    </w:pPr>
    <w:rPr>
      <w:rFonts w:ascii="宋体" w:hAnsi="宋体" w:cs="宋体"/>
      <w:sz w:val="24"/>
    </w:rPr>
  </w:style>
  <w:style w:type="paragraph" w:customStyle="1" w:styleId="3499">
    <w:name w:val="页眉中314"/>
    <w:basedOn w:val="1"/>
    <w:qFormat/>
    <w:uiPriority w:val="0"/>
    <w:pPr>
      <w:adjustRightInd w:val="0"/>
      <w:snapToGrid w:val="0"/>
      <w:spacing w:line="360" w:lineRule="auto"/>
      <w:jc w:val="center"/>
    </w:pPr>
    <w:rPr>
      <w:rFonts w:ascii="黑体" w:eastAsia="黑体"/>
      <w:bCs/>
      <w:sz w:val="24"/>
      <w:szCs w:val="28"/>
    </w:rPr>
  </w:style>
  <w:style w:type="paragraph" w:customStyle="1" w:styleId="3500">
    <w:name w:val="福建正文缩进13"/>
    <w:basedOn w:val="21"/>
    <w:qFormat/>
    <w:uiPriority w:val="0"/>
    <w:pPr>
      <w:autoSpaceDE w:val="0"/>
      <w:autoSpaceDN w:val="0"/>
      <w:adjustRightInd w:val="0"/>
      <w:snapToGrid w:val="0"/>
      <w:spacing w:line="360" w:lineRule="auto"/>
      <w:ind w:firstLine="539" w:firstLineChars="0"/>
    </w:pPr>
    <w:rPr>
      <w:rFonts w:ascii="宋体" w:hAnsi="宋体"/>
      <w:szCs w:val="24"/>
    </w:rPr>
  </w:style>
  <w:style w:type="paragraph" w:customStyle="1" w:styleId="3501">
    <w:name w:val="tll"/>
    <w:basedOn w:val="1"/>
    <w:qFormat/>
    <w:uiPriority w:val="0"/>
    <w:pPr>
      <w:autoSpaceDE w:val="0"/>
      <w:autoSpaceDN w:val="0"/>
      <w:adjustRightInd w:val="0"/>
      <w:jc w:val="left"/>
      <w:textAlignment w:val="baseline"/>
    </w:pPr>
    <w:rPr>
      <w:rFonts w:ascii="仿宋_GB2312" w:hAnsi="Arial" w:eastAsia="仿宋_GB2312"/>
    </w:rPr>
  </w:style>
  <w:style w:type="paragraph" w:customStyle="1" w:styleId="3502">
    <w:name w:val="报告章标题"/>
    <w:basedOn w:val="3"/>
    <w:next w:val="1"/>
    <w:qFormat/>
    <w:uiPriority w:val="0"/>
    <w:pPr>
      <w:adjustRightInd w:val="0"/>
      <w:spacing w:before="360" w:after="360" w:line="400" w:lineRule="exact"/>
      <w:ind w:left="482" w:hanging="194"/>
      <w:jc w:val="center"/>
    </w:pPr>
    <w:rPr>
      <w:rFonts w:eastAsia="黑体"/>
      <w:b w:val="0"/>
      <w:bCs w:val="0"/>
      <w:sz w:val="32"/>
      <w:szCs w:val="20"/>
    </w:rPr>
  </w:style>
  <w:style w:type="paragraph" w:customStyle="1" w:styleId="3503">
    <w:name w:val="xl34"/>
    <w:basedOn w:val="1"/>
    <w:qFormat/>
    <w:uiPriority w:val="0"/>
    <w:pPr>
      <w:widowControl/>
      <w:spacing w:before="100" w:beforeAutospacing="1" w:after="100" w:afterAutospacing="1"/>
      <w:jc w:val="center"/>
    </w:pPr>
    <w:rPr>
      <w:rFonts w:ascii="Arial Unicode MS" w:hAnsi="Arial Unicode MS" w:eastAsia="Arial Unicode MS"/>
      <w:sz w:val="24"/>
    </w:rPr>
  </w:style>
  <w:style w:type="paragraph" w:customStyle="1" w:styleId="3504">
    <w:name w:val="样式 首行缩进:  0.85 厘米 行距: 1.5 倍行距"/>
    <w:basedOn w:val="1"/>
    <w:qFormat/>
    <w:uiPriority w:val="0"/>
    <w:pPr>
      <w:spacing w:line="360" w:lineRule="auto"/>
      <w:ind w:firstLine="480"/>
    </w:pPr>
    <w:rPr>
      <w:rFonts w:eastAsia="楷体_GB2312" w:cs="宋体"/>
      <w:sz w:val="24"/>
    </w:rPr>
  </w:style>
  <w:style w:type="paragraph" w:customStyle="1" w:styleId="3505">
    <w:name w:val="列表接续1"/>
    <w:basedOn w:val="1"/>
    <w:qFormat/>
    <w:uiPriority w:val="0"/>
    <w:pPr>
      <w:spacing w:after="120"/>
      <w:ind w:left="420" w:leftChars="200"/>
    </w:pPr>
  </w:style>
  <w:style w:type="paragraph" w:customStyle="1" w:styleId="3506">
    <w:name w:val="title 01"/>
    <w:basedOn w:val="1"/>
    <w:qFormat/>
    <w:uiPriority w:val="0"/>
    <w:pPr>
      <w:spacing w:line="480" w:lineRule="exact"/>
      <w:jc w:val="center"/>
    </w:pPr>
    <w:rPr>
      <w:rFonts w:cs="宋体"/>
      <w:sz w:val="44"/>
    </w:rPr>
  </w:style>
  <w:style w:type="paragraph" w:customStyle="1" w:styleId="3507">
    <w:name w:val="xl94"/>
    <w:basedOn w:val="1"/>
    <w:qFormat/>
    <w:uiPriority w:val="0"/>
    <w:pPr>
      <w:widowControl/>
      <w:spacing w:before="100" w:beforeAutospacing="1" w:after="100" w:afterAutospacing="1"/>
      <w:jc w:val="center"/>
    </w:pPr>
    <w:rPr>
      <w:rFonts w:eastAsia="Arial Unicode MS"/>
    </w:rPr>
  </w:style>
  <w:style w:type="paragraph" w:customStyle="1" w:styleId="3508">
    <w:name w:val="Char Char Char"/>
    <w:basedOn w:val="1"/>
    <w:qFormat/>
    <w:uiPriority w:val="0"/>
  </w:style>
  <w:style w:type="paragraph" w:customStyle="1" w:styleId="3509">
    <w:name w:val="表内宋5中24"/>
    <w:basedOn w:val="1"/>
    <w:qFormat/>
    <w:uiPriority w:val="0"/>
    <w:pPr>
      <w:adjustRightInd w:val="0"/>
      <w:snapToGrid w:val="0"/>
      <w:jc w:val="center"/>
      <w:textAlignment w:val="baseline"/>
    </w:pPr>
    <w:rPr>
      <w:rFonts w:ascii="宋体" w:hAnsi="宋体"/>
    </w:rPr>
  </w:style>
  <w:style w:type="paragraph" w:customStyle="1" w:styleId="3510">
    <w:name w:val="标题435"/>
    <w:basedOn w:val="1"/>
    <w:qFormat/>
    <w:uiPriority w:val="0"/>
    <w:pPr>
      <w:adjustRightInd w:val="0"/>
      <w:snapToGrid w:val="0"/>
      <w:spacing w:line="300" w:lineRule="auto"/>
      <w:jc w:val="left"/>
    </w:pPr>
    <w:rPr>
      <w:rFonts w:ascii="黑体" w:hAnsi="宋体" w:eastAsia="黑体" w:cs="宋体"/>
      <w:sz w:val="24"/>
    </w:rPr>
  </w:style>
  <w:style w:type="paragraph" w:customStyle="1" w:styleId="3511">
    <w:name w:val="Char20"/>
    <w:basedOn w:val="1"/>
    <w:qFormat/>
    <w:uiPriority w:val="0"/>
    <w:pPr>
      <w:spacing w:line="360" w:lineRule="auto"/>
    </w:pPr>
    <w:rPr>
      <w:rFonts w:ascii="Tahoma" w:hAnsi="Tahoma"/>
      <w:sz w:val="28"/>
    </w:rPr>
  </w:style>
  <w:style w:type="paragraph" w:customStyle="1" w:styleId="3512">
    <w:name w:val="样式 标题 3 + (中文) 宋体"/>
    <w:basedOn w:val="5"/>
    <w:qFormat/>
    <w:uiPriority w:val="0"/>
    <w:pPr>
      <w:adjustRightInd/>
      <w:spacing w:before="120" w:after="60" w:line="500" w:lineRule="exact"/>
      <w:ind w:left="720" w:hanging="720"/>
      <w:textAlignment w:val="auto"/>
    </w:pPr>
    <w:rPr>
      <w:rFonts w:eastAsia="宋体"/>
      <w:b w:val="0"/>
      <w:bCs/>
      <w:color w:val="auto"/>
      <w:spacing w:val="0"/>
      <w:sz w:val="24"/>
      <w:szCs w:val="24"/>
    </w:rPr>
  </w:style>
  <w:style w:type="paragraph" w:customStyle="1" w:styleId="3513">
    <w:name w:val="1 Char Char Char Char"/>
    <w:basedOn w:val="1"/>
    <w:qFormat/>
    <w:uiPriority w:val="0"/>
    <w:pPr>
      <w:spacing w:line="360" w:lineRule="auto"/>
      <w:ind w:firstLine="200" w:firstLineChars="200"/>
    </w:pPr>
    <w:rPr>
      <w:rFonts w:ascii="宋体" w:hAnsi="宋体" w:cs="宋体"/>
      <w:sz w:val="24"/>
    </w:rPr>
  </w:style>
  <w:style w:type="paragraph" w:customStyle="1" w:styleId="3514">
    <w:name w:val="CM38"/>
    <w:basedOn w:val="641"/>
    <w:next w:val="641"/>
    <w:qFormat/>
    <w:uiPriority w:val="0"/>
    <w:pPr>
      <w:spacing w:after="108"/>
    </w:pPr>
    <w:rPr>
      <w:rFonts w:ascii="黑体" w:eastAsia="黑体" w:cs="Times New Roman"/>
      <w:color w:val="auto"/>
    </w:rPr>
  </w:style>
  <w:style w:type="paragraph" w:customStyle="1" w:styleId="3515">
    <w:name w:val="xl85"/>
    <w:basedOn w:val="1"/>
    <w:qFormat/>
    <w:uiPriority w:val="0"/>
    <w:pPr>
      <w:widowControl/>
      <w:spacing w:before="100" w:beforeAutospacing="1" w:after="100" w:afterAutospacing="1"/>
      <w:jc w:val="left"/>
      <w:textAlignment w:val="center"/>
    </w:pPr>
    <w:rPr>
      <w:rFonts w:ascii="Arial Unicode MS" w:hAnsi="Arial Unicode MS" w:eastAsia="Arial Unicode MS" w:cs="Arial Unicode MS"/>
    </w:rPr>
  </w:style>
  <w:style w:type="paragraph" w:customStyle="1" w:styleId="3516">
    <w:name w:val="Char Char Char Char Char Char Char Char Char Char Char Char Char Char Char Char Char Char Char Char1"/>
    <w:basedOn w:val="1"/>
    <w:qFormat/>
    <w:uiPriority w:val="0"/>
  </w:style>
  <w:style w:type="paragraph" w:customStyle="1" w:styleId="3517">
    <w:name w:val="4-25正"/>
    <w:basedOn w:val="1"/>
    <w:qFormat/>
    <w:uiPriority w:val="0"/>
    <w:pPr>
      <w:widowControl/>
      <w:spacing w:line="360" w:lineRule="auto"/>
      <w:ind w:firstLine="360" w:firstLineChars="150"/>
    </w:pPr>
    <w:rPr>
      <w:rFonts w:cs="宋体"/>
      <w:sz w:val="24"/>
    </w:rPr>
  </w:style>
  <w:style w:type="paragraph" w:customStyle="1" w:styleId="3518">
    <w:name w:val="页眉中7"/>
    <w:basedOn w:val="1"/>
    <w:qFormat/>
    <w:uiPriority w:val="0"/>
    <w:pPr>
      <w:adjustRightInd w:val="0"/>
      <w:snapToGrid w:val="0"/>
      <w:spacing w:line="300" w:lineRule="auto"/>
      <w:jc w:val="left"/>
    </w:pPr>
    <w:rPr>
      <w:rFonts w:ascii="黑体" w:eastAsia="黑体"/>
      <w:bCs/>
      <w:sz w:val="24"/>
    </w:rPr>
  </w:style>
  <w:style w:type="paragraph" w:customStyle="1" w:styleId="3519">
    <w:name w:val="Char Char Char Char Char Char Char Char Char Char Char Char Char Char Char Char Char Char Char Char Char Char Char Char Char Char Char Char Char Char Char Char Char Char Char Char Char Char Char Char1"/>
    <w:basedOn w:val="1"/>
    <w:qFormat/>
    <w:uiPriority w:val="0"/>
    <w:rPr>
      <w:sz w:val="24"/>
    </w:rPr>
  </w:style>
  <w:style w:type="paragraph" w:customStyle="1" w:styleId="3520">
    <w:name w:val="图题73"/>
    <w:basedOn w:val="1"/>
    <w:qFormat/>
    <w:uiPriority w:val="0"/>
    <w:pPr>
      <w:adjustRightInd w:val="0"/>
      <w:snapToGrid w:val="0"/>
      <w:ind w:firstLine="533" w:firstLineChars="222"/>
      <w:jc w:val="center"/>
    </w:pPr>
    <w:rPr>
      <w:rFonts w:ascii="黑体" w:hAnsi="宋体" w:eastAsia="黑体"/>
      <w:snapToGrid w:val="0"/>
      <w:sz w:val="24"/>
    </w:rPr>
  </w:style>
  <w:style w:type="paragraph" w:customStyle="1" w:styleId="3521">
    <w:name w:val="图题42"/>
    <w:basedOn w:val="21"/>
    <w:qFormat/>
    <w:uiPriority w:val="0"/>
    <w:pPr>
      <w:tabs>
        <w:tab w:val="left" w:pos="5837"/>
      </w:tabs>
      <w:adjustRightInd w:val="0"/>
      <w:snapToGrid w:val="0"/>
      <w:ind w:firstLine="0" w:firstLineChars="0"/>
      <w:jc w:val="center"/>
    </w:pPr>
    <w:rPr>
      <w:rFonts w:ascii="方正大标宋简体" w:hAnsi="宋体" w:eastAsia="方正大标宋简体" w:cs="宋体"/>
      <w:szCs w:val="24"/>
    </w:rPr>
  </w:style>
  <w:style w:type="paragraph" w:customStyle="1" w:styleId="3522">
    <w:name w:val="样式 标题 2 + (西文) Times New Roman (中文) 宋体 行距: 固定值 20 磅"/>
    <w:basedOn w:val="4"/>
    <w:qFormat/>
    <w:uiPriority w:val="0"/>
    <w:pPr>
      <w:tabs>
        <w:tab w:val="left" w:pos="1429"/>
        <w:tab w:val="clear" w:pos="1427"/>
      </w:tabs>
      <w:adjustRightInd/>
      <w:spacing w:beforeLines="0" w:afterLines="0" w:line="400" w:lineRule="exact"/>
      <w:ind w:left="709"/>
      <w:jc w:val="both"/>
      <w:textAlignment w:val="auto"/>
    </w:pPr>
    <w:rPr>
      <w:rFonts w:cs="宋体"/>
      <w:bCs/>
      <w:kern w:val="2"/>
    </w:rPr>
  </w:style>
  <w:style w:type="paragraph" w:customStyle="1" w:styleId="3523">
    <w:name w:val="表内宋5中6"/>
    <w:basedOn w:val="1"/>
    <w:qFormat/>
    <w:uiPriority w:val="0"/>
    <w:pPr>
      <w:adjustRightInd w:val="0"/>
      <w:snapToGrid w:val="0"/>
      <w:jc w:val="center"/>
      <w:textAlignment w:val="baseline"/>
    </w:pPr>
    <w:rPr>
      <w:rFonts w:ascii="宋体" w:hAnsi="宋体" w:cs="宋体"/>
    </w:rPr>
  </w:style>
  <w:style w:type="paragraph" w:customStyle="1" w:styleId="3524">
    <w:name w:val="小5"/>
    <w:basedOn w:val="1"/>
    <w:qFormat/>
    <w:uiPriority w:val="0"/>
    <w:pPr>
      <w:widowControl/>
      <w:adjustRightInd w:val="0"/>
      <w:snapToGrid w:val="0"/>
      <w:jc w:val="center"/>
    </w:pPr>
    <w:rPr>
      <w:rFonts w:ascii="宋体" w:hAnsi="宋体" w:cs="宋体"/>
      <w:sz w:val="18"/>
      <w:szCs w:val="18"/>
    </w:rPr>
  </w:style>
  <w:style w:type="paragraph" w:customStyle="1" w:styleId="3525">
    <w:name w:val="Char1 Char Char3 Char Char Char Char"/>
    <w:basedOn w:val="1"/>
    <w:qFormat/>
    <w:uiPriority w:val="0"/>
    <w:pPr>
      <w:tabs>
        <w:tab w:val="left" w:pos="4665"/>
        <w:tab w:val="left" w:pos="8970"/>
      </w:tabs>
      <w:spacing w:line="500" w:lineRule="exact"/>
      <w:ind w:firstLine="420" w:firstLineChars="200"/>
      <w:jc w:val="center"/>
    </w:pPr>
    <w:rPr>
      <w:rFonts w:ascii="Tahoma" w:hAnsi="Tahoma"/>
      <w:szCs w:val="21"/>
    </w:rPr>
  </w:style>
  <w:style w:type="paragraph" w:customStyle="1" w:styleId="3526">
    <w:name w:val="目录2222222"/>
    <w:basedOn w:val="4"/>
    <w:qFormat/>
    <w:uiPriority w:val="0"/>
    <w:pPr>
      <w:tabs>
        <w:tab w:val="left" w:pos="527"/>
        <w:tab w:val="clear" w:pos="1427"/>
      </w:tabs>
      <w:spacing w:line="500" w:lineRule="exact"/>
      <w:jc w:val="both"/>
      <w:textAlignment w:val="auto"/>
    </w:pPr>
    <w:rPr>
      <w:kern w:val="2"/>
      <w:sz w:val="30"/>
    </w:rPr>
  </w:style>
  <w:style w:type="paragraph" w:customStyle="1" w:styleId="3527">
    <w:name w:val="Char Char Char Char1 Char"/>
    <w:basedOn w:val="1"/>
    <w:qFormat/>
    <w:uiPriority w:val="0"/>
    <w:rPr>
      <w:sz w:val="24"/>
    </w:rPr>
  </w:style>
  <w:style w:type="paragraph" w:customStyle="1" w:styleId="3528">
    <w:name w:val="目录3"/>
    <w:basedOn w:val="1"/>
    <w:next w:val="1"/>
    <w:qFormat/>
    <w:uiPriority w:val="0"/>
    <w:pPr>
      <w:widowControl/>
      <w:tabs>
        <w:tab w:val="left" w:leader="dot" w:pos="8492"/>
      </w:tabs>
      <w:spacing w:line="748" w:lineRule="atLeast"/>
      <w:ind w:left="419" w:firstLine="419"/>
    </w:pPr>
    <w:rPr>
      <w:rFonts w:ascii="宋体"/>
      <w:color w:val="000000"/>
      <w:u w:color="000000"/>
    </w:rPr>
  </w:style>
  <w:style w:type="paragraph" w:customStyle="1" w:styleId="3529">
    <w:name w:val="图框"/>
    <w:basedOn w:val="1"/>
    <w:qFormat/>
    <w:uiPriority w:val="0"/>
    <w:pPr>
      <w:pBdr>
        <w:top w:val="thinThickSmallGap" w:color="auto" w:sz="18" w:space="1"/>
        <w:left w:val="thinThickSmallGap" w:color="auto" w:sz="18" w:space="4"/>
        <w:bottom w:val="thickThinSmallGap" w:color="auto" w:sz="18" w:space="1"/>
        <w:right w:val="thickThinSmallGap" w:color="auto" w:sz="18" w:space="4"/>
      </w:pBdr>
      <w:spacing w:line="360" w:lineRule="auto"/>
      <w:ind w:firstLine="480" w:firstLineChars="200"/>
    </w:pPr>
    <w:rPr>
      <w:sz w:val="24"/>
    </w:rPr>
  </w:style>
  <w:style w:type="paragraph" w:customStyle="1" w:styleId="3530">
    <w:name w:val="自定义缩进"/>
    <w:basedOn w:val="1"/>
    <w:qFormat/>
    <w:uiPriority w:val="0"/>
    <w:pPr>
      <w:keepNext/>
      <w:spacing w:line="336" w:lineRule="auto"/>
      <w:ind w:firstLine="480" w:firstLineChars="200"/>
      <w:jc w:val="left"/>
    </w:pPr>
    <w:rPr>
      <w:rFonts w:ascii="宋体" w:hAnsi="宋体"/>
      <w:sz w:val="24"/>
    </w:rPr>
  </w:style>
  <w:style w:type="paragraph" w:customStyle="1" w:styleId="3531">
    <w:name w:val="biaozhun"/>
    <w:basedOn w:val="1"/>
    <w:qFormat/>
    <w:uiPriority w:val="0"/>
    <w:pPr>
      <w:widowControl/>
      <w:spacing w:before="100" w:beforeAutospacing="1" w:after="100" w:afterAutospacing="1" w:line="480" w:lineRule="exact"/>
      <w:jc w:val="left"/>
    </w:pPr>
    <w:rPr>
      <w:rFonts w:ascii="宋体" w:hAnsi="宋体" w:cs="宋体"/>
      <w:sz w:val="24"/>
    </w:rPr>
  </w:style>
  <w:style w:type="paragraph" w:customStyle="1" w:styleId="3532">
    <w:name w:val="样式 样式2 + (符号) 宋体 Char"/>
    <w:basedOn w:val="1"/>
    <w:qFormat/>
    <w:uiPriority w:val="0"/>
    <w:pPr>
      <w:adjustRightInd w:val="0"/>
      <w:snapToGrid w:val="0"/>
      <w:spacing w:line="480" w:lineRule="exact"/>
      <w:ind w:firstLine="480" w:firstLineChars="200"/>
    </w:pPr>
    <w:rPr>
      <w:sz w:val="24"/>
      <w:szCs w:val="28"/>
    </w:rPr>
  </w:style>
  <w:style w:type="paragraph" w:customStyle="1" w:styleId="3533">
    <w:name w:val="尾注文本1"/>
    <w:basedOn w:val="21"/>
    <w:qFormat/>
    <w:uiPriority w:val="0"/>
    <w:pPr>
      <w:adjustRightInd w:val="0"/>
      <w:spacing w:line="360" w:lineRule="atLeast"/>
      <w:ind w:firstLine="0" w:firstLineChars="0"/>
      <w:jc w:val="left"/>
      <w:textAlignment w:val="baseline"/>
    </w:pPr>
    <w:rPr>
      <w:rFonts w:ascii="宋体" w:hAnsi="Calibri"/>
      <w:sz w:val="21"/>
      <w:szCs w:val="22"/>
    </w:rPr>
  </w:style>
  <w:style w:type="paragraph" w:customStyle="1" w:styleId="3534">
    <w:name w:val="福建正文缩进1"/>
    <w:basedOn w:val="21"/>
    <w:qFormat/>
    <w:uiPriority w:val="0"/>
    <w:pPr>
      <w:autoSpaceDE w:val="0"/>
      <w:autoSpaceDN w:val="0"/>
      <w:adjustRightInd w:val="0"/>
      <w:snapToGrid w:val="0"/>
      <w:spacing w:line="360" w:lineRule="auto"/>
      <w:ind w:firstLine="539" w:firstLineChars="0"/>
    </w:pPr>
    <w:rPr>
      <w:rFonts w:ascii="宋体" w:hAnsi="宋体"/>
      <w:b/>
      <w:szCs w:val="24"/>
    </w:rPr>
  </w:style>
  <w:style w:type="paragraph" w:customStyle="1" w:styleId="3535">
    <w:name w:val="Date1"/>
    <w:basedOn w:val="1"/>
    <w:next w:val="1"/>
    <w:qFormat/>
    <w:uiPriority w:val="0"/>
    <w:pPr>
      <w:adjustRightInd w:val="0"/>
      <w:textAlignment w:val="baseline"/>
    </w:pPr>
    <w:rPr>
      <w:sz w:val="28"/>
    </w:rPr>
  </w:style>
  <w:style w:type="paragraph" w:customStyle="1" w:styleId="3536">
    <w:name w:val="图表名称5"/>
    <w:basedOn w:val="87"/>
    <w:qFormat/>
    <w:uiPriority w:val="0"/>
    <w:pPr>
      <w:adjustRightInd w:val="0"/>
      <w:snapToGrid w:val="0"/>
      <w:ind w:firstLine="0" w:firstLineChars="0"/>
      <w:jc w:val="center"/>
    </w:pPr>
    <w:rPr>
      <w:rFonts w:ascii="宋体" w:hAnsi="宋体"/>
      <w:sz w:val="24"/>
      <w:szCs w:val="21"/>
    </w:rPr>
  </w:style>
  <w:style w:type="paragraph" w:customStyle="1" w:styleId="3537">
    <w:name w:val="表内5中16"/>
    <w:basedOn w:val="1106"/>
    <w:qFormat/>
    <w:uiPriority w:val="0"/>
    <w:pPr>
      <w:spacing w:line="240" w:lineRule="auto"/>
    </w:pPr>
    <w:rPr>
      <w:rFonts w:hAnsi="Times New Roman"/>
      <w:bCs/>
    </w:rPr>
  </w:style>
  <w:style w:type="paragraph" w:customStyle="1" w:styleId="3538">
    <w:name w:val="表内"/>
    <w:basedOn w:val="1"/>
    <w:qFormat/>
    <w:uiPriority w:val="0"/>
    <w:pPr>
      <w:jc w:val="center"/>
    </w:pPr>
  </w:style>
  <w:style w:type="paragraph" w:customStyle="1" w:styleId="3539">
    <w:name w:val="样式 样式 宋体 小四 黑色 行距: 固定值 25 磅2 + 首行缩进:  2 字符"/>
    <w:basedOn w:val="1"/>
    <w:qFormat/>
    <w:uiPriority w:val="0"/>
    <w:pPr>
      <w:spacing w:line="360" w:lineRule="auto"/>
      <w:ind w:firstLine="200" w:firstLineChars="200"/>
    </w:pPr>
    <w:rPr>
      <w:rFonts w:ascii="宋体" w:hAnsi="宋体" w:cs="宋体"/>
      <w:color w:val="000000"/>
      <w:sz w:val="24"/>
    </w:rPr>
  </w:style>
  <w:style w:type="paragraph" w:customStyle="1" w:styleId="3540">
    <w:name w:val="文本框文字"/>
    <w:basedOn w:val="1"/>
    <w:qFormat/>
    <w:uiPriority w:val="0"/>
    <w:pPr>
      <w:adjustRightInd w:val="0"/>
      <w:jc w:val="center"/>
      <w:textAlignment w:val="baseline"/>
    </w:pPr>
  </w:style>
  <w:style w:type="paragraph" w:customStyle="1" w:styleId="3541">
    <w:name w:val="样式 正文缩进正文（首行缩进两字）正文（首行缩进两字） Char Char Char Char Char Char Char..."/>
    <w:basedOn w:val="21"/>
    <w:qFormat/>
    <w:uiPriority w:val="0"/>
    <w:pPr>
      <w:tabs>
        <w:tab w:val="left" w:pos="3360"/>
      </w:tabs>
      <w:adjustRightInd w:val="0"/>
      <w:snapToGrid w:val="0"/>
      <w:spacing w:line="360" w:lineRule="auto"/>
      <w:ind w:firstLine="480" w:firstLineChars="0"/>
      <w:textAlignment w:val="baseline"/>
    </w:pPr>
    <w:rPr>
      <w:rFonts w:ascii="楷体_GB2312" w:hAnsi="Calibri" w:eastAsia="楷体_GB2312"/>
      <w:snapToGrid w:val="0"/>
      <w:szCs w:val="24"/>
    </w:rPr>
  </w:style>
  <w:style w:type="paragraph" w:customStyle="1" w:styleId="3542">
    <w:name w:val="cauc-TB"/>
    <w:qFormat/>
    <w:uiPriority w:val="0"/>
    <w:pPr>
      <w:jc w:val="center"/>
    </w:pPr>
    <w:rPr>
      <w:rFonts w:ascii="Times New Roman" w:hAnsi="Times New Roman" w:eastAsia="宋体" w:cs="Times New Roman"/>
      <w:kern w:val="2"/>
      <w:sz w:val="24"/>
      <w:szCs w:val="24"/>
      <w:lang w:val="en-US" w:eastAsia="zh-CN" w:bidi="ar-SA"/>
    </w:rPr>
  </w:style>
  <w:style w:type="paragraph" w:customStyle="1" w:styleId="3543">
    <w:name w:val="福建正文缩进21"/>
    <w:basedOn w:val="1"/>
    <w:qFormat/>
    <w:uiPriority w:val="0"/>
    <w:pPr>
      <w:tabs>
        <w:tab w:val="left" w:pos="4305"/>
      </w:tabs>
      <w:adjustRightInd w:val="0"/>
      <w:snapToGrid w:val="0"/>
      <w:spacing w:line="360" w:lineRule="auto"/>
      <w:ind w:firstLine="567"/>
    </w:pPr>
    <w:rPr>
      <w:rFonts w:ascii="宋体" w:hAnsi="宋体"/>
      <w:color w:val="000000"/>
      <w:sz w:val="24"/>
    </w:rPr>
  </w:style>
  <w:style w:type="paragraph" w:customStyle="1" w:styleId="3544">
    <w:name w:val="页眉中46"/>
    <w:basedOn w:val="1"/>
    <w:qFormat/>
    <w:uiPriority w:val="0"/>
    <w:pPr>
      <w:adjustRightInd w:val="0"/>
      <w:snapToGrid w:val="0"/>
      <w:spacing w:line="300" w:lineRule="auto"/>
      <w:jc w:val="left"/>
    </w:pPr>
    <w:rPr>
      <w:rFonts w:ascii="黑体" w:eastAsia="黑体"/>
      <w:bCs/>
      <w:sz w:val="24"/>
    </w:rPr>
  </w:style>
  <w:style w:type="paragraph" w:customStyle="1" w:styleId="3545">
    <w:name w:val="页眉中143"/>
    <w:basedOn w:val="1"/>
    <w:qFormat/>
    <w:uiPriority w:val="0"/>
    <w:pPr>
      <w:adjustRightInd w:val="0"/>
      <w:snapToGrid w:val="0"/>
      <w:spacing w:line="300" w:lineRule="auto"/>
      <w:jc w:val="left"/>
    </w:pPr>
    <w:rPr>
      <w:rFonts w:ascii="黑体" w:eastAsia="黑体"/>
      <w:bCs/>
      <w:sz w:val="24"/>
    </w:rPr>
  </w:style>
  <w:style w:type="paragraph" w:customStyle="1" w:styleId="3546">
    <w:name w:val="样式 首行缩进:  0.99 厘米 行距: 1.5 倍行距2"/>
    <w:basedOn w:val="1"/>
    <w:qFormat/>
    <w:uiPriority w:val="0"/>
    <w:pPr>
      <w:adjustRightInd w:val="0"/>
      <w:snapToGrid w:val="0"/>
      <w:jc w:val="center"/>
    </w:pPr>
    <w:rPr>
      <w:rFonts w:ascii="宋体" w:hAnsi="宋体"/>
      <w:color w:val="FF0000"/>
      <w:szCs w:val="21"/>
    </w:rPr>
  </w:style>
  <w:style w:type="paragraph" w:customStyle="1" w:styleId="3547">
    <w:name w:val="样式 表标12.2 + 段前: 1 行"/>
    <w:basedOn w:val="3047"/>
    <w:qFormat/>
    <w:uiPriority w:val="0"/>
    <w:pPr>
      <w:tabs>
        <w:tab w:val="left" w:pos="851"/>
        <w:tab w:val="clear" w:pos="280"/>
      </w:tabs>
      <w:spacing w:beforeLines="0"/>
    </w:pPr>
    <w:rPr>
      <w:rFonts w:cs="宋体"/>
      <w:bCs/>
      <w:szCs w:val="20"/>
    </w:rPr>
  </w:style>
  <w:style w:type="paragraph" w:customStyle="1" w:styleId="3548">
    <w:name w:val="Char Char Char Char Char Char1 Char Char Char Char Char Char Char1"/>
    <w:basedOn w:val="1"/>
    <w:qFormat/>
    <w:uiPriority w:val="0"/>
  </w:style>
  <w:style w:type="paragraph" w:customStyle="1" w:styleId="3549">
    <w:name w:val="表题19"/>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3550">
    <w:name w:val="Char112"/>
    <w:basedOn w:val="1"/>
    <w:qFormat/>
    <w:uiPriority w:val="0"/>
    <w:pPr>
      <w:spacing w:line="480" w:lineRule="exact"/>
      <w:ind w:left="-48"/>
    </w:pPr>
  </w:style>
  <w:style w:type="paragraph" w:customStyle="1" w:styleId="3551">
    <w:name w:val="样式115"/>
    <w:basedOn w:val="1"/>
    <w:qFormat/>
    <w:uiPriority w:val="0"/>
    <w:pPr>
      <w:adjustRightInd w:val="0"/>
      <w:snapToGrid w:val="0"/>
      <w:spacing w:line="300" w:lineRule="auto"/>
      <w:jc w:val="center"/>
      <w:textAlignment w:val="baseline"/>
    </w:pPr>
    <w:rPr>
      <w:rFonts w:ascii="仿宋_GB2312" w:hAnsi="Courier New" w:eastAsia="仿宋_GB2312"/>
      <w:b/>
      <w:sz w:val="28"/>
    </w:rPr>
  </w:style>
  <w:style w:type="paragraph" w:customStyle="1" w:styleId="3552">
    <w:name w:val="标题411"/>
    <w:basedOn w:val="1"/>
    <w:qFormat/>
    <w:uiPriority w:val="0"/>
    <w:pPr>
      <w:adjustRightInd w:val="0"/>
      <w:snapToGrid w:val="0"/>
      <w:spacing w:line="300" w:lineRule="auto"/>
      <w:jc w:val="left"/>
    </w:pPr>
    <w:rPr>
      <w:rFonts w:ascii="黑体" w:hAnsi="宋体" w:eastAsia="黑体" w:cs="宋体"/>
      <w:bCs/>
      <w:sz w:val="24"/>
    </w:rPr>
  </w:style>
  <w:style w:type="paragraph" w:customStyle="1" w:styleId="3553">
    <w:name w:val="灯泡注释(打印无效)"/>
    <w:basedOn w:val="87"/>
    <w:qFormat/>
    <w:uiPriority w:val="0"/>
    <w:pPr>
      <w:snapToGrid w:val="0"/>
      <w:ind w:firstLine="0" w:firstLineChars="0"/>
    </w:pPr>
    <w:rPr>
      <w:rFonts w:ascii="Calibri" w:hAnsi="Calibri"/>
      <w:i/>
      <w:vanish/>
      <w:color w:val="FF0000"/>
      <w:szCs w:val="21"/>
    </w:rPr>
  </w:style>
  <w:style w:type="paragraph" w:customStyle="1" w:styleId="3554">
    <w:name w:val="表题54"/>
    <w:basedOn w:val="35"/>
    <w:qFormat/>
    <w:uiPriority w:val="0"/>
    <w:pPr>
      <w:tabs>
        <w:tab w:val="left" w:pos="4305"/>
      </w:tabs>
      <w:adjustRightInd w:val="0"/>
      <w:snapToGrid w:val="0"/>
      <w:spacing w:after="0"/>
      <w:ind w:left="0" w:leftChars="0"/>
      <w:jc w:val="center"/>
    </w:pPr>
    <w:rPr>
      <w:rFonts w:ascii="黑体" w:hAnsi="宋体" w:eastAsia="黑体"/>
      <w:color w:val="000000"/>
      <w:sz w:val="24"/>
      <w:szCs w:val="20"/>
    </w:rPr>
  </w:style>
  <w:style w:type="paragraph" w:customStyle="1" w:styleId="3555">
    <w:name w:val="五级条标题"/>
    <w:basedOn w:val="2097"/>
    <w:next w:val="1"/>
    <w:qFormat/>
    <w:uiPriority w:val="0"/>
    <w:pPr>
      <w:outlineLvl w:val="6"/>
    </w:pPr>
  </w:style>
  <w:style w:type="paragraph" w:customStyle="1" w:styleId="3556">
    <w:name w:val="页眉xx1"/>
    <w:basedOn w:val="58"/>
    <w:qFormat/>
    <w:uiPriority w:val="0"/>
    <w:pPr>
      <w:pBdr>
        <w:bottom w:val="single" w:color="auto" w:sz="2" w:space="1"/>
      </w:pBdr>
      <w:tabs>
        <w:tab w:val="clear" w:pos="4153"/>
      </w:tabs>
      <w:adjustRightInd w:val="0"/>
    </w:pPr>
    <w:rPr>
      <w:rFonts w:ascii="宋体" w:hAnsi="宋体"/>
      <w:sz w:val="21"/>
      <w:szCs w:val="20"/>
    </w:rPr>
  </w:style>
  <w:style w:type="paragraph" w:customStyle="1" w:styleId="3557">
    <w:name w:val="表内585"/>
    <w:basedOn w:val="1"/>
    <w:qFormat/>
    <w:uiPriority w:val="0"/>
    <w:pPr>
      <w:adjustRightInd w:val="0"/>
      <w:snapToGrid w:val="0"/>
      <w:spacing w:line="300" w:lineRule="auto"/>
      <w:jc w:val="left"/>
    </w:pPr>
    <w:rPr>
      <w:rFonts w:ascii="宋体"/>
    </w:rPr>
  </w:style>
  <w:style w:type="paragraph" w:customStyle="1" w:styleId="3558">
    <w:name w:val="页眉中75"/>
    <w:basedOn w:val="1"/>
    <w:qFormat/>
    <w:uiPriority w:val="0"/>
    <w:pPr>
      <w:adjustRightInd w:val="0"/>
      <w:snapToGrid w:val="0"/>
      <w:spacing w:line="300" w:lineRule="auto"/>
      <w:jc w:val="left"/>
    </w:pPr>
    <w:rPr>
      <w:rFonts w:ascii="黑体" w:eastAsia="黑体"/>
      <w:bCs/>
      <w:sz w:val="24"/>
    </w:rPr>
  </w:style>
  <w:style w:type="paragraph" w:customStyle="1" w:styleId="3559">
    <w:name w:val="样式 五号"/>
    <w:basedOn w:val="1"/>
    <w:qFormat/>
    <w:uiPriority w:val="0"/>
    <w:pPr>
      <w:spacing w:line="400" w:lineRule="exact"/>
      <w:jc w:val="center"/>
    </w:pPr>
    <w:rPr>
      <w:rFonts w:cs="宋体"/>
    </w:rPr>
  </w:style>
  <w:style w:type="paragraph" w:customStyle="1" w:styleId="3560">
    <w:name w:val="表题 Char5"/>
    <w:basedOn w:val="1"/>
    <w:qFormat/>
    <w:uiPriority w:val="0"/>
    <w:pPr>
      <w:spacing w:line="360" w:lineRule="auto"/>
      <w:jc w:val="center"/>
    </w:pPr>
    <w:rPr>
      <w:rFonts w:ascii="黑体" w:eastAsia="黑体"/>
      <w:bCs/>
      <w:sz w:val="28"/>
      <w:szCs w:val="28"/>
    </w:rPr>
  </w:style>
  <w:style w:type="paragraph" w:customStyle="1" w:styleId="3561">
    <w:name w:val="正文文字 3"/>
    <w:basedOn w:val="1"/>
    <w:qFormat/>
    <w:uiPriority w:val="0"/>
    <w:pPr>
      <w:snapToGrid w:val="0"/>
      <w:spacing w:line="360" w:lineRule="auto"/>
    </w:pPr>
    <w:rPr>
      <w:sz w:val="30"/>
      <w:szCs w:val="30"/>
    </w:rPr>
  </w:style>
  <w:style w:type="paragraph" w:customStyle="1" w:styleId="3562">
    <w:name w:val="样式 (西文) 宋体 五号 居中"/>
    <w:basedOn w:val="1"/>
    <w:qFormat/>
    <w:uiPriority w:val="0"/>
    <w:pPr>
      <w:jc w:val="center"/>
    </w:pPr>
    <w:rPr>
      <w:rFonts w:ascii="宋体" w:hAnsi="宋体" w:cs="宋体"/>
    </w:rPr>
  </w:style>
  <w:style w:type="paragraph" w:customStyle="1" w:styleId="3563">
    <w:name w:val="Char3 Char Char Char3"/>
    <w:basedOn w:val="1"/>
    <w:qFormat/>
    <w:uiPriority w:val="0"/>
    <w:pPr>
      <w:spacing w:line="360" w:lineRule="auto"/>
      <w:ind w:firstLine="200" w:firstLineChars="200"/>
    </w:pPr>
    <w:rPr>
      <w:rFonts w:ascii="宋体" w:hAnsi="宋体" w:cs="宋体"/>
      <w:sz w:val="24"/>
    </w:rPr>
  </w:style>
  <w:style w:type="paragraph" w:customStyle="1" w:styleId="3564">
    <w:name w:val="22.1.7.1标题4"/>
    <w:basedOn w:val="6"/>
    <w:qFormat/>
    <w:uiPriority w:val="0"/>
    <w:pPr>
      <w:keepNext w:val="0"/>
      <w:keepLines w:val="0"/>
      <w:tabs>
        <w:tab w:val="left" w:pos="455"/>
      </w:tabs>
      <w:spacing w:before="120" w:after="120" w:line="312" w:lineRule="auto"/>
      <w:ind w:left="-997" w:firstLine="997"/>
    </w:pPr>
    <w:rPr>
      <w:rFonts w:hAnsi="Times New Roman"/>
      <w:sz w:val="24"/>
      <w:szCs w:val="24"/>
    </w:rPr>
  </w:style>
  <w:style w:type="paragraph" w:customStyle="1" w:styleId="3565">
    <w:name w:val="条题"/>
    <w:basedOn w:val="1"/>
    <w:qFormat/>
    <w:uiPriority w:val="0"/>
    <w:pPr>
      <w:tabs>
        <w:tab w:val="left" w:pos="1278"/>
      </w:tabs>
      <w:spacing w:line="500" w:lineRule="exact"/>
      <w:ind w:firstLine="480" w:firstLineChars="200"/>
    </w:pPr>
    <w:rPr>
      <w:sz w:val="24"/>
    </w:rPr>
  </w:style>
  <w:style w:type="paragraph" w:customStyle="1" w:styleId="3566">
    <w:name w:val="w2"/>
    <w:basedOn w:val="1"/>
    <w:qFormat/>
    <w:uiPriority w:val="0"/>
    <w:pPr>
      <w:spacing w:line="360" w:lineRule="auto"/>
    </w:pPr>
    <w:rPr>
      <w:rFonts w:ascii="宋体" w:hAnsi="宋体"/>
      <w:b/>
      <w:bCs/>
      <w:color w:val="000080"/>
      <w:sz w:val="24"/>
    </w:rPr>
  </w:style>
  <w:style w:type="paragraph" w:customStyle="1" w:styleId="3567">
    <w:name w:val="表中文字1"/>
    <w:basedOn w:val="1"/>
    <w:qFormat/>
    <w:uiPriority w:val="0"/>
    <w:pPr>
      <w:widowControl/>
      <w:spacing w:line="240" w:lineRule="atLeast"/>
      <w:ind w:left="-24" w:leftChars="-10" w:right="-48" w:rightChars="-20"/>
      <w:jc w:val="center"/>
    </w:pPr>
    <w:rPr>
      <w:rFonts w:ascii="宋体"/>
      <w:szCs w:val="21"/>
    </w:rPr>
  </w:style>
  <w:style w:type="paragraph" w:customStyle="1" w:styleId="3568">
    <w:name w:val="Char1411"/>
    <w:basedOn w:val="1"/>
    <w:qFormat/>
    <w:uiPriority w:val="0"/>
    <w:pPr>
      <w:ind w:left="-48"/>
    </w:pPr>
  </w:style>
  <w:style w:type="paragraph" w:customStyle="1" w:styleId="3569">
    <w:name w:val="表标题5.16"/>
    <w:basedOn w:val="1"/>
    <w:qFormat/>
    <w:uiPriority w:val="0"/>
    <w:pPr>
      <w:tabs>
        <w:tab w:val="left" w:pos="420"/>
      </w:tabs>
      <w:spacing w:beforeLines="100" w:line="0" w:lineRule="atLeast"/>
      <w:ind w:left="420" w:hanging="420"/>
    </w:pPr>
    <w:rPr>
      <w:rFonts w:eastAsia="黑体"/>
      <w:b/>
      <w:sz w:val="24"/>
    </w:rPr>
  </w:style>
  <w:style w:type="paragraph" w:customStyle="1" w:styleId="3570">
    <w:name w:val="文字"/>
    <w:basedOn w:val="1"/>
    <w:qFormat/>
    <w:uiPriority w:val="0"/>
    <w:pPr>
      <w:spacing w:line="360" w:lineRule="auto"/>
      <w:ind w:firstLine="200" w:firstLineChars="200"/>
    </w:pPr>
    <w:rPr>
      <w:rFonts w:ascii="宋体" w:hAnsi="宋体"/>
      <w:sz w:val="28"/>
    </w:rPr>
  </w:style>
  <w:style w:type="paragraph" w:customStyle="1" w:styleId="3571">
    <w:name w:val="xl42"/>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sz w:val="24"/>
    </w:rPr>
  </w:style>
  <w:style w:type="paragraph" w:customStyle="1" w:styleId="3572">
    <w:name w:val="表题17"/>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3573">
    <w:name w:val="标题4样式"/>
    <w:basedOn w:val="6"/>
    <w:qFormat/>
    <w:uiPriority w:val="0"/>
    <w:pPr>
      <w:widowControl/>
      <w:autoSpaceDE w:val="0"/>
      <w:autoSpaceDN w:val="0"/>
      <w:adjustRightInd w:val="0"/>
      <w:spacing w:before="0" w:after="0" w:line="360" w:lineRule="auto"/>
      <w:jc w:val="left"/>
      <w:textAlignment w:val="baseline"/>
    </w:pPr>
    <w:rPr>
      <w:rFonts w:ascii="黑体"/>
      <w:bCs w:val="0"/>
      <w:sz w:val="24"/>
      <w:szCs w:val="20"/>
    </w:rPr>
  </w:style>
  <w:style w:type="paragraph" w:customStyle="1" w:styleId="3574">
    <w:name w:val="图题45"/>
    <w:basedOn w:val="21"/>
    <w:qFormat/>
    <w:uiPriority w:val="0"/>
    <w:pPr>
      <w:tabs>
        <w:tab w:val="left" w:pos="5837"/>
      </w:tabs>
      <w:adjustRightInd w:val="0"/>
      <w:snapToGrid w:val="0"/>
      <w:ind w:firstLine="0" w:firstLineChars="0"/>
      <w:jc w:val="center"/>
    </w:pPr>
    <w:rPr>
      <w:rFonts w:ascii="方正大标宋简体" w:hAnsi="宋体" w:eastAsia="方正大标宋简体" w:cs="宋体"/>
      <w:szCs w:val="24"/>
    </w:rPr>
  </w:style>
  <w:style w:type="paragraph" w:customStyle="1" w:styleId="3575">
    <w:name w:val="图题注3"/>
    <w:basedOn w:val="22"/>
    <w:qFormat/>
    <w:uiPriority w:val="0"/>
    <w:pPr>
      <w:adjustRightInd/>
      <w:textAlignment w:val="auto"/>
    </w:pPr>
    <w:rPr>
      <w:rFonts w:hAnsi="Arial" w:cs="宋体"/>
      <w:b/>
      <w:bCs/>
      <w:kern w:val="2"/>
      <w:sz w:val="24"/>
      <w:szCs w:val="24"/>
    </w:rPr>
  </w:style>
  <w:style w:type="paragraph" w:customStyle="1" w:styleId="3576">
    <w:name w:val="正文21"/>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3577">
    <w:name w:val="标题445"/>
    <w:basedOn w:val="1"/>
    <w:qFormat/>
    <w:uiPriority w:val="0"/>
    <w:pPr>
      <w:adjustRightInd w:val="0"/>
      <w:snapToGrid w:val="0"/>
      <w:spacing w:line="300" w:lineRule="auto"/>
      <w:jc w:val="left"/>
    </w:pPr>
    <w:rPr>
      <w:rFonts w:ascii="黑体" w:eastAsia="黑体"/>
      <w:bCs/>
      <w:color w:val="000000"/>
      <w:sz w:val="24"/>
    </w:rPr>
  </w:style>
  <w:style w:type="paragraph" w:customStyle="1" w:styleId="3578">
    <w:name w:val="样式 燕山正文 + 首行缩进:  3.5 字符13"/>
    <w:basedOn w:val="1"/>
    <w:qFormat/>
    <w:uiPriority w:val="0"/>
    <w:pPr>
      <w:tabs>
        <w:tab w:val="left" w:pos="4680"/>
      </w:tabs>
      <w:adjustRightInd w:val="0"/>
      <w:snapToGrid w:val="0"/>
      <w:spacing w:line="360" w:lineRule="auto"/>
      <w:ind w:firstLine="200" w:firstLineChars="200"/>
    </w:pPr>
    <w:rPr>
      <w:rFonts w:ascii="宋体" w:hAnsi="宋体" w:cs="宋体"/>
      <w:color w:val="000000"/>
      <w:sz w:val="28"/>
    </w:rPr>
  </w:style>
  <w:style w:type="paragraph" w:customStyle="1" w:styleId="3579">
    <w:name w:val="表内文字2"/>
    <w:basedOn w:val="1"/>
    <w:qFormat/>
    <w:uiPriority w:val="0"/>
    <w:pPr>
      <w:widowControl/>
      <w:adjustRightInd w:val="0"/>
      <w:snapToGrid w:val="0"/>
      <w:jc w:val="center"/>
    </w:pPr>
    <w:rPr>
      <w:szCs w:val="21"/>
    </w:rPr>
  </w:style>
  <w:style w:type="paragraph" w:customStyle="1" w:styleId="3580">
    <w:name w:val="表题102"/>
    <w:basedOn w:val="21"/>
    <w:qFormat/>
    <w:uiPriority w:val="0"/>
    <w:pPr>
      <w:ind w:firstLine="0" w:firstLineChars="0"/>
      <w:jc w:val="center"/>
    </w:pPr>
    <w:rPr>
      <w:rFonts w:ascii="黑体" w:eastAsia="黑体"/>
      <w:szCs w:val="24"/>
    </w:rPr>
  </w:style>
  <w:style w:type="paragraph" w:customStyle="1" w:styleId="3581">
    <w:name w:val="表内文字小13"/>
    <w:basedOn w:val="1"/>
    <w:qFormat/>
    <w:uiPriority w:val="0"/>
    <w:pPr>
      <w:adjustRightInd w:val="0"/>
      <w:snapToGrid w:val="0"/>
      <w:jc w:val="center"/>
    </w:pPr>
    <w:rPr>
      <w:rFonts w:ascii="宋体" w:hAnsi="Times"/>
    </w:rPr>
  </w:style>
  <w:style w:type="paragraph" w:customStyle="1" w:styleId="3582">
    <w:name w:val="1111"/>
    <w:basedOn w:val="816"/>
    <w:qFormat/>
    <w:uiPriority w:val="0"/>
    <w:pPr>
      <w:jc w:val="center"/>
    </w:pPr>
    <w:rPr>
      <w:b/>
      <w:bCs w:val="0"/>
      <w:sz w:val="32"/>
      <w:szCs w:val="32"/>
    </w:rPr>
  </w:style>
  <w:style w:type="paragraph" w:customStyle="1" w:styleId="3583">
    <w:name w:val="样式 表内小5 + 黑体 加粗 倾斜 下划线5"/>
    <w:basedOn w:val="1"/>
    <w:qFormat/>
    <w:uiPriority w:val="0"/>
    <w:pPr>
      <w:adjustRightInd w:val="0"/>
      <w:snapToGrid w:val="0"/>
      <w:spacing w:line="300" w:lineRule="auto"/>
    </w:pPr>
    <w:rPr>
      <w:rFonts w:ascii="黑体" w:hAnsi="黑体" w:eastAsia="黑体"/>
      <w:b/>
      <w:bCs/>
      <w:i/>
      <w:iCs/>
      <w:sz w:val="18"/>
      <w:u w:val="single"/>
    </w:rPr>
  </w:style>
  <w:style w:type="paragraph" w:customStyle="1" w:styleId="3584">
    <w:name w:val="表格文字（左对齐）"/>
    <w:qFormat/>
    <w:uiPriority w:val="0"/>
    <w:pPr>
      <w:adjustRightInd w:val="0"/>
      <w:snapToGrid w:val="0"/>
      <w:jc w:val="center"/>
    </w:pPr>
    <w:rPr>
      <w:rFonts w:ascii="Times New Roman" w:hAnsi="Times New Roman" w:eastAsia="宋体" w:cs="Times New Roman"/>
      <w:snapToGrid w:val="0"/>
      <w:sz w:val="18"/>
      <w:szCs w:val="18"/>
      <w:lang w:val="en-US" w:eastAsia="zh-CN" w:bidi="ar-SA"/>
    </w:rPr>
  </w:style>
  <w:style w:type="paragraph" w:customStyle="1" w:styleId="3585">
    <w:name w:val="样式 宋体 四号 黑色 行距: 1.5 倍行距1"/>
    <w:basedOn w:val="1"/>
    <w:qFormat/>
    <w:uiPriority w:val="0"/>
    <w:pPr>
      <w:spacing w:line="360" w:lineRule="auto"/>
      <w:ind w:firstLine="200" w:firstLineChars="200"/>
    </w:pPr>
    <w:rPr>
      <w:rFonts w:ascii="宋体" w:hAnsi="宋体" w:cs="宋体"/>
      <w:color w:val="000000"/>
      <w:sz w:val="28"/>
    </w:rPr>
  </w:style>
  <w:style w:type="paragraph" w:customStyle="1" w:styleId="3586">
    <w:name w:val="燕山正文16"/>
    <w:basedOn w:val="1"/>
    <w:qFormat/>
    <w:uiPriority w:val="0"/>
    <w:pPr>
      <w:tabs>
        <w:tab w:val="left" w:pos="4680"/>
      </w:tabs>
      <w:adjustRightInd w:val="0"/>
      <w:snapToGrid w:val="0"/>
      <w:spacing w:line="360" w:lineRule="auto"/>
      <w:ind w:firstLine="480" w:firstLineChars="200"/>
    </w:pPr>
    <w:rPr>
      <w:rFonts w:ascii="宋体" w:hAnsi="宋体" w:cs="宋体"/>
      <w:bCs/>
      <w:color w:val="000000"/>
      <w:sz w:val="24"/>
    </w:rPr>
  </w:style>
  <w:style w:type="paragraph" w:customStyle="1" w:styleId="3587">
    <w:name w:val="表内文字小14"/>
    <w:basedOn w:val="1"/>
    <w:qFormat/>
    <w:uiPriority w:val="0"/>
    <w:pPr>
      <w:adjustRightInd w:val="0"/>
      <w:snapToGrid w:val="0"/>
      <w:jc w:val="center"/>
    </w:pPr>
    <w:rPr>
      <w:rFonts w:ascii="宋体" w:hAnsi="Times" w:cs="宋体"/>
    </w:rPr>
  </w:style>
  <w:style w:type="paragraph" w:customStyle="1" w:styleId="3588">
    <w:name w:val="表内552"/>
    <w:basedOn w:val="1572"/>
    <w:qFormat/>
    <w:uiPriority w:val="0"/>
    <w:pPr>
      <w:spacing w:line="300" w:lineRule="auto"/>
      <w:jc w:val="both"/>
    </w:pPr>
    <w:rPr>
      <w:color w:val="000000"/>
    </w:rPr>
  </w:style>
  <w:style w:type="paragraph" w:customStyle="1" w:styleId="3589">
    <w:name w:val="样式 正文文本缩进 3正文文字缩进 3 + 首行缩进:  1.18 厘米"/>
    <w:basedOn w:val="71"/>
    <w:qFormat/>
    <w:uiPriority w:val="0"/>
    <w:pPr>
      <w:tabs>
        <w:tab w:val="left" w:pos="8790"/>
      </w:tabs>
      <w:adjustRightInd w:val="0"/>
      <w:snapToGrid w:val="0"/>
      <w:spacing w:before="40" w:after="40" w:line="276" w:lineRule="auto"/>
      <w:ind w:left="-37" w:leftChars="0" w:firstLine="667"/>
    </w:pPr>
    <w:rPr>
      <w:rFonts w:ascii="Arial" w:hAnsi="Arial" w:cs="宋体"/>
      <w:snapToGrid w:val="0"/>
      <w:color w:val="000000"/>
      <w:spacing w:val="6"/>
      <w:kern w:val="28"/>
      <w:sz w:val="24"/>
      <w:szCs w:val="20"/>
    </w:rPr>
  </w:style>
  <w:style w:type="paragraph" w:customStyle="1" w:styleId="3590">
    <w:name w:val="Char33"/>
    <w:basedOn w:val="1"/>
    <w:qFormat/>
    <w:uiPriority w:val="0"/>
    <w:pPr>
      <w:spacing w:line="480" w:lineRule="exact"/>
    </w:pPr>
  </w:style>
  <w:style w:type="paragraph" w:customStyle="1" w:styleId="3591">
    <w:name w:val="样式 表标题4.5 + 居中"/>
    <w:qFormat/>
    <w:uiPriority w:val="0"/>
    <w:pPr>
      <w:tabs>
        <w:tab w:val="left" w:pos="2444"/>
        <w:tab w:val="center" w:pos="4060"/>
        <w:tab w:val="right" w:pos="8261"/>
      </w:tabs>
      <w:ind w:firstLine="1724"/>
      <w:jc w:val="center"/>
    </w:pPr>
    <w:rPr>
      <w:rFonts w:ascii="Times New Roman" w:hAnsi="Times New Roman" w:eastAsia="宋体" w:cs="宋体"/>
      <w:bCs/>
      <w:lang w:val="en-US" w:eastAsia="zh-CN" w:bidi="ar-SA"/>
    </w:rPr>
  </w:style>
  <w:style w:type="paragraph" w:customStyle="1" w:styleId="3592">
    <w:name w:val="p19"/>
    <w:basedOn w:val="1"/>
    <w:qFormat/>
    <w:uiPriority w:val="0"/>
    <w:pPr>
      <w:widowControl/>
      <w:snapToGrid w:val="0"/>
      <w:spacing w:line="360" w:lineRule="auto"/>
      <w:ind w:firstLine="420"/>
      <w:jc w:val="left"/>
    </w:pPr>
    <w:rPr>
      <w:rFonts w:ascii="Calibri" w:hAnsi="Calibri" w:cs="宋体"/>
      <w:sz w:val="24"/>
    </w:rPr>
  </w:style>
  <w:style w:type="paragraph" w:customStyle="1" w:styleId="3593">
    <w:name w:val="样式 首行缩进:  2 字符3"/>
    <w:basedOn w:val="1"/>
    <w:qFormat/>
    <w:uiPriority w:val="0"/>
    <w:pPr>
      <w:spacing w:line="360" w:lineRule="auto"/>
      <w:ind w:firstLine="200" w:firstLineChars="200"/>
    </w:pPr>
    <w:rPr>
      <w:rFonts w:cs="宋体"/>
      <w:sz w:val="24"/>
    </w:rPr>
  </w:style>
  <w:style w:type="paragraph" w:customStyle="1" w:styleId="3594">
    <w:name w:val="Char Char Char Char Char Char Char Char Char Char Char Char1"/>
    <w:basedOn w:val="1"/>
    <w:qFormat/>
    <w:uiPriority w:val="0"/>
  </w:style>
  <w:style w:type="paragraph" w:customStyle="1" w:styleId="3595">
    <w:name w:val="左五"/>
    <w:basedOn w:val="1"/>
    <w:qFormat/>
    <w:uiPriority w:val="0"/>
    <w:pPr>
      <w:adjustRightInd w:val="0"/>
      <w:snapToGrid w:val="0"/>
      <w:spacing w:line="280" w:lineRule="exact"/>
      <w:jc w:val="left"/>
    </w:pPr>
    <w:rPr>
      <w:rFonts w:ascii="宋体" w:hAnsi="Symusic"/>
      <w:color w:val="000000"/>
      <w:sz w:val="18"/>
    </w:rPr>
  </w:style>
  <w:style w:type="paragraph" w:customStyle="1" w:styleId="3596">
    <w:name w:val="样式12"/>
    <w:basedOn w:val="47"/>
    <w:qFormat/>
    <w:uiPriority w:val="0"/>
    <w:pPr>
      <w:adjustRightInd w:val="0"/>
      <w:spacing w:line="300" w:lineRule="auto"/>
      <w:ind w:firstLine="560" w:firstLineChars="200"/>
    </w:pPr>
    <w:rPr>
      <w:rFonts w:ascii="黑体" w:hAnsi="Times New Roman" w:eastAsia="黑体"/>
      <w:sz w:val="28"/>
    </w:rPr>
  </w:style>
  <w:style w:type="paragraph" w:customStyle="1" w:styleId="3597">
    <w:name w:val="图号2"/>
    <w:basedOn w:val="1"/>
    <w:qFormat/>
    <w:uiPriority w:val="0"/>
    <w:pPr>
      <w:jc w:val="center"/>
    </w:pPr>
    <w:rPr>
      <w:rFonts w:ascii="黑体" w:eastAsia="黑体"/>
      <w:sz w:val="24"/>
    </w:rPr>
  </w:style>
  <w:style w:type="paragraph" w:customStyle="1" w:styleId="3598">
    <w:name w:val="列表接续 411"/>
    <w:basedOn w:val="1"/>
    <w:qFormat/>
    <w:uiPriority w:val="0"/>
    <w:pPr>
      <w:spacing w:after="120"/>
      <w:ind w:left="1680" w:leftChars="800"/>
    </w:pPr>
  </w:style>
  <w:style w:type="paragraph" w:customStyle="1" w:styleId="3599">
    <w:name w:val="样式 样式 样式 样式 标题 21.1标题 21.1标题2标题 2 Char1节_Heading 2标2 + 段前: 0.5 行..."/>
    <w:basedOn w:val="1"/>
    <w:qFormat/>
    <w:uiPriority w:val="0"/>
    <w:pPr>
      <w:keepNext/>
      <w:keepLines/>
      <w:spacing w:beforeLines="50" w:afterLines="50"/>
      <w:jc w:val="left"/>
      <w:outlineLvl w:val="1"/>
    </w:pPr>
    <w:rPr>
      <w:rFonts w:ascii="黑体" w:hAnsi="Arial" w:eastAsia="黑体"/>
      <w:color w:val="000000"/>
      <w:sz w:val="28"/>
    </w:rPr>
  </w:style>
  <w:style w:type="paragraph" w:customStyle="1" w:styleId="3600">
    <w:name w:val="标准样式"/>
    <w:basedOn w:val="3"/>
    <w:next w:val="3"/>
    <w:qFormat/>
    <w:uiPriority w:val="0"/>
    <w:pPr>
      <w:adjustRightInd w:val="0"/>
      <w:snapToGrid w:val="0"/>
      <w:spacing w:before="0" w:afterLines="100" w:line="500" w:lineRule="exact"/>
      <w:jc w:val="left"/>
      <w:textAlignment w:val="baseline"/>
    </w:pPr>
    <w:rPr>
      <w:rFonts w:ascii="宋体" w:eastAsia="黑体"/>
      <w:kern w:val="0"/>
      <w:sz w:val="24"/>
      <w:szCs w:val="20"/>
    </w:rPr>
  </w:style>
  <w:style w:type="paragraph" w:customStyle="1" w:styleId="3601">
    <w:name w:val="福建正文缩进16"/>
    <w:basedOn w:val="21"/>
    <w:qFormat/>
    <w:uiPriority w:val="0"/>
    <w:pPr>
      <w:autoSpaceDE w:val="0"/>
      <w:autoSpaceDN w:val="0"/>
      <w:adjustRightInd w:val="0"/>
      <w:snapToGrid w:val="0"/>
      <w:spacing w:line="360" w:lineRule="auto"/>
      <w:ind w:firstLine="539" w:firstLineChars="0"/>
    </w:pPr>
    <w:rPr>
      <w:rFonts w:ascii="宋体" w:hAnsi="宋体"/>
      <w:szCs w:val="24"/>
    </w:rPr>
  </w:style>
  <w:style w:type="paragraph" w:customStyle="1" w:styleId="3602">
    <w:name w:val="页眉中28"/>
    <w:basedOn w:val="47"/>
    <w:qFormat/>
    <w:uiPriority w:val="0"/>
    <w:pPr>
      <w:adjustRightInd w:val="0"/>
      <w:spacing w:line="360" w:lineRule="auto"/>
      <w:jc w:val="left"/>
    </w:pPr>
    <w:rPr>
      <w:rFonts w:ascii="黑体" w:hAnsi="Times New Roman" w:eastAsia="黑体"/>
      <w:bCs/>
      <w:sz w:val="24"/>
      <w:szCs w:val="24"/>
    </w:rPr>
  </w:style>
  <w:style w:type="paragraph" w:customStyle="1" w:styleId="3603">
    <w:name w:val="表内524"/>
    <w:basedOn w:val="1"/>
    <w:qFormat/>
    <w:uiPriority w:val="0"/>
    <w:pPr>
      <w:adjustRightInd w:val="0"/>
      <w:snapToGrid w:val="0"/>
      <w:ind w:right="32"/>
      <w:jc w:val="center"/>
    </w:pPr>
    <w:rPr>
      <w:rFonts w:ascii="宋体"/>
      <w:color w:val="000000"/>
      <w:szCs w:val="21"/>
    </w:rPr>
  </w:style>
  <w:style w:type="paragraph" w:customStyle="1" w:styleId="3604">
    <w:name w:val="font13"/>
    <w:basedOn w:val="1"/>
    <w:qFormat/>
    <w:uiPriority w:val="0"/>
    <w:pPr>
      <w:widowControl/>
      <w:spacing w:before="100" w:beforeAutospacing="1" w:after="100" w:afterAutospacing="1"/>
      <w:jc w:val="left"/>
    </w:pPr>
    <w:rPr>
      <w:rFonts w:eastAsia="Arial Unicode MS"/>
      <w:b/>
      <w:bCs/>
    </w:rPr>
  </w:style>
  <w:style w:type="paragraph" w:customStyle="1" w:styleId="3605">
    <w:name w:val="正文文本缩进 313"/>
    <w:basedOn w:val="1"/>
    <w:qFormat/>
    <w:uiPriority w:val="0"/>
    <w:pPr>
      <w:adjustRightInd w:val="0"/>
      <w:spacing w:line="480" w:lineRule="exact"/>
      <w:ind w:firstLine="538"/>
      <w:textAlignment w:val="baseline"/>
    </w:pPr>
    <w:rPr>
      <w:rFonts w:ascii="仿宋_GB2312" w:hAnsi="宋体" w:eastAsia="仿宋_GB2312"/>
      <w:kern w:val="28"/>
      <w:sz w:val="28"/>
    </w:rPr>
  </w:style>
  <w:style w:type="paragraph" w:customStyle="1" w:styleId="3606">
    <w:name w:val="文本条款"/>
    <w:basedOn w:val="1"/>
    <w:next w:val="1"/>
    <w:qFormat/>
    <w:uiPriority w:val="0"/>
    <w:pPr>
      <w:spacing w:line="480" w:lineRule="exact"/>
      <w:ind w:firstLine="560"/>
    </w:pPr>
    <w:rPr>
      <w:rFonts w:ascii="宋体"/>
      <w:sz w:val="28"/>
    </w:rPr>
  </w:style>
  <w:style w:type="paragraph" w:customStyle="1" w:styleId="3607">
    <w:name w:val="正文文本3"/>
    <w:basedOn w:val="1"/>
    <w:qFormat/>
    <w:uiPriority w:val="0"/>
    <w:pPr>
      <w:overflowPunct w:val="0"/>
      <w:snapToGrid w:val="0"/>
      <w:spacing w:after="120" w:line="480" w:lineRule="exact"/>
      <w:ind w:firstLine="480"/>
    </w:pPr>
    <w:rPr>
      <w:rFonts w:ascii="Arial" w:hAnsi="Arial" w:eastAsia="仿宋_GB2312"/>
      <w:sz w:val="28"/>
    </w:rPr>
  </w:style>
  <w:style w:type="paragraph" w:customStyle="1" w:styleId="3608">
    <w:name w:val="Char Char Char Char Char Char Char Char Char Char Char Char31"/>
    <w:basedOn w:val="1"/>
    <w:qFormat/>
    <w:uiPriority w:val="0"/>
    <w:pPr>
      <w:adjustRightInd w:val="0"/>
      <w:spacing w:line="360" w:lineRule="auto"/>
    </w:pPr>
    <w:rPr>
      <w:sz w:val="24"/>
    </w:rPr>
  </w:style>
  <w:style w:type="paragraph" w:customStyle="1" w:styleId="3609">
    <w:name w:val="表内文字小18"/>
    <w:basedOn w:val="1"/>
    <w:qFormat/>
    <w:uiPriority w:val="0"/>
    <w:pPr>
      <w:adjustRightInd w:val="0"/>
      <w:snapToGrid w:val="0"/>
      <w:jc w:val="center"/>
    </w:pPr>
    <w:rPr>
      <w:rFonts w:ascii="宋体" w:hAnsi="Times" w:cs="宋体"/>
    </w:rPr>
  </w:style>
  <w:style w:type="paragraph" w:customStyle="1" w:styleId="3610">
    <w:name w:val="表文"/>
    <w:basedOn w:val="1"/>
    <w:qFormat/>
    <w:uiPriority w:val="0"/>
    <w:pPr>
      <w:tabs>
        <w:tab w:val="left" w:pos="1021"/>
      </w:tabs>
      <w:jc w:val="center"/>
    </w:pPr>
    <w:rPr>
      <w:szCs w:val="21"/>
    </w:rPr>
  </w:style>
  <w:style w:type="paragraph" w:customStyle="1" w:styleId="3611">
    <w:name w:val="Char62"/>
    <w:basedOn w:val="1"/>
    <w:qFormat/>
    <w:uiPriority w:val="0"/>
    <w:pPr>
      <w:spacing w:line="480" w:lineRule="exact"/>
      <w:ind w:left="-48"/>
    </w:pPr>
  </w:style>
  <w:style w:type="paragraph" w:customStyle="1" w:styleId="3612">
    <w:name w:val="样式 样式 标题 1章标题 1b1 + 四号 段前: 8 磅 段后: 8 磅 行距: 单倍行距 + Arial Narrow ..."/>
    <w:basedOn w:val="3007"/>
    <w:qFormat/>
    <w:uiPriority w:val="0"/>
    <w:pPr>
      <w:spacing w:line="360" w:lineRule="auto"/>
    </w:pPr>
    <w:rPr>
      <w:rFonts w:ascii="Arial Narrow" w:hAnsi="Arial Narrow" w:eastAsia="黑体"/>
    </w:rPr>
  </w:style>
  <w:style w:type="paragraph" w:customStyle="1" w:styleId="3613">
    <w:name w:val="页眉中43"/>
    <w:basedOn w:val="47"/>
    <w:qFormat/>
    <w:uiPriority w:val="0"/>
    <w:pPr>
      <w:adjustRightInd w:val="0"/>
      <w:spacing w:line="300" w:lineRule="auto"/>
      <w:jc w:val="left"/>
    </w:pPr>
    <w:rPr>
      <w:rFonts w:ascii="黑体" w:hAnsi="宋体" w:eastAsia="黑体" w:cs="宋体"/>
      <w:sz w:val="24"/>
      <w:szCs w:val="24"/>
    </w:rPr>
  </w:style>
  <w:style w:type="paragraph" w:customStyle="1" w:styleId="3614">
    <w:name w:val="Char Char Char Char Char Char Char Char Char3"/>
    <w:basedOn w:val="1"/>
    <w:qFormat/>
    <w:uiPriority w:val="0"/>
  </w:style>
  <w:style w:type="paragraph" w:customStyle="1" w:styleId="3615">
    <w:name w:val="图形中文字"/>
    <w:basedOn w:val="1"/>
    <w:qFormat/>
    <w:uiPriority w:val="0"/>
    <w:pPr>
      <w:autoSpaceDE w:val="0"/>
      <w:autoSpaceDN w:val="0"/>
      <w:adjustRightInd w:val="0"/>
      <w:spacing w:line="460" w:lineRule="exact"/>
      <w:jc w:val="center"/>
    </w:pPr>
    <w:rPr>
      <w:rFonts w:ascii="宋体" w:hAnsi="Tms Rmn"/>
      <w:sz w:val="24"/>
    </w:rPr>
  </w:style>
  <w:style w:type="paragraph" w:customStyle="1" w:styleId="3616">
    <w:name w:val="表内文字大41"/>
    <w:basedOn w:val="1"/>
    <w:qFormat/>
    <w:uiPriority w:val="0"/>
    <w:pPr>
      <w:adjustRightInd w:val="0"/>
      <w:snapToGrid w:val="0"/>
      <w:jc w:val="center"/>
    </w:pPr>
    <w:rPr>
      <w:rFonts w:ascii="宋体" w:hAnsi="Times"/>
      <w:sz w:val="24"/>
    </w:rPr>
  </w:style>
  <w:style w:type="paragraph" w:customStyle="1" w:styleId="3617">
    <w:name w:val="Char Char Char Char4"/>
    <w:basedOn w:val="1"/>
    <w:qFormat/>
    <w:uiPriority w:val="0"/>
  </w:style>
  <w:style w:type="paragraph" w:customStyle="1" w:styleId="3618">
    <w:name w:val="样式 标题 1 + (中文) 宋体 小三 行距: 多倍行距 1.35 字行"/>
    <w:basedOn w:val="3"/>
    <w:qFormat/>
    <w:uiPriority w:val="0"/>
    <w:pPr>
      <w:tabs>
        <w:tab w:val="left" w:pos="360"/>
        <w:tab w:val="left" w:pos="603"/>
      </w:tabs>
      <w:snapToGrid w:val="0"/>
      <w:spacing w:beforeLines="150" w:afterLines="150" w:line="300" w:lineRule="auto"/>
      <w:ind w:left="360" w:hanging="360"/>
    </w:pPr>
    <w:rPr>
      <w:rFonts w:hAnsi="宋体"/>
      <w:sz w:val="28"/>
      <w:szCs w:val="28"/>
    </w:rPr>
  </w:style>
  <w:style w:type="paragraph" w:customStyle="1" w:styleId="3619">
    <w:name w:val="表内小412"/>
    <w:basedOn w:val="1427"/>
    <w:qFormat/>
    <w:uiPriority w:val="0"/>
    <w:pPr>
      <w:ind w:left="240" w:hanging="240"/>
      <w:jc w:val="both"/>
    </w:pPr>
    <w:rPr>
      <w:rFonts w:cs="Times New Roman"/>
    </w:rPr>
  </w:style>
  <w:style w:type="paragraph" w:customStyle="1" w:styleId="3620">
    <w:name w:val="表内文字22"/>
    <w:basedOn w:val="1"/>
    <w:qFormat/>
    <w:uiPriority w:val="0"/>
    <w:pPr>
      <w:widowControl/>
      <w:adjustRightInd w:val="0"/>
      <w:snapToGrid w:val="0"/>
      <w:jc w:val="center"/>
    </w:pPr>
    <w:rPr>
      <w:szCs w:val="21"/>
    </w:rPr>
  </w:style>
  <w:style w:type="paragraph" w:customStyle="1" w:styleId="3621">
    <w:name w:val="科林正文"/>
    <w:basedOn w:val="1"/>
    <w:qFormat/>
    <w:uiPriority w:val="0"/>
    <w:pPr>
      <w:spacing w:line="360" w:lineRule="auto"/>
      <w:ind w:firstLine="200" w:firstLineChars="200"/>
    </w:pPr>
    <w:rPr>
      <w:sz w:val="28"/>
    </w:rPr>
  </w:style>
  <w:style w:type="paragraph" w:customStyle="1" w:styleId="3622">
    <w:name w:val="表内宋5中13"/>
    <w:basedOn w:val="1"/>
    <w:qFormat/>
    <w:uiPriority w:val="0"/>
    <w:pPr>
      <w:adjustRightInd w:val="0"/>
      <w:snapToGrid w:val="0"/>
      <w:jc w:val="center"/>
      <w:textAlignment w:val="baseline"/>
    </w:pPr>
    <w:rPr>
      <w:rFonts w:ascii="宋体" w:hAnsi="宋体" w:cs="宋体"/>
    </w:rPr>
  </w:style>
  <w:style w:type="paragraph" w:customStyle="1" w:styleId="3623">
    <w:name w:val="Char Char Char Char1 Char Char Char Char Char Char"/>
    <w:basedOn w:val="1"/>
    <w:qFormat/>
    <w:uiPriority w:val="0"/>
    <w:pPr>
      <w:spacing w:line="360" w:lineRule="auto"/>
      <w:ind w:firstLine="200" w:firstLineChars="200"/>
    </w:pPr>
    <w:rPr>
      <w:rFonts w:ascii="宋体" w:hAnsi="宋体" w:cs="宋体"/>
      <w:sz w:val="24"/>
    </w:rPr>
  </w:style>
  <w:style w:type="paragraph" w:customStyle="1" w:styleId="3624">
    <w:name w:val="表内文字小73"/>
    <w:basedOn w:val="1"/>
    <w:qFormat/>
    <w:uiPriority w:val="0"/>
    <w:pPr>
      <w:adjustRightInd w:val="0"/>
      <w:snapToGrid w:val="0"/>
      <w:jc w:val="center"/>
    </w:pPr>
    <w:rPr>
      <w:rFonts w:ascii="宋体" w:hAnsi="Times"/>
    </w:rPr>
  </w:style>
  <w:style w:type="paragraph" w:customStyle="1" w:styleId="3625">
    <w:name w:val="页眉中41"/>
    <w:basedOn w:val="47"/>
    <w:qFormat/>
    <w:uiPriority w:val="0"/>
    <w:pPr>
      <w:adjustRightInd w:val="0"/>
      <w:spacing w:line="300" w:lineRule="auto"/>
      <w:jc w:val="left"/>
    </w:pPr>
    <w:rPr>
      <w:rFonts w:ascii="黑体" w:hAnsi="宋体" w:eastAsia="黑体" w:cs="宋体"/>
      <w:sz w:val="24"/>
      <w:szCs w:val="24"/>
    </w:rPr>
  </w:style>
  <w:style w:type="paragraph" w:customStyle="1" w:styleId="3626">
    <w:name w:val="样式 标题 6 + 首行缩进:  2 字符"/>
    <w:basedOn w:val="8"/>
    <w:qFormat/>
    <w:uiPriority w:val="0"/>
    <w:pPr>
      <w:keepNext w:val="0"/>
      <w:keepLines w:val="0"/>
      <w:widowControl/>
      <w:tabs>
        <w:tab w:val="left" w:pos="1152"/>
      </w:tabs>
      <w:adjustRightInd/>
      <w:snapToGrid/>
      <w:spacing w:before="0" w:after="0" w:line="360" w:lineRule="auto"/>
      <w:ind w:left="1152"/>
    </w:pPr>
    <w:rPr>
      <w:rFonts w:eastAsia="宋体" w:cs="宋体"/>
      <w:b w:val="0"/>
      <w:spacing w:val="0"/>
      <w:sz w:val="28"/>
      <w:szCs w:val="20"/>
    </w:rPr>
  </w:style>
  <w:style w:type="paragraph" w:customStyle="1" w:styleId="3627">
    <w:name w:val="表内宋5中25"/>
    <w:basedOn w:val="1"/>
    <w:qFormat/>
    <w:uiPriority w:val="0"/>
    <w:pPr>
      <w:adjustRightInd w:val="0"/>
      <w:snapToGrid w:val="0"/>
      <w:jc w:val="center"/>
      <w:textAlignment w:val="baseline"/>
    </w:pPr>
    <w:rPr>
      <w:rFonts w:ascii="宋体" w:hAnsi="宋体"/>
    </w:rPr>
  </w:style>
  <w:style w:type="paragraph" w:customStyle="1" w:styleId="3628">
    <w:name w:val="正文文本缩进 21"/>
    <w:basedOn w:val="1"/>
    <w:qFormat/>
    <w:uiPriority w:val="0"/>
    <w:pPr>
      <w:adjustRightInd w:val="0"/>
      <w:spacing w:line="360" w:lineRule="auto"/>
      <w:ind w:firstLine="510"/>
      <w:textAlignment w:val="baseline"/>
    </w:pPr>
    <w:rPr>
      <w:rFonts w:ascii="宋体" w:hAnsi="宋体"/>
      <w:sz w:val="28"/>
    </w:rPr>
  </w:style>
  <w:style w:type="paragraph" w:customStyle="1" w:styleId="3629">
    <w:name w:val="标题462"/>
    <w:basedOn w:val="1"/>
    <w:qFormat/>
    <w:uiPriority w:val="0"/>
    <w:pPr>
      <w:adjustRightInd w:val="0"/>
      <w:snapToGrid w:val="0"/>
      <w:spacing w:line="360" w:lineRule="auto"/>
      <w:jc w:val="left"/>
    </w:pPr>
    <w:rPr>
      <w:rFonts w:ascii="黑体" w:eastAsia="黑体"/>
      <w:bCs/>
      <w:sz w:val="24"/>
    </w:rPr>
  </w:style>
  <w:style w:type="paragraph" w:customStyle="1" w:styleId="3630">
    <w:name w:val="样式 表格 + 左  25 字符1"/>
    <w:basedOn w:val="1114"/>
    <w:qFormat/>
    <w:uiPriority w:val="0"/>
    <w:pPr>
      <w:widowControl/>
      <w:adjustRightInd/>
      <w:spacing w:before="0" w:after="0"/>
      <w:jc w:val="center"/>
      <w:textAlignment w:val="auto"/>
    </w:pPr>
    <w:rPr>
      <w:rFonts w:ascii="Calibri" w:hAnsi="宋体" w:eastAsia="宋体" w:cs="宋体"/>
      <w:sz w:val="18"/>
    </w:rPr>
  </w:style>
  <w:style w:type="paragraph" w:customStyle="1" w:styleId="3631">
    <w:name w:val="Char Char Char Char Char Char Char Char Char Char Char1 Char Char Char Char Char Char Char Char Char Char Char Char Char Char Char Char"/>
    <w:basedOn w:val="1"/>
    <w:qFormat/>
    <w:uiPriority w:val="0"/>
  </w:style>
  <w:style w:type="paragraph" w:customStyle="1" w:styleId="3632">
    <w:name w:val="表内宋524"/>
    <w:qFormat/>
    <w:uiPriority w:val="0"/>
    <w:pPr>
      <w:jc w:val="both"/>
    </w:pPr>
    <w:rPr>
      <w:rFonts w:ascii="Times New Roman" w:hAnsi="Times New Roman" w:eastAsia="宋体" w:cs="Times New Roman"/>
      <w:lang w:val="en-US" w:eastAsia="zh-CN" w:bidi="ar-SA"/>
    </w:rPr>
  </w:style>
  <w:style w:type="paragraph" w:customStyle="1" w:styleId="3633">
    <w:name w:val="表内宋5中41"/>
    <w:basedOn w:val="1"/>
    <w:qFormat/>
    <w:uiPriority w:val="0"/>
    <w:pPr>
      <w:adjustRightInd w:val="0"/>
      <w:snapToGrid w:val="0"/>
      <w:jc w:val="center"/>
      <w:textAlignment w:val="baseline"/>
    </w:pPr>
    <w:rPr>
      <w:rFonts w:ascii="宋体" w:hAnsi="宋体"/>
    </w:rPr>
  </w:style>
  <w:style w:type="paragraph" w:customStyle="1" w:styleId="3634">
    <w:name w:val="燕山正文15"/>
    <w:basedOn w:val="1"/>
    <w:qFormat/>
    <w:uiPriority w:val="0"/>
    <w:pPr>
      <w:tabs>
        <w:tab w:val="left" w:pos="4680"/>
      </w:tabs>
      <w:adjustRightInd w:val="0"/>
      <w:snapToGrid w:val="0"/>
      <w:spacing w:line="360" w:lineRule="auto"/>
      <w:ind w:firstLine="480" w:firstLineChars="200"/>
    </w:pPr>
    <w:rPr>
      <w:rFonts w:ascii="宋体" w:hAnsi="宋体" w:cs="宋体"/>
      <w:bCs/>
      <w:color w:val="000000"/>
      <w:sz w:val="24"/>
    </w:rPr>
  </w:style>
  <w:style w:type="paragraph" w:customStyle="1" w:styleId="3635">
    <w:name w:val="燕山正文11"/>
    <w:basedOn w:val="1"/>
    <w:qFormat/>
    <w:uiPriority w:val="0"/>
    <w:pPr>
      <w:tabs>
        <w:tab w:val="left" w:pos="4680"/>
      </w:tabs>
      <w:adjustRightInd w:val="0"/>
      <w:snapToGrid w:val="0"/>
      <w:spacing w:line="360" w:lineRule="auto"/>
      <w:ind w:firstLine="540" w:firstLineChars="225"/>
    </w:pPr>
    <w:rPr>
      <w:rFonts w:ascii="宋体" w:hAnsi="宋体" w:cs="宋体"/>
      <w:bCs/>
      <w:color w:val="000000"/>
      <w:sz w:val="24"/>
    </w:rPr>
  </w:style>
  <w:style w:type="paragraph" w:customStyle="1" w:styleId="3636">
    <w:name w:val="表题1"/>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3637">
    <w:name w:val="InstÀÀll1"/>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3638">
    <w:name w:val="大点"/>
    <w:qFormat/>
    <w:uiPriority w:val="0"/>
    <w:pPr>
      <w:tabs>
        <w:tab w:val="left" w:pos="1800"/>
        <w:tab w:val="left" w:pos="2241"/>
      </w:tabs>
      <w:spacing w:beforeLines="50"/>
      <w:ind w:left="851" w:hanging="851"/>
    </w:pPr>
    <w:rPr>
      <w:rFonts w:ascii="宋体" w:hAnsi="Arial" w:eastAsia="宋体" w:cs="Times New Roman"/>
      <w:b/>
      <w:bCs/>
      <w:snapToGrid w:val="0"/>
      <w:kern w:val="10"/>
      <w:sz w:val="28"/>
      <w:szCs w:val="28"/>
      <w:lang w:val="en-US" w:eastAsia="zh-CN" w:bidi="he-IL"/>
    </w:rPr>
  </w:style>
  <w:style w:type="paragraph" w:customStyle="1" w:styleId="3639">
    <w:name w:val="表内文字小9"/>
    <w:basedOn w:val="1"/>
    <w:qFormat/>
    <w:uiPriority w:val="0"/>
    <w:pPr>
      <w:adjustRightInd w:val="0"/>
      <w:snapToGrid w:val="0"/>
      <w:jc w:val="center"/>
    </w:pPr>
    <w:rPr>
      <w:rFonts w:ascii="宋体" w:hAnsi="Times"/>
      <w:bCs/>
      <w:color w:val="003366"/>
    </w:rPr>
  </w:style>
  <w:style w:type="paragraph" w:customStyle="1" w:styleId="3640">
    <w:name w:val="表13.5－1"/>
    <w:basedOn w:val="1"/>
    <w:qFormat/>
    <w:uiPriority w:val="0"/>
    <w:pPr>
      <w:tabs>
        <w:tab w:val="left" w:pos="-164"/>
        <w:tab w:val="left" w:pos="1293"/>
      </w:tabs>
      <w:spacing w:beforeLines="100" w:line="0" w:lineRule="atLeast"/>
      <w:ind w:left="-164" w:hanging="425"/>
    </w:pPr>
    <w:rPr>
      <w:rFonts w:eastAsia="黑体"/>
      <w:b/>
      <w:color w:val="000000"/>
      <w:sz w:val="24"/>
    </w:rPr>
  </w:style>
  <w:style w:type="paragraph" w:customStyle="1" w:styleId="3641">
    <w:name w:val="样式 标题 1 + 三号 居中"/>
    <w:basedOn w:val="3"/>
    <w:qFormat/>
    <w:uiPriority w:val="0"/>
    <w:pPr>
      <w:spacing w:afterLines="200" w:line="240" w:lineRule="auto"/>
      <w:jc w:val="center"/>
    </w:pPr>
    <w:rPr>
      <w:rFonts w:eastAsia="黑体" w:cs="宋体"/>
      <w:b w:val="0"/>
      <w:sz w:val="36"/>
      <w:szCs w:val="20"/>
    </w:rPr>
  </w:style>
  <w:style w:type="paragraph" w:customStyle="1" w:styleId="3642">
    <w:name w:val="表格内正文"/>
    <w:qFormat/>
    <w:uiPriority w:val="0"/>
    <w:pPr>
      <w:widowControl w:val="0"/>
      <w:spacing w:line="360" w:lineRule="exact"/>
      <w:ind w:firstLine="420" w:firstLineChars="200"/>
      <w:jc w:val="both"/>
    </w:pPr>
    <w:rPr>
      <w:rFonts w:ascii="Times New Roman" w:hAnsi="Times New Roman" w:eastAsia="宋体" w:cs="Times New Roman"/>
      <w:kern w:val="2"/>
      <w:sz w:val="21"/>
      <w:szCs w:val="24"/>
      <w:lang w:val="en-US" w:eastAsia="zh-CN" w:bidi="ar-SA"/>
    </w:rPr>
  </w:style>
  <w:style w:type="paragraph" w:customStyle="1" w:styleId="3643">
    <w:name w:val="样式34"/>
    <w:basedOn w:val="34"/>
    <w:qFormat/>
    <w:uiPriority w:val="0"/>
    <w:pPr>
      <w:widowControl/>
      <w:overflowPunct w:val="0"/>
      <w:autoSpaceDE w:val="0"/>
      <w:autoSpaceDN w:val="0"/>
      <w:adjustRightInd w:val="0"/>
      <w:snapToGrid w:val="0"/>
      <w:spacing w:after="0" w:line="360" w:lineRule="auto"/>
      <w:ind w:firstLine="567"/>
      <w:textAlignment w:val="baseline"/>
    </w:pPr>
    <w:rPr>
      <w:rFonts w:ascii="宋体"/>
      <w:spacing w:val="20"/>
      <w:sz w:val="24"/>
    </w:rPr>
  </w:style>
  <w:style w:type="paragraph" w:customStyle="1" w:styleId="3644">
    <w:name w:val="表格标题（左对齐）"/>
    <w:basedOn w:val="1"/>
    <w:qFormat/>
    <w:uiPriority w:val="0"/>
    <w:pPr>
      <w:spacing w:line="460" w:lineRule="exact"/>
      <w:jc w:val="center"/>
    </w:pPr>
    <w:rPr>
      <w:rFonts w:ascii="宋体" w:hAnsi="宋体"/>
      <w:b/>
      <w:snapToGrid w:val="0"/>
      <w:szCs w:val="21"/>
    </w:rPr>
  </w:style>
  <w:style w:type="paragraph" w:customStyle="1" w:styleId="3645">
    <w:name w:val="表内文字小74"/>
    <w:basedOn w:val="1"/>
    <w:qFormat/>
    <w:uiPriority w:val="0"/>
    <w:pPr>
      <w:adjustRightInd w:val="0"/>
      <w:snapToGrid w:val="0"/>
      <w:jc w:val="center"/>
    </w:pPr>
    <w:rPr>
      <w:rFonts w:ascii="宋体" w:hAnsi="Times"/>
    </w:rPr>
  </w:style>
  <w:style w:type="paragraph" w:customStyle="1" w:styleId="3646">
    <w:name w:val="表内文字大44"/>
    <w:basedOn w:val="1"/>
    <w:qFormat/>
    <w:uiPriority w:val="0"/>
    <w:pPr>
      <w:adjustRightInd w:val="0"/>
      <w:snapToGrid w:val="0"/>
      <w:jc w:val="center"/>
    </w:pPr>
    <w:rPr>
      <w:rFonts w:ascii="宋体" w:hAnsi="Times"/>
      <w:sz w:val="24"/>
    </w:rPr>
  </w:style>
  <w:style w:type="paragraph" w:customStyle="1" w:styleId="3647">
    <w:name w:val="表内5中45"/>
    <w:basedOn w:val="1106"/>
    <w:qFormat/>
    <w:uiPriority w:val="0"/>
    <w:pPr>
      <w:spacing w:line="240" w:lineRule="auto"/>
    </w:pPr>
    <w:rPr>
      <w:rFonts w:hAnsi="Times New Roman"/>
      <w:bCs/>
    </w:rPr>
  </w:style>
  <w:style w:type="paragraph" w:customStyle="1" w:styleId="3648">
    <w:name w:val="页眉中9"/>
    <w:basedOn w:val="1"/>
    <w:qFormat/>
    <w:uiPriority w:val="0"/>
    <w:pPr>
      <w:adjustRightInd w:val="0"/>
      <w:snapToGrid w:val="0"/>
      <w:spacing w:line="300" w:lineRule="auto"/>
      <w:jc w:val="left"/>
    </w:pPr>
    <w:rPr>
      <w:rFonts w:ascii="黑体" w:eastAsia="黑体"/>
      <w:bCs/>
      <w:sz w:val="24"/>
    </w:rPr>
  </w:style>
  <w:style w:type="paragraph" w:customStyle="1" w:styleId="3649">
    <w:name w:val="Char1 Char Char Char3"/>
    <w:basedOn w:val="1"/>
    <w:qFormat/>
    <w:uiPriority w:val="0"/>
    <w:pPr>
      <w:spacing w:line="360" w:lineRule="auto"/>
      <w:ind w:firstLine="200" w:firstLineChars="200"/>
    </w:pPr>
    <w:rPr>
      <w:rFonts w:ascii="宋体" w:hAnsi="宋体" w:cs="宋体"/>
      <w:sz w:val="24"/>
    </w:rPr>
  </w:style>
  <w:style w:type="paragraph" w:customStyle="1" w:styleId="3650">
    <w:name w:val="样式 样式 注意 + 首行缩进:  2 字符 + 首行缩进:  2 字符"/>
    <w:basedOn w:val="87"/>
    <w:next w:val="87"/>
    <w:qFormat/>
    <w:uiPriority w:val="0"/>
    <w:pPr>
      <w:tabs>
        <w:tab w:val="left" w:pos="628"/>
        <w:tab w:val="left" w:pos="1727"/>
        <w:tab w:val="left" w:pos="1884"/>
        <w:tab w:val="left" w:pos="2514"/>
        <w:tab w:val="left" w:pos="4900"/>
      </w:tabs>
      <w:autoSpaceDE w:val="0"/>
      <w:autoSpaceDN w:val="0"/>
      <w:adjustRightInd w:val="0"/>
      <w:snapToGrid w:val="0"/>
      <w:spacing w:line="360" w:lineRule="auto"/>
      <w:ind w:left="-2" w:leftChars="-1" w:right="-99" w:rightChars="-47" w:firstLine="480" w:firstLineChars="0"/>
    </w:pPr>
    <w:rPr>
      <w:rFonts w:ascii="宋体" w:hAnsi="宋体" w:cs="宋体"/>
      <w:color w:val="000000"/>
      <w:kern w:val="0"/>
      <w:szCs w:val="21"/>
      <w:lang w:val="zh-CN"/>
    </w:rPr>
  </w:style>
  <w:style w:type="paragraph" w:customStyle="1" w:styleId="3651">
    <w:name w:val="样式 Times 四号 行距: 固定值 24 磅"/>
    <w:basedOn w:val="1"/>
    <w:qFormat/>
    <w:uiPriority w:val="0"/>
    <w:pPr>
      <w:spacing w:line="480" w:lineRule="exact"/>
      <w:ind w:firstLine="539" w:firstLineChars="175"/>
    </w:pPr>
    <w:rPr>
      <w:rFonts w:ascii="Times" w:hAnsi="Times" w:cs="宋体"/>
      <w:spacing w:val="14"/>
      <w:kern w:val="20"/>
      <w:sz w:val="24"/>
    </w:rPr>
  </w:style>
  <w:style w:type="paragraph" w:customStyle="1" w:styleId="3652">
    <w:name w:val="Char25"/>
    <w:basedOn w:val="1"/>
    <w:qFormat/>
    <w:uiPriority w:val="0"/>
  </w:style>
  <w:style w:type="paragraph" w:customStyle="1" w:styleId="3653">
    <w:name w:val="表题104"/>
    <w:basedOn w:val="21"/>
    <w:qFormat/>
    <w:uiPriority w:val="0"/>
    <w:pPr>
      <w:ind w:firstLine="0" w:firstLineChars="0"/>
      <w:jc w:val="center"/>
    </w:pPr>
    <w:rPr>
      <w:rFonts w:ascii="黑体" w:eastAsia="黑体"/>
      <w:szCs w:val="24"/>
    </w:rPr>
  </w:style>
  <w:style w:type="paragraph" w:customStyle="1" w:styleId="3654">
    <w:name w:val="样式 表标题12.5-1 + 段前: 1 行"/>
    <w:qFormat/>
    <w:uiPriority w:val="0"/>
    <w:pPr>
      <w:tabs>
        <w:tab w:val="left" w:pos="780"/>
        <w:tab w:val="left" w:pos="851"/>
      </w:tabs>
      <w:spacing w:before="240"/>
      <w:ind w:left="780" w:leftChars="200" w:hanging="360" w:hangingChars="200"/>
    </w:pPr>
    <w:rPr>
      <w:rFonts w:ascii="Times New Roman" w:hAnsi="Times New Roman" w:eastAsia="宋体" w:cs="Times New Roman"/>
      <w:lang w:val="en-US" w:eastAsia="zh-CN" w:bidi="ar-SA"/>
    </w:rPr>
  </w:style>
  <w:style w:type="paragraph" w:customStyle="1" w:styleId="3655">
    <w:name w:val="标题444"/>
    <w:basedOn w:val="1"/>
    <w:qFormat/>
    <w:uiPriority w:val="0"/>
    <w:pPr>
      <w:adjustRightInd w:val="0"/>
      <w:snapToGrid w:val="0"/>
      <w:spacing w:line="300" w:lineRule="auto"/>
      <w:jc w:val="left"/>
    </w:pPr>
    <w:rPr>
      <w:rFonts w:ascii="黑体" w:eastAsia="黑体"/>
      <w:bCs/>
      <w:color w:val="000000"/>
      <w:sz w:val="24"/>
    </w:rPr>
  </w:style>
  <w:style w:type="paragraph" w:customStyle="1" w:styleId="3656">
    <w:name w:val="表内文字小51"/>
    <w:basedOn w:val="1"/>
    <w:qFormat/>
    <w:uiPriority w:val="0"/>
    <w:pPr>
      <w:adjustRightInd w:val="0"/>
      <w:snapToGrid w:val="0"/>
      <w:jc w:val="center"/>
    </w:pPr>
    <w:rPr>
      <w:rFonts w:ascii="宋体" w:hAnsi="Times"/>
    </w:rPr>
  </w:style>
  <w:style w:type="paragraph" w:customStyle="1" w:styleId="3657">
    <w:name w:val="纯文本5"/>
    <w:basedOn w:val="1"/>
    <w:qFormat/>
    <w:uiPriority w:val="0"/>
    <w:pPr>
      <w:adjustRightInd w:val="0"/>
      <w:textAlignment w:val="baseline"/>
    </w:pPr>
    <w:rPr>
      <w:rFonts w:ascii="宋体" w:hAnsi="Courier New"/>
    </w:rPr>
  </w:style>
  <w:style w:type="paragraph" w:customStyle="1" w:styleId="3658">
    <w:name w:val="表内小423"/>
    <w:basedOn w:val="1427"/>
    <w:qFormat/>
    <w:uiPriority w:val="0"/>
    <w:pPr>
      <w:ind w:left="240" w:hanging="240"/>
      <w:jc w:val="both"/>
    </w:pPr>
  </w:style>
  <w:style w:type="paragraph" w:customStyle="1" w:styleId="3659">
    <w:name w:val="Char Char Char2 Char2"/>
    <w:basedOn w:val="1"/>
    <w:qFormat/>
    <w:uiPriority w:val="0"/>
  </w:style>
  <w:style w:type="paragraph" w:customStyle="1" w:styleId="3660">
    <w:name w:val="p17"/>
    <w:basedOn w:val="1"/>
    <w:qFormat/>
    <w:uiPriority w:val="0"/>
    <w:pPr>
      <w:widowControl/>
    </w:pPr>
    <w:rPr>
      <w:rFonts w:ascii="宋体" w:hAnsi="宋体" w:cs="宋体"/>
      <w:szCs w:val="21"/>
    </w:rPr>
  </w:style>
  <w:style w:type="paragraph" w:customStyle="1" w:styleId="3661">
    <w:name w:val="Body Text 21"/>
    <w:basedOn w:val="1"/>
    <w:qFormat/>
    <w:uiPriority w:val="0"/>
    <w:pPr>
      <w:autoSpaceDE w:val="0"/>
      <w:autoSpaceDN w:val="0"/>
      <w:adjustRightInd w:val="0"/>
      <w:spacing w:line="360" w:lineRule="auto"/>
      <w:jc w:val="left"/>
      <w:textAlignment w:val="baseline"/>
    </w:pPr>
    <w:rPr>
      <w:rFonts w:ascii="宋体" w:hAnsi="Tms Rmn"/>
      <w:sz w:val="28"/>
    </w:rPr>
  </w:style>
  <w:style w:type="paragraph" w:customStyle="1" w:styleId="3662">
    <w:name w:val="表内文字小42"/>
    <w:basedOn w:val="1"/>
    <w:qFormat/>
    <w:uiPriority w:val="0"/>
    <w:pPr>
      <w:adjustRightInd w:val="0"/>
      <w:snapToGrid w:val="0"/>
      <w:jc w:val="center"/>
    </w:pPr>
    <w:rPr>
      <w:rFonts w:ascii="宋体" w:hAnsi="Times"/>
      <w:color w:val="000000"/>
      <w:sz w:val="18"/>
      <w:szCs w:val="18"/>
    </w:rPr>
  </w:style>
  <w:style w:type="paragraph" w:customStyle="1" w:styleId="3663">
    <w:name w:val="标题47"/>
    <w:basedOn w:val="1"/>
    <w:qFormat/>
    <w:uiPriority w:val="0"/>
    <w:pPr>
      <w:adjustRightInd w:val="0"/>
      <w:snapToGrid w:val="0"/>
      <w:spacing w:line="300" w:lineRule="auto"/>
    </w:pPr>
    <w:rPr>
      <w:rFonts w:ascii="黑体" w:eastAsia="黑体"/>
      <w:sz w:val="24"/>
    </w:rPr>
  </w:style>
  <w:style w:type="paragraph" w:customStyle="1" w:styleId="3664">
    <w:name w:val="图题35"/>
    <w:basedOn w:val="21"/>
    <w:qFormat/>
    <w:uiPriority w:val="0"/>
    <w:pPr>
      <w:adjustRightInd w:val="0"/>
      <w:snapToGrid w:val="0"/>
      <w:ind w:firstLine="0" w:firstLineChars="0"/>
      <w:jc w:val="center"/>
    </w:pPr>
    <w:rPr>
      <w:rFonts w:ascii="方正大标宋简体" w:eastAsia="方正大标宋简体"/>
      <w:szCs w:val="24"/>
    </w:rPr>
  </w:style>
  <w:style w:type="paragraph" w:customStyle="1" w:styleId="3665">
    <w:name w:val="Char Char Char Char Char Char Char Char Char Char Char Char Char Char Char Char3"/>
    <w:basedOn w:val="1"/>
    <w:qFormat/>
    <w:uiPriority w:val="0"/>
    <w:pPr>
      <w:spacing w:line="360" w:lineRule="auto"/>
      <w:ind w:firstLine="200" w:firstLineChars="200"/>
    </w:pPr>
    <w:rPr>
      <w:rFonts w:ascii="宋体" w:hAnsi="宋体" w:cs="宋体"/>
      <w:sz w:val="24"/>
    </w:rPr>
  </w:style>
  <w:style w:type="paragraph" w:customStyle="1" w:styleId="3666">
    <w:name w:val="正文 1"/>
    <w:basedOn w:val="1"/>
    <w:qFormat/>
    <w:uiPriority w:val="0"/>
    <w:pPr>
      <w:spacing w:line="480" w:lineRule="exact"/>
      <w:ind w:firstLine="567"/>
    </w:pPr>
    <w:rPr>
      <w:sz w:val="28"/>
    </w:rPr>
  </w:style>
  <w:style w:type="paragraph" w:customStyle="1" w:styleId="3667">
    <w:name w:val="Char Char Char Char Char Char"/>
    <w:basedOn w:val="1"/>
    <w:qFormat/>
    <w:uiPriority w:val="0"/>
  </w:style>
  <w:style w:type="paragraph" w:customStyle="1" w:styleId="3668">
    <w:name w:val="列表1"/>
    <w:basedOn w:val="1"/>
    <w:next w:val="67"/>
    <w:qFormat/>
    <w:uiPriority w:val="0"/>
    <w:pPr>
      <w:spacing w:before="60" w:line="240" w:lineRule="exact"/>
      <w:jc w:val="center"/>
    </w:pPr>
    <w:rPr>
      <w:sz w:val="24"/>
    </w:rPr>
  </w:style>
  <w:style w:type="paragraph" w:customStyle="1" w:styleId="3669">
    <w:name w:val="表中"/>
    <w:qFormat/>
    <w:uiPriority w:val="0"/>
    <w:pPr>
      <w:widowControl w:val="0"/>
      <w:adjustRightInd w:val="0"/>
      <w:snapToGrid w:val="0"/>
      <w:spacing w:line="280" w:lineRule="exact"/>
      <w:jc w:val="center"/>
    </w:pPr>
    <w:rPr>
      <w:rFonts w:ascii="宋体" w:hAnsi="宋体" w:eastAsia="宋体" w:cs="Times New Roman"/>
      <w:color w:val="000000"/>
      <w:kern w:val="2"/>
      <w:sz w:val="18"/>
      <w:szCs w:val="18"/>
      <w:lang w:val="en-US" w:eastAsia="zh-CN" w:bidi="ar-SA"/>
    </w:rPr>
  </w:style>
  <w:style w:type="paragraph" w:customStyle="1" w:styleId="3670">
    <w:name w:val="xl68"/>
    <w:basedOn w:val="1"/>
    <w:qFormat/>
    <w:uiPriority w:val="0"/>
    <w:pPr>
      <w:widowControl/>
      <w:pBdr>
        <w:left w:val="single" w:color="auto" w:sz="8" w:space="0"/>
        <w:bottom w:val="single" w:color="auto" w:sz="8" w:space="0"/>
        <w:right w:val="single" w:color="auto" w:sz="4" w:space="0"/>
      </w:pBdr>
      <w:spacing w:before="100" w:beforeAutospacing="1" w:after="100" w:afterAutospacing="1"/>
      <w:jc w:val="center"/>
      <w:textAlignment w:val="center"/>
    </w:pPr>
    <w:rPr>
      <w:rFonts w:eastAsia="Arial Unicode MS"/>
    </w:rPr>
  </w:style>
  <w:style w:type="paragraph" w:customStyle="1" w:styleId="3671">
    <w:name w:val="Char Char Char Char Char Char Char Char Char Char Char1 Char Char Char"/>
    <w:basedOn w:val="1"/>
    <w:qFormat/>
    <w:uiPriority w:val="0"/>
    <w:rPr>
      <w:rFonts w:ascii="Tahoma" w:hAnsi="Tahoma"/>
      <w:sz w:val="24"/>
    </w:rPr>
  </w:style>
  <w:style w:type="paragraph" w:customStyle="1" w:styleId="3672">
    <w:name w:val="表内59"/>
    <w:basedOn w:val="1"/>
    <w:qFormat/>
    <w:uiPriority w:val="0"/>
    <w:pPr>
      <w:adjustRightInd w:val="0"/>
      <w:snapToGrid w:val="0"/>
    </w:pPr>
    <w:rPr>
      <w:rFonts w:ascii="宋体"/>
    </w:rPr>
  </w:style>
  <w:style w:type="paragraph" w:customStyle="1" w:styleId="3673">
    <w:name w:val="表题30"/>
    <w:basedOn w:val="21"/>
    <w:qFormat/>
    <w:uiPriority w:val="0"/>
    <w:pPr>
      <w:ind w:firstLine="0" w:firstLineChars="0"/>
      <w:jc w:val="center"/>
    </w:pPr>
    <w:rPr>
      <w:rFonts w:ascii="黑体" w:eastAsia="黑体"/>
      <w:szCs w:val="24"/>
    </w:rPr>
  </w:style>
  <w:style w:type="paragraph" w:customStyle="1" w:styleId="3674">
    <w:name w:val="页眉中311"/>
    <w:basedOn w:val="1"/>
    <w:qFormat/>
    <w:uiPriority w:val="0"/>
    <w:pPr>
      <w:adjustRightInd w:val="0"/>
      <w:snapToGrid w:val="0"/>
      <w:spacing w:line="360" w:lineRule="auto"/>
      <w:jc w:val="center"/>
    </w:pPr>
    <w:rPr>
      <w:rFonts w:ascii="黑体" w:eastAsia="黑体"/>
      <w:bCs/>
      <w:sz w:val="24"/>
      <w:szCs w:val="28"/>
    </w:rPr>
  </w:style>
  <w:style w:type="paragraph" w:customStyle="1" w:styleId="3675">
    <w:name w:val="Char Char1 Char Char Char Char Char Char Char4"/>
    <w:basedOn w:val="1"/>
    <w:qFormat/>
    <w:uiPriority w:val="0"/>
  </w:style>
  <w:style w:type="paragraph" w:styleId="3676">
    <w:name w:val="List Paragraph"/>
    <w:basedOn w:val="1"/>
    <w:qFormat/>
    <w:uiPriority w:val="34"/>
    <w:pPr>
      <w:ind w:firstLine="420" w:firstLineChars="200"/>
    </w:pPr>
  </w:style>
  <w:style w:type="paragraph" w:customStyle="1" w:styleId="3677">
    <w:name w:val="表内文字小72"/>
    <w:basedOn w:val="1"/>
    <w:qFormat/>
    <w:uiPriority w:val="0"/>
    <w:pPr>
      <w:adjustRightInd w:val="0"/>
      <w:snapToGrid w:val="0"/>
      <w:jc w:val="center"/>
    </w:pPr>
    <w:rPr>
      <w:rFonts w:ascii="宋体" w:hAnsi="Times"/>
    </w:rPr>
  </w:style>
  <w:style w:type="paragraph" w:customStyle="1" w:styleId="3678">
    <w:name w:val="表内文字大9"/>
    <w:basedOn w:val="1"/>
    <w:qFormat/>
    <w:uiPriority w:val="0"/>
    <w:pPr>
      <w:adjustRightInd w:val="0"/>
      <w:snapToGrid w:val="0"/>
      <w:jc w:val="center"/>
    </w:pPr>
    <w:rPr>
      <w:rFonts w:ascii="宋体" w:hAnsi="Times"/>
      <w:sz w:val="24"/>
    </w:rPr>
  </w:style>
  <w:style w:type="paragraph" w:customStyle="1" w:styleId="3679">
    <w:name w:val="等核实11"/>
    <w:basedOn w:val="35"/>
    <w:qFormat/>
    <w:uiPriority w:val="0"/>
    <w:pPr>
      <w:tabs>
        <w:tab w:val="left" w:pos="4305"/>
      </w:tabs>
      <w:adjustRightInd w:val="0"/>
      <w:snapToGrid w:val="0"/>
      <w:spacing w:after="0" w:line="360" w:lineRule="auto"/>
      <w:ind w:left="0" w:leftChars="0" w:firstLine="567"/>
    </w:pPr>
    <w:rPr>
      <w:rFonts w:ascii="宋体" w:hAnsi="宋体"/>
      <w:color w:val="0000FF"/>
      <w:sz w:val="24"/>
      <w:szCs w:val="20"/>
    </w:rPr>
  </w:style>
  <w:style w:type="paragraph" w:customStyle="1" w:styleId="3680">
    <w:name w:val="Char3"/>
    <w:basedOn w:val="1"/>
    <w:qFormat/>
    <w:uiPriority w:val="0"/>
    <w:pPr>
      <w:ind w:left="-48"/>
    </w:pPr>
  </w:style>
  <w:style w:type="paragraph" w:customStyle="1" w:styleId="3681">
    <w:name w:val="图表1"/>
    <w:next w:val="1"/>
    <w:qFormat/>
    <w:uiPriority w:val="0"/>
    <w:pPr>
      <w:spacing w:line="240" w:lineRule="atLeast"/>
      <w:jc w:val="center"/>
    </w:pPr>
    <w:rPr>
      <w:rFonts w:ascii="楷体_GB2312" w:hAnsi="Times New Roman" w:eastAsia="楷体_GB2312" w:cs="Times New Roman"/>
      <w:sz w:val="24"/>
      <w:lang w:val="en-US" w:eastAsia="zh-CN" w:bidi="ar-SA"/>
    </w:rPr>
  </w:style>
  <w:style w:type="paragraph" w:customStyle="1" w:styleId="3682">
    <w:name w:val="标题三"/>
    <w:basedOn w:val="1"/>
    <w:qFormat/>
    <w:uiPriority w:val="0"/>
    <w:pPr>
      <w:widowControl/>
      <w:spacing w:beforeLines="50" w:afterLines="50"/>
      <w:ind w:firstLine="200" w:firstLineChars="200"/>
      <w:outlineLvl w:val="2"/>
    </w:pPr>
    <w:rPr>
      <w:rFonts w:ascii="宋体" w:hAnsi="宋体"/>
      <w:bCs/>
      <w:sz w:val="24"/>
    </w:rPr>
  </w:style>
  <w:style w:type="paragraph" w:customStyle="1" w:styleId="3683">
    <w:name w:val="图题51"/>
    <w:basedOn w:val="21"/>
    <w:qFormat/>
    <w:uiPriority w:val="0"/>
    <w:pPr>
      <w:adjustRightInd w:val="0"/>
      <w:snapToGrid w:val="0"/>
      <w:ind w:firstLine="0" w:firstLineChars="0"/>
      <w:jc w:val="center"/>
    </w:pPr>
    <w:rPr>
      <w:rFonts w:ascii="方正大标宋简体" w:hAnsi="宋体" w:eastAsia="方正大标宋简体"/>
      <w:b/>
      <w:szCs w:val="24"/>
    </w:rPr>
  </w:style>
  <w:style w:type="paragraph" w:customStyle="1" w:styleId="3684">
    <w:name w:val="T表格"/>
    <w:qFormat/>
    <w:uiPriority w:val="0"/>
    <w:pPr>
      <w:jc w:val="center"/>
    </w:pPr>
    <w:rPr>
      <w:rFonts w:ascii="Times New Roman" w:hAnsi="Times New Roman" w:eastAsia="宋体" w:cs="Times New Roman"/>
      <w:sz w:val="21"/>
      <w:lang w:val="en-US" w:eastAsia="zh-CN" w:bidi="ar-SA"/>
    </w:rPr>
  </w:style>
  <w:style w:type="paragraph" w:customStyle="1" w:styleId="3685">
    <w:name w:val="节节"/>
    <w:basedOn w:val="1"/>
    <w:qFormat/>
    <w:uiPriority w:val="0"/>
    <w:pPr>
      <w:widowControl/>
      <w:tabs>
        <w:tab w:val="left" w:pos="-437"/>
        <w:tab w:val="left" w:pos="1821"/>
      </w:tabs>
      <w:adjustRightInd w:val="0"/>
      <w:snapToGrid w:val="0"/>
      <w:spacing w:beforeLines="150" w:line="360" w:lineRule="auto"/>
      <w:ind w:left="-437" w:hanging="709"/>
      <w:jc w:val="center"/>
    </w:pPr>
    <w:rPr>
      <w:rFonts w:ascii="黑体" w:hAnsi="Arial" w:eastAsia="黑体"/>
      <w:b/>
      <w:bCs/>
      <w:snapToGrid w:val="0"/>
      <w:kern w:val="10"/>
      <w:sz w:val="30"/>
      <w:lang w:bidi="he-IL"/>
    </w:rPr>
  </w:style>
  <w:style w:type="paragraph" w:customStyle="1" w:styleId="3686">
    <w:name w:val="样式 标题 3条标题（节2）（条）第二层条h3Level 3 HeadH3Heading 3 - oldlev..."/>
    <w:basedOn w:val="5"/>
    <w:qFormat/>
    <w:uiPriority w:val="0"/>
    <w:pPr>
      <w:keepNext w:val="0"/>
      <w:keepLines w:val="0"/>
      <w:tabs>
        <w:tab w:val="left" w:pos="1740"/>
        <w:tab w:val="clear" w:pos="720"/>
      </w:tabs>
      <w:adjustRightInd/>
      <w:spacing w:beforeLines="50" w:afterLines="50"/>
      <w:ind w:left="720" w:hanging="720"/>
      <w:jc w:val="both"/>
      <w:textAlignment w:val="auto"/>
    </w:pPr>
    <w:rPr>
      <w:rFonts w:eastAsia="宋体" w:cs="宋体"/>
      <w:bCs/>
      <w:color w:val="auto"/>
      <w:spacing w:val="0"/>
    </w:rPr>
  </w:style>
  <w:style w:type="paragraph" w:customStyle="1" w:styleId="3687">
    <w:name w:val="样式 标题 3 + (西文)粗体"/>
    <w:basedOn w:val="5"/>
    <w:qFormat/>
    <w:uiPriority w:val="0"/>
    <w:pPr>
      <w:tabs>
        <w:tab w:val="clear" w:pos="720"/>
      </w:tabs>
      <w:adjustRightInd/>
      <w:spacing w:before="260" w:after="260" w:line="416" w:lineRule="auto"/>
      <w:ind w:left="0" w:firstLine="0"/>
      <w:jc w:val="both"/>
      <w:textAlignment w:val="auto"/>
    </w:pPr>
    <w:rPr>
      <w:rFonts w:ascii="Arial" w:hAnsi="Arial" w:eastAsia="仿宋_GB2312" w:cs="Angsana New"/>
      <w:bCs/>
      <w:color w:val="auto"/>
      <w:spacing w:val="0"/>
      <w:kern w:val="2"/>
      <w:sz w:val="24"/>
      <w:szCs w:val="32"/>
      <w:lang w:bidi="th-TH"/>
    </w:rPr>
  </w:style>
  <w:style w:type="paragraph" w:customStyle="1" w:styleId="3688">
    <w:name w:val="表内511"/>
    <w:basedOn w:val="1"/>
    <w:qFormat/>
    <w:uiPriority w:val="0"/>
    <w:pPr>
      <w:adjustRightInd w:val="0"/>
      <w:snapToGrid w:val="0"/>
      <w:spacing w:line="300" w:lineRule="auto"/>
      <w:jc w:val="left"/>
    </w:pPr>
    <w:rPr>
      <w:rFonts w:ascii="宋体"/>
    </w:rPr>
  </w:style>
  <w:style w:type="paragraph" w:customStyle="1" w:styleId="3689">
    <w:name w:val="11111"/>
    <w:basedOn w:val="1"/>
    <w:qFormat/>
    <w:uiPriority w:val="0"/>
    <w:pPr>
      <w:widowControl/>
      <w:jc w:val="center"/>
    </w:pPr>
    <w:rPr>
      <w:rFonts w:ascii="宋体" w:hAnsi="宋体" w:eastAsia="黑体" w:cs="宋体"/>
      <w:b/>
      <w:sz w:val="30"/>
    </w:rPr>
  </w:style>
  <w:style w:type="paragraph" w:customStyle="1" w:styleId="3690">
    <w:name w:val="Char1 Char Char Char Char Char Char Char Char Char Char Char Char Char Char Char Char Char Char Char Char Char Char Char Char"/>
    <w:basedOn w:val="3"/>
    <w:qFormat/>
    <w:uiPriority w:val="0"/>
    <w:pPr>
      <w:pageBreakBefore/>
      <w:snapToGrid w:val="0"/>
      <w:spacing w:line="360" w:lineRule="auto"/>
      <w:ind w:firstLine="200" w:firstLineChars="200"/>
      <w:jc w:val="center"/>
    </w:pPr>
    <w:rPr>
      <w:rFonts w:eastAsia="仿宋_GB2312"/>
      <w:spacing w:val="10"/>
      <w:sz w:val="24"/>
      <w:szCs w:val="32"/>
    </w:rPr>
  </w:style>
  <w:style w:type="paragraph" w:customStyle="1" w:styleId="3691">
    <w:name w:val="页眉中2"/>
    <w:basedOn w:val="1"/>
    <w:qFormat/>
    <w:uiPriority w:val="0"/>
    <w:pPr>
      <w:adjustRightInd w:val="0"/>
      <w:snapToGrid w:val="0"/>
      <w:jc w:val="center"/>
    </w:pPr>
    <w:rPr>
      <w:rFonts w:ascii="黑体" w:eastAsia="黑体"/>
      <w:bCs/>
    </w:rPr>
  </w:style>
  <w:style w:type="paragraph" w:customStyle="1" w:styleId="3692">
    <w:name w:val="样式 样式 表2.1 + 居中 + 右 左侧:  -0.01 厘米 首行缩进:  0.01 厘米"/>
    <w:qFormat/>
    <w:uiPriority w:val="0"/>
    <w:pPr>
      <w:tabs>
        <w:tab w:val="left" w:pos="360"/>
        <w:tab w:val="left" w:pos="420"/>
        <w:tab w:val="left" w:pos="720"/>
        <w:tab w:val="left" w:pos="780"/>
        <w:tab w:val="left" w:pos="840"/>
        <w:tab w:val="left" w:pos="1080"/>
        <w:tab w:val="left" w:pos="1287"/>
        <w:tab w:val="left" w:pos="1931"/>
      </w:tabs>
      <w:ind w:left="1287" w:hanging="720"/>
      <w:jc w:val="right"/>
    </w:pPr>
    <w:rPr>
      <w:rFonts w:ascii="Times New Roman" w:hAnsi="Times New Roman" w:eastAsia="宋体" w:cs="Times New Roman"/>
      <w:lang w:val="en-US" w:eastAsia="zh-CN" w:bidi="ar-SA"/>
    </w:rPr>
  </w:style>
  <w:style w:type="paragraph" w:customStyle="1" w:styleId="3693">
    <w:name w:val="xl62"/>
    <w:basedOn w:val="1"/>
    <w:qFormat/>
    <w:uiPriority w:val="0"/>
    <w:pPr>
      <w:widowControl/>
      <w:pBdr>
        <w:top w:val="single" w:color="auto" w:sz="4" w:space="0"/>
        <w:left w:val="single" w:color="auto" w:sz="4" w:space="0"/>
        <w:right w:val="single" w:color="auto" w:sz="8" w:space="0"/>
      </w:pBdr>
      <w:spacing w:before="100" w:beforeAutospacing="1" w:after="100" w:afterAutospacing="1"/>
      <w:jc w:val="left"/>
      <w:textAlignment w:val="center"/>
    </w:pPr>
    <w:rPr>
      <w:rFonts w:ascii="Arial Unicode MS" w:hAnsi="Arial Unicode MS" w:eastAsia="Arial Unicode MS"/>
      <w:sz w:val="24"/>
    </w:rPr>
  </w:style>
  <w:style w:type="paragraph" w:customStyle="1" w:styleId="3694">
    <w:name w:val="等核实12"/>
    <w:basedOn w:val="35"/>
    <w:qFormat/>
    <w:uiPriority w:val="0"/>
    <w:pPr>
      <w:tabs>
        <w:tab w:val="left" w:pos="4305"/>
      </w:tabs>
      <w:adjustRightInd w:val="0"/>
      <w:snapToGrid w:val="0"/>
      <w:spacing w:after="0" w:line="360" w:lineRule="auto"/>
      <w:ind w:left="0" w:leftChars="0" w:firstLine="567"/>
    </w:pPr>
    <w:rPr>
      <w:rFonts w:ascii="宋体" w:hAnsi="宋体"/>
      <w:color w:val="0000FF"/>
      <w:sz w:val="24"/>
      <w:szCs w:val="20"/>
    </w:rPr>
  </w:style>
  <w:style w:type="paragraph" w:customStyle="1" w:styleId="3695">
    <w:name w:val="xl120"/>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color w:val="000000"/>
      <w:sz w:val="18"/>
      <w:szCs w:val="18"/>
    </w:rPr>
  </w:style>
  <w:style w:type="paragraph" w:customStyle="1" w:styleId="3696">
    <w:name w:val="222"/>
    <w:basedOn w:val="4"/>
    <w:qFormat/>
    <w:uiPriority w:val="0"/>
    <w:pPr>
      <w:tabs>
        <w:tab w:val="clear" w:pos="1427"/>
      </w:tabs>
      <w:adjustRightInd/>
      <w:spacing w:beforeLines="0" w:line="415" w:lineRule="auto"/>
      <w:textAlignment w:val="auto"/>
    </w:pPr>
    <w:rPr>
      <w:bCs/>
      <w:color w:val="000000"/>
      <w:kern w:val="2"/>
      <w:szCs w:val="24"/>
    </w:rPr>
  </w:style>
  <w:style w:type="paragraph" w:customStyle="1" w:styleId="3697">
    <w:name w:val="表题86"/>
    <w:basedOn w:val="35"/>
    <w:qFormat/>
    <w:uiPriority w:val="0"/>
    <w:pPr>
      <w:tabs>
        <w:tab w:val="left" w:pos="4305"/>
      </w:tabs>
      <w:adjustRightInd w:val="0"/>
      <w:snapToGrid w:val="0"/>
      <w:spacing w:after="0"/>
      <w:ind w:left="0" w:leftChars="0"/>
      <w:jc w:val="center"/>
    </w:pPr>
    <w:rPr>
      <w:rFonts w:ascii="黑体" w:hAnsi="宋体" w:eastAsia="黑体"/>
      <w:sz w:val="24"/>
      <w:szCs w:val="20"/>
    </w:rPr>
  </w:style>
  <w:style w:type="paragraph" w:customStyle="1" w:styleId="3698">
    <w:name w:val="修订2"/>
    <w:qFormat/>
    <w:uiPriority w:val="99"/>
    <w:rPr>
      <w:rFonts w:ascii="Times New Roman" w:hAnsi="Times New Roman" w:eastAsia="宋体" w:cs="Times New Roman"/>
      <w:kern w:val="2"/>
      <w:sz w:val="21"/>
      <w:lang w:val="en-US" w:eastAsia="zh-CN" w:bidi="ar-SA"/>
    </w:rPr>
  </w:style>
  <w:style w:type="paragraph" w:customStyle="1" w:styleId="3699">
    <w:name w:val="样式 Arial 行距: 多倍行距 1.45 字行"/>
    <w:basedOn w:val="1"/>
    <w:qFormat/>
    <w:uiPriority w:val="0"/>
    <w:pPr>
      <w:spacing w:line="500" w:lineRule="exact"/>
    </w:pPr>
    <w:rPr>
      <w:rFonts w:ascii="仿宋_GB2312" w:hAnsi="Arial" w:eastAsia="仿宋_GB2312"/>
      <w:sz w:val="28"/>
      <w:szCs w:val="28"/>
    </w:rPr>
  </w:style>
  <w:style w:type="paragraph" w:customStyle="1" w:styleId="3700">
    <w:name w:val="页眉中4"/>
    <w:basedOn w:val="47"/>
    <w:qFormat/>
    <w:uiPriority w:val="0"/>
    <w:pPr>
      <w:adjustRightInd w:val="0"/>
      <w:spacing w:line="300" w:lineRule="auto"/>
      <w:jc w:val="left"/>
    </w:pPr>
    <w:rPr>
      <w:rFonts w:ascii="黑体" w:hAnsi="宋体" w:eastAsia="黑体" w:cs="宋体"/>
      <w:sz w:val="24"/>
      <w:szCs w:val="24"/>
    </w:rPr>
  </w:style>
  <w:style w:type="paragraph" w:customStyle="1" w:styleId="3701">
    <w:name w:val="表内5中31"/>
    <w:basedOn w:val="1"/>
    <w:qFormat/>
    <w:uiPriority w:val="0"/>
    <w:pPr>
      <w:adjustRightInd w:val="0"/>
      <w:snapToGrid w:val="0"/>
      <w:jc w:val="center"/>
    </w:pPr>
    <w:rPr>
      <w:rFonts w:ascii="宋体"/>
    </w:rPr>
  </w:style>
  <w:style w:type="paragraph" w:customStyle="1" w:styleId="3702">
    <w:name w:val="小节标题"/>
    <w:basedOn w:val="1"/>
    <w:next w:val="1"/>
    <w:qFormat/>
    <w:uiPriority w:val="0"/>
    <w:pPr>
      <w:widowControl/>
      <w:spacing w:before="175" w:after="102" w:line="782" w:lineRule="atLeast"/>
    </w:pPr>
    <w:rPr>
      <w:rFonts w:ascii="宋体" w:eastAsia="黑体"/>
      <w:color w:val="000000"/>
      <w:u w:color="000000"/>
    </w:rPr>
  </w:style>
  <w:style w:type="paragraph" w:customStyle="1" w:styleId="3703">
    <w:name w:val="样式 样式 首行缩进:  2 字符2 + 首行缩进:  2 字符"/>
    <w:basedOn w:val="1"/>
    <w:qFormat/>
    <w:uiPriority w:val="0"/>
    <w:pPr>
      <w:spacing w:line="360" w:lineRule="auto"/>
      <w:ind w:firstLine="200" w:firstLineChars="200"/>
    </w:pPr>
    <w:rPr>
      <w:rFonts w:cs="宋体"/>
      <w:sz w:val="24"/>
    </w:rPr>
  </w:style>
  <w:style w:type="paragraph" w:customStyle="1" w:styleId="3704">
    <w:name w:val="样式 标题 2节节标题 1.1H2（一）Underrubrik1prop2Heading 2 HiddenHea...1"/>
    <w:basedOn w:val="4"/>
    <w:qFormat/>
    <w:uiPriority w:val="0"/>
    <w:pPr>
      <w:tabs>
        <w:tab w:val="left" w:pos="576"/>
        <w:tab w:val="clear" w:pos="1427"/>
      </w:tabs>
      <w:adjustRightInd/>
      <w:spacing w:before="156"/>
      <w:textAlignment w:val="auto"/>
    </w:pPr>
    <w:rPr>
      <w:rFonts w:ascii="宋体" w:hAnsi="Arial"/>
      <w:bCs/>
      <w:color w:val="000000"/>
      <w:kern w:val="2"/>
      <w:sz w:val="30"/>
      <w:szCs w:val="32"/>
    </w:rPr>
  </w:style>
  <w:style w:type="paragraph" w:customStyle="1" w:styleId="3705">
    <w:name w:val="Char Char Char Char Char Char Char Char Char Char Char Char Char Char Char Char Char Char Char Char Char Char Char Char Char Char Char Char Char Char Char Char Char Char1"/>
    <w:basedOn w:val="1"/>
    <w:qFormat/>
    <w:uiPriority w:val="0"/>
    <w:pPr>
      <w:spacing w:line="360" w:lineRule="auto"/>
      <w:ind w:firstLine="200" w:firstLineChars="200"/>
    </w:pPr>
    <w:rPr>
      <w:rFonts w:ascii="宋体" w:hAnsi="宋体" w:cs="宋体"/>
      <w:sz w:val="24"/>
    </w:rPr>
  </w:style>
  <w:style w:type="paragraph" w:customStyle="1" w:styleId="3706">
    <w:name w:val="奉读大示，心折殊深。"/>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3707">
    <w:name w:val="样式 仿宋_GB2312 红色 首行缩进:  0.98 厘米"/>
    <w:basedOn w:val="1"/>
    <w:qFormat/>
    <w:uiPriority w:val="0"/>
    <w:pPr>
      <w:spacing w:line="500" w:lineRule="exact"/>
      <w:ind w:firstLine="556"/>
    </w:pPr>
    <w:rPr>
      <w:rFonts w:ascii="仿宋_GB2312" w:eastAsia="仿宋_GB2312" w:cs="宋体"/>
      <w:color w:val="FF0000"/>
      <w:sz w:val="28"/>
      <w:szCs w:val="28"/>
    </w:rPr>
  </w:style>
  <w:style w:type="paragraph" w:customStyle="1" w:styleId="3708">
    <w:name w:val="表题111"/>
    <w:basedOn w:val="1"/>
    <w:qFormat/>
    <w:uiPriority w:val="0"/>
    <w:pPr>
      <w:adjustRightInd w:val="0"/>
      <w:snapToGrid w:val="0"/>
      <w:jc w:val="center"/>
      <w:textAlignment w:val="baseline"/>
    </w:pPr>
    <w:rPr>
      <w:rFonts w:ascii="黑体" w:hAnsi="宋体" w:eastAsia="黑体"/>
      <w:sz w:val="24"/>
    </w:rPr>
  </w:style>
  <w:style w:type="paragraph" w:customStyle="1" w:styleId="3709">
    <w:name w:val="表内530"/>
    <w:basedOn w:val="1572"/>
    <w:qFormat/>
    <w:uiPriority w:val="0"/>
    <w:pPr>
      <w:spacing w:line="300" w:lineRule="auto"/>
      <w:jc w:val="both"/>
    </w:pPr>
    <w:rPr>
      <w:szCs w:val="24"/>
    </w:rPr>
  </w:style>
  <w:style w:type="paragraph" w:customStyle="1" w:styleId="3710">
    <w:name w:val="样式 标题 41.1.1.1标题 4 + 两端对齐"/>
    <w:basedOn w:val="6"/>
    <w:qFormat/>
    <w:uiPriority w:val="0"/>
    <w:pPr>
      <w:keepNext w:val="0"/>
      <w:keepLines w:val="0"/>
      <w:tabs>
        <w:tab w:val="left" w:pos="1680"/>
      </w:tabs>
      <w:autoSpaceDE w:val="0"/>
      <w:autoSpaceDN w:val="0"/>
      <w:adjustRightInd w:val="0"/>
      <w:spacing w:before="0" w:after="0" w:line="240" w:lineRule="auto"/>
      <w:ind w:left="993" w:hanging="709"/>
      <w:textAlignment w:val="top"/>
    </w:pPr>
    <w:rPr>
      <w:rFonts w:eastAsia="仿宋_GB2312"/>
      <w:color w:val="000000"/>
      <w:spacing w:val="-12"/>
      <w:szCs w:val="20"/>
    </w:rPr>
  </w:style>
  <w:style w:type="paragraph" w:customStyle="1" w:styleId="3711">
    <w:name w:val="表标题16.10-1"/>
    <w:basedOn w:val="371"/>
    <w:qFormat/>
    <w:uiPriority w:val="0"/>
    <w:pPr>
      <w:tabs>
        <w:tab w:val="left" w:pos="0"/>
        <w:tab w:val="left" w:pos="360"/>
        <w:tab w:val="left" w:pos="432"/>
        <w:tab w:val="left" w:pos="6200"/>
        <w:tab w:val="clear" w:pos="4060"/>
        <w:tab w:val="clear" w:pos="8261"/>
      </w:tabs>
      <w:ind w:left="5540"/>
    </w:pPr>
  </w:style>
  <w:style w:type="paragraph" w:customStyle="1" w:styleId="3712">
    <w:name w:val="等核实13"/>
    <w:basedOn w:val="35"/>
    <w:qFormat/>
    <w:uiPriority w:val="0"/>
    <w:pPr>
      <w:tabs>
        <w:tab w:val="left" w:pos="4305"/>
      </w:tabs>
      <w:adjustRightInd w:val="0"/>
      <w:snapToGrid w:val="0"/>
      <w:spacing w:after="0" w:line="360" w:lineRule="auto"/>
      <w:ind w:left="0" w:leftChars="0" w:firstLine="567"/>
    </w:pPr>
    <w:rPr>
      <w:rFonts w:ascii="宋体" w:hAnsi="宋体"/>
      <w:color w:val="0000FF"/>
      <w:sz w:val="24"/>
      <w:szCs w:val="20"/>
    </w:rPr>
  </w:style>
  <w:style w:type="paragraph" w:customStyle="1" w:styleId="3713">
    <w:name w:val="正文居中"/>
    <w:basedOn w:val="1"/>
    <w:qFormat/>
    <w:uiPriority w:val="0"/>
    <w:pPr>
      <w:adjustRightInd w:val="0"/>
      <w:snapToGrid w:val="0"/>
      <w:spacing w:line="480" w:lineRule="atLeast"/>
      <w:jc w:val="center"/>
    </w:pPr>
    <w:rPr>
      <w:rFonts w:ascii="宋体"/>
      <w:snapToGrid w:val="0"/>
      <w:spacing w:val="6"/>
      <w:sz w:val="28"/>
    </w:rPr>
  </w:style>
  <w:style w:type="paragraph" w:customStyle="1" w:styleId="3714">
    <w:name w:val="正文-1"/>
    <w:basedOn w:val="1"/>
    <w:qFormat/>
    <w:uiPriority w:val="0"/>
    <w:pPr>
      <w:adjustRightInd w:val="0"/>
      <w:spacing w:line="440" w:lineRule="exact"/>
      <w:ind w:firstLine="200" w:firstLineChars="200"/>
    </w:pPr>
    <w:rPr>
      <w:sz w:val="24"/>
    </w:rPr>
  </w:style>
  <w:style w:type="paragraph" w:customStyle="1" w:styleId="3715">
    <w:name w:val="正文居中3"/>
    <w:basedOn w:val="1"/>
    <w:qFormat/>
    <w:uiPriority w:val="0"/>
    <w:pPr>
      <w:adjustRightInd w:val="0"/>
      <w:snapToGrid w:val="0"/>
      <w:spacing w:line="480" w:lineRule="atLeast"/>
      <w:jc w:val="center"/>
    </w:pPr>
    <w:rPr>
      <w:rFonts w:ascii="宋体"/>
      <w:snapToGrid w:val="0"/>
      <w:spacing w:val="6"/>
      <w:sz w:val="28"/>
    </w:rPr>
  </w:style>
  <w:style w:type="paragraph" w:customStyle="1" w:styleId="3716">
    <w:name w:val="图题6"/>
    <w:basedOn w:val="1"/>
    <w:qFormat/>
    <w:uiPriority w:val="0"/>
    <w:pPr>
      <w:jc w:val="center"/>
    </w:pPr>
    <w:rPr>
      <w:rFonts w:ascii="黑体" w:eastAsia="黑体"/>
      <w:sz w:val="24"/>
    </w:rPr>
  </w:style>
  <w:style w:type="paragraph" w:customStyle="1" w:styleId="3717">
    <w:name w:val="表格文字_左"/>
    <w:basedOn w:val="1"/>
    <w:next w:val="1"/>
    <w:qFormat/>
    <w:uiPriority w:val="0"/>
    <w:pPr>
      <w:spacing w:line="360" w:lineRule="auto"/>
    </w:pPr>
    <w:rPr>
      <w:rFonts w:eastAsia="楷体_GB2312"/>
    </w:rPr>
  </w:style>
  <w:style w:type="paragraph" w:customStyle="1" w:styleId="3718">
    <w:name w:val="表内小55"/>
    <w:basedOn w:val="1"/>
    <w:qFormat/>
    <w:uiPriority w:val="0"/>
    <w:pPr>
      <w:adjustRightInd w:val="0"/>
      <w:snapToGrid w:val="0"/>
      <w:spacing w:line="300" w:lineRule="auto"/>
    </w:pPr>
    <w:rPr>
      <w:rFonts w:ascii="宋体" w:hAnsi="宋体"/>
      <w:sz w:val="18"/>
    </w:rPr>
  </w:style>
  <w:style w:type="paragraph" w:customStyle="1" w:styleId="3719">
    <w:name w:val="页眉中37"/>
    <w:basedOn w:val="47"/>
    <w:qFormat/>
    <w:uiPriority w:val="0"/>
    <w:pPr>
      <w:adjustRightInd w:val="0"/>
      <w:spacing w:line="300" w:lineRule="auto"/>
      <w:jc w:val="left"/>
    </w:pPr>
    <w:rPr>
      <w:rFonts w:hAnsi="宋体"/>
      <w:sz w:val="24"/>
    </w:rPr>
  </w:style>
  <w:style w:type="paragraph" w:customStyle="1" w:styleId="3720">
    <w:name w:val="Char Char Char Char Char Char11"/>
    <w:basedOn w:val="1"/>
    <w:next w:val="1"/>
    <w:qFormat/>
    <w:uiPriority w:val="0"/>
    <w:pPr>
      <w:spacing w:line="336" w:lineRule="auto"/>
      <w:ind w:firstLine="200" w:firstLineChars="200"/>
    </w:pPr>
    <w:rPr>
      <w:rFonts w:ascii="宋体" w:hAnsi="宋体" w:eastAsia="汉鼎简书宋" w:cs="宋体"/>
      <w:spacing w:val="4"/>
      <w:sz w:val="24"/>
    </w:rPr>
  </w:style>
  <w:style w:type="paragraph" w:customStyle="1" w:styleId="3721">
    <w:name w:val="本文正文"/>
    <w:basedOn w:val="1"/>
    <w:qFormat/>
    <w:uiPriority w:val="0"/>
    <w:pPr>
      <w:autoSpaceDE w:val="0"/>
      <w:autoSpaceDN w:val="0"/>
      <w:adjustRightInd w:val="0"/>
      <w:spacing w:line="300" w:lineRule="auto"/>
      <w:ind w:firstLine="560" w:firstLineChars="200"/>
      <w:textAlignment w:val="baseline"/>
    </w:pPr>
    <w:rPr>
      <w:sz w:val="28"/>
    </w:rPr>
  </w:style>
  <w:style w:type="paragraph" w:customStyle="1" w:styleId="3722">
    <w:name w:val="正文12"/>
    <w:basedOn w:val="1"/>
    <w:qFormat/>
    <w:uiPriority w:val="0"/>
    <w:pPr>
      <w:adjustRightInd w:val="0"/>
      <w:spacing w:after="120" w:line="360" w:lineRule="atLeast"/>
      <w:jc w:val="center"/>
      <w:textAlignment w:val="baseline"/>
    </w:pPr>
    <w:rPr>
      <w:rFonts w:ascii="宋体" w:hAnsi="宋体" w:cs="宋体"/>
      <w:sz w:val="24"/>
    </w:rPr>
  </w:style>
  <w:style w:type="paragraph" w:customStyle="1" w:styleId="3723">
    <w:name w:val="日期5"/>
    <w:basedOn w:val="1"/>
    <w:next w:val="1"/>
    <w:qFormat/>
    <w:uiPriority w:val="0"/>
    <w:pPr>
      <w:adjustRightInd w:val="0"/>
      <w:textAlignment w:val="baseline"/>
    </w:pPr>
  </w:style>
  <w:style w:type="paragraph" w:customStyle="1" w:styleId="3724">
    <w:name w:val="默认段落字体 Para Char Char Char Char Char Char Char Char Char Char Char Char1 Char Char Char Char Char Char Char"/>
    <w:basedOn w:val="1"/>
    <w:qFormat/>
    <w:uiPriority w:val="0"/>
  </w:style>
  <w:style w:type="paragraph" w:customStyle="1" w:styleId="3725">
    <w:name w:val="题图2"/>
    <w:basedOn w:val="1"/>
    <w:qFormat/>
    <w:uiPriority w:val="0"/>
    <w:pPr>
      <w:adjustRightInd w:val="0"/>
      <w:snapToGrid w:val="0"/>
      <w:jc w:val="center"/>
    </w:pPr>
    <w:rPr>
      <w:rFonts w:ascii="宋体" w:hAnsi="宋体" w:cs="宋体"/>
      <w:sz w:val="28"/>
    </w:rPr>
  </w:style>
  <w:style w:type="paragraph" w:customStyle="1" w:styleId="3726">
    <w:name w:val="页眉中26"/>
    <w:basedOn w:val="1"/>
    <w:qFormat/>
    <w:uiPriority w:val="0"/>
    <w:pPr>
      <w:adjustRightInd w:val="0"/>
      <w:snapToGrid w:val="0"/>
      <w:spacing w:line="300" w:lineRule="auto"/>
      <w:jc w:val="left"/>
    </w:pPr>
    <w:rPr>
      <w:rFonts w:ascii="黑体" w:eastAsia="黑体"/>
      <w:bCs/>
      <w:sz w:val="24"/>
    </w:rPr>
  </w:style>
  <w:style w:type="paragraph" w:customStyle="1" w:styleId="3727">
    <w:name w:val="Char Char Char Char Char Char Char Char Char Char Char Char Char5"/>
    <w:basedOn w:val="1"/>
    <w:qFormat/>
    <w:uiPriority w:val="0"/>
  </w:style>
  <w:style w:type="paragraph" w:customStyle="1" w:styleId="3728">
    <w:name w:val="样式 样式 标题 1 + 首行缩进:  2 字符 段前: 1 行 段后: 1 行 + 首行缩进:  2 字符"/>
    <w:basedOn w:val="1"/>
    <w:qFormat/>
    <w:uiPriority w:val="0"/>
    <w:pPr>
      <w:keepNext/>
      <w:keepLines/>
      <w:spacing w:beforeLines="50" w:afterLines="50" w:line="500" w:lineRule="exact"/>
      <w:ind w:firstLine="200" w:firstLineChars="200"/>
      <w:jc w:val="center"/>
      <w:outlineLvl w:val="0"/>
    </w:pPr>
    <w:rPr>
      <w:rFonts w:eastAsia="黑体" w:cs="宋体"/>
      <w:kern w:val="44"/>
      <w:sz w:val="36"/>
    </w:rPr>
  </w:style>
  <w:style w:type="paragraph" w:customStyle="1" w:styleId="3729">
    <w:name w:val="表内516"/>
    <w:basedOn w:val="1"/>
    <w:qFormat/>
    <w:uiPriority w:val="0"/>
    <w:pPr>
      <w:adjustRightInd w:val="0"/>
      <w:snapToGrid w:val="0"/>
      <w:spacing w:line="300" w:lineRule="auto"/>
      <w:jc w:val="center"/>
    </w:pPr>
    <w:rPr>
      <w:rFonts w:ascii="宋体" w:hAnsi="宋体" w:cs="宋体"/>
    </w:rPr>
  </w:style>
  <w:style w:type="paragraph" w:customStyle="1" w:styleId="3730">
    <w:name w:val="Char Char Char Char Char Char Char Char Char Char Char Char Char Char Char Char Char Char Char Char Char1 Char2"/>
    <w:basedOn w:val="1"/>
    <w:next w:val="1"/>
    <w:qFormat/>
    <w:uiPriority w:val="0"/>
    <w:pPr>
      <w:keepNext/>
      <w:keepLines/>
      <w:widowControl/>
      <w:adjustRightInd w:val="0"/>
      <w:spacing w:before="40" w:after="40" w:line="360" w:lineRule="auto"/>
      <w:ind w:firstLine="482" w:firstLineChars="200"/>
      <w:textAlignment w:val="baseline"/>
    </w:pPr>
    <w:rPr>
      <w:rFonts w:cs="宋体"/>
      <w:b/>
      <w:sz w:val="24"/>
      <w:szCs w:val="28"/>
    </w:rPr>
  </w:style>
  <w:style w:type="paragraph" w:customStyle="1" w:styleId="3731">
    <w:name w:val="Texte"/>
    <w:basedOn w:val="1"/>
    <w:qFormat/>
    <w:uiPriority w:val="0"/>
    <w:pPr>
      <w:widowControl/>
      <w:spacing w:before="120" w:after="120"/>
      <w:ind w:left="851" w:firstLine="200" w:firstLineChars="200"/>
    </w:pPr>
    <w:rPr>
      <w:rFonts w:ascii="Arial" w:hAnsi="Arial"/>
      <w:sz w:val="22"/>
      <w:lang w:val="en-GB"/>
    </w:rPr>
  </w:style>
  <w:style w:type="paragraph" w:customStyle="1" w:styleId="3732">
    <w:name w:val="样式 标题 3 + (符号) Times New Roman 四号 两端对齐 段前: 12 磅 行距: 1.5 倍行距2"/>
    <w:basedOn w:val="5"/>
    <w:qFormat/>
    <w:uiPriority w:val="0"/>
    <w:pPr>
      <w:keepNext w:val="0"/>
      <w:keepLines w:val="0"/>
      <w:tabs>
        <w:tab w:val="clear" w:pos="720"/>
      </w:tabs>
      <w:snapToGrid w:val="0"/>
      <w:spacing w:before="120" w:afterLines="50"/>
      <w:ind w:left="0" w:firstLine="0"/>
      <w:jc w:val="both"/>
      <w:textAlignment w:val="auto"/>
    </w:pPr>
    <w:rPr>
      <w:rFonts w:ascii="黑体" w:cs="宋体"/>
      <w:color w:val="auto"/>
      <w:spacing w:val="0"/>
      <w:kern w:val="2"/>
      <w:szCs w:val="28"/>
    </w:rPr>
  </w:style>
  <w:style w:type="paragraph" w:customStyle="1" w:styleId="3733">
    <w:name w:val="正文115"/>
    <w:basedOn w:val="1"/>
    <w:qFormat/>
    <w:uiPriority w:val="0"/>
    <w:pPr>
      <w:adjustRightInd w:val="0"/>
      <w:snapToGrid w:val="0"/>
      <w:spacing w:after="120"/>
      <w:jc w:val="center"/>
      <w:textAlignment w:val="baseline"/>
    </w:pPr>
    <w:rPr>
      <w:sz w:val="18"/>
    </w:rPr>
  </w:style>
  <w:style w:type="paragraph" w:customStyle="1" w:styleId="3734">
    <w:name w:val="表内文字小25"/>
    <w:basedOn w:val="1"/>
    <w:qFormat/>
    <w:uiPriority w:val="0"/>
    <w:pPr>
      <w:adjustRightInd w:val="0"/>
      <w:snapToGrid w:val="0"/>
      <w:jc w:val="center"/>
    </w:pPr>
    <w:rPr>
      <w:rFonts w:ascii="宋体" w:hAnsi="Times"/>
      <w:bCs/>
      <w:color w:val="003366"/>
    </w:rPr>
  </w:style>
  <w:style w:type="paragraph" w:customStyle="1" w:styleId="3735">
    <w:name w:val="Char Char Char1 Char Char Char3 Char"/>
    <w:basedOn w:val="1"/>
    <w:qFormat/>
    <w:uiPriority w:val="0"/>
    <w:pPr>
      <w:adjustRightInd w:val="0"/>
      <w:spacing w:line="360" w:lineRule="atLeast"/>
      <w:jc w:val="left"/>
      <w:textAlignment w:val="baseline"/>
    </w:pPr>
  </w:style>
  <w:style w:type="paragraph" w:customStyle="1" w:styleId="3736">
    <w:name w:val="Char15"/>
    <w:basedOn w:val="1"/>
    <w:qFormat/>
    <w:uiPriority w:val="0"/>
  </w:style>
  <w:style w:type="paragraph" w:customStyle="1" w:styleId="3737">
    <w:name w:val="表题6"/>
    <w:basedOn w:val="35"/>
    <w:qFormat/>
    <w:uiPriority w:val="0"/>
    <w:pPr>
      <w:tabs>
        <w:tab w:val="left" w:pos="4305"/>
      </w:tabs>
      <w:adjustRightInd w:val="0"/>
      <w:snapToGrid w:val="0"/>
      <w:spacing w:after="0"/>
      <w:ind w:left="0" w:leftChars="0" w:firstLine="480" w:firstLineChars="200"/>
      <w:jc w:val="center"/>
    </w:pPr>
    <w:rPr>
      <w:rFonts w:ascii="黑体" w:hAnsi="宋体" w:eastAsia="黑体"/>
      <w:sz w:val="24"/>
      <w:szCs w:val="20"/>
    </w:rPr>
  </w:style>
  <w:style w:type="paragraph" w:customStyle="1" w:styleId="3738">
    <w:name w:val="正文缩进1"/>
    <w:basedOn w:val="1"/>
    <w:qFormat/>
    <w:uiPriority w:val="0"/>
    <w:pPr>
      <w:adjustRightInd w:val="0"/>
      <w:spacing w:line="480" w:lineRule="exact"/>
    </w:pPr>
    <w:rPr>
      <w:rFonts w:hint="eastAsia"/>
      <w:kern w:val="28"/>
      <w:sz w:val="24"/>
    </w:rPr>
  </w:style>
  <w:style w:type="paragraph" w:customStyle="1" w:styleId="3739">
    <w:name w:val="样式 标题 1 + 段前: 0.5 行 段后: 1 行1"/>
    <w:basedOn w:val="3"/>
    <w:qFormat/>
    <w:uiPriority w:val="0"/>
    <w:pPr>
      <w:keepLines w:val="0"/>
      <w:adjustRightInd w:val="0"/>
      <w:snapToGrid w:val="0"/>
      <w:spacing w:beforeLines="50" w:after="0" w:line="360" w:lineRule="auto"/>
      <w:jc w:val="center"/>
    </w:pPr>
    <w:rPr>
      <w:rFonts w:ascii="黑体" w:eastAsia="黑体" w:cs="宋体"/>
      <w:bCs w:val="0"/>
      <w:kern w:val="2"/>
      <w:sz w:val="32"/>
      <w:szCs w:val="20"/>
    </w:rPr>
  </w:style>
  <w:style w:type="paragraph" w:customStyle="1" w:styleId="3740">
    <w:name w:val="xl147"/>
    <w:basedOn w:val="1"/>
    <w:qFormat/>
    <w:uiPriority w:val="0"/>
    <w:pPr>
      <w:widowControl/>
      <w:pBdr>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3741">
    <w:name w:val="xl81"/>
    <w:basedOn w:val="1"/>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jc w:val="center"/>
      <w:textAlignment w:val="center"/>
    </w:pPr>
    <w:rPr>
      <w:rFonts w:ascii="Arial Unicode MS" w:hAnsi="Arial Unicode MS" w:eastAsia="Arial Unicode MS" w:cs="Arial Unicode MS"/>
      <w:sz w:val="16"/>
      <w:szCs w:val="16"/>
    </w:rPr>
  </w:style>
  <w:style w:type="paragraph" w:customStyle="1" w:styleId="3742">
    <w:name w:val="正文11"/>
    <w:basedOn w:val="1"/>
    <w:qFormat/>
    <w:uiPriority w:val="0"/>
    <w:pPr>
      <w:adjustRightInd w:val="0"/>
      <w:snapToGrid w:val="0"/>
      <w:spacing w:after="120"/>
      <w:jc w:val="center"/>
      <w:textAlignment w:val="baseline"/>
    </w:pPr>
    <w:rPr>
      <w:sz w:val="18"/>
    </w:rPr>
  </w:style>
  <w:style w:type="paragraph" w:customStyle="1" w:styleId="3743">
    <w:name w:val="Char Char1 Char Char Char Char Char Char Char Char Char1 Char2"/>
    <w:basedOn w:val="1"/>
    <w:qFormat/>
    <w:uiPriority w:val="0"/>
  </w:style>
  <w:style w:type="paragraph" w:customStyle="1" w:styleId="3744">
    <w:name w:val="样式 标题 2标题 2 Char + (西文) Times New Roman (中文) 宋体 小四"/>
    <w:basedOn w:val="4"/>
    <w:qFormat/>
    <w:uiPriority w:val="0"/>
    <w:pPr>
      <w:tabs>
        <w:tab w:val="clear" w:pos="1427"/>
      </w:tabs>
      <w:adjustRightInd/>
      <w:spacing w:before="156" w:after="156"/>
      <w:jc w:val="both"/>
      <w:textAlignment w:val="auto"/>
    </w:pPr>
    <w:rPr>
      <w:rFonts w:ascii="宋体" w:hAnsi="Arial" w:cs="Arial"/>
      <w:b w:val="0"/>
      <w:kern w:val="2"/>
      <w:sz w:val="24"/>
      <w:szCs w:val="24"/>
    </w:rPr>
  </w:style>
  <w:style w:type="paragraph" w:customStyle="1" w:styleId="3745">
    <w:name w:val="首缩4"/>
    <w:basedOn w:val="1"/>
    <w:qFormat/>
    <w:uiPriority w:val="0"/>
    <w:pPr>
      <w:adjustRightInd w:val="0"/>
      <w:snapToGrid w:val="0"/>
      <w:spacing w:line="500" w:lineRule="exact"/>
      <w:ind w:firstLine="200" w:firstLineChars="200"/>
    </w:pPr>
    <w:rPr>
      <w:rFonts w:eastAsia="仿宋_GB2312"/>
      <w:snapToGrid w:val="0"/>
      <w:sz w:val="28"/>
    </w:rPr>
  </w:style>
  <w:style w:type="paragraph" w:customStyle="1" w:styleId="3746">
    <w:name w:val="表内584"/>
    <w:basedOn w:val="1"/>
    <w:qFormat/>
    <w:uiPriority w:val="0"/>
    <w:pPr>
      <w:adjustRightInd w:val="0"/>
      <w:snapToGrid w:val="0"/>
      <w:spacing w:line="300" w:lineRule="auto"/>
      <w:jc w:val="left"/>
    </w:pPr>
    <w:rPr>
      <w:rFonts w:ascii="宋体"/>
    </w:rPr>
  </w:style>
  <w:style w:type="paragraph" w:customStyle="1" w:styleId="3747">
    <w:name w:val="等核实6"/>
    <w:basedOn w:val="35"/>
    <w:qFormat/>
    <w:uiPriority w:val="0"/>
    <w:pPr>
      <w:tabs>
        <w:tab w:val="left" w:pos="4305"/>
      </w:tabs>
      <w:adjustRightInd w:val="0"/>
      <w:snapToGrid w:val="0"/>
      <w:spacing w:after="0" w:line="360" w:lineRule="auto"/>
      <w:ind w:left="0" w:leftChars="0" w:firstLine="561"/>
    </w:pPr>
    <w:rPr>
      <w:rFonts w:ascii="宋体" w:hAnsi="宋体" w:cs="宋体"/>
      <w:color w:val="000000"/>
      <w:sz w:val="24"/>
    </w:rPr>
  </w:style>
  <w:style w:type="paragraph" w:customStyle="1" w:styleId="3748">
    <w:name w:val="样式 样式 标题 1 + + 段后: 3 行"/>
    <w:basedOn w:val="1"/>
    <w:qFormat/>
    <w:uiPriority w:val="0"/>
    <w:pPr>
      <w:keepNext/>
      <w:keepLines/>
      <w:spacing w:afterLines="300"/>
      <w:jc w:val="center"/>
      <w:outlineLvl w:val="0"/>
    </w:pPr>
    <w:rPr>
      <w:rFonts w:eastAsia="黑体" w:cs="宋体"/>
      <w:sz w:val="36"/>
    </w:rPr>
  </w:style>
  <w:style w:type="paragraph" w:customStyle="1" w:styleId="3749">
    <w:name w:val="Char Char Char1 Char Char Char Char Char Char Char Char Char Char Char Char1 Char Char Char Char Char Char Char Char Char Char2"/>
    <w:basedOn w:val="1"/>
    <w:qFormat/>
    <w:uiPriority w:val="0"/>
  </w:style>
  <w:style w:type="paragraph" w:customStyle="1" w:styleId="3750">
    <w:name w:val="歼击机"/>
    <w:basedOn w:val="1"/>
    <w:qFormat/>
    <w:uiPriority w:val="0"/>
    <w:pPr>
      <w:spacing w:line="700" w:lineRule="exact"/>
    </w:pPr>
    <w:rPr>
      <w:rFonts w:ascii="楷体_GB2312" w:hAnsi="楷体_GB2312" w:eastAsia="楷体_GB2312"/>
      <w:b/>
      <w:bCs/>
      <w:sz w:val="28"/>
    </w:rPr>
  </w:style>
  <w:style w:type="paragraph" w:customStyle="1" w:styleId="3751">
    <w:name w:val="中文报告书样式4"/>
    <w:basedOn w:val="1"/>
    <w:qFormat/>
    <w:uiPriority w:val="0"/>
    <w:pPr>
      <w:adjustRightInd w:val="0"/>
      <w:spacing w:line="480" w:lineRule="atLeast"/>
      <w:ind w:firstLine="482"/>
      <w:textAlignment w:val="baseline"/>
    </w:pPr>
    <w:rPr>
      <w:rFonts w:ascii="宋体" w:hAnsi="宋体"/>
      <w:kern w:val="24"/>
      <w:sz w:val="24"/>
    </w:rPr>
  </w:style>
  <w:style w:type="paragraph" w:customStyle="1" w:styleId="3752">
    <w:name w:val="Char Char Char Char Char Char Char Char Char Char Char Char Char Char Char Char2"/>
    <w:basedOn w:val="1"/>
    <w:qFormat/>
    <w:uiPriority w:val="0"/>
    <w:pPr>
      <w:spacing w:line="360" w:lineRule="auto"/>
      <w:ind w:firstLine="200" w:firstLineChars="200"/>
    </w:pPr>
    <w:rPr>
      <w:rFonts w:ascii="宋体" w:hAnsi="宋体" w:cs="宋体"/>
      <w:sz w:val="24"/>
    </w:rPr>
  </w:style>
  <w:style w:type="paragraph" w:customStyle="1" w:styleId="3753">
    <w:name w:val="页眉中113"/>
    <w:basedOn w:val="1"/>
    <w:qFormat/>
    <w:uiPriority w:val="0"/>
    <w:pPr>
      <w:adjustRightInd w:val="0"/>
      <w:snapToGrid w:val="0"/>
      <w:spacing w:line="300" w:lineRule="auto"/>
      <w:jc w:val="left"/>
    </w:pPr>
    <w:rPr>
      <w:rFonts w:ascii="黑体" w:hAnsi="宋体" w:eastAsia="黑体"/>
      <w:sz w:val="24"/>
    </w:rPr>
  </w:style>
  <w:style w:type="paragraph" w:customStyle="1" w:styleId="3754">
    <w:name w:val="Char83"/>
    <w:basedOn w:val="1"/>
    <w:qFormat/>
    <w:uiPriority w:val="0"/>
    <w:pPr>
      <w:ind w:left="-48"/>
    </w:pPr>
  </w:style>
  <w:style w:type="paragraph" w:customStyle="1" w:styleId="3755">
    <w:name w:val="正文格式 Char"/>
    <w:basedOn w:val="1"/>
    <w:qFormat/>
    <w:uiPriority w:val="0"/>
    <w:pPr>
      <w:spacing w:line="360" w:lineRule="auto"/>
      <w:ind w:firstLine="544" w:firstLineChars="200"/>
    </w:pPr>
    <w:rPr>
      <w:rFonts w:hint="eastAsia" w:ascii="宋体" w:hAnsi="宋体"/>
      <w:b/>
      <w:spacing w:val="4"/>
      <w:kern w:val="2"/>
      <w:sz w:val="24"/>
      <w:szCs w:val="24"/>
    </w:rPr>
  </w:style>
  <w:style w:type="paragraph" w:customStyle="1" w:styleId="3756">
    <w:name w:val="表内小52"/>
    <w:basedOn w:val="1"/>
    <w:qFormat/>
    <w:uiPriority w:val="0"/>
    <w:pPr>
      <w:adjustRightInd w:val="0"/>
      <w:snapToGrid w:val="0"/>
      <w:spacing w:line="300" w:lineRule="auto"/>
    </w:pPr>
    <w:rPr>
      <w:rFonts w:ascii="宋体" w:hAnsi="宋体"/>
      <w:sz w:val="18"/>
    </w:rPr>
  </w:style>
  <w:style w:type="paragraph" w:customStyle="1" w:styleId="3757">
    <w:name w:val="1111111"/>
    <w:basedOn w:val="1"/>
    <w:qFormat/>
    <w:uiPriority w:val="0"/>
    <w:pPr>
      <w:spacing w:line="480" w:lineRule="exact"/>
      <w:jc w:val="center"/>
      <w:outlineLvl w:val="0"/>
    </w:pPr>
    <w:rPr>
      <w:rFonts w:ascii="黑体" w:eastAsia="黑体"/>
      <w:sz w:val="36"/>
      <w:szCs w:val="36"/>
    </w:rPr>
  </w:style>
  <w:style w:type="paragraph" w:customStyle="1" w:styleId="3758">
    <w:name w:val="样式 正文首行缩进 + 四号 首行缩进:  2 字符"/>
    <w:basedOn w:val="87"/>
    <w:qFormat/>
    <w:uiPriority w:val="0"/>
    <w:pPr>
      <w:tabs>
        <w:tab w:val="left" w:pos="628"/>
        <w:tab w:val="left" w:pos="1727"/>
        <w:tab w:val="left" w:pos="1884"/>
        <w:tab w:val="left" w:pos="4900"/>
      </w:tabs>
      <w:autoSpaceDE w:val="0"/>
      <w:autoSpaceDN w:val="0"/>
      <w:adjustRightInd w:val="0"/>
      <w:snapToGrid w:val="0"/>
      <w:spacing w:line="360" w:lineRule="auto"/>
      <w:ind w:firstLine="0" w:firstLineChars="0"/>
    </w:pPr>
    <w:rPr>
      <w:rFonts w:ascii="宋体" w:cs="宋体"/>
      <w:color w:val="000000"/>
      <w:kern w:val="0"/>
      <w:sz w:val="28"/>
      <w:szCs w:val="28"/>
      <w:lang w:val="zh-CN"/>
    </w:rPr>
  </w:style>
  <w:style w:type="paragraph" w:customStyle="1" w:styleId="3759">
    <w:name w:val="表内小415"/>
    <w:basedOn w:val="1427"/>
    <w:qFormat/>
    <w:uiPriority w:val="0"/>
    <w:pPr>
      <w:ind w:left="240" w:hanging="240"/>
      <w:jc w:val="both"/>
    </w:pPr>
    <w:rPr>
      <w:rFonts w:cs="Times New Roman"/>
    </w:rPr>
  </w:style>
  <w:style w:type="paragraph" w:customStyle="1" w:styleId="3760">
    <w:name w:val="正文文本 313"/>
    <w:basedOn w:val="1"/>
    <w:qFormat/>
    <w:uiPriority w:val="0"/>
    <w:pPr>
      <w:adjustRightInd w:val="0"/>
      <w:textAlignment w:val="baseline"/>
    </w:pPr>
    <w:rPr>
      <w:sz w:val="24"/>
    </w:rPr>
  </w:style>
  <w:style w:type="paragraph" w:customStyle="1" w:styleId="3761">
    <w:name w:val="Char102"/>
    <w:basedOn w:val="1"/>
    <w:qFormat/>
    <w:uiPriority w:val="0"/>
    <w:pPr>
      <w:ind w:left="-48"/>
    </w:pPr>
  </w:style>
  <w:style w:type="paragraph" w:customStyle="1" w:styleId="3762">
    <w:name w:val="表格2"/>
    <w:basedOn w:val="1"/>
    <w:next w:val="1"/>
    <w:qFormat/>
    <w:uiPriority w:val="0"/>
    <w:pPr>
      <w:topLinePunct/>
      <w:autoSpaceDE w:val="0"/>
      <w:autoSpaceDN w:val="0"/>
      <w:adjustRightInd w:val="0"/>
      <w:jc w:val="center"/>
      <w:textAlignment w:val="baseline"/>
    </w:pPr>
    <w:rPr>
      <w:rFonts w:ascii="宋体" w:hAnsi="Impact"/>
      <w:kern w:val="24"/>
      <w:position w:val="-28"/>
    </w:rPr>
  </w:style>
  <w:style w:type="paragraph" w:customStyle="1" w:styleId="3763">
    <w:name w:val="Char71"/>
    <w:basedOn w:val="1"/>
    <w:qFormat/>
    <w:uiPriority w:val="0"/>
    <w:pPr>
      <w:ind w:left="-48"/>
    </w:pPr>
  </w:style>
  <w:style w:type="paragraph" w:customStyle="1" w:styleId="3764">
    <w:name w:val="表内文字小19"/>
    <w:basedOn w:val="1"/>
    <w:qFormat/>
    <w:uiPriority w:val="0"/>
    <w:pPr>
      <w:adjustRightInd w:val="0"/>
      <w:snapToGrid w:val="0"/>
      <w:jc w:val="center"/>
    </w:pPr>
    <w:rPr>
      <w:rFonts w:ascii="宋体" w:hAnsi="Times"/>
    </w:rPr>
  </w:style>
  <w:style w:type="paragraph" w:customStyle="1" w:styleId="3765">
    <w:name w:val="样式 小四 行距: 固定值 22 磅 首行缩进:  2 字符"/>
    <w:basedOn w:val="1"/>
    <w:qFormat/>
    <w:uiPriority w:val="0"/>
    <w:pPr>
      <w:spacing w:line="440" w:lineRule="exact"/>
      <w:ind w:firstLine="480" w:firstLineChars="200"/>
    </w:pPr>
    <w:rPr>
      <w:sz w:val="24"/>
    </w:rPr>
  </w:style>
  <w:style w:type="paragraph" w:customStyle="1" w:styleId="3766">
    <w:name w:val="——"/>
    <w:qFormat/>
    <w:uiPriority w:val="0"/>
    <w:pPr>
      <w:ind w:firstLine="660" w:firstLineChars="300"/>
    </w:pPr>
    <w:rPr>
      <w:rFonts w:ascii="Times New Roman" w:hAnsi="Times New Roman" w:eastAsia="宋体" w:cs="Times New Roman"/>
      <w:lang w:val="en-US" w:eastAsia="zh-CN" w:bidi="ar-SA"/>
    </w:rPr>
  </w:style>
  <w:style w:type="paragraph" w:customStyle="1" w:styleId="3767">
    <w:name w:val="表内宋5中16"/>
    <w:basedOn w:val="1"/>
    <w:qFormat/>
    <w:uiPriority w:val="0"/>
    <w:pPr>
      <w:adjustRightInd w:val="0"/>
      <w:snapToGrid w:val="0"/>
      <w:jc w:val="center"/>
      <w:textAlignment w:val="baseline"/>
    </w:pPr>
    <w:rPr>
      <w:rFonts w:ascii="宋体" w:hAnsi="宋体"/>
    </w:rPr>
  </w:style>
  <w:style w:type="paragraph" w:customStyle="1" w:styleId="3768">
    <w:name w:val="xl19"/>
    <w:basedOn w:val="1"/>
    <w:qFormat/>
    <w:uiPriority w:val="0"/>
    <w:pPr>
      <w:widowControl/>
      <w:spacing w:before="100" w:beforeAutospacing="1" w:after="100" w:afterAutospacing="1"/>
      <w:jc w:val="left"/>
    </w:pPr>
    <w:rPr>
      <w:rFonts w:ascii="Arial Unicode MS" w:hAnsi="Arial Unicode MS" w:eastAsia="Arial Unicode MS"/>
      <w:color w:val="FF0000"/>
      <w:sz w:val="18"/>
      <w:szCs w:val="18"/>
    </w:rPr>
  </w:style>
  <w:style w:type="paragraph" w:customStyle="1" w:styleId="3769">
    <w:name w:val="表内文字23"/>
    <w:basedOn w:val="1"/>
    <w:qFormat/>
    <w:uiPriority w:val="0"/>
    <w:pPr>
      <w:widowControl/>
      <w:adjustRightInd w:val="0"/>
      <w:snapToGrid w:val="0"/>
      <w:jc w:val="center"/>
    </w:pPr>
    <w:rPr>
      <w:szCs w:val="21"/>
    </w:rPr>
  </w:style>
  <w:style w:type="paragraph" w:customStyle="1" w:styleId="3770">
    <w:name w:val="宏文本1"/>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customStyle="1" w:styleId="3771">
    <w:name w:val="样式 宋体 左侧:  0.8 厘米 行距: 1.5 倍行距"/>
    <w:basedOn w:val="1"/>
    <w:qFormat/>
    <w:uiPriority w:val="0"/>
    <w:pPr>
      <w:adjustRightInd w:val="0"/>
      <w:snapToGrid w:val="0"/>
      <w:spacing w:before="120" w:after="120" w:line="240" w:lineRule="atLeast"/>
      <w:ind w:left="454"/>
    </w:pPr>
    <w:rPr>
      <w:rFonts w:ascii="宋体" w:hAnsi="宋体"/>
      <w:sz w:val="24"/>
    </w:rPr>
  </w:style>
  <w:style w:type="paragraph" w:customStyle="1" w:styleId="3772">
    <w:name w:val="列表接续 412"/>
    <w:basedOn w:val="1"/>
    <w:qFormat/>
    <w:uiPriority w:val="0"/>
    <w:pPr>
      <w:spacing w:after="120"/>
      <w:ind w:left="1680" w:leftChars="800"/>
    </w:pPr>
  </w:style>
  <w:style w:type="paragraph" w:customStyle="1" w:styleId="3773">
    <w:name w:val="标题418"/>
    <w:basedOn w:val="1"/>
    <w:qFormat/>
    <w:uiPriority w:val="0"/>
    <w:pPr>
      <w:adjustRightInd w:val="0"/>
      <w:snapToGrid w:val="0"/>
      <w:spacing w:line="300" w:lineRule="auto"/>
      <w:jc w:val="left"/>
    </w:pPr>
    <w:rPr>
      <w:rFonts w:ascii="黑体" w:hAnsi="宋体" w:eastAsia="黑体" w:cs="宋体"/>
      <w:bCs/>
      <w:sz w:val="24"/>
    </w:rPr>
  </w:style>
  <w:style w:type="paragraph" w:customStyle="1" w:styleId="3774">
    <w:name w:val="标题472"/>
    <w:basedOn w:val="1"/>
    <w:qFormat/>
    <w:uiPriority w:val="0"/>
    <w:pPr>
      <w:adjustRightInd w:val="0"/>
      <w:snapToGrid w:val="0"/>
      <w:spacing w:line="300" w:lineRule="auto"/>
    </w:pPr>
    <w:rPr>
      <w:rFonts w:ascii="黑体" w:eastAsia="黑体"/>
      <w:sz w:val="24"/>
    </w:rPr>
  </w:style>
  <w:style w:type="paragraph" w:customStyle="1" w:styleId="3775">
    <w:name w:val="正文新"/>
    <w:basedOn w:val="47"/>
    <w:qFormat/>
    <w:uiPriority w:val="0"/>
    <w:pPr>
      <w:snapToGrid/>
      <w:spacing w:line="300" w:lineRule="auto"/>
      <w:ind w:firstLine="510"/>
    </w:pPr>
    <w:rPr>
      <w:rFonts w:hAnsi="Arial"/>
      <w:snapToGrid w:val="0"/>
      <w:sz w:val="24"/>
    </w:rPr>
  </w:style>
  <w:style w:type="paragraph" w:customStyle="1" w:styleId="3776">
    <w:name w:val="Char2 Char Char Char Char Char Char1"/>
    <w:basedOn w:val="1"/>
    <w:qFormat/>
    <w:uiPriority w:val="0"/>
  </w:style>
  <w:style w:type="paragraph" w:customStyle="1" w:styleId="3777">
    <w:name w:val="xl77"/>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center"/>
      <w:textAlignment w:val="center"/>
    </w:pPr>
    <w:rPr>
      <w:rFonts w:ascii="Arial Unicode MS" w:hAnsi="Arial Unicode MS" w:eastAsia="Arial Unicode MS" w:cs="Arial Unicode MS"/>
      <w:sz w:val="16"/>
      <w:szCs w:val="16"/>
    </w:rPr>
  </w:style>
  <w:style w:type="paragraph" w:customStyle="1" w:styleId="3778">
    <w:name w:val="样式 标题 3 + (中文) 宋体 段前: 0 磅 行距: 固定值 20 磅"/>
    <w:basedOn w:val="5"/>
    <w:qFormat/>
    <w:uiPriority w:val="0"/>
    <w:pPr>
      <w:tabs>
        <w:tab w:val="left" w:pos="1429"/>
      </w:tabs>
      <w:adjustRightInd/>
      <w:snapToGrid w:val="0"/>
      <w:spacing w:line="400" w:lineRule="exact"/>
      <w:ind w:left="709" w:hanging="720"/>
      <w:jc w:val="both"/>
      <w:textAlignment w:val="auto"/>
    </w:pPr>
    <w:rPr>
      <w:rFonts w:ascii="宋体" w:hAnsi="宋体" w:eastAsia="宋体" w:cs="宋体"/>
      <w:color w:val="auto"/>
      <w:spacing w:val="0"/>
      <w:kern w:val="2"/>
      <w:sz w:val="24"/>
    </w:rPr>
  </w:style>
  <w:style w:type="paragraph" w:customStyle="1" w:styleId="3779">
    <w:name w:val="xl95"/>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Arial Unicode MS" w:hAnsi="Arial Unicode MS" w:eastAsia="Arial Unicode MS" w:cs="Arial Unicode MS"/>
      <w:sz w:val="16"/>
      <w:szCs w:val="16"/>
    </w:rPr>
  </w:style>
  <w:style w:type="paragraph" w:customStyle="1" w:styleId="3780">
    <w:name w:val="表题21"/>
    <w:basedOn w:val="1"/>
    <w:qFormat/>
    <w:uiPriority w:val="0"/>
    <w:pPr>
      <w:widowControl/>
      <w:adjustRightInd w:val="0"/>
      <w:snapToGrid w:val="0"/>
      <w:jc w:val="center"/>
    </w:pPr>
    <w:rPr>
      <w:rFonts w:ascii="黑体" w:hAnsi="宋体" w:eastAsia="黑体" w:cs="宋体"/>
      <w:sz w:val="24"/>
    </w:rPr>
  </w:style>
  <w:style w:type="paragraph" w:customStyle="1" w:styleId="3781">
    <w:name w:val="页眉中45"/>
    <w:basedOn w:val="47"/>
    <w:qFormat/>
    <w:uiPriority w:val="0"/>
    <w:pPr>
      <w:adjustRightInd w:val="0"/>
      <w:spacing w:line="300" w:lineRule="auto"/>
      <w:jc w:val="left"/>
    </w:pPr>
    <w:rPr>
      <w:rFonts w:hAnsi="宋体" w:cs="宋体"/>
      <w:sz w:val="24"/>
      <w:szCs w:val="24"/>
    </w:rPr>
  </w:style>
  <w:style w:type="paragraph" w:customStyle="1" w:styleId="3782">
    <w:name w:val="页眉中145"/>
    <w:basedOn w:val="1"/>
    <w:qFormat/>
    <w:uiPriority w:val="0"/>
    <w:pPr>
      <w:adjustRightInd w:val="0"/>
      <w:snapToGrid w:val="0"/>
      <w:spacing w:line="300" w:lineRule="auto"/>
      <w:jc w:val="left"/>
    </w:pPr>
    <w:rPr>
      <w:rFonts w:ascii="黑体" w:eastAsia="黑体"/>
      <w:bCs/>
      <w:sz w:val="24"/>
    </w:rPr>
  </w:style>
  <w:style w:type="paragraph" w:customStyle="1" w:styleId="3783">
    <w:name w:val="样式 标题 2节标题 1.11.1标题2Majorb2标题 2 Char Char Char标题 2 Char Ch..."/>
    <w:basedOn w:val="4"/>
    <w:qFormat/>
    <w:uiPriority w:val="0"/>
    <w:pPr>
      <w:tabs>
        <w:tab w:val="clear" w:pos="1427"/>
      </w:tabs>
      <w:adjustRightInd/>
      <w:spacing w:beforeLines="0" w:afterLines="0"/>
      <w:jc w:val="both"/>
      <w:textAlignment w:val="auto"/>
    </w:pPr>
    <w:rPr>
      <w:rFonts w:ascii="Arial" w:hAnsi="Arial" w:cs="宋体"/>
      <w:bCs/>
      <w:color w:val="FF0000"/>
      <w:kern w:val="2"/>
      <w:sz w:val="32"/>
      <w:szCs w:val="32"/>
    </w:rPr>
  </w:style>
  <w:style w:type="paragraph" w:customStyle="1" w:styleId="3784">
    <w:name w:val="l_text"/>
    <w:basedOn w:val="1"/>
    <w:qFormat/>
    <w:uiPriority w:val="0"/>
    <w:pPr>
      <w:widowControl/>
      <w:overflowPunct w:val="0"/>
      <w:autoSpaceDE w:val="0"/>
      <w:autoSpaceDN w:val="0"/>
      <w:adjustRightInd w:val="0"/>
      <w:spacing w:before="120" w:after="120" w:line="360" w:lineRule="auto"/>
      <w:ind w:left="150" w:leftChars="150" w:firstLine="560" w:firstLineChars="200"/>
      <w:textAlignment w:val="baseline"/>
    </w:pPr>
    <w:rPr>
      <w:rFonts w:ascii="宋体"/>
      <w:sz w:val="28"/>
    </w:rPr>
  </w:style>
  <w:style w:type="paragraph" w:customStyle="1" w:styleId="3785">
    <w:name w:val="标题 513"/>
    <w:basedOn w:val="1"/>
    <w:next w:val="1"/>
    <w:qFormat/>
    <w:uiPriority w:val="0"/>
    <w:pPr>
      <w:adjustRightInd w:val="0"/>
      <w:snapToGrid w:val="0"/>
      <w:spacing w:line="440" w:lineRule="atLeast"/>
      <w:ind w:firstLine="567"/>
      <w:textAlignment w:val="baseline"/>
    </w:pPr>
    <w:rPr>
      <w:rFonts w:hint="eastAsia"/>
      <w:sz w:val="24"/>
    </w:rPr>
  </w:style>
  <w:style w:type="paragraph" w:customStyle="1" w:styleId="3786">
    <w:name w:val="样式 样式 首行缩进:  2 字符 + 首行缩进:  2 字符"/>
    <w:basedOn w:val="248"/>
    <w:qFormat/>
    <w:uiPriority w:val="0"/>
    <w:pPr>
      <w:adjustRightInd w:val="0"/>
      <w:snapToGrid w:val="0"/>
      <w:spacing w:line="360" w:lineRule="auto"/>
    </w:pPr>
    <w:rPr>
      <w:rFonts w:ascii="宋体"/>
    </w:rPr>
  </w:style>
  <w:style w:type="paragraph" w:customStyle="1" w:styleId="3787">
    <w:name w:val="样式 标题 31.1.1条标题 3 Char Char标题 3 Char标3§1.1.1.. (1.1.1)- ..."/>
    <w:basedOn w:val="5"/>
    <w:qFormat/>
    <w:uiPriority w:val="0"/>
    <w:pPr>
      <w:keepNext w:val="0"/>
      <w:keepLines w:val="0"/>
      <w:tabs>
        <w:tab w:val="left" w:pos="284"/>
        <w:tab w:val="clear" w:pos="720"/>
      </w:tabs>
      <w:adjustRightInd/>
      <w:spacing w:before="120" w:after="120" w:line="240" w:lineRule="auto"/>
      <w:ind w:left="0" w:firstLine="0"/>
      <w:jc w:val="both"/>
      <w:textAlignment w:val="auto"/>
    </w:pPr>
    <w:rPr>
      <w:rFonts w:cs="宋体"/>
      <w:bCs/>
      <w:color w:val="auto"/>
      <w:spacing w:val="0"/>
      <w:kern w:val="2"/>
      <w:sz w:val="24"/>
    </w:rPr>
  </w:style>
  <w:style w:type="paragraph" w:customStyle="1" w:styleId="3788">
    <w:name w:val="样式10"/>
    <w:basedOn w:val="5"/>
    <w:qFormat/>
    <w:uiPriority w:val="0"/>
    <w:pPr>
      <w:tabs>
        <w:tab w:val="clear" w:pos="720"/>
      </w:tabs>
      <w:snapToGrid w:val="0"/>
      <w:ind w:left="0" w:firstLine="0"/>
      <w:jc w:val="both"/>
      <w:textAlignment w:val="auto"/>
    </w:pPr>
    <w:rPr>
      <w:bCs/>
      <w:color w:val="auto"/>
      <w:spacing w:val="0"/>
      <w:kern w:val="2"/>
      <w:sz w:val="24"/>
      <w:szCs w:val="24"/>
    </w:rPr>
  </w:style>
  <w:style w:type="paragraph" w:customStyle="1" w:styleId="3789">
    <w:name w:val="xl93"/>
    <w:basedOn w:val="1"/>
    <w:qFormat/>
    <w:uiPriority w:val="0"/>
    <w:pPr>
      <w:widowControl/>
      <w:pBdr>
        <w:top w:val="single" w:color="auto" w:sz="4" w:space="0"/>
        <w:bottom w:val="single" w:color="auto" w:sz="8" w:space="0"/>
        <w:right w:val="single" w:color="auto" w:sz="8" w:space="0"/>
      </w:pBdr>
      <w:spacing w:before="100" w:beforeAutospacing="1" w:after="100" w:afterAutospacing="1"/>
      <w:jc w:val="left"/>
    </w:pPr>
    <w:rPr>
      <w:rFonts w:ascii="Arial Unicode MS" w:hAnsi="Arial Unicode MS" w:eastAsia="Arial Unicode MS" w:cs="Arial Unicode MS"/>
      <w:sz w:val="24"/>
    </w:rPr>
  </w:style>
  <w:style w:type="paragraph" w:customStyle="1" w:styleId="3790">
    <w:name w:val="Char Char Char Char Char Char Char11"/>
    <w:basedOn w:val="1"/>
    <w:next w:val="1"/>
    <w:qFormat/>
    <w:uiPriority w:val="0"/>
    <w:pPr>
      <w:keepNext/>
      <w:keepLines/>
      <w:widowControl/>
      <w:adjustRightInd w:val="0"/>
      <w:spacing w:before="40" w:after="40" w:line="360" w:lineRule="auto"/>
      <w:ind w:firstLine="200" w:firstLineChars="200"/>
    </w:pPr>
    <w:rPr>
      <w:rFonts w:cs="宋体"/>
      <w:sz w:val="24"/>
      <w:szCs w:val="28"/>
    </w:rPr>
  </w:style>
  <w:style w:type="paragraph" w:customStyle="1" w:styleId="3791">
    <w:name w:val="hb4"/>
    <w:basedOn w:val="6"/>
    <w:qFormat/>
    <w:uiPriority w:val="0"/>
    <w:pPr>
      <w:adjustRightInd w:val="0"/>
      <w:spacing w:before="120" w:after="120" w:line="500" w:lineRule="exact"/>
      <w:textAlignment w:val="baseline"/>
    </w:pPr>
    <w:rPr>
      <w:rFonts w:ascii="Arial Narrow" w:hAnsi="Arial Narrow" w:eastAsia="汉鼎简书宋"/>
      <w:bCs w:val="0"/>
      <w:color w:val="FF0000"/>
      <w:sz w:val="24"/>
      <w:szCs w:val="20"/>
    </w:rPr>
  </w:style>
  <w:style w:type="paragraph" w:customStyle="1" w:styleId="3792">
    <w:name w:val="符号"/>
    <w:basedOn w:val="1"/>
    <w:qFormat/>
    <w:uiPriority w:val="0"/>
    <w:pPr>
      <w:tabs>
        <w:tab w:val="left" w:pos="1200"/>
      </w:tabs>
      <w:snapToGrid w:val="0"/>
      <w:spacing w:line="520" w:lineRule="atLeast"/>
      <w:ind w:left="993" w:hanging="420"/>
    </w:pPr>
    <w:rPr>
      <w:rFonts w:cs="宋体"/>
      <w:sz w:val="28"/>
    </w:rPr>
  </w:style>
  <w:style w:type="paragraph" w:customStyle="1" w:styleId="3793">
    <w:name w:val="表题37"/>
    <w:basedOn w:val="1"/>
    <w:qFormat/>
    <w:uiPriority w:val="0"/>
    <w:pPr>
      <w:adjustRightInd w:val="0"/>
      <w:snapToGrid w:val="0"/>
      <w:jc w:val="center"/>
      <w:textAlignment w:val="baseline"/>
    </w:pPr>
    <w:rPr>
      <w:rFonts w:ascii="黑体" w:hAnsi="宋体" w:eastAsia="黑体"/>
      <w:sz w:val="24"/>
    </w:rPr>
  </w:style>
  <w:style w:type="paragraph" w:customStyle="1" w:styleId="3794">
    <w:name w:val="正文文本缩进 312"/>
    <w:basedOn w:val="1"/>
    <w:qFormat/>
    <w:uiPriority w:val="0"/>
    <w:pPr>
      <w:adjustRightInd w:val="0"/>
      <w:spacing w:line="360" w:lineRule="atLeast"/>
      <w:ind w:firstLine="480"/>
      <w:textAlignment w:val="baseline"/>
    </w:pPr>
    <w:rPr>
      <w:rFonts w:ascii="宋体"/>
      <w:sz w:val="24"/>
    </w:rPr>
  </w:style>
  <w:style w:type="paragraph" w:customStyle="1" w:styleId="3795">
    <w:name w:val="表标题16.9"/>
    <w:basedOn w:val="1"/>
    <w:qFormat/>
    <w:uiPriority w:val="0"/>
    <w:pPr>
      <w:tabs>
        <w:tab w:val="left" w:pos="2444"/>
        <w:tab w:val="center" w:pos="4060"/>
        <w:tab w:val="right" w:pos="8261"/>
      </w:tabs>
      <w:suppressAutoHyphens/>
      <w:adjustRightInd w:val="0"/>
      <w:spacing w:before="240" w:line="0" w:lineRule="atLeast"/>
      <w:ind w:left="1720" w:firstLine="4"/>
    </w:pPr>
    <w:rPr>
      <w:rFonts w:ascii="黑体" w:eastAsia="黑体"/>
      <w:b/>
      <w:spacing w:val="6"/>
      <w:sz w:val="26"/>
      <w:szCs w:val="26"/>
    </w:rPr>
  </w:style>
  <w:style w:type="paragraph" w:customStyle="1" w:styleId="3796">
    <w:name w:val="Char Char2 Char"/>
    <w:basedOn w:val="1"/>
    <w:qFormat/>
    <w:uiPriority w:val="0"/>
  </w:style>
  <w:style w:type="paragraph" w:customStyle="1" w:styleId="3797">
    <w:name w:val="样式 表格备注"/>
    <w:basedOn w:val="1"/>
    <w:qFormat/>
    <w:uiPriority w:val="0"/>
    <w:pPr>
      <w:keepNext/>
      <w:tabs>
        <w:tab w:val="left" w:pos="628"/>
        <w:tab w:val="left" w:pos="1727"/>
        <w:tab w:val="left" w:pos="1884"/>
        <w:tab w:val="left" w:pos="4680"/>
        <w:tab w:val="left" w:pos="4900"/>
      </w:tabs>
      <w:adjustRightInd w:val="0"/>
      <w:snapToGrid w:val="0"/>
      <w:spacing w:line="360" w:lineRule="auto"/>
      <w:ind w:firstLine="480" w:firstLineChars="200"/>
    </w:pPr>
    <w:rPr>
      <w:rFonts w:ascii="宋体" w:hAnsi="宋体" w:eastAsia="楷体_GB2312"/>
      <w:sz w:val="24"/>
    </w:rPr>
  </w:style>
  <w:style w:type="paragraph" w:customStyle="1" w:styleId="3798">
    <w:name w:val="正文."/>
    <w:qFormat/>
    <w:uiPriority w:val="0"/>
    <w:pPr>
      <w:widowControl w:val="0"/>
      <w:autoSpaceDE w:val="0"/>
      <w:autoSpaceDN w:val="0"/>
      <w:adjustRightInd w:val="0"/>
      <w:jc w:val="both"/>
    </w:pPr>
    <w:rPr>
      <w:rFonts w:ascii="Times New Roman;Symbol;Arial;婼" w:hAnsi="Times New Roman" w:eastAsia="Times New Roman;Symbol;Arial;婼" w:cs="Times New Roman"/>
      <w:sz w:val="21"/>
      <w:lang w:val="en-US" w:eastAsia="zh-CN" w:bidi="ar-SA"/>
    </w:rPr>
  </w:style>
  <w:style w:type="paragraph" w:customStyle="1" w:styleId="3799">
    <w:name w:val="表内文字大3"/>
    <w:basedOn w:val="1"/>
    <w:qFormat/>
    <w:uiPriority w:val="0"/>
    <w:pPr>
      <w:adjustRightInd w:val="0"/>
      <w:snapToGrid w:val="0"/>
      <w:jc w:val="center"/>
    </w:pPr>
    <w:rPr>
      <w:rFonts w:ascii="宋体" w:hAnsi="Times"/>
      <w:sz w:val="24"/>
    </w:rPr>
  </w:style>
  <w:style w:type="paragraph" w:customStyle="1" w:styleId="3800">
    <w:name w:val="Char74"/>
    <w:basedOn w:val="1"/>
    <w:qFormat/>
    <w:uiPriority w:val="0"/>
    <w:pPr>
      <w:ind w:left="-48"/>
    </w:pPr>
  </w:style>
  <w:style w:type="paragraph" w:customStyle="1" w:styleId="3801">
    <w:name w:val="表格标题—小四"/>
    <w:basedOn w:val="1"/>
    <w:qFormat/>
    <w:uiPriority w:val="0"/>
    <w:pPr>
      <w:tabs>
        <w:tab w:val="left" w:pos="2815"/>
      </w:tabs>
      <w:spacing w:before="100" w:beforeAutospacing="1" w:after="100" w:afterAutospacing="1" w:line="312" w:lineRule="auto"/>
      <w:ind w:left="2815" w:hanging="375"/>
      <w:jc w:val="center"/>
    </w:pPr>
    <w:rPr>
      <w:b/>
      <w:sz w:val="24"/>
    </w:rPr>
  </w:style>
  <w:style w:type="paragraph" w:customStyle="1" w:styleId="3802">
    <w:name w:val="样式 表内5 + (符号) 宋体 两端对齐 行距: 单倍行距13"/>
    <w:basedOn w:val="1"/>
    <w:qFormat/>
    <w:uiPriority w:val="0"/>
    <w:pPr>
      <w:adjustRightInd w:val="0"/>
      <w:snapToGrid w:val="0"/>
      <w:jc w:val="center"/>
    </w:pPr>
    <w:rPr>
      <w:rFonts w:ascii="宋体" w:hAnsi="宋体" w:cs="宋体"/>
    </w:rPr>
  </w:style>
  <w:style w:type="paragraph" w:customStyle="1" w:styleId="3803">
    <w:name w:val="基准页眉样式"/>
    <w:basedOn w:val="1"/>
    <w:qFormat/>
    <w:uiPriority w:val="0"/>
    <w:pPr>
      <w:jc w:val="center"/>
    </w:pPr>
    <w:rPr>
      <w:bCs/>
      <w:sz w:val="18"/>
    </w:rPr>
  </w:style>
  <w:style w:type="paragraph" w:customStyle="1" w:styleId="3804">
    <w:name w:val="样式 标题 2 + 段后: 0.5 行1"/>
    <w:basedOn w:val="4"/>
    <w:qFormat/>
    <w:uiPriority w:val="0"/>
    <w:pPr>
      <w:widowControl/>
      <w:autoSpaceDN w:val="0"/>
      <w:spacing w:beforeLines="0"/>
    </w:pPr>
    <w:rPr>
      <w:rFonts w:ascii="黑体" w:hAnsi="Arial" w:cs="宋体"/>
      <w:b w:val="0"/>
      <w:sz w:val="30"/>
      <w:szCs w:val="30"/>
    </w:rPr>
  </w:style>
  <w:style w:type="paragraph" w:customStyle="1" w:styleId="3805">
    <w:name w:val="Char Char1 Char Char Char Char Char Char Char"/>
    <w:basedOn w:val="1"/>
    <w:qFormat/>
    <w:uiPriority w:val="0"/>
  </w:style>
  <w:style w:type="paragraph" w:customStyle="1" w:styleId="3806">
    <w:name w:val="表内5中2"/>
    <w:basedOn w:val="1"/>
    <w:qFormat/>
    <w:uiPriority w:val="0"/>
    <w:pPr>
      <w:adjustRightInd w:val="0"/>
      <w:snapToGrid w:val="0"/>
      <w:jc w:val="center"/>
    </w:pPr>
    <w:rPr>
      <w:rFonts w:ascii="宋体"/>
      <w:color w:val="000000"/>
      <w:szCs w:val="21"/>
    </w:rPr>
  </w:style>
  <w:style w:type="paragraph" w:customStyle="1" w:styleId="3807">
    <w:name w:val="M"/>
    <w:basedOn w:val="3"/>
    <w:qFormat/>
    <w:uiPriority w:val="0"/>
    <w:pPr>
      <w:keepLines w:val="0"/>
      <w:widowControl/>
      <w:tabs>
        <w:tab w:val="left" w:pos="2260"/>
        <w:tab w:val="left" w:pos="2820"/>
        <w:tab w:val="left" w:pos="3420"/>
      </w:tabs>
      <w:adjustRightInd w:val="0"/>
      <w:snapToGrid w:val="0"/>
      <w:spacing w:before="440" w:after="0" w:line="240" w:lineRule="auto"/>
      <w:ind w:left="851" w:right="-28" w:hanging="851"/>
    </w:pPr>
    <w:rPr>
      <w:rFonts w:ascii="Arial" w:hAnsi="Arial"/>
      <w:b w:val="0"/>
      <w:bCs w:val="0"/>
      <w:kern w:val="0"/>
      <w:sz w:val="22"/>
      <w:szCs w:val="20"/>
      <w:lang w:val="en-GB"/>
    </w:rPr>
  </w:style>
  <w:style w:type="paragraph" w:customStyle="1" w:styleId="3808">
    <w:name w:val="中石化可研正文"/>
    <w:basedOn w:val="1"/>
    <w:qFormat/>
    <w:uiPriority w:val="0"/>
    <w:pPr>
      <w:adjustRightInd w:val="0"/>
      <w:snapToGrid w:val="0"/>
      <w:spacing w:before="100" w:beforeAutospacing="1" w:after="100" w:afterAutospacing="1" w:line="400" w:lineRule="exact"/>
      <w:jc w:val="left"/>
    </w:pPr>
    <w:rPr>
      <w:rFonts w:ascii="宋体" w:hAnsi="宋体"/>
      <w:snapToGrid w:val="0"/>
      <w:color w:val="000000"/>
      <w:sz w:val="24"/>
    </w:rPr>
  </w:style>
  <w:style w:type="paragraph" w:customStyle="1" w:styleId="3809">
    <w:name w:val="正文修改5"/>
    <w:basedOn w:val="1325"/>
    <w:qFormat/>
    <w:uiPriority w:val="0"/>
    <w:pPr>
      <w:ind w:right="210" w:rightChars="100" w:firstLine="209" w:firstLineChars="87"/>
    </w:pPr>
    <w:rPr>
      <w:bCs w:val="0"/>
    </w:rPr>
  </w:style>
  <w:style w:type="paragraph" w:customStyle="1" w:styleId="3810">
    <w:name w:val="正文缩进＝1.2+段前1.2"/>
    <w:basedOn w:val="1"/>
    <w:qFormat/>
    <w:uiPriority w:val="0"/>
    <w:pPr>
      <w:tabs>
        <w:tab w:val="center" w:pos="454"/>
      </w:tabs>
      <w:adjustRightInd w:val="0"/>
      <w:ind w:left="419" w:hanging="130"/>
      <w:jc w:val="center"/>
    </w:pPr>
    <w:rPr>
      <w:b/>
      <w:bCs/>
      <w:szCs w:val="32"/>
    </w:rPr>
  </w:style>
  <w:style w:type="paragraph" w:customStyle="1" w:styleId="3811">
    <w:name w:val="Char1 Char Char Char Char Char Char Char Char Char1"/>
    <w:basedOn w:val="1"/>
    <w:qFormat/>
    <w:uiPriority w:val="0"/>
    <w:pPr>
      <w:widowControl/>
      <w:adjustRightInd w:val="0"/>
      <w:spacing w:after="160" w:line="240" w:lineRule="exact"/>
      <w:jc w:val="left"/>
    </w:pPr>
    <w:rPr>
      <w:rFonts w:ascii="Verdana" w:hAnsi="Verdana" w:eastAsia="仿宋_GB2312"/>
      <w:sz w:val="24"/>
      <w:lang w:eastAsia="en-US"/>
    </w:rPr>
  </w:style>
  <w:style w:type="paragraph" w:customStyle="1" w:styleId="3812">
    <w:name w:val="文本框五号1.5倍行距"/>
    <w:qFormat/>
    <w:uiPriority w:val="0"/>
    <w:pPr>
      <w:spacing w:line="360" w:lineRule="auto"/>
    </w:pPr>
    <w:rPr>
      <w:rFonts w:ascii="Times New Roman" w:hAnsi="Times New Roman" w:eastAsia="宋体" w:cs="Times New Roman"/>
      <w:lang w:val="en-US" w:eastAsia="zh-CN" w:bidi="ar-SA"/>
    </w:rPr>
  </w:style>
  <w:style w:type="paragraph" w:customStyle="1" w:styleId="3813">
    <w:name w:val="样式 标题 3 + Arial"/>
    <w:basedOn w:val="1"/>
    <w:qFormat/>
    <w:uiPriority w:val="0"/>
  </w:style>
  <w:style w:type="paragraph" w:customStyle="1" w:styleId="3814">
    <w:name w:val="Char1 Char Char Char Char Char Char Char Char Char Char Char2"/>
    <w:basedOn w:val="1"/>
    <w:next w:val="1"/>
    <w:qFormat/>
    <w:uiPriority w:val="0"/>
    <w:pPr>
      <w:keepNext/>
      <w:keepLines/>
      <w:widowControl/>
      <w:adjustRightInd w:val="0"/>
      <w:spacing w:before="40" w:after="40" w:line="360" w:lineRule="auto"/>
      <w:ind w:firstLine="200" w:firstLineChars="200"/>
    </w:pPr>
    <w:rPr>
      <w:rFonts w:cs="宋体"/>
      <w:sz w:val="24"/>
      <w:szCs w:val="28"/>
    </w:rPr>
  </w:style>
  <w:style w:type="paragraph" w:customStyle="1" w:styleId="3815">
    <w:name w:val="样式 燕山正文 + 首行缩进:  3.5 字符1"/>
    <w:basedOn w:val="1"/>
    <w:qFormat/>
    <w:uiPriority w:val="0"/>
    <w:pPr>
      <w:tabs>
        <w:tab w:val="left" w:pos="4680"/>
      </w:tabs>
      <w:adjustRightInd w:val="0"/>
      <w:snapToGrid w:val="0"/>
      <w:spacing w:line="360" w:lineRule="auto"/>
      <w:ind w:firstLine="200" w:firstLineChars="200"/>
    </w:pPr>
    <w:rPr>
      <w:rFonts w:ascii="宋体" w:hAnsi="宋体" w:cs="宋体"/>
      <w:color w:val="000000"/>
      <w:sz w:val="28"/>
    </w:rPr>
  </w:style>
  <w:style w:type="paragraph" w:customStyle="1" w:styleId="3816">
    <w:name w:val="条(三级)2"/>
    <w:basedOn w:val="1"/>
    <w:next w:val="1"/>
    <w:qFormat/>
    <w:uiPriority w:val="0"/>
    <w:pPr>
      <w:keepNext/>
      <w:keepLines/>
      <w:adjustRightInd w:val="0"/>
      <w:spacing w:line="460" w:lineRule="exact"/>
      <w:jc w:val="left"/>
      <w:textAlignment w:val="baseline"/>
    </w:pPr>
    <w:rPr>
      <w:rFonts w:ascii="宋体" w:hAnsi="Arial" w:cs="宋体"/>
      <w:spacing w:val="3"/>
      <w:kern w:val="24"/>
      <w:sz w:val="24"/>
    </w:rPr>
  </w:style>
  <w:style w:type="paragraph" w:customStyle="1" w:styleId="3817">
    <w:name w:val="符号说明"/>
    <w:basedOn w:val="1"/>
    <w:qFormat/>
    <w:uiPriority w:val="0"/>
    <w:pPr>
      <w:tabs>
        <w:tab w:val="left" w:pos="1260"/>
        <w:tab w:val="left" w:pos="3780"/>
        <w:tab w:val="left" w:pos="4680"/>
      </w:tabs>
      <w:spacing w:line="360" w:lineRule="auto"/>
      <w:ind w:firstLine="840" w:firstLineChars="400"/>
    </w:pPr>
    <w:rPr>
      <w:szCs w:val="21"/>
    </w:rPr>
  </w:style>
  <w:style w:type="paragraph" w:customStyle="1" w:styleId="3818">
    <w:name w:val="表内序号2"/>
    <w:basedOn w:val="1"/>
    <w:qFormat/>
    <w:uiPriority w:val="0"/>
    <w:pPr>
      <w:widowControl/>
      <w:tabs>
        <w:tab w:val="left" w:pos="840"/>
      </w:tabs>
      <w:adjustRightInd w:val="0"/>
      <w:snapToGrid w:val="0"/>
      <w:spacing w:line="360" w:lineRule="auto"/>
      <w:ind w:left="840" w:hanging="840"/>
    </w:pPr>
    <w:rPr>
      <w:sz w:val="18"/>
    </w:rPr>
  </w:style>
  <w:style w:type="paragraph" w:customStyle="1" w:styleId="3819">
    <w:name w:val="Char4"/>
    <w:basedOn w:val="1"/>
    <w:qFormat/>
    <w:uiPriority w:val="0"/>
    <w:pPr>
      <w:ind w:left="-48"/>
    </w:pPr>
  </w:style>
  <w:style w:type="paragraph" w:customStyle="1" w:styleId="3820">
    <w:name w:val="ljw表格"/>
    <w:basedOn w:val="1"/>
    <w:next w:val="1"/>
    <w:qFormat/>
    <w:uiPriority w:val="0"/>
    <w:pPr>
      <w:adjustRightInd w:val="0"/>
      <w:snapToGrid w:val="0"/>
      <w:spacing w:beforeLines="25" w:afterLines="25"/>
      <w:jc w:val="center"/>
    </w:pPr>
    <w:rPr>
      <w:rFonts w:ascii="宋体" w:hAnsi="宋体"/>
      <w:bCs/>
      <w:sz w:val="22"/>
      <w:szCs w:val="28"/>
    </w:rPr>
  </w:style>
  <w:style w:type="paragraph" w:customStyle="1" w:styleId="3821">
    <w:name w:val="Char Char Char Char Char Char Char Char Char Char Char Char Char2"/>
    <w:basedOn w:val="1"/>
    <w:qFormat/>
    <w:uiPriority w:val="0"/>
    <w:rPr>
      <w:rFonts w:ascii="Tahoma" w:hAnsi="Tahoma"/>
      <w:sz w:val="24"/>
    </w:rPr>
  </w:style>
  <w:style w:type="paragraph" w:customStyle="1" w:styleId="3822">
    <w:name w:val="表中文字中修改2"/>
    <w:basedOn w:val="1596"/>
    <w:qFormat/>
    <w:uiPriority w:val="0"/>
    <w:pPr>
      <w:adjustRightInd w:val="0"/>
    </w:pPr>
    <w:rPr>
      <w:color w:val="000000"/>
    </w:rPr>
  </w:style>
  <w:style w:type="paragraph" w:customStyle="1" w:styleId="3823">
    <w:name w:val="表内文字小64"/>
    <w:basedOn w:val="1"/>
    <w:qFormat/>
    <w:uiPriority w:val="0"/>
    <w:pPr>
      <w:adjustRightInd w:val="0"/>
      <w:snapToGrid w:val="0"/>
      <w:jc w:val="center"/>
    </w:pPr>
    <w:rPr>
      <w:rFonts w:ascii="宋体" w:hAnsi="Times"/>
    </w:rPr>
  </w:style>
  <w:style w:type="paragraph" w:customStyle="1" w:styleId="3824">
    <w:name w:val="表内593"/>
    <w:basedOn w:val="1"/>
    <w:qFormat/>
    <w:uiPriority w:val="0"/>
    <w:pPr>
      <w:adjustRightInd w:val="0"/>
      <w:snapToGrid w:val="0"/>
    </w:pPr>
    <w:rPr>
      <w:rFonts w:ascii="宋体"/>
    </w:rPr>
  </w:style>
  <w:style w:type="paragraph" w:customStyle="1" w:styleId="3825">
    <w:name w:val="表内宋5中35"/>
    <w:basedOn w:val="1"/>
    <w:qFormat/>
    <w:uiPriority w:val="0"/>
    <w:pPr>
      <w:adjustRightInd w:val="0"/>
      <w:snapToGrid w:val="0"/>
      <w:spacing w:line="360" w:lineRule="auto"/>
      <w:jc w:val="center"/>
      <w:textAlignment w:val="baseline"/>
    </w:pPr>
    <w:rPr>
      <w:rFonts w:ascii="宋体" w:hAnsi="宋体"/>
      <w:szCs w:val="21"/>
    </w:rPr>
  </w:style>
  <w:style w:type="paragraph" w:customStyle="1" w:styleId="3826">
    <w:name w:val="条(三级)12"/>
    <w:basedOn w:val="1"/>
    <w:next w:val="1"/>
    <w:qFormat/>
    <w:uiPriority w:val="0"/>
    <w:pPr>
      <w:keepNext/>
      <w:keepLines/>
      <w:adjustRightInd w:val="0"/>
      <w:snapToGrid w:val="0"/>
      <w:spacing w:line="460" w:lineRule="exact"/>
      <w:textAlignment w:val="baseline"/>
    </w:pPr>
    <w:rPr>
      <w:rFonts w:hAnsi="Arial"/>
      <w:spacing w:val="3"/>
      <w:kern w:val="24"/>
      <w:sz w:val="18"/>
    </w:rPr>
  </w:style>
  <w:style w:type="paragraph" w:customStyle="1" w:styleId="3827">
    <w:name w:val="A正文"/>
    <w:basedOn w:val="1"/>
    <w:qFormat/>
    <w:uiPriority w:val="0"/>
    <w:pPr>
      <w:spacing w:line="360" w:lineRule="auto"/>
      <w:ind w:firstLine="480" w:firstLineChars="200"/>
    </w:pPr>
    <w:rPr>
      <w:rFonts w:ascii="宋体" w:hAnsi="宋体"/>
      <w:sz w:val="24"/>
    </w:rPr>
  </w:style>
  <w:style w:type="paragraph" w:customStyle="1" w:styleId="3828">
    <w:name w:val="xl3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eastAsia="Arial Unicode MS"/>
      <w:szCs w:val="21"/>
    </w:rPr>
  </w:style>
  <w:style w:type="paragraph" w:customStyle="1" w:styleId="3829">
    <w:name w:val="xl92"/>
    <w:basedOn w:val="1"/>
    <w:qFormat/>
    <w:uiPriority w:val="0"/>
    <w:pPr>
      <w:widowControl/>
      <w:pBdr>
        <w:top w:val="single" w:color="auto" w:sz="4" w:space="0"/>
        <w:left w:val="single" w:color="auto" w:sz="4" w:space="0"/>
        <w:bottom w:val="single" w:color="auto" w:sz="8" w:space="0"/>
      </w:pBdr>
      <w:spacing w:before="100" w:beforeAutospacing="1" w:after="100" w:afterAutospacing="1"/>
      <w:jc w:val="center"/>
    </w:pPr>
    <w:rPr>
      <w:rFonts w:ascii="Arial Unicode MS" w:hAnsi="Arial Unicode MS" w:eastAsia="Arial Unicode MS" w:cs="Arial Unicode MS"/>
      <w:sz w:val="16"/>
      <w:szCs w:val="16"/>
    </w:rPr>
  </w:style>
  <w:style w:type="paragraph" w:customStyle="1" w:styleId="3830">
    <w:name w:val="等核实25"/>
    <w:basedOn w:val="35"/>
    <w:qFormat/>
    <w:uiPriority w:val="0"/>
    <w:pPr>
      <w:tabs>
        <w:tab w:val="left" w:pos="4305"/>
      </w:tabs>
      <w:adjustRightInd w:val="0"/>
      <w:snapToGrid w:val="0"/>
      <w:spacing w:after="0" w:line="360" w:lineRule="auto"/>
      <w:ind w:left="0" w:leftChars="0" w:firstLine="561"/>
    </w:pPr>
    <w:rPr>
      <w:rFonts w:ascii="宋体" w:hAnsi="宋体" w:cs="宋体"/>
      <w:color w:val="000000"/>
      <w:sz w:val="24"/>
    </w:rPr>
  </w:style>
  <w:style w:type="paragraph" w:customStyle="1" w:styleId="3831">
    <w:name w:val="页眉中40"/>
    <w:basedOn w:val="1"/>
    <w:qFormat/>
    <w:uiPriority w:val="0"/>
    <w:pPr>
      <w:adjustRightInd w:val="0"/>
      <w:snapToGrid w:val="0"/>
      <w:spacing w:line="300" w:lineRule="auto"/>
      <w:jc w:val="left"/>
    </w:pPr>
    <w:rPr>
      <w:rFonts w:ascii="黑体" w:eastAsia="黑体"/>
      <w:bCs/>
      <w:sz w:val="24"/>
    </w:rPr>
  </w:style>
  <w:style w:type="paragraph" w:customStyle="1" w:styleId="3832">
    <w:name w:val="样式 日期 + Times New Roman 四号 两端对齐 行距: 固定值 21 磅"/>
    <w:basedOn w:val="1"/>
    <w:qFormat/>
    <w:uiPriority w:val="0"/>
    <w:pPr>
      <w:spacing w:line="420" w:lineRule="exact"/>
      <w:ind w:firstLine="560" w:firstLineChars="200"/>
    </w:pPr>
    <w:rPr>
      <w:rFonts w:cs="宋体"/>
      <w:sz w:val="28"/>
      <w:szCs w:val="28"/>
    </w:rPr>
  </w:style>
  <w:style w:type="paragraph" w:customStyle="1" w:styleId="3833">
    <w:name w:val="Items"/>
    <w:basedOn w:val="1"/>
    <w:qFormat/>
    <w:uiPriority w:val="0"/>
    <w:pPr>
      <w:tabs>
        <w:tab w:val="left" w:pos="720"/>
        <w:tab w:val="left" w:pos="992"/>
      </w:tabs>
      <w:spacing w:before="10" w:after="20" w:line="460" w:lineRule="atLeast"/>
      <w:ind w:left="992" w:hanging="425"/>
    </w:pPr>
    <w:rPr>
      <w:rFonts w:ascii="Tahoma" w:hAnsi="Tahoma" w:eastAsia="华文中宋"/>
      <w:sz w:val="28"/>
    </w:rPr>
  </w:style>
  <w:style w:type="paragraph" w:customStyle="1" w:styleId="3834">
    <w:name w:val="页眉中17"/>
    <w:basedOn w:val="1"/>
    <w:qFormat/>
    <w:uiPriority w:val="0"/>
    <w:pPr>
      <w:adjustRightInd w:val="0"/>
      <w:snapToGrid w:val="0"/>
      <w:jc w:val="center"/>
    </w:pPr>
    <w:rPr>
      <w:rFonts w:ascii="黑体" w:eastAsia="黑体"/>
      <w:bCs/>
    </w:rPr>
  </w:style>
  <w:style w:type="paragraph" w:customStyle="1" w:styleId="3835">
    <w:name w:val="下划线"/>
    <w:basedOn w:val="1"/>
    <w:next w:val="1"/>
    <w:qFormat/>
    <w:uiPriority w:val="0"/>
    <w:pPr>
      <w:spacing w:line="240" w:lineRule="exact"/>
      <w:jc w:val="center"/>
    </w:pPr>
    <w:rPr>
      <w:sz w:val="18"/>
      <w:szCs w:val="18"/>
    </w:rPr>
  </w:style>
  <w:style w:type="paragraph" w:customStyle="1" w:styleId="3836">
    <w:name w:val="Char Char Char Char Char Char Char Char Char Char Char Char Char Char Char Char Char Char Char Char Char Char Char Char Char Char Char Char Char Char Char Char Char Char Char Char Char Char Char Char Char Char1"/>
    <w:basedOn w:val="1"/>
    <w:qFormat/>
    <w:uiPriority w:val="0"/>
  </w:style>
  <w:style w:type="paragraph" w:customStyle="1" w:styleId="3837">
    <w:name w:val="正文文本缩进 211"/>
    <w:basedOn w:val="1"/>
    <w:qFormat/>
    <w:uiPriority w:val="0"/>
    <w:pPr>
      <w:adjustRightInd w:val="0"/>
      <w:ind w:firstLine="538"/>
      <w:textAlignment w:val="baseline"/>
    </w:pPr>
    <w:rPr>
      <w:sz w:val="28"/>
    </w:rPr>
  </w:style>
  <w:style w:type="paragraph" w:customStyle="1" w:styleId="3838">
    <w:name w:val="表内宋522"/>
    <w:basedOn w:val="1553"/>
    <w:qFormat/>
    <w:uiPriority w:val="0"/>
    <w:pPr>
      <w:jc w:val="both"/>
    </w:pPr>
  </w:style>
  <w:style w:type="paragraph" w:customStyle="1" w:styleId="3839">
    <w:name w:val="页眉中92"/>
    <w:basedOn w:val="1"/>
    <w:qFormat/>
    <w:uiPriority w:val="0"/>
    <w:pPr>
      <w:adjustRightInd w:val="0"/>
      <w:snapToGrid w:val="0"/>
      <w:spacing w:line="300" w:lineRule="auto"/>
      <w:jc w:val="left"/>
    </w:pPr>
    <w:rPr>
      <w:rFonts w:ascii="黑体" w:eastAsia="黑体"/>
      <w:bCs/>
      <w:sz w:val="24"/>
    </w:rPr>
  </w:style>
  <w:style w:type="paragraph" w:customStyle="1" w:styleId="3840">
    <w:name w:val="表题25"/>
    <w:basedOn w:val="35"/>
    <w:qFormat/>
    <w:uiPriority w:val="0"/>
    <w:pPr>
      <w:tabs>
        <w:tab w:val="left" w:pos="4305"/>
      </w:tabs>
      <w:adjustRightInd w:val="0"/>
      <w:snapToGrid w:val="0"/>
      <w:spacing w:after="0"/>
      <w:ind w:left="0" w:leftChars="0"/>
      <w:jc w:val="center"/>
    </w:pPr>
    <w:rPr>
      <w:rFonts w:ascii="黑体" w:hAnsi="宋体" w:eastAsia="黑体"/>
      <w:sz w:val="24"/>
    </w:rPr>
  </w:style>
  <w:style w:type="paragraph" w:customStyle="1" w:styleId="3841">
    <w:name w:val="样式 四号 黑色 首行缩进:  2 字符"/>
    <w:basedOn w:val="1"/>
    <w:qFormat/>
    <w:uiPriority w:val="0"/>
    <w:pPr>
      <w:spacing w:line="480" w:lineRule="atLeast"/>
      <w:ind w:firstLine="200" w:firstLineChars="200"/>
    </w:pPr>
    <w:rPr>
      <w:color w:val="000000"/>
      <w:sz w:val="24"/>
    </w:rPr>
  </w:style>
  <w:style w:type="paragraph" w:customStyle="1" w:styleId="3842">
    <w:name w:val="CM20"/>
    <w:basedOn w:val="641"/>
    <w:next w:val="641"/>
    <w:qFormat/>
    <w:uiPriority w:val="0"/>
    <w:pPr>
      <w:spacing w:after="148"/>
    </w:pPr>
    <w:rPr>
      <w:rFonts w:ascii="黑体" w:eastAsia="黑体" w:cs="Times New Roman"/>
      <w:color w:val="auto"/>
      <w:sz w:val="20"/>
    </w:rPr>
  </w:style>
  <w:style w:type="paragraph" w:customStyle="1" w:styleId="3843">
    <w:name w:val="Char24"/>
    <w:basedOn w:val="1"/>
    <w:qFormat/>
    <w:uiPriority w:val="0"/>
    <w:pPr>
      <w:spacing w:line="360" w:lineRule="auto"/>
      <w:ind w:firstLine="200" w:firstLineChars="200"/>
    </w:pPr>
    <w:rPr>
      <w:rFonts w:ascii="宋体" w:hAnsi="宋体" w:cs="宋体"/>
      <w:sz w:val="24"/>
    </w:rPr>
  </w:style>
  <w:style w:type="paragraph" w:customStyle="1" w:styleId="3844">
    <w:name w:val="高段文"/>
    <w:basedOn w:val="1"/>
    <w:qFormat/>
    <w:uiPriority w:val="0"/>
    <w:pPr>
      <w:adjustRightInd w:val="0"/>
      <w:snapToGrid w:val="0"/>
      <w:spacing w:line="300" w:lineRule="auto"/>
      <w:ind w:firstLine="200" w:firstLineChars="200"/>
    </w:pPr>
    <w:rPr>
      <w:rFonts w:ascii="Arial" w:hAnsi="Arial" w:eastAsia="楷体_GB2312"/>
      <w:sz w:val="28"/>
      <w:szCs w:val="28"/>
    </w:rPr>
  </w:style>
  <w:style w:type="paragraph" w:customStyle="1" w:styleId="3845">
    <w:name w:val="样式 标题 1 + 段前: 0.5 行 段后: 1 行2"/>
    <w:basedOn w:val="3"/>
    <w:qFormat/>
    <w:uiPriority w:val="0"/>
    <w:pPr>
      <w:keepLines w:val="0"/>
      <w:adjustRightInd w:val="0"/>
      <w:snapToGrid w:val="0"/>
      <w:spacing w:beforeLines="50" w:after="0" w:line="360" w:lineRule="auto"/>
      <w:jc w:val="center"/>
    </w:pPr>
    <w:rPr>
      <w:rFonts w:ascii="黑体" w:eastAsia="黑体" w:cs="宋体"/>
      <w:bCs w:val="0"/>
      <w:kern w:val="2"/>
      <w:sz w:val="32"/>
      <w:szCs w:val="20"/>
    </w:rPr>
  </w:style>
  <w:style w:type="paragraph" w:customStyle="1" w:styleId="3846">
    <w:name w:val="xl64"/>
    <w:basedOn w:val="1"/>
    <w:qFormat/>
    <w:uiPriority w:val="0"/>
    <w:pPr>
      <w:widowControl/>
      <w:pBdr>
        <w:left w:val="single" w:color="auto" w:sz="4" w:space="0"/>
        <w:bottom w:val="single" w:color="auto" w:sz="4" w:space="0"/>
        <w:right w:val="single" w:color="auto" w:sz="8" w:space="0"/>
      </w:pBdr>
      <w:spacing w:before="100" w:beforeAutospacing="1" w:after="100" w:afterAutospacing="1"/>
      <w:jc w:val="left"/>
      <w:textAlignment w:val="center"/>
    </w:pPr>
    <w:rPr>
      <w:rFonts w:ascii="Arial Unicode MS" w:hAnsi="Arial Unicode MS" w:eastAsia="Arial Unicode MS"/>
      <w:sz w:val="24"/>
    </w:rPr>
  </w:style>
  <w:style w:type="paragraph" w:customStyle="1" w:styleId="3847">
    <w:name w:val="表内5103"/>
    <w:basedOn w:val="1572"/>
    <w:qFormat/>
    <w:uiPriority w:val="0"/>
    <w:pPr>
      <w:spacing w:line="300" w:lineRule="auto"/>
      <w:jc w:val="both"/>
    </w:pPr>
    <w:rPr>
      <w:szCs w:val="24"/>
    </w:rPr>
  </w:style>
  <w:style w:type="paragraph" w:customStyle="1" w:styleId="3848">
    <w:name w:val="正文7"/>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3849">
    <w:name w:val="页眉中126"/>
    <w:basedOn w:val="1"/>
    <w:qFormat/>
    <w:uiPriority w:val="0"/>
    <w:pPr>
      <w:adjustRightInd w:val="0"/>
      <w:snapToGrid w:val="0"/>
      <w:spacing w:line="300" w:lineRule="auto"/>
      <w:jc w:val="left"/>
    </w:pPr>
    <w:rPr>
      <w:rFonts w:ascii="黑体" w:eastAsia="黑体"/>
      <w:bCs/>
      <w:sz w:val="24"/>
    </w:rPr>
  </w:style>
  <w:style w:type="paragraph" w:customStyle="1" w:styleId="3850">
    <w:name w:val="表内53"/>
    <w:basedOn w:val="1"/>
    <w:qFormat/>
    <w:uiPriority w:val="0"/>
    <w:pPr>
      <w:adjustRightInd w:val="0"/>
      <w:snapToGrid w:val="0"/>
      <w:spacing w:line="300" w:lineRule="auto"/>
      <w:jc w:val="left"/>
    </w:pPr>
    <w:rPr>
      <w:rFonts w:ascii="宋体"/>
    </w:rPr>
  </w:style>
  <w:style w:type="paragraph" w:customStyle="1" w:styleId="3851">
    <w:name w:val="表内文字8"/>
    <w:basedOn w:val="1"/>
    <w:qFormat/>
    <w:uiPriority w:val="0"/>
    <w:pPr>
      <w:widowControl/>
      <w:adjustRightInd w:val="0"/>
      <w:snapToGrid w:val="0"/>
      <w:jc w:val="center"/>
    </w:pPr>
    <w:rPr>
      <w:szCs w:val="21"/>
    </w:rPr>
  </w:style>
  <w:style w:type="paragraph" w:customStyle="1" w:styleId="3852">
    <w:name w:val="222222222"/>
    <w:basedOn w:val="52"/>
    <w:qFormat/>
    <w:uiPriority w:val="0"/>
    <w:pPr>
      <w:spacing w:beforeLines="50" w:afterLines="50" w:line="520" w:lineRule="exact"/>
      <w:ind w:left="0" w:leftChars="0"/>
      <w:outlineLvl w:val="1"/>
    </w:pPr>
    <w:rPr>
      <w:rFonts w:ascii="黑体" w:hAnsi="宋体" w:eastAsia="黑体"/>
      <w:b/>
      <w:bCs/>
      <w:sz w:val="28"/>
      <w:szCs w:val="28"/>
    </w:rPr>
  </w:style>
  <w:style w:type="paragraph" w:customStyle="1" w:styleId="3853">
    <w:name w:val="页眉中104"/>
    <w:basedOn w:val="1"/>
    <w:qFormat/>
    <w:uiPriority w:val="0"/>
    <w:pPr>
      <w:adjustRightInd w:val="0"/>
      <w:snapToGrid w:val="0"/>
      <w:spacing w:line="300" w:lineRule="auto"/>
      <w:jc w:val="left"/>
    </w:pPr>
    <w:rPr>
      <w:rFonts w:ascii="黑体" w:eastAsia="黑体"/>
      <w:bCs/>
      <w:sz w:val="24"/>
    </w:rPr>
  </w:style>
  <w:style w:type="paragraph" w:customStyle="1" w:styleId="3854">
    <w:name w:val="Char Char Char Char1 Char Char Char Char Char Char11"/>
    <w:basedOn w:val="1"/>
    <w:next w:val="1"/>
    <w:qFormat/>
    <w:uiPriority w:val="0"/>
    <w:pPr>
      <w:spacing w:line="360" w:lineRule="auto"/>
      <w:ind w:firstLine="200" w:firstLineChars="200"/>
    </w:pPr>
    <w:rPr>
      <w:rFonts w:ascii="宋体" w:hAnsi="宋体" w:cs="宋体"/>
      <w:b/>
      <w:bCs/>
      <w:kern w:val="44"/>
      <w:sz w:val="24"/>
      <w:szCs w:val="44"/>
    </w:rPr>
  </w:style>
  <w:style w:type="paragraph" w:customStyle="1" w:styleId="3855">
    <w:name w:val="样式 标题 2 + (西文) Times New Roman (中文) 宋体 加粗 段后: 2 磅 行距: 单倍行距"/>
    <w:basedOn w:val="4"/>
    <w:qFormat/>
    <w:uiPriority w:val="0"/>
    <w:pPr>
      <w:keepNext w:val="0"/>
      <w:keepLines w:val="0"/>
      <w:tabs>
        <w:tab w:val="clear" w:pos="1427"/>
      </w:tabs>
      <w:adjustRightInd/>
      <w:spacing w:before="156" w:after="156" w:line="520" w:lineRule="exact"/>
      <w:ind w:left="284" w:hanging="284"/>
      <w:textAlignment w:val="auto"/>
    </w:pPr>
    <w:rPr>
      <w:b w:val="0"/>
      <w:bCs/>
      <w:kern w:val="2"/>
      <w:szCs w:val="28"/>
    </w:rPr>
  </w:style>
  <w:style w:type="paragraph" w:customStyle="1" w:styleId="3856">
    <w:name w:val="样式 燕山正文 + 首行缩进:  3.5 字符5"/>
    <w:basedOn w:val="1325"/>
    <w:qFormat/>
    <w:uiPriority w:val="0"/>
    <w:pPr>
      <w:ind w:firstLine="560"/>
    </w:pPr>
    <w:rPr>
      <w:bCs w:val="0"/>
      <w:sz w:val="28"/>
      <w:szCs w:val="20"/>
    </w:rPr>
  </w:style>
  <w:style w:type="paragraph" w:customStyle="1" w:styleId="3857">
    <w:name w:val="表内小444"/>
    <w:basedOn w:val="1427"/>
    <w:qFormat/>
    <w:uiPriority w:val="0"/>
    <w:pPr>
      <w:ind w:left="240" w:hanging="240"/>
      <w:jc w:val="both"/>
    </w:pPr>
    <w:rPr>
      <w:rFonts w:cs="Times New Roman"/>
    </w:rPr>
  </w:style>
  <w:style w:type="paragraph" w:customStyle="1" w:styleId="3858">
    <w:name w:val="Char Char Char Char Char Char Char Char Char Char Char Char Char Char Char Char Char Char Char Char Char Char Char Char Char Char Char Char Char Char Char Char Char Char Char Char Char Char Char Char2"/>
    <w:basedOn w:val="1"/>
    <w:qFormat/>
    <w:uiPriority w:val="0"/>
    <w:rPr>
      <w:sz w:val="24"/>
    </w:rPr>
  </w:style>
  <w:style w:type="paragraph" w:customStyle="1" w:styleId="3859">
    <w:name w:val="acee正文"/>
    <w:basedOn w:val="1"/>
    <w:qFormat/>
    <w:uiPriority w:val="0"/>
    <w:pPr>
      <w:spacing w:line="480" w:lineRule="exact"/>
      <w:ind w:firstLine="640" w:firstLineChars="200"/>
    </w:pPr>
    <w:rPr>
      <w:rFonts w:ascii="仿宋_GB2312" w:hAnsi="宋体" w:eastAsia="仿宋_GB2312"/>
      <w:sz w:val="32"/>
    </w:rPr>
  </w:style>
  <w:style w:type="paragraph" w:customStyle="1" w:styleId="3860">
    <w:name w:val="2222"/>
    <w:basedOn w:val="4"/>
    <w:qFormat/>
    <w:uiPriority w:val="0"/>
    <w:pPr>
      <w:keepLines w:val="0"/>
      <w:tabs>
        <w:tab w:val="clear" w:pos="1427"/>
      </w:tabs>
      <w:adjustRightInd/>
      <w:spacing w:line="240" w:lineRule="auto"/>
      <w:textAlignment w:val="auto"/>
    </w:pPr>
    <w:rPr>
      <w:rFonts w:ascii="宋体" w:hAnsi="宋体"/>
      <w:bCs/>
      <w:kern w:val="2"/>
      <w:szCs w:val="24"/>
    </w:rPr>
  </w:style>
  <w:style w:type="paragraph" w:customStyle="1" w:styleId="3861">
    <w:name w:val="表题 Char2"/>
    <w:basedOn w:val="1"/>
    <w:qFormat/>
    <w:uiPriority w:val="0"/>
    <w:pPr>
      <w:spacing w:line="360" w:lineRule="auto"/>
      <w:jc w:val="center"/>
    </w:pPr>
    <w:rPr>
      <w:rFonts w:ascii="黑体" w:eastAsia="黑体"/>
      <w:bCs/>
      <w:sz w:val="28"/>
      <w:szCs w:val="28"/>
    </w:rPr>
  </w:style>
  <w:style w:type="paragraph" w:customStyle="1" w:styleId="3862">
    <w:name w:val="CM48"/>
    <w:basedOn w:val="641"/>
    <w:next w:val="641"/>
    <w:qFormat/>
    <w:uiPriority w:val="0"/>
    <w:pPr>
      <w:spacing w:after="47"/>
    </w:pPr>
    <w:rPr>
      <w:rFonts w:ascii="黑体" w:eastAsia="黑体" w:cs="Times New Roman"/>
      <w:color w:val="auto"/>
    </w:rPr>
  </w:style>
  <w:style w:type="paragraph" w:customStyle="1" w:styleId="3863">
    <w:name w:val="表内文字15"/>
    <w:basedOn w:val="1"/>
    <w:qFormat/>
    <w:uiPriority w:val="0"/>
    <w:pPr>
      <w:widowControl/>
      <w:adjustRightInd w:val="0"/>
      <w:snapToGrid w:val="0"/>
      <w:spacing w:line="420" w:lineRule="exact"/>
      <w:jc w:val="center"/>
    </w:pPr>
    <w:rPr>
      <w:rFonts w:ascii="宋体"/>
      <w:spacing w:val="10"/>
      <w:sz w:val="18"/>
    </w:rPr>
  </w:style>
  <w:style w:type="paragraph" w:customStyle="1" w:styleId="3864">
    <w:name w:val="表题13"/>
    <w:basedOn w:val="35"/>
    <w:qFormat/>
    <w:uiPriority w:val="0"/>
    <w:pPr>
      <w:tabs>
        <w:tab w:val="left" w:pos="4305"/>
      </w:tabs>
      <w:adjustRightInd w:val="0"/>
      <w:snapToGrid w:val="0"/>
      <w:spacing w:after="0"/>
      <w:ind w:left="0" w:leftChars="0" w:firstLine="480" w:firstLineChars="200"/>
      <w:jc w:val="center"/>
    </w:pPr>
    <w:rPr>
      <w:rFonts w:ascii="黑体" w:hAnsi="宋体" w:eastAsia="黑体"/>
      <w:sz w:val="24"/>
      <w:szCs w:val="20"/>
    </w:rPr>
  </w:style>
  <w:style w:type="paragraph" w:customStyle="1" w:styleId="3865">
    <w:name w:val="样式113"/>
    <w:basedOn w:val="1"/>
    <w:qFormat/>
    <w:uiPriority w:val="0"/>
    <w:pPr>
      <w:adjustRightInd w:val="0"/>
      <w:snapToGrid w:val="0"/>
      <w:spacing w:line="300" w:lineRule="auto"/>
      <w:jc w:val="center"/>
      <w:textAlignment w:val="baseline"/>
    </w:pPr>
    <w:rPr>
      <w:rFonts w:ascii="仿宋_GB2312" w:hAnsi="Courier New" w:eastAsia="仿宋_GB2312"/>
      <w:b/>
      <w:sz w:val="28"/>
    </w:rPr>
  </w:style>
  <w:style w:type="paragraph" w:customStyle="1" w:styleId="3866">
    <w:name w:val="Char Char Char Char Char Char1 Char Char Char Char1"/>
    <w:basedOn w:val="1"/>
    <w:qFormat/>
    <w:uiPriority w:val="0"/>
  </w:style>
  <w:style w:type="paragraph" w:customStyle="1" w:styleId="3867">
    <w:name w:val="바탕글"/>
    <w:qFormat/>
    <w:uiPriority w:val="0"/>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line="296" w:lineRule="auto"/>
      <w:jc w:val="both"/>
    </w:pPr>
    <w:rPr>
      <w:rFonts w:ascii="Batang" w:hAnsi="Times New Roman" w:eastAsia="Batang" w:cs="Times New Roman"/>
      <w:color w:val="000000"/>
      <w:lang w:val="en-US" w:eastAsia="ko-KR" w:bidi="ar-SA"/>
    </w:rPr>
  </w:style>
  <w:style w:type="paragraph" w:customStyle="1" w:styleId="3868">
    <w:name w:val="表内文字大42"/>
    <w:basedOn w:val="1"/>
    <w:qFormat/>
    <w:uiPriority w:val="0"/>
    <w:pPr>
      <w:adjustRightInd w:val="0"/>
      <w:snapToGrid w:val="0"/>
      <w:jc w:val="center"/>
    </w:pPr>
    <w:rPr>
      <w:rFonts w:ascii="宋体" w:hAnsi="Times"/>
      <w:sz w:val="24"/>
    </w:rPr>
  </w:style>
  <w:style w:type="paragraph" w:customStyle="1" w:styleId="3869">
    <w:name w:val="标准文本 首行缩进:2 字符 行距1倍"/>
    <w:basedOn w:val="1"/>
    <w:qFormat/>
    <w:uiPriority w:val="0"/>
    <w:pPr>
      <w:adjustRightInd w:val="0"/>
      <w:snapToGrid w:val="0"/>
      <w:spacing w:line="480" w:lineRule="exact"/>
      <w:ind w:firstLine="540" w:firstLineChars="225"/>
      <w:textAlignment w:val="center"/>
    </w:pPr>
    <w:rPr>
      <w:rFonts w:cs="宋体"/>
      <w:sz w:val="24"/>
    </w:rPr>
  </w:style>
  <w:style w:type="paragraph" w:customStyle="1" w:styleId="3870">
    <w:name w:val="表题132"/>
    <w:basedOn w:val="35"/>
    <w:qFormat/>
    <w:uiPriority w:val="0"/>
    <w:pPr>
      <w:tabs>
        <w:tab w:val="left" w:pos="4305"/>
      </w:tabs>
      <w:adjustRightInd w:val="0"/>
      <w:snapToGrid w:val="0"/>
      <w:spacing w:after="0"/>
      <w:ind w:left="0" w:leftChars="0" w:firstLine="480" w:firstLineChars="200"/>
      <w:jc w:val="center"/>
    </w:pPr>
    <w:rPr>
      <w:rFonts w:ascii="黑体" w:hAnsi="宋体" w:eastAsia="黑体"/>
      <w:sz w:val="24"/>
      <w:szCs w:val="20"/>
    </w:rPr>
  </w:style>
  <w:style w:type="paragraph" w:customStyle="1" w:styleId="3871">
    <w:name w:val="湛江码头表"/>
    <w:basedOn w:val="1"/>
    <w:qFormat/>
    <w:uiPriority w:val="0"/>
    <w:pPr>
      <w:jc w:val="center"/>
    </w:pPr>
    <w:rPr>
      <w:rFonts w:eastAsia="仿宋_GB2312"/>
      <w:lang w:eastAsia="zh-TW"/>
    </w:rPr>
  </w:style>
  <w:style w:type="paragraph" w:customStyle="1" w:styleId="3872">
    <w:name w:val="样式 表内5 + (符号) 宋体 两端对齐 行距: 单倍行距2"/>
    <w:basedOn w:val="1106"/>
    <w:qFormat/>
    <w:uiPriority w:val="0"/>
    <w:pPr>
      <w:spacing w:line="240" w:lineRule="auto"/>
    </w:pPr>
  </w:style>
  <w:style w:type="paragraph" w:customStyle="1" w:styleId="3873">
    <w:name w:val="默认段落字体 Para Char Char Char Char Char Char Char Char Char Char"/>
    <w:basedOn w:val="5"/>
    <w:qFormat/>
    <w:uiPriority w:val="0"/>
    <w:pPr>
      <w:keepNext w:val="0"/>
      <w:keepLines w:val="0"/>
      <w:tabs>
        <w:tab w:val="left" w:pos="360"/>
        <w:tab w:val="left" w:pos="851"/>
        <w:tab w:val="left" w:pos="900"/>
        <w:tab w:val="clear" w:pos="720"/>
      </w:tabs>
      <w:snapToGrid w:val="0"/>
      <w:spacing w:before="120" w:afterLines="50"/>
      <w:ind w:left="542" w:leftChars="-12" w:right="50" w:rightChars="50" w:firstLine="200" w:firstLineChars="200"/>
      <w:textAlignment w:val="auto"/>
    </w:pPr>
    <w:rPr>
      <w:rFonts w:eastAsia="宋体"/>
      <w:color w:val="auto"/>
      <w:spacing w:val="0"/>
      <w:kern w:val="2"/>
      <w:sz w:val="32"/>
    </w:rPr>
  </w:style>
  <w:style w:type="paragraph" w:customStyle="1" w:styleId="3874">
    <w:name w:val="xl71"/>
    <w:basedOn w:val="1"/>
    <w:qFormat/>
    <w:uiPriority w:val="0"/>
    <w:pPr>
      <w:widowControl/>
      <w:pBdr>
        <w:left w:val="single" w:color="auto" w:sz="4" w:space="0"/>
        <w:bottom w:val="single" w:color="auto" w:sz="8" w:space="0"/>
      </w:pBdr>
      <w:spacing w:before="100" w:beforeAutospacing="1" w:after="100" w:afterAutospacing="1"/>
      <w:jc w:val="center"/>
      <w:textAlignment w:val="center"/>
    </w:pPr>
    <w:rPr>
      <w:rFonts w:eastAsia="Arial Unicode MS"/>
      <w:sz w:val="24"/>
    </w:rPr>
  </w:style>
  <w:style w:type="paragraph" w:customStyle="1" w:styleId="3875">
    <w:name w:val="宏文本12"/>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customStyle="1" w:styleId="3876">
    <w:name w:val="表内文字小22"/>
    <w:basedOn w:val="1"/>
    <w:qFormat/>
    <w:uiPriority w:val="0"/>
    <w:pPr>
      <w:adjustRightInd w:val="0"/>
      <w:snapToGrid w:val="0"/>
      <w:jc w:val="center"/>
    </w:pPr>
    <w:rPr>
      <w:rFonts w:ascii="宋体" w:hAnsi="Times"/>
      <w:bCs/>
      <w:color w:val="003366"/>
    </w:rPr>
  </w:style>
  <w:style w:type="paragraph" w:customStyle="1" w:styleId="3877">
    <w:name w:val="标标题1.9"/>
    <w:basedOn w:val="1"/>
    <w:qFormat/>
    <w:uiPriority w:val="0"/>
    <w:pPr>
      <w:tabs>
        <w:tab w:val="left" w:pos="3780"/>
        <w:tab w:val="center" w:pos="4060"/>
        <w:tab w:val="right" w:pos="8261"/>
      </w:tabs>
      <w:suppressAutoHyphens/>
      <w:adjustRightInd w:val="0"/>
      <w:spacing w:before="240" w:line="0" w:lineRule="atLeast"/>
      <w:ind w:left="3056" w:firstLine="4"/>
      <w:jc w:val="center"/>
    </w:pPr>
    <w:rPr>
      <w:rFonts w:ascii="黑体" w:eastAsia="黑体"/>
      <w:b/>
      <w:spacing w:val="6"/>
      <w:sz w:val="26"/>
      <w:szCs w:val="26"/>
    </w:rPr>
  </w:style>
  <w:style w:type="paragraph" w:customStyle="1" w:styleId="3878">
    <w:name w:val="样式 标题 1 + 首行缩进:  2 字符 段前: 1 行 段后: 1 行1"/>
    <w:basedOn w:val="3"/>
    <w:qFormat/>
    <w:uiPriority w:val="0"/>
    <w:pPr>
      <w:spacing w:beforeLines="50" w:afterLines="50" w:line="500" w:lineRule="exact"/>
      <w:jc w:val="center"/>
    </w:pPr>
    <w:rPr>
      <w:rFonts w:eastAsia="黑体" w:cs="宋体"/>
      <w:b w:val="0"/>
      <w:sz w:val="36"/>
      <w:szCs w:val="20"/>
    </w:rPr>
  </w:style>
  <w:style w:type="paragraph" w:customStyle="1" w:styleId="3879">
    <w:name w:val="图号6"/>
    <w:basedOn w:val="1"/>
    <w:qFormat/>
    <w:uiPriority w:val="0"/>
    <w:pPr>
      <w:jc w:val="center"/>
    </w:pPr>
    <w:rPr>
      <w:rFonts w:ascii="黑体" w:eastAsia="黑体"/>
      <w:sz w:val="24"/>
    </w:rPr>
  </w:style>
  <w:style w:type="paragraph" w:customStyle="1" w:styleId="3880">
    <w:name w:val="表头8.1"/>
    <w:basedOn w:val="1"/>
    <w:qFormat/>
    <w:uiPriority w:val="0"/>
    <w:pPr>
      <w:tabs>
        <w:tab w:val="left" w:pos="480"/>
        <w:tab w:val="left" w:pos="1920"/>
      </w:tabs>
      <w:adjustRightInd w:val="0"/>
      <w:snapToGrid w:val="0"/>
      <w:spacing w:beforeLines="100" w:line="0" w:lineRule="atLeast"/>
      <w:jc w:val="center"/>
    </w:pPr>
    <w:rPr>
      <w:rFonts w:eastAsia="黑体"/>
      <w:b/>
      <w:sz w:val="24"/>
    </w:rPr>
  </w:style>
  <w:style w:type="paragraph" w:customStyle="1" w:styleId="3881">
    <w:name w:val="Bullet 4"/>
    <w:basedOn w:val="1"/>
    <w:next w:val="1"/>
    <w:qFormat/>
    <w:uiPriority w:val="0"/>
    <w:pPr>
      <w:widowControl/>
      <w:tabs>
        <w:tab w:val="left" w:pos="1440"/>
      </w:tabs>
      <w:ind w:left="4320" w:hanging="720"/>
      <w:jc w:val="left"/>
    </w:pPr>
    <w:rPr>
      <w:rFonts w:ascii="Arial"/>
    </w:rPr>
  </w:style>
  <w:style w:type="paragraph" w:customStyle="1" w:styleId="3882">
    <w:name w:val="titel"/>
    <w:qFormat/>
    <w:uiPriority w:val="0"/>
    <w:pPr>
      <w:pageBreakBefore/>
      <w:overflowPunct w:val="0"/>
      <w:autoSpaceDE w:val="0"/>
      <w:autoSpaceDN w:val="0"/>
      <w:adjustRightInd w:val="0"/>
      <w:jc w:val="center"/>
      <w:textAlignment w:val="baseline"/>
    </w:pPr>
    <w:rPr>
      <w:rFonts w:ascii="CorpoSLig" w:hAnsi="CorpoSLig" w:eastAsia="宋体" w:cs="Times New Roman"/>
      <w:b/>
      <w:caps/>
      <w:sz w:val="48"/>
      <w:lang w:val="de-DE" w:eastAsia="en-US" w:bidi="ar-SA"/>
    </w:rPr>
  </w:style>
  <w:style w:type="paragraph" w:customStyle="1" w:styleId="3883">
    <w:name w:val="样式  + 首行缩进:  0.75 厘米"/>
    <w:basedOn w:val="1"/>
    <w:qFormat/>
    <w:uiPriority w:val="0"/>
    <w:pPr>
      <w:spacing w:line="480" w:lineRule="exact"/>
      <w:ind w:firstLine="425"/>
      <w:jc w:val="left"/>
    </w:pPr>
    <w:rPr>
      <w:bCs/>
      <w:sz w:val="24"/>
    </w:rPr>
  </w:style>
  <w:style w:type="paragraph" w:customStyle="1" w:styleId="3884">
    <w:name w:val="表内534"/>
    <w:basedOn w:val="1"/>
    <w:qFormat/>
    <w:uiPriority w:val="0"/>
    <w:pPr>
      <w:adjustRightInd w:val="0"/>
      <w:snapToGrid w:val="0"/>
      <w:spacing w:line="300" w:lineRule="auto"/>
      <w:jc w:val="left"/>
    </w:pPr>
    <w:rPr>
      <w:rFonts w:ascii="宋体"/>
    </w:rPr>
  </w:style>
  <w:style w:type="paragraph" w:customStyle="1" w:styleId="3885">
    <w:name w:val="表格1"/>
    <w:basedOn w:val="1"/>
    <w:qFormat/>
    <w:uiPriority w:val="0"/>
    <w:pPr>
      <w:autoSpaceDE w:val="0"/>
      <w:autoSpaceDN w:val="0"/>
      <w:adjustRightInd w:val="0"/>
      <w:snapToGrid w:val="0"/>
      <w:spacing w:line="440" w:lineRule="atLeast"/>
      <w:ind w:firstLine="506" w:firstLineChars="200"/>
      <w:jc w:val="center"/>
    </w:pPr>
    <w:rPr>
      <w:b/>
      <w:spacing w:val="6"/>
      <w:sz w:val="24"/>
    </w:rPr>
  </w:style>
  <w:style w:type="paragraph" w:customStyle="1" w:styleId="3886">
    <w:name w:val="标题7.3.5.1"/>
    <w:basedOn w:val="6"/>
    <w:qFormat/>
    <w:uiPriority w:val="0"/>
    <w:pPr>
      <w:tabs>
        <w:tab w:val="left" w:pos="360"/>
        <w:tab w:val="left" w:pos="2847"/>
      </w:tabs>
      <w:spacing w:before="120" w:after="120" w:line="312" w:lineRule="auto"/>
      <w:ind w:left="1395" w:firstLine="573"/>
    </w:pPr>
    <w:rPr>
      <w:sz w:val="24"/>
      <w:szCs w:val="24"/>
    </w:rPr>
  </w:style>
  <w:style w:type="paragraph" w:customStyle="1" w:styleId="3887">
    <w:name w:val="标题 8111"/>
    <w:basedOn w:val="1"/>
    <w:next w:val="1"/>
    <w:qFormat/>
    <w:uiPriority w:val="0"/>
    <w:pPr>
      <w:keepNext/>
      <w:keepLines/>
      <w:adjustRightInd w:val="0"/>
      <w:spacing w:line="480" w:lineRule="atLeast"/>
      <w:ind w:firstLine="567"/>
      <w:textAlignment w:val="baseline"/>
    </w:pPr>
    <w:rPr>
      <w:rFonts w:hint="eastAsia" w:ascii="Arial" w:hAnsi="Arial"/>
      <w:sz w:val="24"/>
    </w:rPr>
  </w:style>
  <w:style w:type="paragraph" w:customStyle="1" w:styleId="3888">
    <w:name w:val="Char Char1 Char Char Char11"/>
    <w:basedOn w:val="1"/>
    <w:qFormat/>
    <w:uiPriority w:val="0"/>
  </w:style>
  <w:style w:type="paragraph" w:customStyle="1" w:styleId="3889">
    <w:name w:val="样式 标题 3 + 段前: 0 磅 段后: 0 磅 行距: 1.5 倍行距"/>
    <w:basedOn w:val="5"/>
    <w:qFormat/>
    <w:uiPriority w:val="0"/>
    <w:pPr>
      <w:tabs>
        <w:tab w:val="left" w:pos="0"/>
      </w:tabs>
      <w:adjustRightInd/>
      <w:snapToGrid w:val="0"/>
      <w:ind w:left="340" w:hanging="340"/>
      <w:jc w:val="both"/>
      <w:textAlignment w:val="auto"/>
    </w:pPr>
    <w:rPr>
      <w:rFonts w:ascii="宋体" w:hAnsi="宋体" w:eastAsia="宋体" w:cs="宋体"/>
      <w:color w:val="auto"/>
      <w:spacing w:val="0"/>
      <w:kern w:val="2"/>
      <w:sz w:val="24"/>
    </w:rPr>
  </w:style>
  <w:style w:type="paragraph" w:customStyle="1" w:styleId="3890">
    <w:name w:val="xl31"/>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sz w:val="16"/>
      <w:szCs w:val="16"/>
    </w:rPr>
  </w:style>
  <w:style w:type="paragraph" w:customStyle="1" w:styleId="3891">
    <w:name w:val="InstÀÀll"/>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3892">
    <w:name w:val="中文报告书样式2"/>
    <w:basedOn w:val="1"/>
    <w:qFormat/>
    <w:uiPriority w:val="0"/>
    <w:pPr>
      <w:adjustRightInd w:val="0"/>
      <w:spacing w:line="480" w:lineRule="atLeast"/>
      <w:ind w:firstLine="482"/>
      <w:textAlignment w:val="baseline"/>
    </w:pPr>
    <w:rPr>
      <w:rFonts w:ascii="宋体" w:hAnsi="宋体"/>
      <w:kern w:val="24"/>
      <w:sz w:val="24"/>
    </w:rPr>
  </w:style>
  <w:style w:type="paragraph" w:customStyle="1" w:styleId="3893">
    <w:name w:val="Char Char1 Char Char Char Char Char Char Char Char Char Char Char Char Char Char"/>
    <w:basedOn w:val="1"/>
    <w:qFormat/>
    <w:uiPriority w:val="0"/>
    <w:pPr>
      <w:widowControl/>
      <w:spacing w:after="160" w:line="240" w:lineRule="exact"/>
      <w:jc w:val="left"/>
    </w:pPr>
    <w:rPr>
      <w:rFonts w:ascii="Verdana" w:hAnsi="Verdana"/>
      <w:lang w:eastAsia="en-US"/>
    </w:rPr>
  </w:style>
  <w:style w:type="paragraph" w:customStyle="1" w:styleId="3894">
    <w:name w:val="CM3"/>
    <w:basedOn w:val="641"/>
    <w:next w:val="641"/>
    <w:qFormat/>
    <w:uiPriority w:val="99"/>
    <w:pPr>
      <w:spacing w:line="406" w:lineRule="atLeast"/>
    </w:pPr>
    <w:rPr>
      <w:rFonts w:ascii="黑体" w:eastAsia="黑体" w:cs="Times New Roman"/>
      <w:color w:val="auto"/>
    </w:rPr>
  </w:style>
  <w:style w:type="paragraph" w:customStyle="1" w:styleId="3895">
    <w:name w:val="标题06"/>
    <w:basedOn w:val="1"/>
    <w:qFormat/>
    <w:uiPriority w:val="0"/>
    <w:pPr>
      <w:adjustRightInd w:val="0"/>
      <w:spacing w:before="2040" w:line="400" w:lineRule="atLeast"/>
      <w:textAlignment w:val="baseline"/>
    </w:pPr>
    <w:rPr>
      <w:rFonts w:ascii="宋体" w:eastAsia="黑体"/>
      <w:spacing w:val="10"/>
      <w:sz w:val="28"/>
    </w:rPr>
  </w:style>
  <w:style w:type="paragraph" w:customStyle="1" w:styleId="3896">
    <w:name w:val="页眉中102"/>
    <w:basedOn w:val="1"/>
    <w:qFormat/>
    <w:uiPriority w:val="0"/>
    <w:pPr>
      <w:adjustRightInd w:val="0"/>
      <w:snapToGrid w:val="0"/>
      <w:spacing w:line="300" w:lineRule="auto"/>
      <w:jc w:val="left"/>
    </w:pPr>
    <w:rPr>
      <w:rFonts w:ascii="黑体" w:eastAsia="黑体"/>
      <w:bCs/>
      <w:sz w:val="24"/>
    </w:rPr>
  </w:style>
  <w:style w:type="paragraph" w:customStyle="1" w:styleId="3897">
    <w:name w:val="样式 列表 + 段前: 0.5 行"/>
    <w:basedOn w:val="67"/>
    <w:qFormat/>
    <w:uiPriority w:val="0"/>
    <w:pPr>
      <w:tabs>
        <w:tab w:val="left" w:pos="283"/>
      </w:tabs>
      <w:adjustRightInd w:val="0"/>
      <w:snapToGrid w:val="0"/>
      <w:spacing w:beforeLines="50" w:line="500" w:lineRule="atLeast"/>
      <w:ind w:left="0" w:firstLine="0" w:firstLineChars="0"/>
      <w:jc w:val="left"/>
    </w:pPr>
    <w:rPr>
      <w:rFonts w:cs="宋体"/>
      <w:b/>
      <w:bCs/>
      <w:sz w:val="28"/>
    </w:rPr>
  </w:style>
  <w:style w:type="paragraph" w:customStyle="1" w:styleId="3898">
    <w:name w:val="表内5中33"/>
    <w:basedOn w:val="1"/>
    <w:qFormat/>
    <w:uiPriority w:val="0"/>
    <w:pPr>
      <w:adjustRightInd w:val="0"/>
      <w:snapToGrid w:val="0"/>
      <w:jc w:val="center"/>
    </w:pPr>
    <w:rPr>
      <w:rFonts w:ascii="宋体"/>
    </w:rPr>
  </w:style>
  <w:style w:type="paragraph" w:customStyle="1" w:styleId="3899">
    <w:name w:val="reader-word-layer reader-word-s2-6"/>
    <w:basedOn w:val="1"/>
    <w:qFormat/>
    <w:uiPriority w:val="0"/>
    <w:pPr>
      <w:widowControl/>
      <w:spacing w:before="100" w:beforeAutospacing="1" w:after="100" w:afterAutospacing="1"/>
      <w:jc w:val="left"/>
    </w:pPr>
    <w:rPr>
      <w:rFonts w:ascii="宋体" w:hAnsi="宋体" w:cs="宋体"/>
      <w:sz w:val="24"/>
    </w:rPr>
  </w:style>
  <w:style w:type="paragraph" w:customStyle="1" w:styleId="3900">
    <w:name w:val="新样式1"/>
    <w:basedOn w:val="1"/>
    <w:next w:val="1"/>
    <w:qFormat/>
    <w:uiPriority w:val="0"/>
    <w:pPr>
      <w:spacing w:line="336" w:lineRule="auto"/>
      <w:ind w:firstLine="200" w:firstLineChars="200"/>
      <w:jc w:val="center"/>
    </w:pPr>
    <w:rPr>
      <w:rFonts w:ascii="宋体" w:hAnsi="宋体" w:eastAsia="汉鼎简书宋" w:cs="宋体"/>
      <w:b/>
      <w:spacing w:val="4"/>
      <w:sz w:val="32"/>
    </w:rPr>
  </w:style>
  <w:style w:type="paragraph" w:customStyle="1" w:styleId="3901">
    <w:name w:val="Char4 Char Char Char"/>
    <w:basedOn w:val="1"/>
    <w:qFormat/>
    <w:uiPriority w:val="0"/>
  </w:style>
  <w:style w:type="paragraph" w:customStyle="1" w:styleId="3902">
    <w:name w:val="样式 样式 表标题3.10 + 段前: 1 行 + 段前: 1 行"/>
    <w:basedOn w:val="1"/>
    <w:qFormat/>
    <w:uiPriority w:val="0"/>
    <w:pPr>
      <w:tabs>
        <w:tab w:val="left" w:pos="420"/>
        <w:tab w:val="left" w:pos="2025"/>
        <w:tab w:val="center" w:pos="4060"/>
        <w:tab w:val="right" w:pos="8261"/>
      </w:tabs>
      <w:suppressAutoHyphens/>
      <w:adjustRightInd w:val="0"/>
      <w:spacing w:beforeLines="100" w:line="0" w:lineRule="atLeast"/>
      <w:ind w:firstLine="482"/>
    </w:pPr>
    <w:rPr>
      <w:rFonts w:ascii="黑体" w:eastAsia="黑体" w:cs="宋体"/>
      <w:b/>
      <w:bCs/>
      <w:sz w:val="24"/>
    </w:rPr>
  </w:style>
  <w:style w:type="paragraph" w:customStyle="1" w:styleId="3903">
    <w:name w:val="表内5中24"/>
    <w:basedOn w:val="1"/>
    <w:qFormat/>
    <w:uiPriority w:val="0"/>
    <w:pPr>
      <w:adjustRightInd w:val="0"/>
      <w:snapToGrid w:val="0"/>
      <w:jc w:val="center"/>
    </w:pPr>
    <w:rPr>
      <w:rFonts w:ascii="宋体"/>
      <w:color w:val="000000"/>
      <w:szCs w:val="21"/>
    </w:rPr>
  </w:style>
  <w:style w:type="paragraph" w:customStyle="1" w:styleId="3904">
    <w:name w:val="标题415"/>
    <w:basedOn w:val="1"/>
    <w:qFormat/>
    <w:uiPriority w:val="0"/>
    <w:pPr>
      <w:adjustRightInd w:val="0"/>
      <w:snapToGrid w:val="0"/>
      <w:spacing w:line="360" w:lineRule="auto"/>
      <w:jc w:val="left"/>
    </w:pPr>
    <w:rPr>
      <w:rFonts w:ascii="黑体" w:eastAsia="黑体"/>
      <w:bCs/>
      <w:sz w:val="24"/>
    </w:rPr>
  </w:style>
  <w:style w:type="paragraph" w:customStyle="1" w:styleId="3905">
    <w:name w:val="目录标题"/>
    <w:basedOn w:val="1"/>
    <w:next w:val="1"/>
    <w:qFormat/>
    <w:uiPriority w:val="0"/>
    <w:pPr>
      <w:widowControl/>
      <w:spacing w:before="215" w:after="419" w:line="436" w:lineRule="atLeast"/>
      <w:ind w:firstLine="419"/>
      <w:jc w:val="center"/>
      <w:textAlignment w:val="baseline"/>
    </w:pPr>
    <w:rPr>
      <w:rFonts w:ascii="Arial" w:eastAsia="黑体"/>
      <w:color w:val="000000"/>
      <w:spacing w:val="283"/>
      <w:sz w:val="42"/>
      <w:u w:color="000000"/>
    </w:rPr>
  </w:style>
  <w:style w:type="paragraph" w:customStyle="1" w:styleId="3906">
    <w:name w:val="表内容"/>
    <w:basedOn w:val="1"/>
    <w:next w:val="1"/>
    <w:qFormat/>
    <w:uiPriority w:val="0"/>
    <w:pPr>
      <w:spacing w:line="320" w:lineRule="exact"/>
      <w:jc w:val="center"/>
    </w:pPr>
  </w:style>
  <w:style w:type="paragraph" w:customStyle="1" w:styleId="3907">
    <w:name w:val="图题61"/>
    <w:basedOn w:val="1"/>
    <w:qFormat/>
    <w:uiPriority w:val="0"/>
    <w:pPr>
      <w:jc w:val="center"/>
    </w:pPr>
    <w:rPr>
      <w:rFonts w:ascii="黑体" w:eastAsia="黑体"/>
      <w:sz w:val="24"/>
    </w:rPr>
  </w:style>
  <w:style w:type="paragraph" w:customStyle="1" w:styleId="3908">
    <w:name w:val="目录777777777777"/>
    <w:basedOn w:val="1"/>
    <w:qFormat/>
    <w:uiPriority w:val="0"/>
    <w:pPr>
      <w:keepNext/>
      <w:keepLines/>
      <w:tabs>
        <w:tab w:val="left" w:pos="992"/>
        <w:tab w:val="left" w:pos="2137"/>
      </w:tabs>
      <w:spacing w:line="460" w:lineRule="exact"/>
      <w:ind w:left="2137" w:hanging="992"/>
      <w:jc w:val="center"/>
      <w:outlineLvl w:val="0"/>
    </w:pPr>
    <w:rPr>
      <w:rFonts w:ascii="宋体" w:hAnsi="宋体"/>
      <w:b/>
      <w:bCs/>
      <w:kern w:val="44"/>
      <w:sz w:val="44"/>
      <w:szCs w:val="44"/>
    </w:rPr>
  </w:style>
  <w:style w:type="paragraph" w:customStyle="1" w:styleId="3909">
    <w:name w:val="Char114"/>
    <w:basedOn w:val="1"/>
    <w:qFormat/>
    <w:uiPriority w:val="0"/>
    <w:pPr>
      <w:adjustRightInd w:val="0"/>
      <w:snapToGrid w:val="0"/>
      <w:spacing w:line="360" w:lineRule="auto"/>
      <w:ind w:firstLine="200" w:firstLineChars="200"/>
    </w:pPr>
    <w:rPr>
      <w:rFonts w:ascii="黑体" w:eastAsia="黑体"/>
      <w:sz w:val="24"/>
    </w:rPr>
  </w:style>
  <w:style w:type="paragraph" w:customStyle="1" w:styleId="3910">
    <w:name w:val="标题 81"/>
    <w:basedOn w:val="1"/>
    <w:next w:val="1"/>
    <w:qFormat/>
    <w:uiPriority w:val="0"/>
    <w:pPr>
      <w:keepNext/>
      <w:keepLines/>
      <w:adjustRightInd w:val="0"/>
      <w:spacing w:line="480" w:lineRule="atLeast"/>
      <w:ind w:firstLine="567"/>
      <w:textAlignment w:val="baseline"/>
    </w:pPr>
    <w:rPr>
      <w:rFonts w:hint="eastAsia" w:ascii="Arial" w:hAnsi="Arial"/>
      <w:sz w:val="24"/>
    </w:rPr>
  </w:style>
  <w:style w:type="paragraph" w:customStyle="1" w:styleId="3911">
    <w:name w:val="表内文字6"/>
    <w:basedOn w:val="1"/>
    <w:qFormat/>
    <w:uiPriority w:val="0"/>
    <w:pPr>
      <w:widowControl/>
      <w:adjustRightInd w:val="0"/>
      <w:snapToGrid w:val="0"/>
      <w:spacing w:line="420" w:lineRule="exact"/>
      <w:jc w:val="center"/>
    </w:pPr>
    <w:rPr>
      <w:rFonts w:ascii="宋体"/>
      <w:spacing w:val="10"/>
      <w:sz w:val="18"/>
    </w:rPr>
  </w:style>
  <w:style w:type="paragraph" w:customStyle="1" w:styleId="3912">
    <w:name w:val="表内581"/>
    <w:basedOn w:val="1"/>
    <w:qFormat/>
    <w:uiPriority w:val="0"/>
    <w:pPr>
      <w:adjustRightInd w:val="0"/>
      <w:snapToGrid w:val="0"/>
      <w:spacing w:line="300" w:lineRule="auto"/>
      <w:jc w:val="left"/>
    </w:pPr>
    <w:rPr>
      <w:rFonts w:ascii="宋体"/>
    </w:rPr>
  </w:style>
  <w:style w:type="paragraph" w:customStyle="1" w:styleId="3913">
    <w:name w:val="表内小51"/>
    <w:basedOn w:val="1"/>
    <w:qFormat/>
    <w:uiPriority w:val="0"/>
    <w:pPr>
      <w:adjustRightInd w:val="0"/>
      <w:snapToGrid w:val="0"/>
      <w:spacing w:line="300" w:lineRule="auto"/>
    </w:pPr>
    <w:rPr>
      <w:rFonts w:ascii="宋体" w:hAnsi="宋体"/>
      <w:sz w:val="18"/>
    </w:rPr>
  </w:style>
  <w:style w:type="paragraph" w:customStyle="1" w:styleId="3914">
    <w:name w:val="Char Char Char Char Char Char Char Char Char Char Char Char4"/>
    <w:basedOn w:val="1"/>
    <w:qFormat/>
    <w:uiPriority w:val="0"/>
  </w:style>
  <w:style w:type="paragraph" w:customStyle="1" w:styleId="3915">
    <w:name w:val="样式 标题 4段 + 左"/>
    <w:basedOn w:val="6"/>
    <w:qFormat/>
    <w:uiPriority w:val="0"/>
    <w:pPr>
      <w:keepNext w:val="0"/>
      <w:keepLines w:val="0"/>
      <w:tabs>
        <w:tab w:val="left" w:pos="0"/>
        <w:tab w:val="left" w:pos="960"/>
      </w:tabs>
      <w:spacing w:before="0" w:after="0" w:line="440" w:lineRule="exact"/>
      <w:ind w:left="862" w:hanging="862"/>
      <w:jc w:val="left"/>
    </w:pPr>
    <w:rPr>
      <w:rFonts w:ascii="黑体" w:hAnsi="Times New Roman" w:eastAsia="宋体" w:cs="宋体"/>
      <w:b w:val="0"/>
      <w:bCs w:val="0"/>
      <w:color w:val="000000"/>
      <w:sz w:val="24"/>
      <w:szCs w:val="24"/>
    </w:rPr>
  </w:style>
  <w:style w:type="paragraph" w:customStyle="1" w:styleId="3916">
    <w:name w:val="三"/>
    <w:basedOn w:val="870"/>
    <w:qFormat/>
    <w:uiPriority w:val="0"/>
    <w:pPr>
      <w:ind w:firstLine="0" w:firstLineChars="0"/>
      <w:outlineLvl w:val="2"/>
    </w:pPr>
    <w:rPr>
      <w:rFonts w:ascii="Times New Roman"/>
      <w:snapToGrid/>
      <w:sz w:val="24"/>
    </w:rPr>
  </w:style>
  <w:style w:type="paragraph" w:customStyle="1" w:styleId="3917">
    <w:name w:val="表题10"/>
    <w:basedOn w:val="21"/>
    <w:qFormat/>
    <w:uiPriority w:val="0"/>
    <w:pPr>
      <w:ind w:firstLine="0" w:firstLineChars="0"/>
      <w:jc w:val="center"/>
    </w:pPr>
    <w:rPr>
      <w:rFonts w:ascii="黑体" w:eastAsia="黑体"/>
      <w:b/>
      <w:szCs w:val="24"/>
    </w:rPr>
  </w:style>
  <w:style w:type="paragraph" w:customStyle="1" w:styleId="3918">
    <w:name w:val="目次"/>
    <w:qFormat/>
    <w:uiPriority w:val="0"/>
    <w:pPr>
      <w:adjustRightInd w:val="0"/>
      <w:snapToGrid w:val="0"/>
      <w:jc w:val="center"/>
    </w:pPr>
    <w:rPr>
      <w:rFonts w:ascii="Times New Roman" w:hAnsi="Times New Roman" w:eastAsia="黑体" w:cs="Times New Roman"/>
      <w:kern w:val="2"/>
      <w:sz w:val="30"/>
      <w:szCs w:val="30"/>
      <w:lang w:val="en-US" w:eastAsia="zh-CN" w:bidi="ar-SA"/>
    </w:rPr>
  </w:style>
  <w:style w:type="paragraph" w:customStyle="1" w:styleId="3919">
    <w:name w:val="页眉中315"/>
    <w:basedOn w:val="1"/>
    <w:qFormat/>
    <w:uiPriority w:val="0"/>
    <w:pPr>
      <w:adjustRightInd w:val="0"/>
      <w:snapToGrid w:val="0"/>
      <w:spacing w:line="360" w:lineRule="auto"/>
      <w:jc w:val="center"/>
    </w:pPr>
    <w:rPr>
      <w:rFonts w:ascii="黑体" w:eastAsia="黑体"/>
      <w:bCs/>
      <w:sz w:val="24"/>
      <w:szCs w:val="28"/>
    </w:rPr>
  </w:style>
  <w:style w:type="paragraph" w:customStyle="1" w:styleId="3920">
    <w:name w:val="font5"/>
    <w:basedOn w:val="1"/>
    <w:qFormat/>
    <w:uiPriority w:val="0"/>
    <w:pPr>
      <w:widowControl/>
      <w:tabs>
        <w:tab w:val="left" w:pos="1021"/>
      </w:tabs>
      <w:spacing w:line="240" w:lineRule="exact"/>
      <w:jc w:val="left"/>
    </w:pPr>
    <w:rPr>
      <w:rFonts w:ascii="宋体" w:hAnsi="宋体" w:cs="Arial Unicode MS"/>
      <w:szCs w:val="21"/>
    </w:rPr>
  </w:style>
  <w:style w:type="paragraph" w:customStyle="1" w:styleId="3921">
    <w:name w:val="表下注释"/>
    <w:basedOn w:val="1"/>
    <w:qFormat/>
    <w:uiPriority w:val="0"/>
    <w:pPr>
      <w:keepNext/>
      <w:keepLines/>
      <w:spacing w:before="60" w:after="60" w:line="240" w:lineRule="exact"/>
      <w:ind w:firstLine="200"/>
    </w:pPr>
    <w:rPr>
      <w:rFonts w:eastAsia="仿宋_GB2312"/>
      <w:kern w:val="44"/>
    </w:rPr>
  </w:style>
  <w:style w:type="paragraph" w:customStyle="1" w:styleId="3922">
    <w:name w:val="表内宋5中31"/>
    <w:basedOn w:val="1"/>
    <w:qFormat/>
    <w:uiPriority w:val="0"/>
    <w:pPr>
      <w:adjustRightInd w:val="0"/>
      <w:snapToGrid w:val="0"/>
      <w:spacing w:line="360" w:lineRule="auto"/>
      <w:jc w:val="center"/>
      <w:textAlignment w:val="baseline"/>
    </w:pPr>
    <w:rPr>
      <w:rFonts w:ascii="宋体" w:hAnsi="宋体"/>
      <w:szCs w:val="21"/>
    </w:rPr>
  </w:style>
  <w:style w:type="paragraph" w:customStyle="1" w:styleId="3923">
    <w:name w:val="默认段落字体 Para Char Char Char Char Char Char Char"/>
    <w:basedOn w:val="1"/>
    <w:qFormat/>
    <w:uiPriority w:val="0"/>
    <w:pPr>
      <w:spacing w:line="360" w:lineRule="auto"/>
    </w:pPr>
    <w:rPr>
      <w:sz w:val="24"/>
    </w:rPr>
  </w:style>
  <w:style w:type="paragraph" w:customStyle="1" w:styleId="3924">
    <w:name w:val="表内5中7"/>
    <w:basedOn w:val="1510"/>
    <w:qFormat/>
    <w:uiPriority w:val="0"/>
    <w:pPr>
      <w:tabs>
        <w:tab w:val="clear" w:pos="4305"/>
      </w:tabs>
    </w:pPr>
    <w:rPr>
      <w:rFonts w:ascii="宋体" w:hAnsi="Times New Roman" w:eastAsia="宋体" w:cs="Times New Roman"/>
      <w:sz w:val="21"/>
      <w:szCs w:val="21"/>
    </w:rPr>
  </w:style>
  <w:style w:type="paragraph" w:customStyle="1" w:styleId="3925">
    <w:name w:val="GB-1.1.1"/>
    <w:basedOn w:val="1800"/>
    <w:qFormat/>
    <w:uiPriority w:val="0"/>
    <w:pPr>
      <w:tabs>
        <w:tab w:val="left" w:pos="3332"/>
        <w:tab w:val="clear" w:pos="360"/>
      </w:tabs>
      <w:adjustRightInd w:val="0"/>
      <w:snapToGrid w:val="0"/>
      <w:spacing w:beforeLines="0" w:afterLines="0" w:line="360" w:lineRule="auto"/>
      <w:ind w:hanging="420"/>
      <w:outlineLvl w:val="2"/>
    </w:pPr>
    <w:rPr>
      <w:rFonts w:ascii="宋体" w:eastAsia="宋体"/>
    </w:rPr>
  </w:style>
  <w:style w:type="paragraph" w:customStyle="1" w:styleId="3926">
    <w:name w:val="表内571"/>
    <w:basedOn w:val="1572"/>
    <w:qFormat/>
    <w:uiPriority w:val="0"/>
    <w:pPr>
      <w:spacing w:line="300" w:lineRule="auto"/>
      <w:jc w:val="both"/>
    </w:pPr>
    <w:rPr>
      <w:szCs w:val="24"/>
    </w:rPr>
  </w:style>
  <w:style w:type="paragraph" w:customStyle="1" w:styleId="3927">
    <w:name w:val="样式 标题 2 + (西文) 宋体 四号 非加粗"/>
    <w:basedOn w:val="4"/>
    <w:qFormat/>
    <w:uiPriority w:val="0"/>
    <w:pPr>
      <w:tabs>
        <w:tab w:val="clear" w:pos="1427"/>
      </w:tabs>
      <w:adjustRightInd/>
      <w:spacing w:beforeLines="0" w:afterLines="0"/>
      <w:jc w:val="both"/>
      <w:textAlignment w:val="auto"/>
    </w:pPr>
    <w:rPr>
      <w:kern w:val="2"/>
      <w:szCs w:val="32"/>
    </w:rPr>
  </w:style>
  <w:style w:type="paragraph" w:customStyle="1" w:styleId="3928">
    <w:name w:val="Char"/>
    <w:basedOn w:val="1"/>
    <w:qFormat/>
    <w:uiPriority w:val="0"/>
    <w:rPr>
      <w:sz w:val="24"/>
    </w:rPr>
  </w:style>
  <w:style w:type="paragraph" w:customStyle="1" w:styleId="3929">
    <w:name w:val="页眉中25"/>
    <w:basedOn w:val="1"/>
    <w:qFormat/>
    <w:uiPriority w:val="0"/>
    <w:pPr>
      <w:adjustRightInd w:val="0"/>
      <w:snapToGrid w:val="0"/>
      <w:jc w:val="center"/>
    </w:pPr>
    <w:rPr>
      <w:rFonts w:ascii="黑体" w:eastAsia="黑体"/>
      <w:bCs/>
    </w:rPr>
  </w:style>
  <w:style w:type="paragraph" w:customStyle="1" w:styleId="3930">
    <w:name w:val="表内583"/>
    <w:basedOn w:val="1"/>
    <w:qFormat/>
    <w:uiPriority w:val="0"/>
    <w:pPr>
      <w:adjustRightInd w:val="0"/>
      <w:snapToGrid w:val="0"/>
      <w:spacing w:line="300" w:lineRule="auto"/>
      <w:jc w:val="left"/>
    </w:pPr>
    <w:rPr>
      <w:rFonts w:ascii="宋体"/>
    </w:rPr>
  </w:style>
  <w:style w:type="paragraph" w:customStyle="1" w:styleId="3931">
    <w:name w:val="xl102"/>
    <w:basedOn w:val="1"/>
    <w:qFormat/>
    <w:uiPriority w:val="0"/>
    <w:pPr>
      <w:widowControl/>
      <w:pBdr>
        <w:top w:val="single" w:color="auto" w:sz="4" w:space="0"/>
        <w:bottom w:val="single" w:color="auto" w:sz="4" w:space="0"/>
        <w:right w:val="single" w:color="auto" w:sz="8" w:space="0"/>
      </w:pBdr>
      <w:spacing w:before="100" w:beforeAutospacing="1" w:after="100" w:afterAutospacing="1"/>
      <w:jc w:val="left"/>
    </w:pPr>
    <w:rPr>
      <w:rFonts w:ascii="Arial Unicode MS" w:hAnsi="Arial Unicode MS" w:eastAsia="Arial Unicode MS" w:cs="Arial Unicode MS"/>
      <w:sz w:val="24"/>
    </w:rPr>
  </w:style>
  <w:style w:type="paragraph" w:customStyle="1" w:styleId="3932">
    <w:name w:val="等核实8"/>
    <w:basedOn w:val="35"/>
    <w:qFormat/>
    <w:uiPriority w:val="0"/>
    <w:pPr>
      <w:tabs>
        <w:tab w:val="left" w:pos="4305"/>
      </w:tabs>
      <w:adjustRightInd w:val="0"/>
      <w:snapToGrid w:val="0"/>
      <w:spacing w:after="0" w:line="360" w:lineRule="auto"/>
      <w:ind w:left="0" w:leftChars="0" w:firstLine="480" w:firstLineChars="200"/>
    </w:pPr>
    <w:rPr>
      <w:rFonts w:ascii="宋体" w:hAnsi="宋体"/>
      <w:color w:val="0000FF"/>
      <w:sz w:val="24"/>
      <w:szCs w:val="20"/>
    </w:rPr>
  </w:style>
  <w:style w:type="paragraph" w:customStyle="1" w:styleId="3933">
    <w:name w:val="xl6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textAlignment w:val="center"/>
    </w:pPr>
    <w:rPr>
      <w:rFonts w:eastAsia="Arial Unicode MS"/>
    </w:rPr>
  </w:style>
  <w:style w:type="paragraph" w:customStyle="1" w:styleId="3934">
    <w:name w:val="Char1 Char Char Char Char Char Char Char Char Char Char Char Char2"/>
    <w:basedOn w:val="1"/>
    <w:next w:val="1"/>
    <w:qFormat/>
    <w:uiPriority w:val="0"/>
    <w:pPr>
      <w:keepNext/>
      <w:keepLines/>
      <w:widowControl/>
      <w:adjustRightInd w:val="0"/>
      <w:spacing w:before="40" w:after="40" w:line="360" w:lineRule="auto"/>
      <w:ind w:firstLine="200" w:firstLineChars="200"/>
      <w:textAlignment w:val="baseline"/>
    </w:pPr>
    <w:rPr>
      <w:rFonts w:cs="宋体"/>
      <w:sz w:val="24"/>
      <w:szCs w:val="28"/>
    </w:rPr>
  </w:style>
  <w:style w:type="paragraph" w:customStyle="1" w:styleId="3935">
    <w:name w:val="标题422"/>
    <w:basedOn w:val="1"/>
    <w:qFormat/>
    <w:uiPriority w:val="0"/>
    <w:pPr>
      <w:adjustRightInd w:val="0"/>
      <w:snapToGrid w:val="0"/>
      <w:spacing w:line="300" w:lineRule="auto"/>
      <w:jc w:val="left"/>
    </w:pPr>
    <w:rPr>
      <w:rFonts w:ascii="宋体" w:hAnsi="宋体"/>
      <w:sz w:val="24"/>
    </w:rPr>
  </w:style>
  <w:style w:type="paragraph" w:customStyle="1" w:styleId="3936">
    <w:name w:val="条文"/>
    <w:basedOn w:val="7"/>
    <w:next w:val="1"/>
    <w:qFormat/>
    <w:uiPriority w:val="0"/>
    <w:pPr>
      <w:keepNext w:val="0"/>
      <w:keepLines w:val="0"/>
      <w:tabs>
        <w:tab w:val="left" w:pos="8942"/>
      </w:tabs>
      <w:adjustRightInd/>
      <w:snapToGrid/>
      <w:spacing w:before="120" w:after="0" w:line="420" w:lineRule="exact"/>
      <w:ind w:left="866" w:right="249" w:firstLine="454" w:firstLineChars="0"/>
    </w:pPr>
    <w:rPr>
      <w:rFonts w:ascii="宋体"/>
      <w:b w:val="0"/>
      <w:bCs/>
      <w:spacing w:val="0"/>
      <w:sz w:val="24"/>
      <w:szCs w:val="20"/>
    </w:rPr>
  </w:style>
  <w:style w:type="paragraph" w:customStyle="1" w:styleId="3937">
    <w:name w:val="条(三级)14"/>
    <w:basedOn w:val="1"/>
    <w:next w:val="1"/>
    <w:qFormat/>
    <w:uiPriority w:val="0"/>
    <w:pPr>
      <w:keepNext/>
      <w:keepLines/>
      <w:adjustRightInd w:val="0"/>
      <w:snapToGrid w:val="0"/>
      <w:spacing w:line="460" w:lineRule="exact"/>
      <w:textAlignment w:val="baseline"/>
    </w:pPr>
    <w:rPr>
      <w:rFonts w:hAnsi="Arial"/>
      <w:spacing w:val="3"/>
      <w:kern w:val="24"/>
      <w:sz w:val="18"/>
    </w:rPr>
  </w:style>
  <w:style w:type="paragraph" w:customStyle="1" w:styleId="3938">
    <w:name w:val="样式 小四"/>
    <w:basedOn w:val="1"/>
    <w:qFormat/>
    <w:uiPriority w:val="0"/>
    <w:pPr>
      <w:widowControl/>
      <w:spacing w:before="100" w:beforeAutospacing="1"/>
      <w:ind w:firstLine="413" w:firstLineChars="147"/>
      <w:jc w:val="left"/>
    </w:pPr>
    <w:rPr>
      <w:color w:val="000000"/>
      <w:sz w:val="24"/>
      <w:szCs w:val="21"/>
    </w:rPr>
  </w:style>
  <w:style w:type="paragraph" w:customStyle="1" w:styleId="3939">
    <w:name w:val="表内文字大24"/>
    <w:basedOn w:val="1"/>
    <w:qFormat/>
    <w:uiPriority w:val="0"/>
    <w:pPr>
      <w:adjustRightInd w:val="0"/>
      <w:snapToGrid w:val="0"/>
      <w:jc w:val="center"/>
    </w:pPr>
    <w:rPr>
      <w:rFonts w:ascii="宋体" w:hAnsi="Times" w:cs="宋体"/>
      <w:sz w:val="24"/>
    </w:rPr>
  </w:style>
  <w:style w:type="paragraph" w:customStyle="1" w:styleId="3940">
    <w:name w:val="样式 标题 31.1.1条标题 3 Char Char标题 3 CharBSH-3条标题1.1.1H3b3 + ..."/>
    <w:basedOn w:val="5"/>
    <w:qFormat/>
    <w:uiPriority w:val="0"/>
    <w:pPr>
      <w:adjustRightInd/>
      <w:ind w:left="720" w:hanging="720"/>
      <w:jc w:val="both"/>
      <w:textAlignment w:val="auto"/>
    </w:pPr>
    <w:rPr>
      <w:rFonts w:ascii="黑体" w:hAnsi="宋体" w:cs="宋体"/>
      <w:b w:val="0"/>
      <w:color w:val="auto"/>
      <w:spacing w:val="0"/>
      <w:kern w:val="2"/>
      <w:sz w:val="24"/>
    </w:rPr>
  </w:style>
  <w:style w:type="paragraph" w:customStyle="1" w:styleId="3941">
    <w:name w:val="图形标题"/>
    <w:qFormat/>
    <w:uiPriority w:val="0"/>
    <w:pPr>
      <w:spacing w:beforeLines="50" w:afterLines="50"/>
      <w:jc w:val="center"/>
    </w:pPr>
    <w:rPr>
      <w:rFonts w:ascii="仿宋_GB2312" w:hAnsi="Times New Roman" w:eastAsia="仿宋_GB2312" w:cs="Times New Roman"/>
      <w:bCs/>
      <w:sz w:val="24"/>
      <w:szCs w:val="24"/>
      <w:lang w:val="en-US" w:eastAsia="zh-CN" w:bidi="ar-SA"/>
    </w:rPr>
  </w:style>
  <w:style w:type="paragraph" w:customStyle="1" w:styleId="3942">
    <w:name w:val="Char4 Char Char Char2"/>
    <w:basedOn w:val="1"/>
    <w:qFormat/>
    <w:uiPriority w:val="0"/>
  </w:style>
  <w:style w:type="paragraph" w:customStyle="1" w:styleId="3943">
    <w:name w:val="表5.12-1"/>
    <w:basedOn w:val="1"/>
    <w:qFormat/>
    <w:uiPriority w:val="0"/>
    <w:pPr>
      <w:tabs>
        <w:tab w:val="left" w:pos="420"/>
      </w:tabs>
      <w:spacing w:beforeLines="100" w:line="0" w:lineRule="atLeast"/>
    </w:pPr>
    <w:rPr>
      <w:rFonts w:eastAsia="黑体"/>
      <w:sz w:val="24"/>
    </w:rPr>
  </w:style>
  <w:style w:type="paragraph" w:customStyle="1" w:styleId="3944">
    <w:name w:val="xl90"/>
    <w:basedOn w:val="1"/>
    <w:qFormat/>
    <w:uiPriority w:val="0"/>
    <w:pPr>
      <w:widowControl/>
      <w:pBdr>
        <w:top w:val="single" w:color="auto" w:sz="4" w:space="0"/>
        <w:left w:val="single" w:color="auto" w:sz="8" w:space="0"/>
        <w:bottom w:val="single" w:color="auto" w:sz="8" w:space="0"/>
      </w:pBdr>
      <w:spacing w:before="100" w:beforeAutospacing="1" w:after="100" w:afterAutospacing="1"/>
      <w:jc w:val="left"/>
    </w:pPr>
    <w:rPr>
      <w:rFonts w:eastAsia="Arial Unicode MS"/>
      <w:sz w:val="16"/>
      <w:szCs w:val="16"/>
    </w:rPr>
  </w:style>
  <w:style w:type="paragraph" w:customStyle="1" w:styleId="3945">
    <w:name w:val="xl88"/>
    <w:basedOn w:val="1"/>
    <w:qFormat/>
    <w:uiPriority w:val="0"/>
    <w:pPr>
      <w:widowControl/>
      <w:pBdr>
        <w:top w:val="single" w:color="auto" w:sz="4" w:space="0"/>
        <w:left w:val="single" w:color="auto" w:sz="8" w:space="0"/>
        <w:bottom w:val="single" w:color="auto" w:sz="4" w:space="0"/>
      </w:pBdr>
      <w:spacing w:before="100" w:beforeAutospacing="1" w:after="100" w:afterAutospacing="1"/>
      <w:jc w:val="left"/>
    </w:pPr>
    <w:rPr>
      <w:rFonts w:eastAsia="Arial Unicode MS"/>
      <w:sz w:val="16"/>
      <w:szCs w:val="16"/>
    </w:rPr>
  </w:style>
  <w:style w:type="paragraph" w:customStyle="1" w:styleId="3946">
    <w:name w:val="Char Char Char Char1 Char Char Char"/>
    <w:basedOn w:val="1"/>
    <w:qFormat/>
    <w:uiPriority w:val="0"/>
    <w:pPr>
      <w:widowControl/>
      <w:spacing w:after="160" w:line="240" w:lineRule="exact"/>
      <w:jc w:val="left"/>
    </w:pPr>
    <w:rPr>
      <w:rFonts w:ascii="Verdana" w:hAnsi="Verdana"/>
      <w:lang w:eastAsia="en-US"/>
    </w:rPr>
  </w:style>
  <w:style w:type="paragraph" w:customStyle="1" w:styleId="3947">
    <w:name w:val="样式 标题 1H1第一章 标题1章节36标题 1第一层章一、黑小三章标题(有序号) + 居中 段前: 0.5 ..."/>
    <w:basedOn w:val="3"/>
    <w:qFormat/>
    <w:uiPriority w:val="0"/>
    <w:pPr>
      <w:keepNext w:val="0"/>
      <w:keepLines w:val="0"/>
      <w:tabs>
        <w:tab w:val="left" w:pos="900"/>
      </w:tabs>
      <w:spacing w:beforeLines="50" w:afterLines="50" w:line="360" w:lineRule="auto"/>
      <w:ind w:left="432" w:hanging="432"/>
      <w:jc w:val="center"/>
    </w:pPr>
    <w:rPr>
      <w:rFonts w:eastAsia="黑体" w:cs="宋体"/>
      <w:kern w:val="2"/>
      <w:szCs w:val="20"/>
    </w:rPr>
  </w:style>
  <w:style w:type="paragraph" w:customStyle="1" w:styleId="3948">
    <w:name w:val="图题11"/>
    <w:basedOn w:val="1"/>
    <w:qFormat/>
    <w:uiPriority w:val="0"/>
    <w:pPr>
      <w:jc w:val="center"/>
    </w:pPr>
    <w:rPr>
      <w:rFonts w:ascii="方正大标宋简体" w:eastAsia="方正大标宋简体"/>
      <w:sz w:val="24"/>
    </w:rPr>
  </w:style>
  <w:style w:type="paragraph" w:customStyle="1" w:styleId="3949">
    <w:name w:val="defaultfont"/>
    <w:basedOn w:val="1"/>
    <w:qFormat/>
    <w:uiPriority w:val="0"/>
    <w:pPr>
      <w:widowControl/>
      <w:spacing w:before="100" w:beforeAutospacing="1" w:after="100" w:afterAutospacing="1"/>
      <w:jc w:val="left"/>
    </w:pPr>
    <w:rPr>
      <w:rFonts w:ascii="宋体" w:hAnsi="宋体" w:cs="宋体"/>
      <w:sz w:val="24"/>
    </w:rPr>
  </w:style>
  <w:style w:type="paragraph" w:customStyle="1" w:styleId="3950">
    <w:name w:val="样式 黑体 小四 行距: 固定值 24 磅"/>
    <w:basedOn w:val="1"/>
    <w:qFormat/>
    <w:uiPriority w:val="0"/>
    <w:pPr>
      <w:spacing w:line="480" w:lineRule="exact"/>
    </w:pPr>
    <w:rPr>
      <w:rFonts w:ascii="黑体" w:eastAsia="黑体"/>
      <w:sz w:val="24"/>
    </w:rPr>
  </w:style>
  <w:style w:type="paragraph" w:customStyle="1" w:styleId="3951">
    <w:name w:val="样式 表内5 + (符号) 宋体 两端对齐 行距: 单倍行距3"/>
    <w:basedOn w:val="1106"/>
    <w:qFormat/>
    <w:uiPriority w:val="0"/>
    <w:pPr>
      <w:spacing w:line="240" w:lineRule="auto"/>
    </w:pPr>
  </w:style>
  <w:style w:type="paragraph" w:customStyle="1" w:styleId="3952">
    <w:name w:val="+标题3"/>
    <w:basedOn w:val="5"/>
    <w:qFormat/>
    <w:uiPriority w:val="0"/>
    <w:pPr>
      <w:keepLines w:val="0"/>
      <w:tabs>
        <w:tab w:val="left" w:pos="833"/>
        <w:tab w:val="clear" w:pos="720"/>
      </w:tabs>
      <w:adjustRightInd/>
      <w:spacing w:beforeLines="50"/>
      <w:ind w:left="0" w:firstLine="0"/>
      <w:textAlignment w:val="auto"/>
      <w:outlineLvl w:val="1"/>
    </w:pPr>
    <w:rPr>
      <w:rFonts w:eastAsia="宋体"/>
      <w:bCs/>
      <w:color w:val="auto"/>
      <w:spacing w:val="0"/>
      <w:szCs w:val="24"/>
    </w:rPr>
  </w:style>
  <w:style w:type="paragraph" w:customStyle="1" w:styleId="3953">
    <w:name w:val="样式33"/>
    <w:basedOn w:val="34"/>
    <w:qFormat/>
    <w:uiPriority w:val="0"/>
    <w:pPr>
      <w:widowControl/>
      <w:overflowPunct w:val="0"/>
      <w:autoSpaceDE w:val="0"/>
      <w:autoSpaceDN w:val="0"/>
      <w:adjustRightInd w:val="0"/>
      <w:snapToGrid w:val="0"/>
      <w:spacing w:after="0" w:line="360" w:lineRule="auto"/>
      <w:ind w:firstLine="567"/>
      <w:textAlignment w:val="baseline"/>
    </w:pPr>
    <w:rPr>
      <w:rFonts w:ascii="宋体"/>
      <w:spacing w:val="20"/>
      <w:sz w:val="24"/>
    </w:rPr>
  </w:style>
  <w:style w:type="paragraph" w:customStyle="1" w:styleId="3954">
    <w:name w:val="福建正文缩进12"/>
    <w:basedOn w:val="21"/>
    <w:qFormat/>
    <w:uiPriority w:val="0"/>
    <w:pPr>
      <w:autoSpaceDE w:val="0"/>
      <w:autoSpaceDN w:val="0"/>
      <w:adjustRightInd w:val="0"/>
      <w:snapToGrid w:val="0"/>
      <w:spacing w:line="360" w:lineRule="auto"/>
      <w:ind w:firstLine="539" w:firstLineChars="0"/>
    </w:pPr>
    <w:rPr>
      <w:rFonts w:ascii="宋体" w:hAnsi="宋体"/>
      <w:szCs w:val="24"/>
    </w:rPr>
  </w:style>
  <w:style w:type="paragraph" w:customStyle="1" w:styleId="3955">
    <w:name w:val="表题82"/>
    <w:basedOn w:val="35"/>
    <w:qFormat/>
    <w:uiPriority w:val="0"/>
    <w:pPr>
      <w:tabs>
        <w:tab w:val="left" w:pos="4305"/>
      </w:tabs>
      <w:adjustRightInd w:val="0"/>
      <w:snapToGrid w:val="0"/>
      <w:spacing w:after="0"/>
      <w:ind w:left="0" w:leftChars="0"/>
      <w:jc w:val="center"/>
    </w:pPr>
    <w:rPr>
      <w:rFonts w:ascii="黑体" w:hAnsi="宋体" w:eastAsia="黑体"/>
      <w:sz w:val="24"/>
      <w:szCs w:val="20"/>
    </w:rPr>
  </w:style>
  <w:style w:type="paragraph" w:customStyle="1" w:styleId="3956">
    <w:name w:val="样式 样式 样式 正文文本 + 首行缩进:  2 字符 + 宋体 首行缩进:  2 字符 + 首行缩进:  2 字符"/>
    <w:basedOn w:val="1"/>
    <w:qFormat/>
    <w:uiPriority w:val="0"/>
    <w:pPr>
      <w:adjustRightInd w:val="0"/>
      <w:snapToGrid w:val="0"/>
      <w:spacing w:before="120" w:line="300" w:lineRule="auto"/>
      <w:ind w:firstLine="200" w:firstLineChars="200"/>
      <w:textAlignment w:val="baseline"/>
    </w:pPr>
    <w:rPr>
      <w:rFonts w:cs="宋体"/>
      <w:snapToGrid w:val="0"/>
      <w:sz w:val="24"/>
    </w:rPr>
  </w:style>
  <w:style w:type="paragraph" w:customStyle="1" w:styleId="3957">
    <w:name w:val="样式 标题 3 + (西文) Times New Roman (中文) 宋体 行距: 固定值 24 磅"/>
    <w:basedOn w:val="5"/>
    <w:qFormat/>
    <w:uiPriority w:val="0"/>
    <w:pPr>
      <w:keepNext w:val="0"/>
      <w:keepLines w:val="0"/>
      <w:tabs>
        <w:tab w:val="left" w:pos="1560"/>
        <w:tab w:val="left" w:pos="1680"/>
        <w:tab w:val="clear" w:pos="720"/>
      </w:tabs>
      <w:adjustRightInd/>
      <w:spacing w:line="480" w:lineRule="exact"/>
      <w:ind w:left="851" w:hanging="284"/>
      <w:jc w:val="both"/>
      <w:textAlignment w:val="auto"/>
    </w:pPr>
    <w:rPr>
      <w:rFonts w:eastAsia="宋体" w:cs="宋体"/>
      <w:bCs/>
      <w:color w:val="auto"/>
      <w:spacing w:val="0"/>
      <w:kern w:val="2"/>
    </w:rPr>
  </w:style>
  <w:style w:type="paragraph" w:customStyle="1" w:styleId="3958">
    <w:name w:val="环表头"/>
    <w:basedOn w:val="1"/>
    <w:qFormat/>
    <w:uiPriority w:val="0"/>
    <w:pPr>
      <w:spacing w:line="480" w:lineRule="exact"/>
      <w:jc w:val="center"/>
    </w:pPr>
    <w:rPr>
      <w:rFonts w:eastAsia="黑体"/>
      <w:b/>
      <w:iCs/>
      <w:snapToGrid w:val="0"/>
      <w:color w:val="000000"/>
      <w:sz w:val="24"/>
    </w:rPr>
  </w:style>
  <w:style w:type="paragraph" w:customStyle="1" w:styleId="3959">
    <w:name w:val="样式 Times New Roman 首行缩进:  0.85 厘米1"/>
    <w:basedOn w:val="1"/>
    <w:qFormat/>
    <w:uiPriority w:val="0"/>
    <w:pPr>
      <w:spacing w:line="360" w:lineRule="auto"/>
      <w:ind w:firstLine="480"/>
    </w:pPr>
    <w:rPr>
      <w:rFonts w:ascii="宋体" w:cs="宋体"/>
      <w:sz w:val="24"/>
    </w:rPr>
  </w:style>
  <w:style w:type="paragraph" w:customStyle="1" w:styleId="3960">
    <w:name w:val="Char Char Char9"/>
    <w:basedOn w:val="1"/>
    <w:qFormat/>
    <w:uiPriority w:val="0"/>
  </w:style>
  <w:style w:type="paragraph" w:customStyle="1" w:styleId="3961">
    <w:name w:val="表内527"/>
    <w:basedOn w:val="1"/>
    <w:qFormat/>
    <w:uiPriority w:val="0"/>
    <w:pPr>
      <w:adjustRightInd w:val="0"/>
      <w:snapToGrid w:val="0"/>
      <w:spacing w:line="300" w:lineRule="auto"/>
      <w:jc w:val="left"/>
    </w:pPr>
    <w:rPr>
      <w:rFonts w:ascii="宋体"/>
    </w:rPr>
  </w:style>
  <w:style w:type="paragraph" w:customStyle="1" w:styleId="3962">
    <w:name w:val="等核实45"/>
    <w:basedOn w:val="35"/>
    <w:qFormat/>
    <w:uiPriority w:val="0"/>
    <w:pPr>
      <w:tabs>
        <w:tab w:val="left" w:pos="4305"/>
      </w:tabs>
      <w:adjustRightInd w:val="0"/>
      <w:snapToGrid w:val="0"/>
      <w:spacing w:after="0" w:line="300" w:lineRule="auto"/>
      <w:ind w:left="0" w:leftChars="0" w:firstLine="567"/>
    </w:pPr>
    <w:rPr>
      <w:rFonts w:ascii="宋体" w:hAnsi="宋体"/>
      <w:color w:val="0000FF"/>
      <w:sz w:val="28"/>
      <w:szCs w:val="20"/>
    </w:rPr>
  </w:style>
  <w:style w:type="paragraph" w:customStyle="1" w:styleId="3963">
    <w:name w:val="样式 左侧:  1 厘米 首行缩进:  0 厘米"/>
    <w:basedOn w:val="1"/>
    <w:qFormat/>
    <w:uiPriority w:val="0"/>
    <w:pPr>
      <w:adjustRightInd w:val="0"/>
      <w:textAlignment w:val="baseline"/>
    </w:pPr>
    <w:rPr>
      <w:rFonts w:cs="宋体"/>
      <w:sz w:val="28"/>
    </w:rPr>
  </w:style>
  <w:style w:type="paragraph" w:customStyle="1" w:styleId="3964">
    <w:name w:val="Char5"/>
    <w:basedOn w:val="1"/>
    <w:qFormat/>
    <w:uiPriority w:val="0"/>
    <w:pPr>
      <w:ind w:left="-48"/>
    </w:pPr>
  </w:style>
  <w:style w:type="paragraph" w:customStyle="1" w:styleId="3965">
    <w:name w:val="图注"/>
    <w:basedOn w:val="1"/>
    <w:next w:val="1"/>
    <w:qFormat/>
    <w:uiPriority w:val="0"/>
    <w:pPr>
      <w:spacing w:line="360" w:lineRule="auto"/>
      <w:jc w:val="center"/>
    </w:pPr>
    <w:rPr>
      <w:color w:val="FF0000"/>
      <w:szCs w:val="21"/>
    </w:rPr>
  </w:style>
  <w:style w:type="paragraph" w:customStyle="1" w:styleId="3966">
    <w:name w:val="标题42"/>
    <w:basedOn w:val="1"/>
    <w:qFormat/>
    <w:uiPriority w:val="0"/>
    <w:pPr>
      <w:adjustRightInd w:val="0"/>
      <w:snapToGrid w:val="0"/>
      <w:spacing w:line="300" w:lineRule="auto"/>
      <w:jc w:val="left"/>
    </w:pPr>
    <w:rPr>
      <w:rFonts w:ascii="宋体" w:hAnsi="宋体"/>
      <w:sz w:val="24"/>
    </w:rPr>
  </w:style>
  <w:style w:type="paragraph" w:customStyle="1" w:styleId="3967">
    <w:name w:val="页眉中144"/>
    <w:basedOn w:val="1"/>
    <w:qFormat/>
    <w:uiPriority w:val="0"/>
    <w:pPr>
      <w:adjustRightInd w:val="0"/>
      <w:snapToGrid w:val="0"/>
      <w:spacing w:line="300" w:lineRule="auto"/>
      <w:jc w:val="left"/>
    </w:pPr>
    <w:rPr>
      <w:rFonts w:ascii="黑体" w:eastAsia="黑体"/>
      <w:bCs/>
      <w:sz w:val="24"/>
    </w:rPr>
  </w:style>
  <w:style w:type="paragraph" w:customStyle="1" w:styleId="3968">
    <w:name w:val="修订12"/>
    <w:qFormat/>
    <w:uiPriority w:val="0"/>
    <w:rPr>
      <w:rFonts w:ascii="Times New Roman" w:hAnsi="Times New Roman" w:eastAsia="宋体" w:cs="Times New Roman"/>
      <w:kern w:val="2"/>
      <w:sz w:val="21"/>
      <w:szCs w:val="24"/>
      <w:lang w:val="en-US" w:eastAsia="zh-CN" w:bidi="ar-SA"/>
    </w:rPr>
  </w:style>
  <w:style w:type="paragraph" w:customStyle="1" w:styleId="3969">
    <w:name w:val="样式114"/>
    <w:basedOn w:val="1"/>
    <w:qFormat/>
    <w:uiPriority w:val="0"/>
    <w:pPr>
      <w:adjustRightInd w:val="0"/>
      <w:snapToGrid w:val="0"/>
      <w:spacing w:line="300" w:lineRule="auto"/>
      <w:jc w:val="center"/>
      <w:textAlignment w:val="baseline"/>
    </w:pPr>
    <w:rPr>
      <w:rFonts w:ascii="仿宋_GB2312" w:hAnsi="Courier New" w:eastAsia="仿宋_GB2312"/>
      <w:b/>
      <w:sz w:val="28"/>
    </w:rPr>
  </w:style>
  <w:style w:type="paragraph" w:customStyle="1" w:styleId="3970">
    <w:name w:val="文章总标题"/>
    <w:basedOn w:val="1"/>
    <w:qFormat/>
    <w:uiPriority w:val="0"/>
    <w:pPr>
      <w:widowControl/>
      <w:spacing w:line="351" w:lineRule="atLeast"/>
      <w:jc w:val="center"/>
      <w:textAlignment w:val="baseline"/>
    </w:pPr>
    <w:rPr>
      <w:rFonts w:ascii="Arial Black"/>
      <w:color w:val="000000"/>
      <w:sz w:val="36"/>
      <w:u w:color="000000"/>
    </w:rPr>
  </w:style>
  <w:style w:type="paragraph" w:customStyle="1" w:styleId="3971">
    <w:name w:val="待定小11"/>
    <w:basedOn w:val="1645"/>
    <w:qFormat/>
    <w:uiPriority w:val="0"/>
    <w:pPr>
      <w:spacing w:line="240" w:lineRule="auto"/>
      <w:ind w:firstLine="0" w:firstLineChars="200"/>
    </w:pPr>
    <w:rPr>
      <w:rFonts w:cs="Times New Roman"/>
      <w:color w:val="0000FF"/>
      <w:sz w:val="21"/>
      <w:szCs w:val="20"/>
    </w:rPr>
  </w:style>
  <w:style w:type="paragraph" w:customStyle="1" w:styleId="3972">
    <w:name w:val="表题23"/>
    <w:basedOn w:val="1"/>
    <w:qFormat/>
    <w:uiPriority w:val="0"/>
    <w:pPr>
      <w:widowControl/>
      <w:adjustRightInd w:val="0"/>
      <w:snapToGrid w:val="0"/>
      <w:jc w:val="center"/>
    </w:pPr>
    <w:rPr>
      <w:rFonts w:ascii="黑体" w:hAnsi="宋体" w:eastAsia="黑体" w:cs="宋体"/>
      <w:sz w:val="24"/>
    </w:rPr>
  </w:style>
  <w:style w:type="paragraph" w:customStyle="1" w:styleId="3973">
    <w:name w:val="Char41"/>
    <w:basedOn w:val="1"/>
    <w:qFormat/>
    <w:uiPriority w:val="0"/>
    <w:pPr>
      <w:ind w:left="-48"/>
    </w:pPr>
  </w:style>
  <w:style w:type="paragraph" w:customStyle="1" w:styleId="3974">
    <w:name w:val="表题 Char3"/>
    <w:basedOn w:val="1"/>
    <w:qFormat/>
    <w:uiPriority w:val="0"/>
    <w:pPr>
      <w:spacing w:line="360" w:lineRule="auto"/>
      <w:jc w:val="center"/>
    </w:pPr>
    <w:rPr>
      <w:rFonts w:ascii="黑体" w:eastAsia="黑体"/>
      <w:bCs/>
      <w:sz w:val="28"/>
      <w:szCs w:val="28"/>
    </w:rPr>
  </w:style>
  <w:style w:type="paragraph" w:customStyle="1" w:styleId="3975">
    <w:name w:val="表内542"/>
    <w:basedOn w:val="1"/>
    <w:qFormat/>
    <w:uiPriority w:val="0"/>
    <w:pPr>
      <w:adjustRightInd w:val="0"/>
      <w:snapToGrid w:val="0"/>
      <w:spacing w:line="300" w:lineRule="auto"/>
      <w:jc w:val="center"/>
    </w:pPr>
    <w:rPr>
      <w:rFonts w:ascii="宋体" w:hAnsi="宋体" w:cs="宋体"/>
    </w:rPr>
  </w:style>
  <w:style w:type="paragraph" w:customStyle="1" w:styleId="3976">
    <w:name w:val="表内文字小31"/>
    <w:basedOn w:val="1"/>
    <w:qFormat/>
    <w:uiPriority w:val="0"/>
    <w:pPr>
      <w:adjustRightInd w:val="0"/>
      <w:snapToGrid w:val="0"/>
      <w:jc w:val="center"/>
    </w:pPr>
    <w:rPr>
      <w:rFonts w:ascii="宋体" w:hAnsi="Times" w:cs="宋体"/>
      <w:bCs/>
      <w:color w:val="003366"/>
    </w:rPr>
  </w:style>
  <w:style w:type="paragraph" w:customStyle="1" w:styleId="3977">
    <w:name w:val="表内序号4"/>
    <w:basedOn w:val="1"/>
    <w:qFormat/>
    <w:uiPriority w:val="0"/>
    <w:pPr>
      <w:widowControl/>
      <w:adjustRightInd w:val="0"/>
      <w:snapToGrid w:val="0"/>
      <w:spacing w:line="360" w:lineRule="auto"/>
      <w:ind w:firstLine="288"/>
    </w:pPr>
    <w:rPr>
      <w:sz w:val="18"/>
    </w:rPr>
  </w:style>
  <w:style w:type="paragraph" w:customStyle="1" w:styleId="3978">
    <w:name w:val="font10"/>
    <w:basedOn w:val="1"/>
    <w:qFormat/>
    <w:uiPriority w:val="0"/>
    <w:pPr>
      <w:widowControl/>
      <w:spacing w:before="100" w:beforeAutospacing="1" w:after="100" w:afterAutospacing="1"/>
      <w:jc w:val="left"/>
    </w:pPr>
    <w:rPr>
      <w:rFonts w:hint="eastAsia" w:ascii="宋体" w:hAnsi="宋体"/>
      <w:color w:val="FF00FF"/>
      <w:sz w:val="16"/>
      <w:szCs w:val="16"/>
    </w:rPr>
  </w:style>
  <w:style w:type="paragraph" w:customStyle="1" w:styleId="3979">
    <w:name w:val="页眉中15"/>
    <w:basedOn w:val="47"/>
    <w:qFormat/>
    <w:uiPriority w:val="0"/>
    <w:pPr>
      <w:adjustRightInd w:val="0"/>
      <w:spacing w:line="300" w:lineRule="auto"/>
      <w:jc w:val="left"/>
    </w:pPr>
    <w:rPr>
      <w:rFonts w:ascii="黑体" w:hAnsi="宋体" w:eastAsia="黑体" w:cs="宋体"/>
      <w:bCs/>
      <w:sz w:val="24"/>
    </w:rPr>
  </w:style>
  <w:style w:type="paragraph" w:customStyle="1" w:styleId="3980">
    <w:name w:val="页眉中44"/>
    <w:basedOn w:val="47"/>
    <w:qFormat/>
    <w:uiPriority w:val="0"/>
    <w:pPr>
      <w:adjustRightInd w:val="0"/>
      <w:spacing w:line="300" w:lineRule="auto"/>
      <w:jc w:val="left"/>
    </w:pPr>
    <w:rPr>
      <w:rFonts w:ascii="黑体" w:hAnsi="宋体" w:eastAsia="黑体" w:cs="宋体"/>
      <w:sz w:val="24"/>
      <w:szCs w:val="24"/>
    </w:rPr>
  </w:style>
  <w:style w:type="paragraph" w:customStyle="1" w:styleId="3981">
    <w:name w:val="Char Char Char Char Char Char Char Char Char2"/>
    <w:basedOn w:val="1"/>
    <w:qFormat/>
    <w:uiPriority w:val="0"/>
  </w:style>
  <w:style w:type="paragraph" w:customStyle="1" w:styleId="3982">
    <w:name w:val="图题注2"/>
    <w:basedOn w:val="22"/>
    <w:qFormat/>
    <w:uiPriority w:val="0"/>
    <w:pPr>
      <w:adjustRightInd/>
      <w:textAlignment w:val="auto"/>
    </w:pPr>
    <w:rPr>
      <w:rFonts w:hAnsi="Arial" w:cs="宋体"/>
      <w:b/>
      <w:bCs/>
      <w:kern w:val="2"/>
      <w:sz w:val="24"/>
      <w:szCs w:val="24"/>
    </w:rPr>
  </w:style>
  <w:style w:type="paragraph" w:customStyle="1" w:styleId="3983">
    <w:name w:val="表内小432"/>
    <w:basedOn w:val="1427"/>
    <w:qFormat/>
    <w:uiPriority w:val="0"/>
    <w:pPr>
      <w:ind w:left="240" w:hanging="240"/>
      <w:jc w:val="both"/>
    </w:pPr>
    <w:rPr>
      <w:rFonts w:cs="Times New Roman"/>
    </w:rPr>
  </w:style>
  <w:style w:type="paragraph" w:customStyle="1" w:styleId="3984">
    <w:name w:val="图框文字"/>
    <w:basedOn w:val="1"/>
    <w:qFormat/>
    <w:uiPriority w:val="0"/>
    <w:pPr>
      <w:jc w:val="center"/>
    </w:pPr>
    <w:rPr>
      <w:spacing w:val="0"/>
      <w:kern w:val="2"/>
      <w:sz w:val="21"/>
      <w:szCs w:val="24"/>
    </w:rPr>
  </w:style>
  <w:style w:type="paragraph" w:customStyle="1" w:styleId="3985">
    <w:name w:val="表内5中6"/>
    <w:basedOn w:val="1510"/>
    <w:qFormat/>
    <w:uiPriority w:val="0"/>
    <w:pPr>
      <w:widowControl/>
      <w:tabs>
        <w:tab w:val="clear" w:pos="4305"/>
      </w:tabs>
      <w:spacing w:beforeLines="50"/>
      <w:ind w:firstLine="420"/>
      <w:jc w:val="both"/>
    </w:pPr>
    <w:rPr>
      <w:sz w:val="21"/>
      <w:szCs w:val="21"/>
    </w:rPr>
  </w:style>
  <w:style w:type="paragraph" w:customStyle="1" w:styleId="3986">
    <w:name w:val="样式 标题 1-*+章标题 11.标题 1h11st levelSection Headl1b1H1Head..."/>
    <w:basedOn w:val="3"/>
    <w:qFormat/>
    <w:uiPriority w:val="0"/>
    <w:pPr>
      <w:tabs>
        <w:tab w:val="left" w:pos="432"/>
      </w:tabs>
      <w:spacing w:before="0" w:after="0" w:line="360" w:lineRule="auto"/>
      <w:ind w:left="432" w:hanging="432"/>
      <w:jc w:val="left"/>
    </w:pPr>
    <w:rPr>
      <w:rFonts w:ascii="宋体" w:hAnsi="宋体" w:cs="宋体"/>
      <w:color w:val="000000"/>
      <w:kern w:val="2"/>
      <w:sz w:val="32"/>
      <w:szCs w:val="20"/>
    </w:rPr>
  </w:style>
  <w:style w:type="paragraph" w:customStyle="1" w:styleId="3987">
    <w:name w:val="CM93"/>
    <w:basedOn w:val="641"/>
    <w:next w:val="641"/>
    <w:qFormat/>
    <w:uiPriority w:val="0"/>
    <w:rPr>
      <w:rFonts w:cs="Times New Roman"/>
      <w:color w:val="auto"/>
    </w:rPr>
  </w:style>
  <w:style w:type="paragraph" w:customStyle="1" w:styleId="3988">
    <w:name w:val="Char101"/>
    <w:basedOn w:val="1"/>
    <w:qFormat/>
    <w:uiPriority w:val="0"/>
    <w:pPr>
      <w:ind w:left="-48"/>
    </w:pPr>
  </w:style>
  <w:style w:type="paragraph" w:customStyle="1" w:styleId="3989">
    <w:name w:val="表内字"/>
    <w:basedOn w:val="47"/>
    <w:qFormat/>
    <w:uiPriority w:val="0"/>
    <w:pPr>
      <w:spacing w:line="300" w:lineRule="auto"/>
      <w:jc w:val="center"/>
    </w:pPr>
    <w:rPr>
      <w:rFonts w:ascii="Arial" w:hAnsi="Arial"/>
    </w:rPr>
  </w:style>
  <w:style w:type="paragraph" w:customStyle="1" w:styleId="3990">
    <w:name w:val="Char52"/>
    <w:basedOn w:val="1"/>
    <w:qFormat/>
    <w:uiPriority w:val="0"/>
    <w:pPr>
      <w:ind w:left="-48"/>
    </w:pPr>
  </w:style>
  <w:style w:type="paragraph" w:customStyle="1" w:styleId="3991">
    <w:name w:val="正文图竖五"/>
    <w:basedOn w:val="1"/>
    <w:qFormat/>
    <w:uiPriority w:val="0"/>
    <w:pPr>
      <w:jc w:val="center"/>
    </w:pPr>
    <w:rPr>
      <w:rFonts w:eastAsia="仿宋_GB2312"/>
      <w:color w:val="000000"/>
      <w:szCs w:val="21"/>
    </w:rPr>
  </w:style>
  <w:style w:type="paragraph" w:customStyle="1" w:styleId="3992">
    <w:name w:val="电子邮件签名12"/>
    <w:basedOn w:val="1"/>
    <w:qFormat/>
    <w:uiPriority w:val="0"/>
    <w:rPr>
      <w:rFonts w:ascii="Calibri" w:hAnsi="Calibri"/>
    </w:rPr>
  </w:style>
  <w:style w:type="paragraph" w:customStyle="1" w:styleId="3993">
    <w:name w:val="CM138"/>
    <w:basedOn w:val="1"/>
    <w:next w:val="1"/>
    <w:qFormat/>
    <w:uiPriority w:val="0"/>
    <w:pPr>
      <w:autoSpaceDE w:val="0"/>
      <w:autoSpaceDN w:val="0"/>
      <w:adjustRightInd w:val="0"/>
      <w:spacing w:after="130"/>
      <w:jc w:val="left"/>
    </w:pPr>
    <w:rPr>
      <w:rFonts w:ascii="宋体" w:cs="宋体"/>
      <w:sz w:val="24"/>
    </w:rPr>
  </w:style>
  <w:style w:type="paragraph" w:customStyle="1" w:styleId="3994">
    <w:name w:val="样式 表内小5 + 黑体 加粗 倾斜 下划线3"/>
    <w:basedOn w:val="1"/>
    <w:qFormat/>
    <w:uiPriority w:val="0"/>
    <w:pPr>
      <w:adjustRightInd w:val="0"/>
      <w:snapToGrid w:val="0"/>
      <w:spacing w:line="300" w:lineRule="auto"/>
    </w:pPr>
    <w:rPr>
      <w:rFonts w:ascii="黑体" w:hAnsi="黑体" w:eastAsia="黑体"/>
      <w:b/>
      <w:bCs/>
      <w:i/>
      <w:iCs/>
      <w:sz w:val="18"/>
      <w:u w:val="single"/>
    </w:rPr>
  </w:style>
  <w:style w:type="paragraph" w:customStyle="1" w:styleId="3995">
    <w:name w:val="表题72"/>
    <w:basedOn w:val="35"/>
    <w:qFormat/>
    <w:uiPriority w:val="0"/>
    <w:pPr>
      <w:tabs>
        <w:tab w:val="left" w:pos="4305"/>
      </w:tabs>
      <w:adjustRightInd w:val="0"/>
      <w:snapToGrid w:val="0"/>
      <w:spacing w:after="0"/>
      <w:ind w:left="0" w:leftChars="0"/>
      <w:jc w:val="center"/>
    </w:pPr>
    <w:rPr>
      <w:rFonts w:ascii="黑体" w:hAnsi="宋体" w:eastAsia="黑体"/>
      <w:sz w:val="24"/>
    </w:rPr>
  </w:style>
  <w:style w:type="paragraph" w:customStyle="1" w:styleId="3996">
    <w:name w:val="样式124"/>
    <w:basedOn w:val="47"/>
    <w:qFormat/>
    <w:uiPriority w:val="0"/>
    <w:pPr>
      <w:adjustRightInd w:val="0"/>
      <w:spacing w:line="300" w:lineRule="auto"/>
      <w:ind w:firstLine="560" w:firstLineChars="200"/>
    </w:pPr>
    <w:rPr>
      <w:rFonts w:ascii="黑体" w:hAnsi="Times New Roman" w:eastAsia="黑体"/>
      <w:sz w:val="28"/>
    </w:rPr>
  </w:style>
  <w:style w:type="paragraph" w:customStyle="1" w:styleId="3997">
    <w:name w:val="样式 标题 1章 + 段前: 0.5 行"/>
    <w:basedOn w:val="1"/>
    <w:qFormat/>
    <w:uiPriority w:val="0"/>
    <w:pPr>
      <w:tabs>
        <w:tab w:val="left" w:pos="360"/>
      </w:tabs>
      <w:spacing w:line="440" w:lineRule="exact"/>
      <w:jc w:val="left"/>
    </w:pPr>
    <w:rPr>
      <w:sz w:val="24"/>
    </w:rPr>
  </w:style>
  <w:style w:type="paragraph" w:customStyle="1" w:styleId="3998">
    <w:name w:val="标题 71"/>
    <w:basedOn w:val="1"/>
    <w:next w:val="1"/>
    <w:qFormat/>
    <w:uiPriority w:val="0"/>
    <w:pPr>
      <w:keepNext/>
      <w:keepLines/>
      <w:adjustRightInd w:val="0"/>
      <w:spacing w:line="480" w:lineRule="exact"/>
      <w:ind w:firstLine="851"/>
      <w:textAlignment w:val="baseline"/>
    </w:pPr>
    <w:rPr>
      <w:rFonts w:hint="eastAsia"/>
      <w:sz w:val="24"/>
    </w:rPr>
  </w:style>
  <w:style w:type="paragraph" w:customStyle="1" w:styleId="3999">
    <w:name w:val="text"/>
    <w:basedOn w:val="1"/>
    <w:qFormat/>
    <w:uiPriority w:val="0"/>
    <w:pPr>
      <w:ind w:firstLine="563" w:firstLineChars="200"/>
    </w:pPr>
    <w:rPr>
      <w:rFonts w:ascii="黑体"/>
      <w:sz w:val="28"/>
    </w:rPr>
  </w:style>
  <w:style w:type="paragraph" w:customStyle="1" w:styleId="4000">
    <w:name w:val="表内56"/>
    <w:basedOn w:val="1"/>
    <w:qFormat/>
    <w:uiPriority w:val="0"/>
    <w:pPr>
      <w:adjustRightInd w:val="0"/>
      <w:snapToGrid w:val="0"/>
      <w:spacing w:line="300" w:lineRule="auto"/>
      <w:jc w:val="left"/>
    </w:pPr>
    <w:rPr>
      <w:rFonts w:ascii="宋体"/>
    </w:rPr>
  </w:style>
  <w:style w:type="paragraph" w:customStyle="1" w:styleId="4001">
    <w:name w:val="表题52"/>
    <w:basedOn w:val="35"/>
    <w:qFormat/>
    <w:uiPriority w:val="0"/>
    <w:pPr>
      <w:tabs>
        <w:tab w:val="left" w:pos="4305"/>
      </w:tabs>
      <w:adjustRightInd w:val="0"/>
      <w:snapToGrid w:val="0"/>
      <w:spacing w:after="0"/>
      <w:ind w:left="0" w:leftChars="0"/>
      <w:jc w:val="center"/>
    </w:pPr>
    <w:rPr>
      <w:rFonts w:ascii="黑体" w:hAnsi="宋体" w:eastAsia="黑体"/>
      <w:color w:val="000000"/>
      <w:sz w:val="24"/>
      <w:szCs w:val="20"/>
    </w:rPr>
  </w:style>
  <w:style w:type="paragraph" w:customStyle="1" w:styleId="4002">
    <w:name w:val="105v"/>
    <w:basedOn w:val="1"/>
    <w:qFormat/>
    <w:uiPriority w:val="0"/>
    <w:pPr>
      <w:widowControl/>
      <w:spacing w:before="100" w:beforeAutospacing="1" w:after="100" w:afterAutospacing="1"/>
      <w:jc w:val="left"/>
    </w:pPr>
    <w:rPr>
      <w:rFonts w:ascii="宋体" w:hAnsi="宋体" w:cs="宋体"/>
      <w:szCs w:val="21"/>
    </w:rPr>
  </w:style>
  <w:style w:type="paragraph" w:customStyle="1" w:styleId="4003">
    <w:name w:val="Char Char1 Char Char Char Char Char Char Char Char Char1 Char4"/>
    <w:basedOn w:val="1"/>
    <w:qFormat/>
    <w:uiPriority w:val="0"/>
  </w:style>
  <w:style w:type="paragraph" w:customStyle="1" w:styleId="4004">
    <w:name w:val="表内文字大21"/>
    <w:basedOn w:val="1"/>
    <w:qFormat/>
    <w:uiPriority w:val="0"/>
    <w:pPr>
      <w:adjustRightInd w:val="0"/>
      <w:snapToGrid w:val="0"/>
      <w:jc w:val="center"/>
    </w:pPr>
    <w:rPr>
      <w:rFonts w:ascii="宋体" w:hAnsi="Times" w:cs="宋体"/>
      <w:sz w:val="24"/>
    </w:rPr>
  </w:style>
  <w:style w:type="paragraph" w:customStyle="1" w:styleId="4005">
    <w:name w:val="样式 四号 左 行距: 固定值 24 磅"/>
    <w:basedOn w:val="1"/>
    <w:qFormat/>
    <w:uiPriority w:val="0"/>
    <w:pPr>
      <w:tabs>
        <w:tab w:val="left" w:pos="360"/>
      </w:tabs>
      <w:spacing w:line="480" w:lineRule="exact"/>
      <w:ind w:left="1570" w:hanging="425"/>
      <w:jc w:val="left"/>
    </w:pPr>
    <w:rPr>
      <w:rFonts w:cs="宋体"/>
      <w:sz w:val="28"/>
    </w:rPr>
  </w:style>
  <w:style w:type="paragraph" w:customStyle="1" w:styleId="4006">
    <w:name w:val="条(三级)15"/>
    <w:basedOn w:val="1"/>
    <w:next w:val="1"/>
    <w:qFormat/>
    <w:uiPriority w:val="0"/>
    <w:pPr>
      <w:keepNext/>
      <w:keepLines/>
      <w:adjustRightInd w:val="0"/>
      <w:snapToGrid w:val="0"/>
      <w:spacing w:line="460" w:lineRule="exact"/>
      <w:textAlignment w:val="baseline"/>
    </w:pPr>
    <w:rPr>
      <w:rFonts w:hAnsi="Arial"/>
      <w:spacing w:val="3"/>
      <w:kern w:val="24"/>
      <w:sz w:val="18"/>
    </w:rPr>
  </w:style>
  <w:style w:type="paragraph" w:customStyle="1" w:styleId="4007">
    <w:name w:val="表格文字中"/>
    <w:basedOn w:val="1"/>
    <w:qFormat/>
    <w:uiPriority w:val="0"/>
    <w:pPr>
      <w:tabs>
        <w:tab w:val="left" w:pos="1727"/>
        <w:tab w:val="left" w:pos="1884"/>
      </w:tabs>
      <w:adjustRightInd w:val="0"/>
      <w:snapToGrid w:val="0"/>
      <w:jc w:val="center"/>
    </w:pPr>
    <w:rPr>
      <w:rFonts w:ascii="宋体" w:hAnsi="宋体"/>
      <w:color w:val="000000"/>
      <w:sz w:val="24"/>
    </w:rPr>
  </w:style>
  <w:style w:type="paragraph" w:customStyle="1" w:styleId="4008">
    <w:name w:val="Char2 Char Char Char Char Char Char2"/>
    <w:basedOn w:val="1"/>
    <w:qFormat/>
    <w:uiPriority w:val="0"/>
  </w:style>
  <w:style w:type="paragraph" w:customStyle="1" w:styleId="4009">
    <w:name w:val="缩进"/>
    <w:basedOn w:val="1"/>
    <w:qFormat/>
    <w:uiPriority w:val="0"/>
    <w:pPr>
      <w:autoSpaceDE w:val="0"/>
      <w:autoSpaceDN w:val="0"/>
      <w:adjustRightInd w:val="0"/>
      <w:spacing w:line="400" w:lineRule="atLeast"/>
      <w:ind w:firstLine="425"/>
    </w:pPr>
    <w:rPr>
      <w:spacing w:val="0"/>
      <w:kern w:val="2"/>
      <w:sz w:val="24"/>
    </w:rPr>
  </w:style>
  <w:style w:type="paragraph" w:customStyle="1" w:styleId="4010">
    <w:name w:val="表内文字大33"/>
    <w:basedOn w:val="1"/>
    <w:qFormat/>
    <w:uiPriority w:val="0"/>
    <w:pPr>
      <w:adjustRightInd w:val="0"/>
      <w:snapToGrid w:val="0"/>
      <w:jc w:val="center"/>
    </w:pPr>
    <w:rPr>
      <w:rFonts w:ascii="宋体" w:hAnsi="Times"/>
      <w:sz w:val="24"/>
    </w:rPr>
  </w:style>
  <w:style w:type="paragraph" w:customStyle="1" w:styleId="4011">
    <w:name w:val="表格统一样式 小五 局中"/>
    <w:basedOn w:val="1076"/>
    <w:qFormat/>
    <w:uiPriority w:val="0"/>
    <w:rPr>
      <w:color w:val="FF0000"/>
      <w:sz w:val="18"/>
      <w:szCs w:val="18"/>
    </w:rPr>
  </w:style>
  <w:style w:type="paragraph" w:customStyle="1" w:styleId="4012">
    <w:name w:val="等核实7"/>
    <w:basedOn w:val="35"/>
    <w:qFormat/>
    <w:uiPriority w:val="0"/>
    <w:pPr>
      <w:adjustRightInd w:val="0"/>
      <w:snapToGrid w:val="0"/>
      <w:spacing w:after="0"/>
      <w:ind w:left="0" w:leftChars="0"/>
      <w:jc w:val="center"/>
    </w:pPr>
    <w:rPr>
      <w:rFonts w:ascii="宋体" w:hAnsi="Times"/>
      <w:color w:val="0000FF"/>
      <w:szCs w:val="21"/>
    </w:rPr>
  </w:style>
  <w:style w:type="paragraph" w:customStyle="1" w:styleId="4013">
    <w:name w:val="样式9"/>
    <w:basedOn w:val="5"/>
    <w:qFormat/>
    <w:uiPriority w:val="0"/>
    <w:pPr>
      <w:tabs>
        <w:tab w:val="clear" w:pos="720"/>
      </w:tabs>
      <w:snapToGrid w:val="0"/>
      <w:ind w:left="0" w:firstLine="0"/>
      <w:jc w:val="both"/>
      <w:textAlignment w:val="auto"/>
    </w:pPr>
    <w:rPr>
      <w:b w:val="0"/>
      <w:bCs/>
      <w:color w:val="auto"/>
      <w:spacing w:val="0"/>
      <w:kern w:val="2"/>
      <w:szCs w:val="28"/>
    </w:rPr>
  </w:style>
  <w:style w:type="paragraph" w:customStyle="1" w:styleId="4014">
    <w:name w:val="表后文"/>
    <w:basedOn w:val="1"/>
    <w:qFormat/>
    <w:uiPriority w:val="0"/>
    <w:pPr>
      <w:tabs>
        <w:tab w:val="left" w:pos="1305"/>
      </w:tabs>
      <w:adjustRightInd w:val="0"/>
      <w:spacing w:before="120" w:line="400" w:lineRule="exact"/>
      <w:ind w:firstLine="601"/>
      <w:textAlignment w:val="baseline"/>
    </w:pPr>
    <w:rPr>
      <w:rFonts w:eastAsia="楷体_GB2312"/>
      <w:spacing w:val="8"/>
      <w:sz w:val="28"/>
    </w:rPr>
  </w:style>
  <w:style w:type="paragraph" w:customStyle="1" w:styleId="4015">
    <w:name w:val="待核实小4"/>
    <w:basedOn w:val="1427"/>
    <w:qFormat/>
    <w:uiPriority w:val="0"/>
    <w:rPr>
      <w:rFonts w:cs="Times New Roman"/>
      <w:color w:val="000080"/>
      <w:sz w:val="21"/>
    </w:rPr>
  </w:style>
  <w:style w:type="paragraph" w:customStyle="1" w:styleId="4016">
    <w:name w:val="燕山正文8"/>
    <w:basedOn w:val="1"/>
    <w:qFormat/>
    <w:uiPriority w:val="0"/>
    <w:pPr>
      <w:tabs>
        <w:tab w:val="left" w:pos="4680"/>
      </w:tabs>
      <w:adjustRightInd w:val="0"/>
      <w:snapToGrid w:val="0"/>
      <w:spacing w:line="360" w:lineRule="auto"/>
      <w:ind w:firstLine="200" w:firstLineChars="200"/>
      <w:jc w:val="left"/>
    </w:pPr>
    <w:rPr>
      <w:rFonts w:ascii="宋体" w:hAnsi="宋体" w:cs="宋体"/>
      <w:color w:val="000000"/>
      <w:sz w:val="28"/>
      <w:szCs w:val="28"/>
    </w:rPr>
  </w:style>
  <w:style w:type="paragraph" w:customStyle="1" w:styleId="4017">
    <w:name w:val="表题121"/>
    <w:basedOn w:val="35"/>
    <w:qFormat/>
    <w:uiPriority w:val="0"/>
    <w:pPr>
      <w:adjustRightInd w:val="0"/>
      <w:snapToGrid w:val="0"/>
      <w:spacing w:after="0"/>
      <w:ind w:left="0" w:leftChars="0"/>
      <w:jc w:val="center"/>
    </w:pPr>
    <w:rPr>
      <w:rFonts w:ascii="黑体" w:hAnsi="Times" w:eastAsia="黑体"/>
      <w:color w:val="000000"/>
      <w:sz w:val="24"/>
    </w:rPr>
  </w:style>
  <w:style w:type="paragraph" w:customStyle="1" w:styleId="4018">
    <w:name w:val="表中居中文字"/>
    <w:basedOn w:val="1"/>
    <w:qFormat/>
    <w:uiPriority w:val="0"/>
    <w:rPr>
      <w:rFonts w:ascii="宋体" w:hAnsi="宋体" w:cs="Arial"/>
      <w:bCs/>
      <w:color w:val="FF0000"/>
      <w:sz w:val="24"/>
      <w:szCs w:val="18"/>
    </w:rPr>
  </w:style>
  <w:style w:type="paragraph" w:customStyle="1" w:styleId="4019">
    <w:name w:val="表内文字大13"/>
    <w:basedOn w:val="1"/>
    <w:qFormat/>
    <w:uiPriority w:val="0"/>
    <w:pPr>
      <w:adjustRightInd w:val="0"/>
      <w:snapToGrid w:val="0"/>
      <w:jc w:val="center"/>
    </w:pPr>
    <w:rPr>
      <w:rFonts w:ascii="宋体" w:hAnsi="Times"/>
      <w:sz w:val="24"/>
    </w:rPr>
  </w:style>
  <w:style w:type="paragraph" w:customStyle="1" w:styleId="4020">
    <w:name w:val="Char Char Char Char Char Char3"/>
    <w:basedOn w:val="1"/>
    <w:qFormat/>
    <w:uiPriority w:val="0"/>
    <w:rPr>
      <w:spacing w:val="0"/>
      <w:kern w:val="2"/>
      <w:sz w:val="21"/>
      <w:szCs w:val="24"/>
    </w:rPr>
  </w:style>
  <w:style w:type="paragraph" w:customStyle="1" w:styleId="4021">
    <w:name w:val="图题36"/>
    <w:basedOn w:val="21"/>
    <w:qFormat/>
    <w:uiPriority w:val="0"/>
    <w:pPr>
      <w:adjustRightInd w:val="0"/>
      <w:snapToGrid w:val="0"/>
      <w:ind w:firstLine="0" w:firstLineChars="0"/>
      <w:jc w:val="center"/>
    </w:pPr>
    <w:rPr>
      <w:rFonts w:ascii="方正大标宋简体" w:eastAsia="方正大标宋简体"/>
      <w:szCs w:val="24"/>
    </w:rPr>
  </w:style>
  <w:style w:type="paragraph" w:customStyle="1" w:styleId="4022">
    <w:name w:val="GM"/>
    <w:basedOn w:val="3"/>
    <w:qFormat/>
    <w:uiPriority w:val="0"/>
    <w:pPr>
      <w:keepLines w:val="0"/>
      <w:widowControl/>
      <w:tabs>
        <w:tab w:val="left" w:pos="2260"/>
        <w:tab w:val="left" w:pos="2820"/>
        <w:tab w:val="left" w:pos="3420"/>
      </w:tabs>
      <w:adjustRightInd w:val="0"/>
      <w:snapToGrid w:val="0"/>
      <w:spacing w:before="240" w:after="0" w:line="240" w:lineRule="auto"/>
      <w:ind w:left="851" w:right="-28" w:hanging="851"/>
    </w:pPr>
    <w:rPr>
      <w:rFonts w:ascii="Arial" w:hAnsi="Arial"/>
      <w:bCs w:val="0"/>
      <w:kern w:val="0"/>
      <w:sz w:val="22"/>
      <w:szCs w:val="20"/>
      <w:lang w:val="en-GB"/>
    </w:rPr>
  </w:style>
  <w:style w:type="paragraph" w:customStyle="1" w:styleId="4023">
    <w:name w:val="表格体"/>
    <w:basedOn w:val="1"/>
    <w:qFormat/>
    <w:uiPriority w:val="0"/>
    <w:pPr>
      <w:adjustRightInd w:val="0"/>
      <w:snapToGrid w:val="0"/>
      <w:jc w:val="center"/>
    </w:pPr>
    <w:rPr>
      <w:bCs/>
    </w:rPr>
  </w:style>
  <w:style w:type="paragraph" w:customStyle="1" w:styleId="4024">
    <w:name w:val="条(三级)3"/>
    <w:basedOn w:val="1"/>
    <w:next w:val="1"/>
    <w:qFormat/>
    <w:uiPriority w:val="0"/>
    <w:pPr>
      <w:keepNext/>
      <w:keepLines/>
      <w:adjustRightInd w:val="0"/>
      <w:spacing w:line="460" w:lineRule="exact"/>
      <w:jc w:val="left"/>
      <w:textAlignment w:val="baseline"/>
    </w:pPr>
    <w:rPr>
      <w:rFonts w:ascii="宋体" w:hAnsi="Arial" w:cs="宋体"/>
      <w:spacing w:val="3"/>
      <w:kern w:val="24"/>
      <w:sz w:val="24"/>
    </w:rPr>
  </w:style>
  <w:style w:type="paragraph" w:customStyle="1" w:styleId="4025">
    <w:name w:val="样式 段后: 3.1 磅 行距: 固定值 20 磅"/>
    <w:basedOn w:val="1"/>
    <w:qFormat/>
    <w:uiPriority w:val="0"/>
    <w:pPr>
      <w:spacing w:after="62" w:line="400" w:lineRule="exact"/>
      <w:ind w:firstLine="482"/>
    </w:pPr>
    <w:rPr>
      <w:rFonts w:cs="宋体"/>
      <w:sz w:val="24"/>
    </w:rPr>
  </w:style>
  <w:style w:type="paragraph" w:customStyle="1" w:styleId="4026">
    <w:name w:val="图题33"/>
    <w:basedOn w:val="21"/>
    <w:qFormat/>
    <w:uiPriority w:val="0"/>
    <w:pPr>
      <w:adjustRightInd w:val="0"/>
      <w:snapToGrid w:val="0"/>
      <w:ind w:firstLine="0" w:firstLineChars="0"/>
      <w:jc w:val="center"/>
    </w:pPr>
    <w:rPr>
      <w:rFonts w:ascii="方正大标宋简体" w:eastAsia="方正大标宋简体"/>
      <w:szCs w:val="24"/>
    </w:rPr>
  </w:style>
  <w:style w:type="paragraph" w:customStyle="1" w:styleId="4027">
    <w:name w:val="样式 标题 2 + 段前: 0.5 行1"/>
    <w:basedOn w:val="4"/>
    <w:qFormat/>
    <w:uiPriority w:val="0"/>
    <w:pPr>
      <w:tabs>
        <w:tab w:val="clear" w:pos="1427"/>
      </w:tabs>
      <w:spacing w:before="156"/>
      <w:jc w:val="both"/>
    </w:pPr>
    <w:rPr>
      <w:rFonts w:ascii="宋体" w:hAnsi="宋体" w:cs="宋体"/>
      <w:bCs/>
      <w:snapToGrid w:val="0"/>
      <w:color w:val="000000"/>
      <w:kern w:val="2"/>
      <w:szCs w:val="28"/>
    </w:rPr>
  </w:style>
  <w:style w:type="paragraph" w:customStyle="1" w:styleId="4028">
    <w:name w:val="表格内容 Char Char Char Char"/>
    <w:basedOn w:val="1"/>
    <w:qFormat/>
    <w:uiPriority w:val="0"/>
    <w:pPr>
      <w:tabs>
        <w:tab w:val="left" w:pos="1535"/>
        <w:tab w:val="left" w:pos="3105"/>
        <w:tab w:val="left" w:pos="4676"/>
        <w:tab w:val="left" w:pos="6247"/>
        <w:tab w:val="left" w:pos="7740"/>
        <w:tab w:val="left" w:pos="9288"/>
      </w:tabs>
      <w:snapToGrid w:val="0"/>
      <w:jc w:val="center"/>
      <w:textAlignment w:val="baseline"/>
    </w:pPr>
  </w:style>
  <w:style w:type="paragraph" w:customStyle="1" w:styleId="4029">
    <w:name w:val="Definition Term"/>
    <w:basedOn w:val="1"/>
    <w:next w:val="1"/>
    <w:qFormat/>
    <w:uiPriority w:val="0"/>
    <w:pPr>
      <w:widowControl/>
      <w:overflowPunct w:val="0"/>
      <w:autoSpaceDE w:val="0"/>
      <w:autoSpaceDN w:val="0"/>
      <w:adjustRightInd w:val="0"/>
      <w:jc w:val="left"/>
      <w:textAlignment w:val="baseline"/>
    </w:pPr>
    <w:rPr>
      <w:sz w:val="24"/>
      <w:lang w:val="en-GB"/>
    </w:rPr>
  </w:style>
  <w:style w:type="paragraph" w:customStyle="1" w:styleId="4030">
    <w:name w:val="表内容中"/>
    <w:basedOn w:val="52"/>
    <w:qFormat/>
    <w:uiPriority w:val="0"/>
    <w:pPr>
      <w:ind w:left="0" w:leftChars="0"/>
      <w:jc w:val="center"/>
    </w:pPr>
    <w:rPr>
      <w:rFonts w:ascii="楷体_GB2312" w:hAnsi="宋体" w:eastAsia="楷体_GB2312"/>
      <w:color w:val="000000"/>
      <w:sz w:val="28"/>
      <w:szCs w:val="20"/>
    </w:rPr>
  </w:style>
  <w:style w:type="paragraph" w:customStyle="1" w:styleId="4031">
    <w:name w:val="样式 黑色 行距: 1.5 倍行距 首行缩进:  2 字符"/>
    <w:basedOn w:val="1"/>
    <w:qFormat/>
    <w:uiPriority w:val="0"/>
    <w:pPr>
      <w:spacing w:line="360" w:lineRule="auto"/>
      <w:ind w:firstLine="480" w:firstLineChars="200"/>
    </w:pPr>
    <w:rPr>
      <w:rFonts w:eastAsia="楷体_GB2312" w:cs="宋体"/>
      <w:color w:val="000000"/>
      <w:sz w:val="24"/>
    </w:rPr>
  </w:style>
  <w:style w:type="paragraph" w:customStyle="1" w:styleId="4032">
    <w:name w:val="表内文字小6"/>
    <w:basedOn w:val="1"/>
    <w:qFormat/>
    <w:uiPriority w:val="0"/>
    <w:pPr>
      <w:adjustRightInd w:val="0"/>
      <w:snapToGrid w:val="0"/>
      <w:jc w:val="center"/>
    </w:pPr>
    <w:rPr>
      <w:rFonts w:ascii="宋体" w:hAnsi="Times"/>
    </w:rPr>
  </w:style>
  <w:style w:type="paragraph" w:customStyle="1" w:styleId="4033">
    <w:name w:val="小二宋顶格1.5行"/>
    <w:qFormat/>
    <w:uiPriority w:val="0"/>
    <w:pPr>
      <w:spacing w:line="360" w:lineRule="auto"/>
      <w:ind w:firstLine="454"/>
    </w:pPr>
    <w:rPr>
      <w:rFonts w:ascii="宋体" w:hAnsi="宋体" w:eastAsia="宋体" w:cs="Times New Roman"/>
      <w:sz w:val="24"/>
      <w:lang w:val="en-US" w:eastAsia="zh-CN" w:bidi="ar-SA"/>
    </w:rPr>
  </w:style>
  <w:style w:type="paragraph" w:customStyle="1" w:styleId="4034">
    <w:name w:val="条(三级)1"/>
    <w:basedOn w:val="1"/>
    <w:next w:val="1"/>
    <w:qFormat/>
    <w:uiPriority w:val="0"/>
    <w:pPr>
      <w:keepNext/>
      <w:keepLines/>
      <w:adjustRightInd w:val="0"/>
      <w:snapToGrid w:val="0"/>
      <w:spacing w:line="460" w:lineRule="exact"/>
      <w:textAlignment w:val="baseline"/>
    </w:pPr>
    <w:rPr>
      <w:rFonts w:hAnsi="Arial"/>
      <w:spacing w:val="3"/>
      <w:kern w:val="24"/>
      <w:sz w:val="18"/>
    </w:rPr>
  </w:style>
  <w:style w:type="paragraph" w:customStyle="1" w:styleId="4035">
    <w:name w:val="样式6"/>
    <w:basedOn w:val="1"/>
    <w:qFormat/>
    <w:uiPriority w:val="0"/>
    <w:pPr>
      <w:autoSpaceDE w:val="0"/>
      <w:autoSpaceDN w:val="0"/>
      <w:spacing w:line="500" w:lineRule="exact"/>
      <w:jc w:val="left"/>
      <w:outlineLvl w:val="0"/>
    </w:pPr>
    <w:rPr>
      <w:rFonts w:eastAsia="仿宋_GB2312"/>
      <w:color w:val="000000"/>
      <w:sz w:val="28"/>
    </w:rPr>
  </w:style>
  <w:style w:type="paragraph" w:customStyle="1" w:styleId="4036">
    <w:name w:val="表内小431"/>
    <w:basedOn w:val="1427"/>
    <w:qFormat/>
    <w:uiPriority w:val="0"/>
    <w:pPr>
      <w:ind w:left="240" w:hanging="240"/>
      <w:jc w:val="both"/>
    </w:pPr>
    <w:rPr>
      <w:rFonts w:cs="Times New Roman"/>
    </w:rPr>
  </w:style>
  <w:style w:type="paragraph" w:customStyle="1" w:styleId="4037">
    <w:name w:val="xl119"/>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color w:val="000000"/>
      <w:sz w:val="18"/>
      <w:szCs w:val="18"/>
    </w:rPr>
  </w:style>
  <w:style w:type="paragraph" w:customStyle="1" w:styleId="4038">
    <w:name w:val="表内小5中3"/>
    <w:basedOn w:val="1"/>
    <w:qFormat/>
    <w:uiPriority w:val="0"/>
    <w:pPr>
      <w:adjustRightInd w:val="0"/>
      <w:snapToGrid w:val="0"/>
      <w:jc w:val="center"/>
    </w:pPr>
    <w:rPr>
      <w:rFonts w:ascii="宋体" w:hAnsi="宋体"/>
      <w:sz w:val="18"/>
    </w:rPr>
  </w:style>
  <w:style w:type="paragraph" w:customStyle="1" w:styleId="4039">
    <w:name w:val="普通(网站)2"/>
    <w:basedOn w:val="1"/>
    <w:qFormat/>
    <w:uiPriority w:val="0"/>
    <w:pPr>
      <w:widowControl/>
      <w:spacing w:before="100" w:beforeAutospacing="1" w:after="100" w:afterAutospacing="1"/>
      <w:jc w:val="left"/>
    </w:pPr>
    <w:rPr>
      <w:rFonts w:hint="eastAsia" w:hAnsi="宋体"/>
      <w:color w:val="000000"/>
      <w:sz w:val="24"/>
    </w:rPr>
  </w:style>
  <w:style w:type="paragraph" w:customStyle="1" w:styleId="4040">
    <w:name w:val="表内文字大12"/>
    <w:basedOn w:val="1"/>
    <w:qFormat/>
    <w:uiPriority w:val="0"/>
    <w:pPr>
      <w:adjustRightInd w:val="0"/>
      <w:snapToGrid w:val="0"/>
      <w:jc w:val="center"/>
    </w:pPr>
    <w:rPr>
      <w:rFonts w:ascii="宋体" w:hAnsi="Times"/>
      <w:sz w:val="24"/>
    </w:rPr>
  </w:style>
  <w:style w:type="paragraph" w:customStyle="1" w:styleId="4041">
    <w:name w:val="默认段落字体 Para Char Char Char Char"/>
    <w:basedOn w:val="1"/>
    <w:qFormat/>
    <w:uiPriority w:val="0"/>
    <w:rPr>
      <w:sz w:val="24"/>
    </w:rPr>
  </w:style>
  <w:style w:type="paragraph" w:customStyle="1" w:styleId="4042">
    <w:name w:val="样式 标题 41.1.1.1标题 4.1.1.1.1标题 4 Char款1.1.1.1 Char标4段1.1.1..."/>
    <w:basedOn w:val="6"/>
    <w:qFormat/>
    <w:uiPriority w:val="0"/>
    <w:pPr>
      <w:keepNext w:val="0"/>
      <w:keepLines w:val="0"/>
      <w:tabs>
        <w:tab w:val="left" w:pos="1800"/>
      </w:tabs>
      <w:spacing w:before="100" w:after="100" w:line="302" w:lineRule="auto"/>
      <w:ind w:left="851" w:hanging="851"/>
    </w:pPr>
    <w:rPr>
      <w:rFonts w:cs="宋体"/>
      <w:sz w:val="24"/>
      <w:szCs w:val="20"/>
    </w:rPr>
  </w:style>
  <w:style w:type="paragraph" w:customStyle="1" w:styleId="4043">
    <w:name w:val="供销社正文"/>
    <w:basedOn w:val="1"/>
    <w:qFormat/>
    <w:uiPriority w:val="0"/>
    <w:pPr>
      <w:spacing w:line="360" w:lineRule="auto"/>
      <w:ind w:firstLine="560" w:firstLineChars="200"/>
    </w:pPr>
    <w:rPr>
      <w:rFonts w:ascii="宋体" w:hAnsi="宋体" w:cs="宋体"/>
      <w:sz w:val="28"/>
    </w:rPr>
  </w:style>
  <w:style w:type="paragraph" w:customStyle="1" w:styleId="4044">
    <w:name w:val="表内5117"/>
    <w:basedOn w:val="1"/>
    <w:qFormat/>
    <w:uiPriority w:val="0"/>
    <w:pPr>
      <w:adjustRightInd w:val="0"/>
      <w:snapToGrid w:val="0"/>
      <w:spacing w:line="300" w:lineRule="auto"/>
      <w:jc w:val="left"/>
    </w:pPr>
    <w:rPr>
      <w:rFonts w:ascii="宋体"/>
    </w:rPr>
  </w:style>
  <w:style w:type="paragraph" w:customStyle="1" w:styleId="4045">
    <w:name w:val="待定小1"/>
    <w:basedOn w:val="1645"/>
    <w:qFormat/>
    <w:uiPriority w:val="0"/>
    <w:pPr>
      <w:spacing w:line="240" w:lineRule="auto"/>
      <w:ind w:firstLine="0" w:firstLineChars="200"/>
    </w:pPr>
    <w:rPr>
      <w:rFonts w:cs="Times New Roman"/>
      <w:color w:val="0000FF"/>
      <w:sz w:val="21"/>
      <w:szCs w:val="20"/>
    </w:rPr>
  </w:style>
  <w:style w:type="paragraph" w:customStyle="1" w:styleId="4046">
    <w:name w:val="样式 宋体 小四 两端对齐 首行缩进:  0.85 厘米 行距: 1.5 倍行距"/>
    <w:basedOn w:val="1"/>
    <w:qFormat/>
    <w:uiPriority w:val="0"/>
    <w:pPr>
      <w:widowControl/>
      <w:spacing w:line="360" w:lineRule="auto"/>
      <w:ind w:firstLine="482"/>
    </w:pPr>
    <w:rPr>
      <w:sz w:val="24"/>
    </w:rPr>
  </w:style>
  <w:style w:type="paragraph" w:customStyle="1" w:styleId="4047">
    <w:name w:val="标题474"/>
    <w:basedOn w:val="1"/>
    <w:qFormat/>
    <w:uiPriority w:val="0"/>
    <w:pPr>
      <w:adjustRightInd w:val="0"/>
      <w:snapToGrid w:val="0"/>
      <w:spacing w:line="300" w:lineRule="auto"/>
    </w:pPr>
    <w:rPr>
      <w:rFonts w:ascii="黑体" w:eastAsia="黑体"/>
      <w:sz w:val="24"/>
    </w:rPr>
  </w:style>
  <w:style w:type="paragraph" w:customStyle="1" w:styleId="4048">
    <w:name w:val="列表0"/>
    <w:basedOn w:val="39"/>
    <w:qFormat/>
    <w:uiPriority w:val="0"/>
    <w:pPr>
      <w:spacing w:line="360" w:lineRule="auto"/>
      <w:ind w:left="0" w:leftChars="0" w:firstLine="252" w:firstLineChars="0"/>
      <w:jc w:val="center"/>
    </w:pPr>
    <w:rPr>
      <w:rFonts w:ascii="宋体" w:hAnsi="宋体"/>
      <w:sz w:val="24"/>
      <w:szCs w:val="21"/>
    </w:rPr>
  </w:style>
  <w:style w:type="paragraph" w:customStyle="1" w:styleId="4049">
    <w:name w:val="字元"/>
    <w:basedOn w:val="1"/>
    <w:qFormat/>
    <w:uiPriority w:val="0"/>
    <w:rPr>
      <w:sz w:val="24"/>
    </w:rPr>
  </w:style>
  <w:style w:type="paragraph" w:customStyle="1" w:styleId="4050">
    <w:name w:val="表中文字4"/>
    <w:basedOn w:val="1"/>
    <w:qFormat/>
    <w:uiPriority w:val="0"/>
    <w:pPr>
      <w:widowControl/>
      <w:spacing w:line="240" w:lineRule="atLeast"/>
      <w:ind w:left="-24" w:leftChars="-10" w:right="-48" w:rightChars="-20"/>
      <w:jc w:val="center"/>
    </w:pPr>
    <w:rPr>
      <w:rFonts w:ascii="宋体"/>
      <w:szCs w:val="21"/>
    </w:rPr>
  </w:style>
  <w:style w:type="paragraph" w:customStyle="1" w:styleId="4051">
    <w:name w:val="标题432"/>
    <w:basedOn w:val="1"/>
    <w:qFormat/>
    <w:uiPriority w:val="0"/>
    <w:pPr>
      <w:adjustRightInd w:val="0"/>
      <w:snapToGrid w:val="0"/>
      <w:spacing w:line="300" w:lineRule="auto"/>
      <w:jc w:val="left"/>
    </w:pPr>
    <w:rPr>
      <w:rFonts w:ascii="黑体" w:hAnsi="宋体" w:eastAsia="黑体" w:cs="宋体"/>
      <w:sz w:val="24"/>
    </w:rPr>
  </w:style>
  <w:style w:type="paragraph" w:customStyle="1" w:styleId="4052">
    <w:name w:val="Char Char Char Char Char Char Char Char Char Char Char Char Char Char Char Char Char Char1 Char Char Char Char Char Char Char"/>
    <w:basedOn w:val="1"/>
    <w:next w:val="1"/>
    <w:qFormat/>
    <w:uiPriority w:val="0"/>
    <w:pPr>
      <w:keepNext/>
      <w:keepLines/>
      <w:widowControl/>
      <w:adjustRightInd w:val="0"/>
      <w:spacing w:before="40" w:after="40" w:line="360" w:lineRule="auto"/>
      <w:ind w:firstLine="482" w:firstLineChars="200"/>
      <w:textAlignment w:val="baseline"/>
    </w:pPr>
    <w:rPr>
      <w:rFonts w:cs="宋体"/>
      <w:b/>
      <w:sz w:val="24"/>
      <w:szCs w:val="28"/>
    </w:rPr>
  </w:style>
  <w:style w:type="paragraph" w:customStyle="1" w:styleId="4053">
    <w:name w:val="样式 (西文) 宋体 首行缩进:  0.85 厘米 行距: 1.5 倍行距"/>
    <w:basedOn w:val="1"/>
    <w:qFormat/>
    <w:uiPriority w:val="0"/>
    <w:pPr>
      <w:adjustRightInd w:val="0"/>
      <w:snapToGrid w:val="0"/>
      <w:spacing w:line="360" w:lineRule="auto"/>
      <w:ind w:firstLine="480" w:firstLineChars="200"/>
      <w:jc w:val="left"/>
    </w:pPr>
    <w:rPr>
      <w:rFonts w:ascii="宋体" w:hAnsi="宋体"/>
      <w:color w:val="000000"/>
      <w:sz w:val="24"/>
    </w:rPr>
  </w:style>
  <w:style w:type="paragraph" w:customStyle="1" w:styleId="4054">
    <w:name w:val="表标题16.7－1"/>
    <w:basedOn w:val="1"/>
    <w:qFormat/>
    <w:uiPriority w:val="0"/>
    <w:pPr>
      <w:tabs>
        <w:tab w:val="left" w:pos="1931"/>
      </w:tabs>
      <w:spacing w:beforeLines="100" w:line="0" w:lineRule="atLeast"/>
      <w:ind w:left="1271" w:hanging="420"/>
    </w:pPr>
    <w:rPr>
      <w:rFonts w:eastAsia="黑体"/>
      <w:b/>
      <w:color w:val="000000"/>
      <w:sz w:val="24"/>
    </w:rPr>
  </w:style>
  <w:style w:type="paragraph" w:customStyle="1" w:styleId="4055">
    <w:name w:val="表内5116"/>
    <w:basedOn w:val="1"/>
    <w:qFormat/>
    <w:uiPriority w:val="0"/>
    <w:pPr>
      <w:adjustRightInd w:val="0"/>
      <w:snapToGrid w:val="0"/>
      <w:spacing w:line="300" w:lineRule="auto"/>
      <w:jc w:val="left"/>
    </w:pPr>
    <w:rPr>
      <w:rFonts w:ascii="宋体" w:hAnsi="宋体" w:cs="宋体"/>
    </w:rPr>
  </w:style>
  <w:style w:type="paragraph" w:customStyle="1" w:styleId="4056">
    <w:name w:val="Char Char Char Char Char Char Char Char Char1 Char Char Char1 Char Char Char1 Char1"/>
    <w:basedOn w:val="1"/>
    <w:next w:val="1"/>
    <w:qFormat/>
    <w:uiPriority w:val="0"/>
    <w:pPr>
      <w:pBdr>
        <w:right w:val="single" w:color="auto" w:sz="12" w:space="4"/>
      </w:pBdr>
      <w:spacing w:line="360" w:lineRule="auto"/>
      <w:ind w:firstLine="200" w:firstLineChars="200"/>
    </w:pPr>
    <w:rPr>
      <w:rFonts w:ascii="宋体" w:hAnsi="宋体" w:cs="宋体"/>
      <w:sz w:val="24"/>
    </w:rPr>
  </w:style>
  <w:style w:type="paragraph" w:customStyle="1" w:styleId="4057">
    <w:name w:val="标题433"/>
    <w:basedOn w:val="1"/>
    <w:qFormat/>
    <w:uiPriority w:val="0"/>
    <w:pPr>
      <w:adjustRightInd w:val="0"/>
      <w:snapToGrid w:val="0"/>
      <w:spacing w:line="300" w:lineRule="auto"/>
      <w:jc w:val="left"/>
    </w:pPr>
    <w:rPr>
      <w:rFonts w:ascii="黑体" w:hAnsi="宋体" w:eastAsia="黑体" w:cs="宋体"/>
      <w:sz w:val="24"/>
    </w:rPr>
  </w:style>
  <w:style w:type="paragraph" w:customStyle="1" w:styleId="4058">
    <w:name w:val="样式 标题 1 + 加粗"/>
    <w:basedOn w:val="3"/>
    <w:qFormat/>
    <w:uiPriority w:val="0"/>
    <w:pPr>
      <w:pageBreakBefore/>
      <w:spacing w:before="0" w:after="0" w:line="480" w:lineRule="exact"/>
    </w:pPr>
    <w:rPr>
      <w:rFonts w:ascii="黑体" w:hAnsi="Arial Black" w:eastAsia="黑体"/>
      <w:b w:val="0"/>
      <w:color w:val="FF0000"/>
      <w:sz w:val="36"/>
      <w:szCs w:val="36"/>
    </w:rPr>
  </w:style>
  <w:style w:type="paragraph" w:customStyle="1" w:styleId="4059">
    <w:name w:val="表格名"/>
    <w:basedOn w:val="1"/>
    <w:qFormat/>
    <w:uiPriority w:val="0"/>
    <w:pPr>
      <w:spacing w:line="360" w:lineRule="auto"/>
      <w:jc w:val="center"/>
    </w:pPr>
    <w:rPr>
      <w:b/>
      <w:color w:val="000000"/>
      <w:sz w:val="24"/>
    </w:rPr>
  </w:style>
  <w:style w:type="paragraph" w:customStyle="1" w:styleId="4060">
    <w:name w:val="xl121"/>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ascii="宋体" w:hAnsi="宋体" w:cs="宋体"/>
      <w:sz w:val="18"/>
      <w:szCs w:val="18"/>
    </w:rPr>
  </w:style>
  <w:style w:type="paragraph" w:customStyle="1" w:styleId="4061">
    <w:name w:val="xl115"/>
    <w:basedOn w:val="1"/>
    <w:qFormat/>
    <w:uiPriority w:val="0"/>
    <w:pPr>
      <w:widowControl/>
      <w:pBdr>
        <w:left w:val="single" w:color="auto" w:sz="4" w:space="0"/>
        <w:right w:val="single" w:color="auto" w:sz="4" w:space="0"/>
      </w:pBdr>
      <w:spacing w:before="100" w:beforeAutospacing="1" w:after="100" w:afterAutospacing="1"/>
      <w:jc w:val="center"/>
      <w:textAlignment w:val="center"/>
    </w:pPr>
    <w:rPr>
      <w:color w:val="000000"/>
      <w:sz w:val="18"/>
      <w:szCs w:val="18"/>
    </w:rPr>
  </w:style>
  <w:style w:type="paragraph" w:customStyle="1" w:styleId="4062">
    <w:name w:val="Body Text 23"/>
    <w:basedOn w:val="1"/>
    <w:qFormat/>
    <w:uiPriority w:val="0"/>
    <w:pPr>
      <w:tabs>
        <w:tab w:val="left" w:pos="-540"/>
        <w:tab w:val="left" w:pos="5400"/>
      </w:tabs>
      <w:adjustRightInd w:val="0"/>
      <w:spacing w:line="460" w:lineRule="atLeast"/>
      <w:ind w:firstLine="540"/>
      <w:textAlignment w:val="baseline"/>
    </w:pPr>
    <w:rPr>
      <w:b/>
      <w:spacing w:val="26"/>
      <w:sz w:val="24"/>
      <w:u w:val="single"/>
    </w:rPr>
  </w:style>
  <w:style w:type="paragraph" w:customStyle="1" w:styleId="4063">
    <w:name w:val="样式 样式 标题 5 + 段后: 0.5 行3 + 段后: 0.5 行"/>
    <w:basedOn w:val="1"/>
    <w:qFormat/>
    <w:uiPriority w:val="0"/>
    <w:pPr>
      <w:keepNext/>
      <w:keepLines/>
      <w:adjustRightInd w:val="0"/>
      <w:snapToGrid w:val="0"/>
      <w:spacing w:afterLines="50"/>
      <w:outlineLvl w:val="4"/>
    </w:pPr>
    <w:rPr>
      <w:rFonts w:ascii="Arial" w:hAnsi="Arial" w:eastAsia="华文楷体" w:cs="宋体"/>
      <w:sz w:val="28"/>
    </w:rPr>
  </w:style>
  <w:style w:type="paragraph" w:customStyle="1" w:styleId="4064">
    <w:name w:val="表内561"/>
    <w:basedOn w:val="1"/>
    <w:qFormat/>
    <w:uiPriority w:val="0"/>
    <w:pPr>
      <w:adjustRightInd w:val="0"/>
      <w:snapToGrid w:val="0"/>
      <w:spacing w:line="300" w:lineRule="auto"/>
      <w:jc w:val="left"/>
    </w:pPr>
    <w:rPr>
      <w:rFonts w:ascii="宋体"/>
    </w:rPr>
  </w:style>
  <w:style w:type="paragraph" w:customStyle="1" w:styleId="4065">
    <w:name w:val="样式 正文缩进 + 小四1"/>
    <w:basedOn w:val="21"/>
    <w:qFormat/>
    <w:uiPriority w:val="0"/>
    <w:pPr>
      <w:keepNext/>
      <w:tabs>
        <w:tab w:val="left" w:pos="1727"/>
        <w:tab w:val="left" w:pos="1884"/>
      </w:tabs>
      <w:spacing w:line="360" w:lineRule="auto"/>
      <w:ind w:firstLine="480" w:firstLineChars="0"/>
      <w:jc w:val="left"/>
      <w:outlineLvl w:val="0"/>
    </w:pPr>
    <w:rPr>
      <w:rFonts w:ascii="宋体" w:hAnsi="宋体" w:cs="宋体"/>
      <w:snapToGrid w:val="0"/>
      <w:color w:val="000000"/>
      <w:sz w:val="28"/>
    </w:rPr>
  </w:style>
  <w:style w:type="paragraph" w:customStyle="1" w:styleId="4066">
    <w:name w:val="样式 表1 + 行距: 固定值 25 磅1"/>
    <w:basedOn w:val="1"/>
    <w:qFormat/>
    <w:uiPriority w:val="0"/>
    <w:pPr>
      <w:adjustRightInd w:val="0"/>
      <w:snapToGrid w:val="0"/>
      <w:jc w:val="center"/>
      <w:textAlignment w:val="baseline"/>
    </w:pPr>
    <w:rPr>
      <w:rFonts w:ascii="宋体" w:hAnsi="宋体" w:cs="宋体"/>
    </w:rPr>
  </w:style>
  <w:style w:type="paragraph" w:customStyle="1" w:styleId="4067">
    <w:name w:val="版本类型"/>
    <w:basedOn w:val="1"/>
    <w:qFormat/>
    <w:uiPriority w:val="0"/>
    <w:pPr>
      <w:spacing w:line="480" w:lineRule="exact"/>
      <w:jc w:val="center"/>
    </w:pPr>
    <w:rPr>
      <w:rFonts w:cs="宋体"/>
      <w:sz w:val="36"/>
    </w:rPr>
  </w:style>
  <w:style w:type="paragraph" w:customStyle="1" w:styleId="4068">
    <w:name w:val="表中文字中修改1"/>
    <w:basedOn w:val="1596"/>
    <w:qFormat/>
    <w:uiPriority w:val="0"/>
    <w:pPr>
      <w:adjustRightInd w:val="0"/>
    </w:pPr>
    <w:rPr>
      <w:color w:val="000000"/>
    </w:rPr>
  </w:style>
  <w:style w:type="paragraph" w:customStyle="1" w:styleId="4069">
    <w:name w:val="Char Char2 Char1"/>
    <w:basedOn w:val="1"/>
    <w:qFormat/>
    <w:uiPriority w:val="0"/>
  </w:style>
  <w:style w:type="paragraph" w:customStyle="1" w:styleId="4070">
    <w:name w:val="Char Char1 Char Char Char1"/>
    <w:basedOn w:val="1"/>
    <w:qFormat/>
    <w:uiPriority w:val="0"/>
  </w:style>
  <w:style w:type="paragraph" w:customStyle="1" w:styleId="4071">
    <w:name w:val="图题23"/>
    <w:basedOn w:val="5"/>
    <w:qFormat/>
    <w:uiPriority w:val="0"/>
    <w:pPr>
      <w:keepNext w:val="0"/>
      <w:keepLines w:val="0"/>
      <w:tabs>
        <w:tab w:val="clear" w:pos="720"/>
      </w:tabs>
      <w:snapToGrid w:val="0"/>
      <w:spacing w:before="120"/>
      <w:ind w:left="0" w:firstLine="0"/>
      <w:jc w:val="center"/>
      <w:textAlignment w:val="auto"/>
    </w:pPr>
    <w:rPr>
      <w:rFonts w:ascii="黑体" w:hAnsi="宋体" w:cs="宋体"/>
      <w:b w:val="0"/>
      <w:bCs/>
      <w:color w:val="auto"/>
      <w:spacing w:val="0"/>
      <w:kern w:val="2"/>
      <w:szCs w:val="28"/>
    </w:rPr>
  </w:style>
  <w:style w:type="paragraph" w:customStyle="1" w:styleId="4072">
    <w:name w:val="CM1"/>
    <w:basedOn w:val="641"/>
    <w:next w:val="641"/>
    <w:qFormat/>
    <w:uiPriority w:val="0"/>
    <w:rPr>
      <w:color w:val="auto"/>
    </w:rPr>
  </w:style>
  <w:style w:type="paragraph" w:customStyle="1" w:styleId="4073">
    <w:name w:val="页眉中122"/>
    <w:basedOn w:val="1"/>
    <w:qFormat/>
    <w:uiPriority w:val="0"/>
    <w:pPr>
      <w:adjustRightInd w:val="0"/>
      <w:snapToGrid w:val="0"/>
      <w:spacing w:line="300" w:lineRule="auto"/>
      <w:jc w:val="left"/>
    </w:pPr>
    <w:rPr>
      <w:rFonts w:ascii="黑体" w:eastAsia="黑体"/>
      <w:bCs/>
      <w:sz w:val="24"/>
    </w:rPr>
  </w:style>
  <w:style w:type="paragraph" w:customStyle="1" w:styleId="4074">
    <w:name w:val="样式 正文文本正文文字"/>
    <w:basedOn w:val="34"/>
    <w:qFormat/>
    <w:uiPriority w:val="0"/>
    <w:pPr>
      <w:spacing w:after="0" w:line="240" w:lineRule="atLeast"/>
      <w:jc w:val="center"/>
    </w:pPr>
    <w:rPr>
      <w:rFonts w:ascii="宋体" w:hAnsi="宋体"/>
      <w:bCs/>
      <w:spacing w:val="0"/>
      <w:kern w:val="2"/>
      <w:sz w:val="21"/>
      <w:szCs w:val="24"/>
    </w:rPr>
  </w:style>
  <w:style w:type="paragraph" w:customStyle="1" w:styleId="4075">
    <w:name w:val="Char91"/>
    <w:basedOn w:val="1"/>
    <w:qFormat/>
    <w:uiPriority w:val="0"/>
    <w:pPr>
      <w:ind w:left="-48"/>
    </w:pPr>
  </w:style>
  <w:style w:type="paragraph" w:customStyle="1" w:styleId="4076">
    <w:name w:val="环评正文3"/>
    <w:qFormat/>
    <w:uiPriority w:val="0"/>
    <w:pPr>
      <w:spacing w:line="360" w:lineRule="exact"/>
      <w:ind w:firstLine="200" w:firstLineChars="200"/>
    </w:pPr>
    <w:rPr>
      <w:rFonts w:ascii="Times New Roman" w:hAnsi="Times New Roman" w:eastAsia="宋体" w:cs="Times New Roman"/>
      <w:color w:val="000000"/>
      <w:kern w:val="21"/>
      <w:sz w:val="24"/>
      <w:szCs w:val="24"/>
      <w:lang w:val="en-US" w:eastAsia="zh-CN" w:bidi="ar-SA"/>
    </w:rPr>
  </w:style>
  <w:style w:type="paragraph" w:customStyle="1" w:styleId="4077">
    <w:name w:val="表内文字边1"/>
    <w:basedOn w:val="1596"/>
    <w:qFormat/>
    <w:uiPriority w:val="0"/>
    <w:pPr>
      <w:adjustRightInd w:val="0"/>
      <w:snapToGrid w:val="0"/>
      <w:jc w:val="both"/>
    </w:pPr>
  </w:style>
  <w:style w:type="paragraph" w:customStyle="1" w:styleId="4078">
    <w:name w:val="Char72"/>
    <w:basedOn w:val="1"/>
    <w:qFormat/>
    <w:uiPriority w:val="0"/>
    <w:pPr>
      <w:spacing w:line="480" w:lineRule="exact"/>
      <w:ind w:left="-48"/>
    </w:pPr>
  </w:style>
  <w:style w:type="paragraph" w:customStyle="1" w:styleId="4079">
    <w:name w:val="Char Char Char2 Char3"/>
    <w:basedOn w:val="1"/>
    <w:qFormat/>
    <w:uiPriority w:val="0"/>
    <w:pPr>
      <w:spacing w:line="360" w:lineRule="auto"/>
      <w:ind w:firstLine="200" w:firstLineChars="200"/>
    </w:pPr>
    <w:rPr>
      <w:rFonts w:ascii="宋体" w:hAnsi="宋体" w:cs="宋体"/>
      <w:sz w:val="24"/>
    </w:rPr>
  </w:style>
  <w:style w:type="paragraph" w:customStyle="1" w:styleId="4080">
    <w:name w:val="表内宋5中3"/>
    <w:basedOn w:val="1"/>
    <w:qFormat/>
    <w:uiPriority w:val="0"/>
    <w:pPr>
      <w:adjustRightInd w:val="0"/>
      <w:snapToGrid w:val="0"/>
      <w:spacing w:line="360" w:lineRule="auto"/>
      <w:jc w:val="center"/>
      <w:textAlignment w:val="baseline"/>
    </w:pPr>
    <w:rPr>
      <w:rFonts w:ascii="宋体" w:hAnsi="宋体"/>
      <w:szCs w:val="21"/>
    </w:rPr>
  </w:style>
  <w:style w:type="paragraph" w:customStyle="1" w:styleId="4081">
    <w:name w:val="标题3样式"/>
    <w:basedOn w:val="5"/>
    <w:qFormat/>
    <w:uiPriority w:val="0"/>
    <w:pPr>
      <w:widowControl/>
      <w:tabs>
        <w:tab w:val="clear" w:pos="720"/>
      </w:tabs>
      <w:adjustRightInd/>
      <w:ind w:left="0" w:firstLine="0"/>
      <w:textAlignment w:val="auto"/>
    </w:pPr>
    <w:rPr>
      <w:rFonts w:ascii="黑体"/>
      <w:bCs/>
      <w:color w:val="auto"/>
      <w:spacing w:val="0"/>
      <w:sz w:val="24"/>
      <w:szCs w:val="32"/>
    </w:rPr>
  </w:style>
  <w:style w:type="paragraph" w:customStyle="1" w:styleId="4082">
    <w:name w:val="样式 燕山正文 + 首行缩进:  3.5 字符11"/>
    <w:basedOn w:val="1"/>
    <w:qFormat/>
    <w:uiPriority w:val="0"/>
    <w:pPr>
      <w:tabs>
        <w:tab w:val="left" w:pos="4680"/>
      </w:tabs>
      <w:adjustRightInd w:val="0"/>
      <w:snapToGrid w:val="0"/>
      <w:spacing w:line="360" w:lineRule="auto"/>
      <w:ind w:firstLine="200" w:firstLineChars="200"/>
    </w:pPr>
    <w:rPr>
      <w:rFonts w:ascii="宋体" w:hAnsi="宋体" w:cs="宋体"/>
      <w:color w:val="000000"/>
      <w:sz w:val="28"/>
    </w:rPr>
  </w:style>
  <w:style w:type="paragraph" w:customStyle="1" w:styleId="4083">
    <w:name w:val="WW-Body Text Indent 3"/>
    <w:basedOn w:val="1"/>
    <w:qFormat/>
    <w:uiPriority w:val="0"/>
    <w:pPr>
      <w:suppressAutoHyphens/>
      <w:spacing w:after="120" w:line="360" w:lineRule="auto"/>
      <w:ind w:firstLine="420"/>
    </w:pPr>
    <w:rPr>
      <w:rFonts w:ascii="Arial" w:hAnsi="Arial"/>
      <w:kern w:val="20481"/>
      <w:sz w:val="24"/>
    </w:rPr>
  </w:style>
  <w:style w:type="paragraph" w:customStyle="1" w:styleId="4084">
    <w:name w:val="页眉32"/>
    <w:basedOn w:val="1"/>
    <w:qFormat/>
    <w:uiPriority w:val="0"/>
    <w:pPr>
      <w:pBdr>
        <w:bottom w:val="single" w:color="auto" w:sz="6" w:space="1"/>
      </w:pBdr>
      <w:wordWrap w:val="0"/>
      <w:overflowPunct w:val="0"/>
      <w:adjustRightInd w:val="0"/>
      <w:snapToGrid w:val="0"/>
      <w:spacing w:line="120" w:lineRule="atLeast"/>
      <w:jc w:val="center"/>
      <w:textAlignment w:val="baseline"/>
    </w:pPr>
    <w:rPr>
      <w:sz w:val="18"/>
      <w:szCs w:val="18"/>
    </w:rPr>
  </w:style>
  <w:style w:type="paragraph" w:customStyle="1" w:styleId="4085">
    <w:name w:val="偶数页眉"/>
    <w:qFormat/>
    <w:uiPriority w:val="0"/>
    <w:pPr>
      <w:pBdr>
        <w:bottom w:val="thinThickSmallGap" w:color="auto" w:sz="12" w:space="1"/>
      </w:pBdr>
      <w:adjustRightInd w:val="0"/>
      <w:snapToGrid w:val="0"/>
    </w:pPr>
    <w:rPr>
      <w:rFonts w:ascii="Times New Roman" w:hAnsi="Times New Roman" w:eastAsia="仿宋_GB2312" w:cs="Times New Roman"/>
      <w:b/>
      <w:kern w:val="2"/>
      <w:sz w:val="21"/>
      <w:szCs w:val="21"/>
      <w:lang w:val="en-US" w:eastAsia="zh-CN" w:bidi="ar-SA"/>
    </w:rPr>
  </w:style>
  <w:style w:type="paragraph" w:customStyle="1" w:styleId="4086">
    <w:name w:val="正文_14"/>
    <w:qFormat/>
    <w:uiPriority w:val="0"/>
    <w:pPr>
      <w:widowControl w:val="0"/>
      <w:jc w:val="both"/>
    </w:pPr>
    <w:rPr>
      <w:rFonts w:ascii="Calibri" w:hAnsi="Calibri" w:eastAsia="宋体" w:cs="Times New Roman"/>
      <w:kern w:val="2"/>
      <w:sz w:val="21"/>
      <w:lang w:val="en-US" w:eastAsia="zh-CN" w:bidi="ar-SA"/>
    </w:rPr>
  </w:style>
  <w:style w:type="paragraph" w:customStyle="1" w:styleId="4087">
    <w:name w:val="正文_15"/>
    <w:qFormat/>
    <w:uiPriority w:val="0"/>
    <w:pPr>
      <w:widowControl w:val="0"/>
      <w:jc w:val="both"/>
    </w:pPr>
    <w:rPr>
      <w:rFonts w:ascii="Calibri" w:hAnsi="Calibri" w:eastAsia="宋体" w:cs="Times New Roman"/>
      <w:kern w:val="2"/>
      <w:sz w:val="21"/>
      <w:lang w:val="en-US" w:eastAsia="zh-CN" w:bidi="ar-SA"/>
    </w:rPr>
  </w:style>
  <w:style w:type="paragraph" w:customStyle="1" w:styleId="4088">
    <w:name w:val="标准正文"/>
    <w:basedOn w:val="1"/>
    <w:qFormat/>
    <w:uiPriority w:val="0"/>
    <w:pPr>
      <w:spacing w:line="360" w:lineRule="auto"/>
      <w:ind w:firstLine="480" w:firstLineChars="200"/>
      <w:jc w:val="left"/>
    </w:pPr>
    <w:rPr>
      <w:rFonts w:ascii="宋体"/>
      <w:spacing w:val="0"/>
      <w:sz w:val="24"/>
      <w:szCs w:val="22"/>
    </w:rPr>
  </w:style>
  <w:style w:type="character" w:customStyle="1" w:styleId="4089">
    <w:name w:val="报告表正文 Char Char"/>
    <w:link w:val="4090"/>
    <w:qFormat/>
    <w:uiPriority w:val="0"/>
    <w:rPr>
      <w:sz w:val="24"/>
    </w:rPr>
  </w:style>
  <w:style w:type="paragraph" w:customStyle="1" w:styleId="4090">
    <w:name w:val="报告表正文"/>
    <w:basedOn w:val="1"/>
    <w:link w:val="4089"/>
    <w:qFormat/>
    <w:uiPriority w:val="0"/>
    <w:pPr>
      <w:adjustRightInd w:val="0"/>
      <w:spacing w:line="312" w:lineRule="auto"/>
      <w:ind w:left="113" w:right="113" w:firstLine="482"/>
      <w:jc w:val="left"/>
      <w:textAlignment w:val="baseline"/>
    </w:pPr>
    <w:rPr>
      <w:rFonts w:asciiTheme="minorHAnsi" w:hAnsiTheme="minorHAnsi" w:eastAsiaTheme="minorEastAsia" w:cstheme="minorBidi"/>
      <w:spacing w:val="0"/>
      <w:kern w:val="2"/>
      <w:sz w:val="24"/>
      <w:szCs w:val="22"/>
    </w:rPr>
  </w:style>
  <w:style w:type="paragraph" w:customStyle="1" w:styleId="4091">
    <w:name w:val="样式 正文缩进正文缩进2正文缩进 Char Char正文缩进 Char Char Char Char正文缩进 Char ..."/>
    <w:basedOn w:val="21"/>
    <w:qFormat/>
    <w:uiPriority w:val="99"/>
    <w:pPr>
      <w:adjustRightInd w:val="0"/>
      <w:spacing w:line="460" w:lineRule="exact"/>
      <w:ind w:firstLine="200"/>
      <w:textAlignment w:val="baseline"/>
    </w:pPr>
    <w:rPr>
      <w:rFonts w:cs="宋体"/>
    </w:rPr>
  </w:style>
  <w:style w:type="table" w:customStyle="1" w:styleId="4092">
    <w:name w:val="Table Normal"/>
    <w:semiHidden/>
    <w:unhideWhenUsed/>
    <w:qFormat/>
    <w:uiPriority w:val="0"/>
    <w:tblPr>
      <w:tblCellMar>
        <w:top w:w="0" w:type="dxa"/>
        <w:left w:w="0" w:type="dxa"/>
        <w:bottom w:w="0" w:type="dxa"/>
        <w:right w:w="0" w:type="dxa"/>
      </w:tblCellMar>
    </w:tblPr>
  </w:style>
  <w:style w:type="paragraph" w:customStyle="1" w:styleId="4093">
    <w:name w:val="标题三三"/>
    <w:basedOn w:val="4094"/>
    <w:next w:val="1"/>
    <w:autoRedefine/>
    <w:qFormat/>
    <w:uiPriority w:val="0"/>
    <w:pPr>
      <w:spacing w:before="240" w:after="120"/>
      <w:outlineLvl w:val="2"/>
    </w:pPr>
    <w:rPr>
      <w:sz w:val="28"/>
    </w:rPr>
  </w:style>
  <w:style w:type="paragraph" w:customStyle="1" w:styleId="4094">
    <w:name w:val="标题二二"/>
    <w:basedOn w:val="4095"/>
    <w:next w:val="1"/>
    <w:autoRedefine/>
    <w:qFormat/>
    <w:uiPriority w:val="0"/>
    <w:pPr>
      <w:spacing w:before="360" w:after="360"/>
      <w:outlineLvl w:val="1"/>
    </w:pPr>
    <w:rPr>
      <w:sz w:val="32"/>
    </w:rPr>
  </w:style>
  <w:style w:type="paragraph" w:customStyle="1" w:styleId="4095">
    <w:name w:val="标题一一"/>
    <w:basedOn w:val="1"/>
    <w:next w:val="1"/>
    <w:autoRedefine/>
    <w:qFormat/>
    <w:uiPriority w:val="0"/>
    <w:pPr>
      <w:spacing w:before="960" w:after="480"/>
      <w:ind w:firstLine="0" w:firstLineChars="0"/>
      <w:jc w:val="left"/>
      <w:outlineLvl w:val="0"/>
    </w:pPr>
    <w:rPr>
      <w:rFonts w:eastAsia="黑体"/>
      <w:sz w:val="44"/>
    </w:rPr>
  </w:style>
  <w:style w:type="paragraph" w:customStyle="1" w:styleId="4096">
    <w:name w:val="标题4改"/>
    <w:basedOn w:val="1"/>
    <w:next w:val="1"/>
    <w:autoRedefine/>
    <w:qFormat/>
    <w:uiPriority w:val="0"/>
    <w:pPr>
      <w:widowControl/>
      <w:spacing w:before="120" w:after="120"/>
      <w:ind w:firstLine="0" w:firstLineChars="0"/>
      <w:jc w:val="left"/>
      <w:outlineLvl w:val="3"/>
    </w:pPr>
    <w:rPr>
      <w:rFonts w:eastAsia="黑体"/>
    </w:rPr>
  </w:style>
  <w:style w:type="paragraph" w:customStyle="1" w:styleId="4097">
    <w:name w:val="标题3"/>
    <w:basedOn w:val="1"/>
    <w:autoRedefine/>
    <w:qFormat/>
    <w:uiPriority w:val="0"/>
    <w:pPr>
      <w:outlineLvl w:val="2"/>
    </w:pPr>
    <w:rPr>
      <w:b/>
    </w:rPr>
  </w:style>
  <w:style w:type="paragraph" w:customStyle="1" w:styleId="4098">
    <w:name w:val="1正文"/>
    <w:autoRedefine/>
    <w:qFormat/>
    <w:uiPriority w:val="0"/>
    <w:pPr>
      <w:widowControl w:val="0"/>
      <w:adjustRightInd w:val="0"/>
      <w:snapToGrid w:val="0"/>
      <w:spacing w:line="360" w:lineRule="auto"/>
      <w:ind w:firstLine="200" w:firstLineChars="200"/>
      <w:jc w:val="both"/>
    </w:pPr>
    <w:rPr>
      <w:rFonts w:ascii="Times New Roman" w:hAnsi="Times New Roman" w:eastAsiaTheme="minorEastAsia" w:cstheme="minorBidi"/>
      <w:kern w:val="2"/>
      <w:sz w:val="24"/>
      <w:szCs w:val="24"/>
      <w:lang w:val="en-US" w:eastAsia="zh-CN" w:bidi="ar-SA"/>
    </w:rPr>
  </w:style>
  <w:style w:type="paragraph" w:customStyle="1" w:styleId="4099">
    <w:name w:val="A表格"/>
    <w:basedOn w:val="1"/>
    <w:next w:val="1"/>
    <w:link w:val="4103"/>
    <w:qFormat/>
    <w:uiPriority w:val="0"/>
    <w:pPr>
      <w:spacing w:line="240" w:lineRule="auto"/>
      <w:ind w:firstLine="0" w:firstLineChars="0"/>
      <w:jc w:val="center"/>
    </w:pPr>
    <w:rPr>
      <w:sz w:val="21"/>
    </w:rPr>
  </w:style>
  <w:style w:type="character" w:customStyle="1" w:styleId="4100">
    <w:name w:val="fontstyle01"/>
    <w:basedOn w:val="90"/>
    <w:qFormat/>
    <w:uiPriority w:val="0"/>
    <w:rPr>
      <w:rFonts w:hint="eastAsia" w:ascii="宋体" w:hAnsi="宋体" w:eastAsia="宋体"/>
      <w:color w:val="000000"/>
      <w:sz w:val="22"/>
      <w:szCs w:val="22"/>
    </w:rPr>
  </w:style>
  <w:style w:type="character" w:customStyle="1" w:styleId="4101">
    <w:name w:val="fontstyle11"/>
    <w:qFormat/>
    <w:uiPriority w:val="0"/>
    <w:rPr>
      <w:rFonts w:hint="eastAsia" w:ascii="TimesNewRomanPSMT" w:hAnsi="TimesNewRomanPSMT" w:eastAsia="TimesNewRomanPSMT"/>
      <w:color w:val="000000"/>
      <w:sz w:val="24"/>
      <w:szCs w:val="24"/>
    </w:rPr>
  </w:style>
  <w:style w:type="paragraph" w:customStyle="1" w:styleId="4102">
    <w:name w:val="A表头"/>
    <w:basedOn w:val="1"/>
    <w:qFormat/>
    <w:uiPriority w:val="0"/>
    <w:pPr>
      <w:ind w:firstLine="0" w:firstLineChars="0"/>
      <w:jc w:val="center"/>
    </w:pPr>
    <w:rPr>
      <w:rFonts w:hint="eastAsia"/>
      <w:b/>
      <w:sz w:val="21"/>
    </w:rPr>
  </w:style>
  <w:style w:type="character" w:customStyle="1" w:styleId="4103">
    <w:name w:val="A表格 Char"/>
    <w:link w:val="4099"/>
    <w:qFormat/>
    <w:uiPriority w:val="0"/>
    <w:rPr>
      <w:sz w:val="21"/>
    </w:rPr>
  </w:style>
  <w:style w:type="paragraph" w:customStyle="1" w:styleId="4104">
    <w:name w:val="Table Text"/>
    <w:basedOn w:val="1"/>
    <w:semiHidden/>
    <w:qFormat/>
    <w:uiPriority w:val="0"/>
    <w:rPr>
      <w:rFonts w:ascii="宋体" w:hAnsi="宋体" w:eastAsia="宋体" w:cs="宋体"/>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66.png"/><Relationship Id="rId98" Type="http://schemas.openxmlformats.org/officeDocument/2006/relationships/image" Target="media/image65.png"/><Relationship Id="rId97" Type="http://schemas.openxmlformats.org/officeDocument/2006/relationships/image" Target="media/image64.png"/><Relationship Id="rId96" Type="http://schemas.openxmlformats.org/officeDocument/2006/relationships/image" Target="media/image63.wmf"/><Relationship Id="rId95" Type="http://schemas.openxmlformats.org/officeDocument/2006/relationships/oleObject" Target="embeddings/oleObject12.bin"/><Relationship Id="rId94" Type="http://schemas.openxmlformats.org/officeDocument/2006/relationships/image" Target="media/image62.wmf"/><Relationship Id="rId93" Type="http://schemas.openxmlformats.org/officeDocument/2006/relationships/oleObject" Target="embeddings/oleObject11.bin"/><Relationship Id="rId92" Type="http://schemas.openxmlformats.org/officeDocument/2006/relationships/image" Target="media/image61.wmf"/><Relationship Id="rId91" Type="http://schemas.openxmlformats.org/officeDocument/2006/relationships/oleObject" Target="embeddings/oleObject10.bin"/><Relationship Id="rId90" Type="http://schemas.openxmlformats.org/officeDocument/2006/relationships/image" Target="media/image60.wmf"/><Relationship Id="rId9" Type="http://schemas.openxmlformats.org/officeDocument/2006/relationships/footer" Target="footer4.xml"/><Relationship Id="rId89" Type="http://schemas.openxmlformats.org/officeDocument/2006/relationships/oleObject" Target="embeddings/oleObject9.bin"/><Relationship Id="rId88" Type="http://schemas.openxmlformats.org/officeDocument/2006/relationships/image" Target="media/image59.wmf"/><Relationship Id="rId87" Type="http://schemas.openxmlformats.org/officeDocument/2006/relationships/oleObject" Target="embeddings/oleObject8.bin"/><Relationship Id="rId86" Type="http://schemas.openxmlformats.org/officeDocument/2006/relationships/image" Target="media/image58.wmf"/><Relationship Id="rId85" Type="http://schemas.openxmlformats.org/officeDocument/2006/relationships/oleObject" Target="embeddings/oleObject7.bin"/><Relationship Id="rId84" Type="http://schemas.openxmlformats.org/officeDocument/2006/relationships/image" Target="media/image57.wmf"/><Relationship Id="rId83" Type="http://schemas.openxmlformats.org/officeDocument/2006/relationships/oleObject" Target="embeddings/oleObject6.bin"/><Relationship Id="rId82" Type="http://schemas.openxmlformats.org/officeDocument/2006/relationships/image" Target="media/image56.wmf"/><Relationship Id="rId81" Type="http://schemas.openxmlformats.org/officeDocument/2006/relationships/oleObject" Target="embeddings/oleObject5.bin"/><Relationship Id="rId80" Type="http://schemas.openxmlformats.org/officeDocument/2006/relationships/image" Target="media/image55.wmf"/><Relationship Id="rId8" Type="http://schemas.openxmlformats.org/officeDocument/2006/relationships/footer" Target="footer3.xml"/><Relationship Id="rId79" Type="http://schemas.openxmlformats.org/officeDocument/2006/relationships/oleObject" Target="embeddings/oleObject4.bin"/><Relationship Id="rId78" Type="http://schemas.openxmlformats.org/officeDocument/2006/relationships/image" Target="media/image54.jpeg"/><Relationship Id="rId77" Type="http://schemas.openxmlformats.org/officeDocument/2006/relationships/image" Target="media/image53.png"/><Relationship Id="rId76" Type="http://schemas.openxmlformats.org/officeDocument/2006/relationships/image" Target="media/image52.emf"/><Relationship Id="rId75" Type="http://schemas.openxmlformats.org/officeDocument/2006/relationships/oleObject" Target="embeddings/oleObject3.bin"/><Relationship Id="rId74" Type="http://schemas.openxmlformats.org/officeDocument/2006/relationships/image" Target="media/image51.wmf"/><Relationship Id="rId73" Type="http://schemas.openxmlformats.org/officeDocument/2006/relationships/image" Target="media/image50.wmf"/><Relationship Id="rId72" Type="http://schemas.openxmlformats.org/officeDocument/2006/relationships/image" Target="media/image49.png"/><Relationship Id="rId71" Type="http://schemas.openxmlformats.org/officeDocument/2006/relationships/image" Target="media/image48.wmf"/><Relationship Id="rId70" Type="http://schemas.openxmlformats.org/officeDocument/2006/relationships/oleObject" Target="embeddings/oleObject2.bin"/><Relationship Id="rId7" Type="http://schemas.openxmlformats.org/officeDocument/2006/relationships/footer" Target="footer2.xml"/><Relationship Id="rId69" Type="http://schemas.openxmlformats.org/officeDocument/2006/relationships/image" Target="media/image47.wmf"/><Relationship Id="rId68" Type="http://schemas.openxmlformats.org/officeDocument/2006/relationships/image" Target="media/image46.wmf"/><Relationship Id="rId67" Type="http://schemas.openxmlformats.org/officeDocument/2006/relationships/image" Target="media/image45.png"/><Relationship Id="rId66" Type="http://schemas.openxmlformats.org/officeDocument/2006/relationships/image" Target="media/image44.png"/><Relationship Id="rId65" Type="http://schemas.openxmlformats.org/officeDocument/2006/relationships/image" Target="media/image43.png"/><Relationship Id="rId64" Type="http://schemas.openxmlformats.org/officeDocument/2006/relationships/image" Target="media/image42.png"/><Relationship Id="rId63" Type="http://schemas.openxmlformats.org/officeDocument/2006/relationships/image" Target="media/image41.png"/><Relationship Id="rId62" Type="http://schemas.openxmlformats.org/officeDocument/2006/relationships/image" Target="media/image40.png"/><Relationship Id="rId61" Type="http://schemas.openxmlformats.org/officeDocument/2006/relationships/image" Target="media/image39.png"/><Relationship Id="rId60" Type="http://schemas.openxmlformats.org/officeDocument/2006/relationships/image" Target="media/image38.png"/><Relationship Id="rId6" Type="http://schemas.openxmlformats.org/officeDocument/2006/relationships/header" Target="header3.xml"/><Relationship Id="rId59" Type="http://schemas.openxmlformats.org/officeDocument/2006/relationships/image" Target="media/image37.png"/><Relationship Id="rId58" Type="http://schemas.openxmlformats.org/officeDocument/2006/relationships/image" Target="media/image36.png"/><Relationship Id="rId57" Type="http://schemas.openxmlformats.org/officeDocument/2006/relationships/image" Target="media/image35.png"/><Relationship Id="rId56" Type="http://schemas.openxmlformats.org/officeDocument/2006/relationships/image" Target="media/image34.png"/><Relationship Id="rId55" Type="http://schemas.openxmlformats.org/officeDocument/2006/relationships/image" Target="media/image33.png"/><Relationship Id="rId54" Type="http://schemas.openxmlformats.org/officeDocument/2006/relationships/image" Target="media/image32.png"/><Relationship Id="rId53" Type="http://schemas.openxmlformats.org/officeDocument/2006/relationships/image" Target="media/image31.png"/><Relationship Id="rId52" Type="http://schemas.openxmlformats.org/officeDocument/2006/relationships/image" Target="media/image30.png"/><Relationship Id="rId51" Type="http://schemas.openxmlformats.org/officeDocument/2006/relationships/image" Target="media/image29.png"/><Relationship Id="rId50" Type="http://schemas.openxmlformats.org/officeDocument/2006/relationships/image" Target="media/image28.png"/><Relationship Id="rId5" Type="http://schemas.openxmlformats.org/officeDocument/2006/relationships/footer" Target="footer1.xml"/><Relationship Id="rId49" Type="http://schemas.openxmlformats.org/officeDocument/2006/relationships/image" Target="media/image27.png"/><Relationship Id="rId48" Type="http://schemas.openxmlformats.org/officeDocument/2006/relationships/image" Target="media/image26.png"/><Relationship Id="rId47" Type="http://schemas.openxmlformats.org/officeDocument/2006/relationships/image" Target="file:///C:\Documents%2525252525252525252525252525252525252525252525252525252525252525252520and%2525252525252525252525252525252525252525252525252525252525252525252520Settings\Administrator\Application%2525252525252525252525252525252525252525252525252525252525252525252520Data\Tencent\Users\112768905\QQ\WinTemp\RichOle\_VHJZS4F%252525252525252525252525252525252525252525252525252525252525252525257dP4CPO9SD)(L$%252525252525252525252525252525252525252525252525252525252525252525257d5.jpg" TargetMode="External"/><Relationship Id="rId46" Type="http://schemas.openxmlformats.org/officeDocument/2006/relationships/image" Target="media/image25.jpeg"/><Relationship Id="rId45" Type="http://schemas.openxmlformats.org/officeDocument/2006/relationships/image" Target="media/image24.jpeg"/><Relationship Id="rId44" Type="http://schemas.openxmlformats.org/officeDocument/2006/relationships/image" Target="media/image23.png"/><Relationship Id="rId43" Type="http://schemas.openxmlformats.org/officeDocument/2006/relationships/image" Target="media/image22.wmf"/><Relationship Id="rId42" Type="http://schemas.openxmlformats.org/officeDocument/2006/relationships/oleObject" Target="embeddings/oleObject1.bin"/><Relationship Id="rId41" Type="http://schemas.openxmlformats.org/officeDocument/2006/relationships/image" Target="media/image21.png"/><Relationship Id="rId40" Type="http://schemas.openxmlformats.org/officeDocument/2006/relationships/image" Target="media/image20.png"/><Relationship Id="rId4" Type="http://schemas.openxmlformats.org/officeDocument/2006/relationships/header" Target="header2.xml"/><Relationship Id="rId39" Type="http://schemas.openxmlformats.org/officeDocument/2006/relationships/image" Target="media/image19.png"/><Relationship Id="rId38" Type="http://schemas.openxmlformats.org/officeDocument/2006/relationships/image" Target="media/image18.png"/><Relationship Id="rId37" Type="http://schemas.openxmlformats.org/officeDocument/2006/relationships/image" Target="media/image17.png"/><Relationship Id="rId36" Type="http://schemas.openxmlformats.org/officeDocument/2006/relationships/image" Target="media/image16.png"/><Relationship Id="rId35" Type="http://schemas.openxmlformats.org/officeDocument/2006/relationships/image" Target="media/image15.png"/><Relationship Id="rId34" Type="http://schemas.openxmlformats.org/officeDocument/2006/relationships/image" Target="media/image14.png"/><Relationship Id="rId33" Type="http://schemas.openxmlformats.org/officeDocument/2006/relationships/image" Target="media/image13.png"/><Relationship Id="rId32" Type="http://schemas.openxmlformats.org/officeDocument/2006/relationships/image" Target="media/image12.png"/><Relationship Id="rId31" Type="http://schemas.openxmlformats.org/officeDocument/2006/relationships/image" Target="media/image11.jpeg"/><Relationship Id="rId30" Type="http://schemas.openxmlformats.org/officeDocument/2006/relationships/image" Target="media/image10.jpeg"/><Relationship Id="rId3" Type="http://schemas.openxmlformats.org/officeDocument/2006/relationships/header" Target="header1.xml"/><Relationship Id="rId29" Type="http://schemas.openxmlformats.org/officeDocument/2006/relationships/image" Target="media/image9.png"/><Relationship Id="rId28" Type="http://schemas.openxmlformats.org/officeDocument/2006/relationships/image" Target="media/image8.jpeg"/><Relationship Id="rId27" Type="http://schemas.openxmlformats.org/officeDocument/2006/relationships/image" Target="media/image7.png"/><Relationship Id="rId26" Type="http://schemas.openxmlformats.org/officeDocument/2006/relationships/image" Target="media/image6.jpeg"/><Relationship Id="rId25" Type="http://schemas.openxmlformats.org/officeDocument/2006/relationships/image" Target="media/image5.png"/><Relationship Id="rId24" Type="http://schemas.openxmlformats.org/officeDocument/2006/relationships/image" Target="media/image4.jpeg"/><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14.xml"/><Relationship Id="rId18" Type="http://schemas.openxmlformats.org/officeDocument/2006/relationships/footer" Target="footer13.xml"/><Relationship Id="rId17" Type="http://schemas.openxmlformats.org/officeDocument/2006/relationships/footer" Target="footer12.xml"/><Relationship Id="rId16" Type="http://schemas.openxmlformats.org/officeDocument/2006/relationships/footer" Target="footer11.xml"/><Relationship Id="rId15" Type="http://schemas.openxmlformats.org/officeDocument/2006/relationships/footer" Target="footer10.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7" Type="http://schemas.openxmlformats.org/officeDocument/2006/relationships/fontTable" Target="fontTable.xml"/><Relationship Id="rId106" Type="http://schemas.openxmlformats.org/officeDocument/2006/relationships/customXml" Target="../customXml/item2.xml"/><Relationship Id="rId105" Type="http://schemas.openxmlformats.org/officeDocument/2006/relationships/numbering" Target="numbering.xml"/><Relationship Id="rId104" Type="http://schemas.openxmlformats.org/officeDocument/2006/relationships/customXml" Target="../customXml/item1.xml"/><Relationship Id="rId103" Type="http://schemas.openxmlformats.org/officeDocument/2006/relationships/image" Target="media/image70.png"/><Relationship Id="rId102" Type="http://schemas.openxmlformats.org/officeDocument/2006/relationships/image" Target="media/image69.jpeg"/><Relationship Id="rId101" Type="http://schemas.openxmlformats.org/officeDocument/2006/relationships/image" Target="media/image68.png"/><Relationship Id="rId100" Type="http://schemas.openxmlformats.org/officeDocument/2006/relationships/image" Target="media/image67.png"/><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50" textRotate="1"/>
    <customShpInfo spid="_x0000_s205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16F6421-C5C5-4E85-AA86-820D8DD8593E}">
  <ds:schemaRefs/>
</ds:datastoreItem>
</file>

<file path=docProps/app.xml><?xml version="1.0" encoding="utf-8"?>
<Properties xmlns="http://schemas.openxmlformats.org/officeDocument/2006/extended-properties" xmlns:vt="http://schemas.openxmlformats.org/officeDocument/2006/docPropsVTypes">
  <Template>Normal</Template>
  <Pages>251</Pages>
  <Words>682</Words>
  <Characters>882</Characters>
  <Lines>2617</Lines>
  <Paragraphs>737</Paragraphs>
  <TotalTime>10</TotalTime>
  <ScaleCrop>false</ScaleCrop>
  <LinksUpToDate>false</LinksUpToDate>
  <CharactersWithSpaces>942</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2024-08-01T07:45:00Z</dcterms:created>
  <dc:creator>ck</dc:creator>
  <cp:lastModifiedBy>启丞</cp:lastModifiedBy>
  <dcterms:modified xsi:type="dcterms:W3CDTF">2026-02-13T06:22:26Z</dcterms:modified>
  <cp:revision>283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704B5F4996394A548DB5EC9566304C8A_13</vt:lpwstr>
  </property>
  <property fmtid="{D5CDD505-2E9C-101B-9397-08002B2CF9AE}" pid="4" name="KSOTemplateDocerSaveRecord">
    <vt:lpwstr>eyJoZGlkIjoiMTBhNGM1YzQ3MmFlYjA5Njk5MTIyYjg3NTNiOTRjNjciLCJ1c2VySWQiOiI0MDQyOTQ5MzcifQ==</vt:lpwstr>
  </property>
</Properties>
</file>